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483"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5890"/>
        <w:gridCol w:w="5593"/>
      </w:tblGrid>
      <w:tr w:rsidR="00CE23CC" w14:paraId="7645598E" w14:textId="77777777" w:rsidTr="000A6DF5">
        <w:trPr>
          <w:trHeight w:val="2706"/>
        </w:trPr>
        <w:tc>
          <w:tcPr>
            <w:tcW w:w="5890" w:type="dxa"/>
          </w:tcPr>
          <w:p w14:paraId="41F34ED7" w14:textId="6E0EEA29" w:rsidR="005D19AD" w:rsidRDefault="00F33073" w:rsidP="29B7DCE4">
            <w:bookmarkStart w:id="0" w:name="_GoBack"/>
            <w:bookmarkEnd w:id="0"/>
            <w:r>
              <w:rPr>
                <w:noProof/>
                <w:lang w:eastAsia="en-IE"/>
              </w:rPr>
              <w:drawing>
                <wp:inline distT="0" distB="0" distL="0" distR="0" wp14:anchorId="4C434127" wp14:editId="3B3DB11F">
                  <wp:extent cx="3800818" cy="1314450"/>
                  <wp:effectExtent l="0" t="0" r="9525" b="0"/>
                  <wp:docPr id="1327896456" name="Picture 1327896456" descr="Logo of Trinity College Du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96456" name="Picture 1327896456" descr="Logo of Trinity College Dublin"/>
                          <pic:cNvPicPr/>
                        </pic:nvPicPr>
                        <pic:blipFill>
                          <a:blip r:embed="rId11">
                            <a:extLst>
                              <a:ext uri="{28A0092B-C50C-407E-A947-70E740481C1C}">
                                <a14:useLocalDpi xmlns:a14="http://schemas.microsoft.com/office/drawing/2010/main" val="0"/>
                              </a:ext>
                            </a:extLst>
                          </a:blip>
                          <a:stretch>
                            <a:fillRect/>
                          </a:stretch>
                        </pic:blipFill>
                        <pic:spPr>
                          <a:xfrm>
                            <a:off x="0" y="0"/>
                            <a:ext cx="3813724" cy="1318913"/>
                          </a:xfrm>
                          <a:prstGeom prst="rect">
                            <a:avLst/>
                          </a:prstGeom>
                        </pic:spPr>
                      </pic:pic>
                    </a:graphicData>
                  </a:graphic>
                </wp:inline>
              </w:drawing>
            </w:r>
          </w:p>
        </w:tc>
        <w:tc>
          <w:tcPr>
            <w:tcW w:w="5593" w:type="dxa"/>
          </w:tcPr>
          <w:p w14:paraId="355EC1CD" w14:textId="6E28D207" w:rsidR="00F33073" w:rsidRDefault="005D19AD" w:rsidP="00F33073">
            <w:pPr>
              <w:jc w:val="right"/>
            </w:pPr>
            <w:r>
              <w:rPr>
                <w:noProof/>
                <w:lang w:eastAsia="en-IE"/>
              </w:rPr>
              <mc:AlternateContent>
                <mc:Choice Requires="wps">
                  <w:drawing>
                    <wp:anchor distT="45720" distB="45720" distL="114300" distR="114300" simplePos="0" relativeHeight="251658242" behindDoc="0" locked="0" layoutInCell="1" allowOverlap="1" wp14:anchorId="2F0E5A91" wp14:editId="2DC2C445">
                      <wp:simplePos x="0" y="0"/>
                      <wp:positionH relativeFrom="column">
                        <wp:posOffset>1700530</wp:posOffset>
                      </wp:positionH>
                      <wp:positionV relativeFrom="paragraph">
                        <wp:posOffset>100965</wp:posOffset>
                      </wp:positionV>
                      <wp:extent cx="1469390" cy="943610"/>
                      <wp:effectExtent l="0" t="0" r="0" b="0"/>
                      <wp:wrapNone/>
                      <wp:docPr id="211" name="Text Box 2" descr="Logo of the Trinity Centre for Ageing and Intellectual Disabil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943610"/>
                              </a:xfrm>
                              <a:prstGeom prst="rect">
                                <a:avLst/>
                              </a:prstGeom>
                              <a:noFill/>
                              <a:ln w="9525">
                                <a:noFill/>
                                <a:miter lim="800000"/>
                                <a:headEnd/>
                                <a:tailEnd/>
                              </a:ln>
                            </wps:spPr>
                            <wps:txbx>
                              <w:txbxContent>
                                <w:p w14:paraId="2F4E6942" w14:textId="77777777" w:rsidR="00D265B8" w:rsidRPr="005D19AD" w:rsidRDefault="00D265B8" w:rsidP="005D19AD">
                                  <w:pPr>
                                    <w:pStyle w:val="Heading5"/>
                                    <w:pBdr>
                                      <w:left w:val="single" w:sz="12" w:space="4" w:color="0E73B9"/>
                                    </w:pBdr>
                                    <w:jc w:val="right"/>
                                    <w:rPr>
                                      <w:rFonts w:ascii="Source Sans Pro" w:hAnsi="Source Sans Pro"/>
                                      <w:b w:val="0"/>
                                      <w:i w:val="0"/>
                                      <w:color w:val="595959" w:themeColor="text1" w:themeTint="A6"/>
                                      <w:sz w:val="28"/>
                                      <w:szCs w:val="28"/>
                                    </w:rPr>
                                  </w:pPr>
                                  <w:r w:rsidRPr="005D19AD">
                                    <w:rPr>
                                      <w:rFonts w:ascii="Source Sans Pro" w:hAnsi="Source Sans Pro"/>
                                      <w:i w:val="0"/>
                                      <w:color w:val="595959" w:themeColor="text1" w:themeTint="A6"/>
                                      <w:sz w:val="28"/>
                                      <w:szCs w:val="28"/>
                                    </w:rPr>
                                    <w:t xml:space="preserve">Trinity Centre </w:t>
                                  </w:r>
                                  <w:r w:rsidRPr="005D19AD">
                                    <w:rPr>
                                      <w:rFonts w:ascii="Source Sans Pro" w:hAnsi="Source Sans Pro"/>
                                      <w:i w:val="0"/>
                                      <w:color w:val="595959" w:themeColor="text1" w:themeTint="A6"/>
                                      <w:sz w:val="28"/>
                                      <w:szCs w:val="28"/>
                                    </w:rPr>
                                    <w:br/>
                                    <w:t>for Ageing and Intellectual Disability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0E5A91" id="_x0000_t202" coordsize="21600,21600" o:spt="202" path="m,l,21600r21600,l21600,xe">
                      <v:stroke joinstyle="miter"/>
                      <v:path gradientshapeok="t" o:connecttype="rect"/>
                    </v:shapetype>
                    <v:shape id="Text Box 2" o:spid="_x0000_s1026" type="#_x0000_t202" alt="Logo of the Trinity Centre for Ageing and Intellectual Disability" style="position:absolute;left:0;text-align:left;margin-left:133.9pt;margin-top:7.95pt;width:115.7pt;height:74.3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" filled="f" stroked="f">
                      <v:textbox style="mso-fit-shape-to-text:t">
                        <w:txbxContent>
                          <w:p w14:paraId="2F4E6942" w14:textId="77777777" w:rsidR="00D265B8" w:rsidRPr="005D19AD" w:rsidRDefault="00D265B8" w:rsidP="005D19AD">
                            <w:pPr>
                              <w:pStyle w:val="Heading5"/>
                              <w:pBdr>
                                <w:left w:val="single" w:sz="12" w:space="4" w:color="0E73B9"/>
                              </w:pBdr>
                              <w:jc w:val="right"/>
                              <w:rPr>
                                <w:rFonts w:ascii="Source Sans Pro" w:hAnsi="Source Sans Pro"/>
                                <w:b w:val="0"/>
                                <w:i w:val="0"/>
                                <w:color w:val="595959" w:themeColor="text1" w:themeTint="A6"/>
                                <w:sz w:val="28"/>
                                <w:szCs w:val="28"/>
                              </w:rPr>
                            </w:pPr>
                            <w:r w:rsidRPr="005D19AD">
                              <w:rPr>
                                <w:rFonts w:ascii="Source Sans Pro" w:hAnsi="Source Sans Pro"/>
                                <w:i w:val="0"/>
                                <w:color w:val="595959" w:themeColor="text1" w:themeTint="A6"/>
                                <w:sz w:val="28"/>
                                <w:szCs w:val="28"/>
                              </w:rPr>
                              <w:t xml:space="preserve">Trinity Centre </w:t>
                            </w:r>
                            <w:r w:rsidRPr="005D19AD">
                              <w:rPr>
                                <w:rFonts w:ascii="Source Sans Pro" w:hAnsi="Source Sans Pro"/>
                                <w:i w:val="0"/>
                                <w:color w:val="595959" w:themeColor="text1" w:themeTint="A6"/>
                                <w:sz w:val="28"/>
                                <w:szCs w:val="28"/>
                              </w:rPr>
                              <w:br/>
                              <w:t>for Ageing and Intellectual Disability</w:t>
                            </w:r>
                          </w:p>
                        </w:txbxContent>
                      </v:textbox>
                    </v:shape>
                  </w:pict>
                </mc:Fallback>
              </mc:AlternateContent>
            </w:r>
          </w:p>
        </w:tc>
      </w:tr>
    </w:tbl>
    <w:p w14:paraId="50F01C3B" w14:textId="35F70076" w:rsidR="75DC4856" w:rsidRDefault="75DC4856"/>
    <w:p w14:paraId="6283F9B9" w14:textId="073FCF0E" w:rsidR="00C210CF" w:rsidRDefault="000A6DF5" w:rsidP="29B7DCE4">
      <w:r w:rsidRPr="00B4753E">
        <w:rPr>
          <w:noProof/>
          <w:lang w:eastAsia="en-IE"/>
        </w:rPr>
        <mc:AlternateContent>
          <mc:Choice Requires="wps">
            <w:drawing>
              <wp:anchor distT="45720" distB="45720" distL="114300" distR="114300" simplePos="0" relativeHeight="251658243" behindDoc="0" locked="0" layoutInCell="1" allowOverlap="1" wp14:anchorId="7B6758A9" wp14:editId="7B52ACF9">
                <wp:simplePos x="0" y="0"/>
                <wp:positionH relativeFrom="page">
                  <wp:align>center</wp:align>
                </wp:positionH>
                <wp:positionV relativeFrom="paragraph">
                  <wp:posOffset>6350</wp:posOffset>
                </wp:positionV>
                <wp:extent cx="6748145" cy="1571625"/>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145" cy="1571625"/>
                        </a:xfrm>
                        <a:prstGeom prst="rect">
                          <a:avLst/>
                        </a:prstGeom>
                        <a:noFill/>
                        <a:ln w="9525">
                          <a:noFill/>
                          <a:miter lim="800000"/>
                          <a:headEnd/>
                          <a:tailEnd/>
                        </a:ln>
                      </wps:spPr>
                      <wps:txbx>
                        <w:txbxContent>
                          <w:p w14:paraId="2BA2E0D7" w14:textId="0E2E7D0F" w:rsidR="00D265B8" w:rsidRDefault="00D265B8" w:rsidP="00923D9B">
                            <w:pPr>
                              <w:jc w:val="center"/>
                              <w:rPr>
                                <w:b/>
                                <w:color w:val="595959" w:themeColor="text1" w:themeTint="A6"/>
                                <w:sz w:val="44"/>
                                <w:szCs w:val="44"/>
                              </w:rPr>
                            </w:pPr>
                            <w:r>
                              <w:rPr>
                                <w:b/>
                                <w:color w:val="595959" w:themeColor="text1" w:themeTint="A6"/>
                                <w:sz w:val="54"/>
                                <w:szCs w:val="54"/>
                              </w:rPr>
                              <w:t>The Care of Older Adults with Intellectual Disabilities and Complex Age-Related Conditions</w:t>
                            </w:r>
                          </w:p>
                          <w:p w14:paraId="22984FB4" w14:textId="2E058875" w:rsidR="00D265B8" w:rsidRPr="00B4753E" w:rsidRDefault="00D265B8" w:rsidP="00923D9B">
                            <w:pPr>
                              <w:jc w:val="center"/>
                              <w:rPr>
                                <w:b/>
                                <w:color w:val="595959" w:themeColor="text1" w:themeTint="A6"/>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6758A9" id="_x0000_s1027" type="#_x0000_t202" style="position:absolute;margin-left:0;margin-top:.5pt;width:531.35pt;height:123.75pt;z-index:251658243;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" filled="f" stroked="f">
                <v:textbox>
                  <w:txbxContent>
                    <w:p w14:paraId="2BA2E0D7" w14:textId="0E2E7D0F" w:rsidR="00D265B8" w:rsidRDefault="00D265B8" w:rsidP="00923D9B">
                      <w:pPr>
                        <w:jc w:val="center"/>
                        <w:rPr>
                          <w:b/>
                          <w:color w:val="595959" w:themeColor="text1" w:themeTint="A6"/>
                          <w:sz w:val="44"/>
                          <w:szCs w:val="44"/>
                        </w:rPr>
                      </w:pPr>
                      <w:r>
                        <w:rPr>
                          <w:b/>
                          <w:color w:val="595959" w:themeColor="text1" w:themeTint="A6"/>
                          <w:sz w:val="54"/>
                          <w:szCs w:val="54"/>
                        </w:rPr>
                        <w:t>The Care of Older Adults with Intellectual Disabilities and Complex Age-Related Conditions</w:t>
                      </w:r>
                    </w:p>
                    <w:p w14:paraId="22984FB4" w14:textId="2E058875" w:rsidR="00D265B8" w:rsidRPr="00B4753E" w:rsidRDefault="00D265B8" w:rsidP="00923D9B">
                      <w:pPr>
                        <w:jc w:val="center"/>
                        <w:rPr>
                          <w:b/>
                          <w:color w:val="595959" w:themeColor="text1" w:themeTint="A6"/>
                          <w:sz w:val="28"/>
                          <w:szCs w:val="28"/>
                        </w:rPr>
                      </w:pPr>
                    </w:p>
                  </w:txbxContent>
                </v:textbox>
                <w10:wrap anchorx="page"/>
              </v:shape>
            </w:pict>
          </mc:Fallback>
        </mc:AlternateContent>
      </w:r>
    </w:p>
    <w:p w14:paraId="1107331E" w14:textId="12E0D949" w:rsidR="7ACCD8A6" w:rsidRDefault="7ACCD8A6" w:rsidP="29B7DCE4"/>
    <w:p w14:paraId="2BD8F989" w14:textId="77777777" w:rsidR="00F33073" w:rsidRDefault="00F33073" w:rsidP="000F625E">
      <w:pPr>
        <w:spacing w:after="0"/>
      </w:pPr>
    </w:p>
    <w:p w14:paraId="6AA1EE91" w14:textId="77777777" w:rsidR="005D19AD" w:rsidRDefault="005D19AD" w:rsidP="000F625E">
      <w:pPr>
        <w:spacing w:after="0"/>
      </w:pPr>
    </w:p>
    <w:p w14:paraId="68ABB94E" w14:textId="77777777" w:rsidR="005D19AD" w:rsidRDefault="005D19AD" w:rsidP="000F625E">
      <w:pPr>
        <w:spacing w:after="0"/>
        <w:rPr>
          <w:noProof/>
        </w:rPr>
      </w:pPr>
    </w:p>
    <w:p w14:paraId="7D311936" w14:textId="4657EBA5" w:rsidR="00923D9B" w:rsidRDefault="00A76EBC" w:rsidP="000F625E">
      <w:pPr>
        <w:spacing w:after="0"/>
        <w:rPr>
          <w:noProof/>
        </w:rPr>
      </w:pPr>
      <w:r w:rsidRPr="009B032F">
        <w:rPr>
          <w:noProof/>
          <w:lang w:eastAsia="en-IE"/>
        </w:rPr>
        <mc:AlternateContent>
          <mc:Choice Requires="wps">
            <w:drawing>
              <wp:anchor distT="0" distB="0" distL="114300" distR="114300" simplePos="0" relativeHeight="251658244" behindDoc="0" locked="0" layoutInCell="1" allowOverlap="1" wp14:anchorId="6525810E" wp14:editId="132C0D65">
                <wp:simplePos x="0" y="0"/>
                <wp:positionH relativeFrom="page">
                  <wp:align>left</wp:align>
                </wp:positionH>
                <wp:positionV relativeFrom="paragraph">
                  <wp:posOffset>310515</wp:posOffset>
                </wp:positionV>
                <wp:extent cx="8277225" cy="0"/>
                <wp:effectExtent l="0" t="114300" r="47625" b="133350"/>
                <wp:wrapNone/>
                <wp:docPr id="209" name="AutoShape 6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7225" cy="0"/>
                        </a:xfrm>
                        <a:prstGeom prst="straightConnector1">
                          <a:avLst/>
                        </a:prstGeom>
                        <a:noFill/>
                        <a:ln w="254000">
                          <a:solidFill>
                            <a:srgbClr val="0E73B9"/>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C6C742" id="_x0000_t32" coordsize="21600,21600" o:spt="32" o:oned="t" path="m,l21600,21600e" filled="f">
                <v:path arrowok="t" fillok="f" o:connecttype="none"/>
                <o:lock v:ext="edit" shapetype="t"/>
              </v:shapetype>
              <v:shape id="AutoShape 67" o:spid="_x0000_s1026" type="#_x0000_t32" alt="&quot;&quot;" style="position:absolute;margin-left:0;margin-top:24.45pt;width:651.75pt;height:0;z-index:2516582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" strokecolor="#0e73b9" strokeweight="20pt">
                <w10:wrap anchorx="page"/>
              </v:shape>
            </w:pict>
          </mc:Fallback>
        </mc:AlternateContent>
      </w:r>
    </w:p>
    <w:p w14:paraId="54F424EC" w14:textId="35F7EE23" w:rsidR="00EE74DC" w:rsidRDefault="007261C8" w:rsidP="000F625E">
      <w:pPr>
        <w:spacing w:after="0"/>
        <w:rPr>
          <w:noProof/>
        </w:rPr>
      </w:pPr>
      <w:r w:rsidRPr="009B032F">
        <w:rPr>
          <w:noProof/>
          <w:lang w:eastAsia="en-IE"/>
        </w:rPr>
        <w:drawing>
          <wp:anchor distT="0" distB="0" distL="114300" distR="114300" simplePos="0" relativeHeight="251658241" behindDoc="1" locked="0" layoutInCell="1" allowOverlap="1" wp14:anchorId="3908C003" wp14:editId="25DA5C55">
            <wp:simplePos x="0" y="0"/>
            <wp:positionH relativeFrom="margin">
              <wp:posOffset>-1226185</wp:posOffset>
            </wp:positionH>
            <wp:positionV relativeFrom="paragraph">
              <wp:posOffset>207010</wp:posOffset>
            </wp:positionV>
            <wp:extent cx="8727440" cy="3343275"/>
            <wp:effectExtent l="0" t="0" r="0" b="9525"/>
            <wp:wrapNone/>
            <wp:docPr id="5122" name="Pictur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b="30902"/>
                    <a:stretch/>
                  </pic:blipFill>
                  <pic:spPr bwMode="auto">
                    <a:xfrm>
                      <a:off x="0" y="0"/>
                      <a:ext cx="8727440" cy="3343275"/>
                    </a:xfrm>
                    <a:prstGeom prst="rect">
                      <a:avLst/>
                    </a:prstGeom>
                    <a:ln>
                      <a:noFill/>
                    </a:ln>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348B24" w14:textId="77777777" w:rsidR="00EE74DC" w:rsidRDefault="00EE74DC" w:rsidP="000F625E">
      <w:pPr>
        <w:spacing w:after="0"/>
        <w:rPr>
          <w:noProof/>
        </w:rPr>
      </w:pPr>
    </w:p>
    <w:p w14:paraId="1B4EE1D3" w14:textId="4953A602" w:rsidR="00EE74DC" w:rsidRDefault="00EE74DC" w:rsidP="000F625E">
      <w:pPr>
        <w:spacing w:after="0"/>
        <w:rPr>
          <w:noProof/>
        </w:rPr>
      </w:pPr>
    </w:p>
    <w:p w14:paraId="1E096CA2" w14:textId="789FB181" w:rsidR="00EE74DC" w:rsidRDefault="00EE74DC" w:rsidP="000F625E">
      <w:pPr>
        <w:spacing w:after="0"/>
        <w:rPr>
          <w:noProof/>
        </w:rPr>
      </w:pPr>
    </w:p>
    <w:p w14:paraId="13362126" w14:textId="5C889B1C" w:rsidR="00EE74DC" w:rsidRDefault="00EE74DC" w:rsidP="000F625E">
      <w:pPr>
        <w:spacing w:after="0"/>
        <w:rPr>
          <w:noProof/>
        </w:rPr>
      </w:pPr>
    </w:p>
    <w:p w14:paraId="21EE05EA" w14:textId="482DE64D" w:rsidR="00EE74DC" w:rsidRDefault="00EE74DC" w:rsidP="000F625E">
      <w:pPr>
        <w:spacing w:after="0"/>
        <w:rPr>
          <w:noProof/>
        </w:rPr>
      </w:pPr>
    </w:p>
    <w:p w14:paraId="2BB44141" w14:textId="62008C10" w:rsidR="00EE74DC" w:rsidRDefault="00EE74DC" w:rsidP="000F625E">
      <w:pPr>
        <w:spacing w:after="0"/>
        <w:rPr>
          <w:noProof/>
        </w:rPr>
      </w:pPr>
    </w:p>
    <w:p w14:paraId="1AF34168" w14:textId="5E90E206" w:rsidR="00923D9B" w:rsidRDefault="00923D9B" w:rsidP="000F625E">
      <w:pPr>
        <w:spacing w:after="0"/>
        <w:rPr>
          <w:noProof/>
        </w:rPr>
      </w:pPr>
    </w:p>
    <w:p w14:paraId="15372DFC" w14:textId="5D08B196" w:rsidR="00A76EBC" w:rsidRDefault="00A76EBC" w:rsidP="000F625E">
      <w:pPr>
        <w:spacing w:after="0"/>
      </w:pPr>
    </w:p>
    <w:p w14:paraId="0C88D018" w14:textId="57209631" w:rsidR="00E07E16" w:rsidRDefault="00E07E16" w:rsidP="000F625E">
      <w:pPr>
        <w:spacing w:after="0"/>
      </w:pPr>
    </w:p>
    <w:p w14:paraId="71DAD825" w14:textId="473ECBF0" w:rsidR="00EE74DC" w:rsidRDefault="00EE74DC" w:rsidP="000F625E">
      <w:pPr>
        <w:spacing w:after="0"/>
      </w:pPr>
    </w:p>
    <w:p w14:paraId="50E67611" w14:textId="1B99400F" w:rsidR="00EE74DC" w:rsidRDefault="00EE74DC" w:rsidP="000F625E">
      <w:pPr>
        <w:spacing w:after="0"/>
      </w:pPr>
    </w:p>
    <w:p w14:paraId="7021795C" w14:textId="77777777" w:rsidR="00EE74DC" w:rsidRDefault="00EE74DC" w:rsidP="000F625E">
      <w:pPr>
        <w:spacing w:after="0"/>
      </w:pPr>
    </w:p>
    <w:p w14:paraId="73252AF5" w14:textId="77777777" w:rsidR="00EE74DC" w:rsidRDefault="00EE74DC" w:rsidP="000F625E">
      <w:pPr>
        <w:spacing w:after="0"/>
      </w:pPr>
    </w:p>
    <w:p w14:paraId="0B8C9748" w14:textId="77777777" w:rsidR="00EE74DC" w:rsidRDefault="00EE74DC" w:rsidP="000F625E">
      <w:pPr>
        <w:spacing w:after="0"/>
      </w:pPr>
    </w:p>
    <w:p w14:paraId="77B3F284" w14:textId="77777777" w:rsidR="00EE74DC" w:rsidRDefault="00EE74DC" w:rsidP="000F625E">
      <w:pPr>
        <w:spacing w:after="0"/>
      </w:pPr>
    </w:p>
    <w:p w14:paraId="380035E2" w14:textId="77777777" w:rsidR="00EE74DC" w:rsidRDefault="00EE74DC" w:rsidP="000F625E">
      <w:pPr>
        <w:spacing w:after="0"/>
      </w:pPr>
    </w:p>
    <w:p w14:paraId="3800D2FF" w14:textId="4D05030F" w:rsidR="00EE74DC" w:rsidRDefault="00EE74DC" w:rsidP="00F27699">
      <w:pPr>
        <w:spacing w:after="0"/>
        <w:ind w:left="5954"/>
      </w:pPr>
      <w:r>
        <w:rPr>
          <w:noProof/>
          <w:lang w:eastAsia="en-IE"/>
        </w:rPr>
        <mc:AlternateContent>
          <mc:Choice Requires="wps">
            <w:drawing>
              <wp:inline distT="0" distB="0" distL="114300" distR="114300" wp14:anchorId="6B37EC31" wp14:editId="1C0A8ECC">
                <wp:extent cx="3096000" cy="45719"/>
                <wp:effectExtent l="0" t="114300" r="85725" b="145415"/>
                <wp:docPr id="1859503175" name="AutoShape 6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96000" cy="45719"/>
                        </a:xfrm>
                        <a:prstGeom prst="straightConnector1">
                          <a:avLst/>
                        </a:prstGeom>
                        <a:noFill/>
                        <a:ln w="254000">
                          <a:solidFill>
                            <a:srgbClr val="0E73B9"/>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BD7288" id="AutoShape 67" o:spid="_x0000_s1026" type="#_x0000_t32" alt="&quot;&quot;" style="width:243.8pt;height:3.6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" strokecolor="#0e73b9" strokeweight="20pt">
                <w10:anchorlock/>
              </v:shape>
            </w:pict>
          </mc:Fallback>
        </mc:AlternateContent>
      </w:r>
    </w:p>
    <w:tbl>
      <w:tblPr>
        <w:tblStyle w:val="TableGrid"/>
        <w:tblW w:w="12191" w:type="dxa"/>
        <w:tblInd w:w="-1706" w:type="dxa"/>
        <w:tblLook w:val="04A0" w:firstRow="1" w:lastRow="0" w:firstColumn="1" w:lastColumn="0" w:noHBand="0" w:noVBand="1"/>
      </w:tblPr>
      <w:tblGrid>
        <w:gridCol w:w="12191"/>
      </w:tblGrid>
      <w:tr w:rsidR="007E2AB2" w14:paraId="02F1CE7F" w14:textId="77777777" w:rsidTr="00990A81">
        <w:tc>
          <w:tcPr>
            <w:tcW w:w="12191" w:type="dxa"/>
            <w:tcBorders>
              <w:top w:val="nil"/>
              <w:left w:val="nil"/>
              <w:bottom w:val="nil"/>
              <w:right w:val="nil"/>
            </w:tcBorders>
          </w:tcPr>
          <w:p w14:paraId="6727F513" w14:textId="4C9B696F" w:rsidR="00990A81" w:rsidRDefault="00990A81" w:rsidP="00990A81">
            <w:pPr>
              <w:spacing w:after="0"/>
              <w:jc w:val="right"/>
            </w:pPr>
            <w:r>
              <w:rPr>
                <w:noProof/>
                <w:lang w:eastAsia="en-IE"/>
              </w:rPr>
              <w:drawing>
                <wp:inline distT="0" distB="0" distL="0" distR="0" wp14:anchorId="681A009B" wp14:editId="12D7412F">
                  <wp:extent cx="1826012" cy="1304925"/>
                  <wp:effectExtent l="0" t="0" r="3175" b="0"/>
                  <wp:docPr id="1042645004" name="Picture 1" descr="This is an image of the logo of the National Disability Authority " title="Logo of the National Disabilit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0244" cy="1307949"/>
                          </a:xfrm>
                          <a:prstGeom prst="rect">
                            <a:avLst/>
                          </a:prstGeom>
                        </pic:spPr>
                      </pic:pic>
                    </a:graphicData>
                  </a:graphic>
                </wp:inline>
              </w:drawing>
            </w:r>
          </w:p>
        </w:tc>
      </w:tr>
    </w:tbl>
    <w:p w14:paraId="7C63451A" w14:textId="00D2EB10" w:rsidR="00923D9B" w:rsidRDefault="00923D9B" w:rsidP="000F625E">
      <w:pPr>
        <w:spacing w:after="0"/>
        <w:sectPr w:rsidR="00923D9B" w:rsidSect="00EE74DC">
          <w:footerReference w:type="default" r:id="rId14"/>
          <w:pgSz w:w="12240" w:h="15840"/>
          <w:pgMar w:top="142" w:right="191" w:bottom="0" w:left="1701" w:header="709" w:footer="709" w:gutter="0"/>
          <w:pgNumType w:fmt="lowerRoman"/>
          <w:cols w:space="708"/>
          <w:docGrid w:linePitch="360"/>
        </w:sectPr>
      </w:pPr>
    </w:p>
    <w:p w14:paraId="3B0B47CA" w14:textId="41263083" w:rsidR="00C210CF" w:rsidRDefault="00C210CF" w:rsidP="000F625E">
      <w:pPr>
        <w:spacing w:after="0"/>
      </w:pPr>
    </w:p>
    <w:p w14:paraId="2AE84177" w14:textId="77777777" w:rsidR="004146CD" w:rsidRDefault="004146CD" w:rsidP="000F625E">
      <w:pPr>
        <w:spacing w:after="0"/>
      </w:pPr>
    </w:p>
    <w:p w14:paraId="29704CC2" w14:textId="77777777" w:rsidR="009F7C84" w:rsidRDefault="009F7C84" w:rsidP="000F625E">
      <w:pPr>
        <w:spacing w:after="0"/>
      </w:pPr>
    </w:p>
    <w:p w14:paraId="543C6448" w14:textId="77777777" w:rsidR="009F7C84" w:rsidRDefault="009F7C84" w:rsidP="000F625E">
      <w:pPr>
        <w:spacing w:after="0"/>
      </w:pPr>
    </w:p>
    <w:p w14:paraId="4D503FBE" w14:textId="77777777" w:rsidR="009F7C84" w:rsidRDefault="009F7C84" w:rsidP="000F625E">
      <w:pPr>
        <w:spacing w:after="0"/>
      </w:pPr>
    </w:p>
    <w:p w14:paraId="11737358" w14:textId="77777777" w:rsidR="009F7C84" w:rsidRDefault="009F7C84" w:rsidP="000F625E">
      <w:pPr>
        <w:spacing w:after="0"/>
      </w:pPr>
    </w:p>
    <w:p w14:paraId="09FFAF5B" w14:textId="77777777" w:rsidR="009F7C84" w:rsidRDefault="009F7C84" w:rsidP="000F625E">
      <w:pPr>
        <w:spacing w:after="0"/>
      </w:pPr>
    </w:p>
    <w:p w14:paraId="092DF82E" w14:textId="77777777" w:rsidR="009F7C84" w:rsidRDefault="009F7C84" w:rsidP="000F625E">
      <w:pPr>
        <w:spacing w:after="0"/>
      </w:pPr>
    </w:p>
    <w:p w14:paraId="090B7AEE" w14:textId="77777777" w:rsidR="009F7C84" w:rsidRDefault="009F7C84" w:rsidP="000F625E">
      <w:pPr>
        <w:spacing w:after="0"/>
      </w:pPr>
    </w:p>
    <w:p w14:paraId="4212C275" w14:textId="77777777" w:rsidR="009F7C84" w:rsidRDefault="009F7C84" w:rsidP="000F625E">
      <w:pPr>
        <w:spacing w:after="0"/>
      </w:pPr>
    </w:p>
    <w:p w14:paraId="6C9330F2" w14:textId="77777777" w:rsidR="009F7C84" w:rsidRDefault="009F7C84" w:rsidP="000F625E">
      <w:pPr>
        <w:spacing w:after="0"/>
      </w:pPr>
    </w:p>
    <w:p w14:paraId="021EC1F8" w14:textId="77777777" w:rsidR="009F7C84" w:rsidRDefault="009F7C84" w:rsidP="000F625E">
      <w:pPr>
        <w:spacing w:after="0"/>
      </w:pPr>
    </w:p>
    <w:p w14:paraId="3EED3905" w14:textId="77777777" w:rsidR="009F7C84" w:rsidRDefault="009F7C84" w:rsidP="000F625E">
      <w:pPr>
        <w:spacing w:after="0"/>
      </w:pPr>
    </w:p>
    <w:p w14:paraId="02FE78EB" w14:textId="77777777" w:rsidR="009F7C84" w:rsidRDefault="009F7C84" w:rsidP="000F625E">
      <w:pPr>
        <w:spacing w:after="0"/>
      </w:pPr>
    </w:p>
    <w:p w14:paraId="59174C1C" w14:textId="77777777" w:rsidR="009F7C84" w:rsidRDefault="009F7C84" w:rsidP="000F625E">
      <w:pPr>
        <w:spacing w:after="0"/>
      </w:pPr>
    </w:p>
    <w:p w14:paraId="521150E6" w14:textId="77777777" w:rsidR="009F7C84" w:rsidRDefault="009F7C84" w:rsidP="000F625E">
      <w:pPr>
        <w:spacing w:after="0"/>
      </w:pPr>
    </w:p>
    <w:p w14:paraId="6B7294E9" w14:textId="77777777" w:rsidR="009F7C84" w:rsidRDefault="009F7C84" w:rsidP="000F625E">
      <w:pPr>
        <w:spacing w:after="0"/>
      </w:pPr>
    </w:p>
    <w:p w14:paraId="74DCB6FF" w14:textId="77777777" w:rsidR="009F7C84" w:rsidRDefault="009F7C84" w:rsidP="000F625E">
      <w:pPr>
        <w:spacing w:after="0"/>
      </w:pPr>
    </w:p>
    <w:p w14:paraId="1107D560" w14:textId="77777777" w:rsidR="009F7C84" w:rsidRDefault="009F7C84" w:rsidP="000F625E">
      <w:pPr>
        <w:spacing w:after="0"/>
      </w:pPr>
    </w:p>
    <w:p w14:paraId="0C4621BE" w14:textId="77777777" w:rsidR="009F7C84" w:rsidRDefault="009F7C84" w:rsidP="000F625E">
      <w:pPr>
        <w:spacing w:after="0"/>
      </w:pPr>
    </w:p>
    <w:p w14:paraId="1C0A3C32" w14:textId="77777777" w:rsidR="009F7C84" w:rsidRDefault="009F7C84" w:rsidP="000F625E">
      <w:pPr>
        <w:spacing w:after="0"/>
      </w:pPr>
    </w:p>
    <w:p w14:paraId="47B74702" w14:textId="77777777" w:rsidR="009F7C84" w:rsidRDefault="009F7C84" w:rsidP="000F625E">
      <w:pPr>
        <w:spacing w:after="0"/>
      </w:pPr>
    </w:p>
    <w:p w14:paraId="79B6DB28" w14:textId="77777777" w:rsidR="009F7C84" w:rsidRDefault="009F7C84" w:rsidP="000F625E">
      <w:pPr>
        <w:spacing w:after="0"/>
      </w:pPr>
    </w:p>
    <w:p w14:paraId="3518D8AB" w14:textId="77777777" w:rsidR="009F7C84" w:rsidRDefault="009F7C84" w:rsidP="000F625E">
      <w:pPr>
        <w:spacing w:after="0"/>
      </w:pPr>
    </w:p>
    <w:p w14:paraId="1F07D8BE" w14:textId="114123FF" w:rsidR="009F7C84" w:rsidRDefault="009F7C84" w:rsidP="6353D33D">
      <w:pPr>
        <w:spacing w:after="0"/>
      </w:pPr>
    </w:p>
    <w:p w14:paraId="5E861362" w14:textId="77777777" w:rsidR="009F7C84" w:rsidRDefault="009F7C84" w:rsidP="000F625E">
      <w:pPr>
        <w:spacing w:after="0"/>
      </w:pPr>
    </w:p>
    <w:p w14:paraId="6B6FC8D5" w14:textId="77777777" w:rsidR="009F7C84" w:rsidRDefault="009F7C84" w:rsidP="000F625E">
      <w:pPr>
        <w:spacing w:after="0"/>
      </w:pPr>
    </w:p>
    <w:p w14:paraId="3C4EC94E" w14:textId="61E1D219" w:rsidR="001B2E82" w:rsidRDefault="00315863" w:rsidP="000F625E">
      <w:pPr>
        <w:spacing w:after="0"/>
      </w:pPr>
      <w:r>
        <w:t>December 2022</w:t>
      </w:r>
    </w:p>
    <w:p w14:paraId="0FFD2294" w14:textId="77777777" w:rsidR="001B2E82" w:rsidRDefault="001B2E82" w:rsidP="000F625E">
      <w:pPr>
        <w:spacing w:after="0"/>
      </w:pPr>
    </w:p>
    <w:p w14:paraId="7326BE00" w14:textId="77777777" w:rsidR="001B2E82" w:rsidRDefault="001B2E82" w:rsidP="000F625E">
      <w:pPr>
        <w:spacing w:after="0"/>
      </w:pPr>
    </w:p>
    <w:p w14:paraId="36D43137" w14:textId="7D2442E1" w:rsidR="009F7C84" w:rsidRDefault="008D446F" w:rsidP="000F625E">
      <w:pPr>
        <w:spacing w:after="0"/>
      </w:pPr>
      <w:r>
        <w:t>Copyright ©</w:t>
      </w:r>
      <w:r w:rsidR="00706D44">
        <w:t xml:space="preserve"> Fintan Sheerin, </w:t>
      </w:r>
      <w:r w:rsidR="00A5316B">
        <w:t>Mary McCarron, Phil</w:t>
      </w:r>
      <w:r w:rsidR="008765CE">
        <w:t xml:space="preserve">ip McCallion, Peter May, </w:t>
      </w:r>
      <w:r w:rsidR="00523D35">
        <w:t xml:space="preserve">Maureen D’Eath, Georgia Lalor, </w:t>
      </w:r>
      <w:r w:rsidR="00FE753A">
        <w:t>Sandra Fleming</w:t>
      </w:r>
      <w:r w:rsidR="001D320D">
        <w:t>. 2022</w:t>
      </w:r>
    </w:p>
    <w:p w14:paraId="10A1AD0C" w14:textId="77777777" w:rsidR="001466FF" w:rsidRDefault="001466FF" w:rsidP="000F625E">
      <w:pPr>
        <w:spacing w:after="0"/>
      </w:pPr>
    </w:p>
    <w:p w14:paraId="131D70A0" w14:textId="2804B3E6" w:rsidR="001466FF" w:rsidRDefault="0280825E" w:rsidP="000F625E">
      <w:pPr>
        <w:spacing w:after="0"/>
      </w:pPr>
      <w:r>
        <w:t>Funded and p</w:t>
      </w:r>
      <w:r w:rsidR="001466FF">
        <w:t>ublished by National Disability Authority, Dublin.</w:t>
      </w:r>
    </w:p>
    <w:p w14:paraId="695450F1" w14:textId="36EE0224" w:rsidR="6353D33D" w:rsidRDefault="6353D33D" w:rsidP="6353D33D">
      <w:pPr>
        <w:spacing w:after="0"/>
        <w:rPr>
          <w:rFonts w:eastAsia="SimSun" w:cs="Calibri"/>
          <w:lang w:eastAsia="en-IE"/>
        </w:rPr>
      </w:pPr>
    </w:p>
    <w:p w14:paraId="552F53D0" w14:textId="1D709AE1" w:rsidR="16E5151F" w:rsidRDefault="16E5151F" w:rsidP="6353D33D">
      <w:pPr>
        <w:spacing w:after="0"/>
        <w:rPr>
          <w:rFonts w:eastAsia="SimSun" w:cs="Calibri"/>
          <w:lang w:eastAsia="en-IE"/>
        </w:rPr>
      </w:pPr>
      <w:r w:rsidRPr="11C55A92">
        <w:rPr>
          <w:rFonts w:eastAsia="SimSun" w:cs="Calibri"/>
          <w:szCs w:val="26"/>
          <w:lang w:eastAsia="en-IE"/>
        </w:rPr>
        <w:t>The authors are solely responsible for the content and the views expressed. The views and opinions expressed in this publication remain those of the authors and do not represent the views or opinions of the National Disability Authority</w:t>
      </w:r>
    </w:p>
    <w:p w14:paraId="2198C426" w14:textId="77777777" w:rsidR="001466FF" w:rsidRDefault="001466FF" w:rsidP="000F625E">
      <w:pPr>
        <w:spacing w:after="0"/>
      </w:pPr>
    </w:p>
    <w:p w14:paraId="522CF6DA" w14:textId="77777777" w:rsidR="00352B3D" w:rsidRDefault="00352B3D">
      <w:pPr>
        <w:spacing w:after="0"/>
        <w:rPr>
          <w:rFonts w:cs="Arial"/>
          <w:b/>
          <w:bCs/>
          <w:kern w:val="32"/>
          <w:sz w:val="32"/>
          <w:szCs w:val="32"/>
        </w:rPr>
      </w:pPr>
      <w:r>
        <w:br w:type="page"/>
      </w:r>
    </w:p>
    <w:p w14:paraId="1A1BEEE9" w14:textId="36EE889F" w:rsidR="008D446F" w:rsidRDefault="008D446F" w:rsidP="008D446F">
      <w:pPr>
        <w:pStyle w:val="Heading1"/>
      </w:pPr>
      <w:bookmarkStart w:id="1" w:name="_Toc118555178"/>
      <w:bookmarkStart w:id="2" w:name="_Toc118558238"/>
      <w:bookmarkStart w:id="3" w:name="_Toc118558336"/>
      <w:bookmarkStart w:id="4" w:name="_Toc121830586"/>
      <w:r>
        <w:lastRenderedPageBreak/>
        <w:t>Acknowledgements</w:t>
      </w:r>
      <w:bookmarkEnd w:id="1"/>
      <w:bookmarkEnd w:id="2"/>
      <w:bookmarkEnd w:id="3"/>
      <w:bookmarkEnd w:id="4"/>
    </w:p>
    <w:p w14:paraId="065974EC" w14:textId="503B1FD7" w:rsidR="00766B0D" w:rsidRPr="008D446F" w:rsidRDefault="00766B0D" w:rsidP="00766B0D">
      <w:pPr>
        <w:autoSpaceDE w:val="0"/>
        <w:autoSpaceDN w:val="0"/>
        <w:adjustRightInd w:val="0"/>
        <w:spacing w:after="0"/>
        <w:rPr>
          <w:rFonts w:eastAsia="SimSun" w:cs="Calibri"/>
          <w:lang w:eastAsia="en-IE"/>
        </w:rPr>
      </w:pPr>
      <w:r w:rsidRPr="5F23F1D8">
        <w:rPr>
          <w:rFonts w:eastAsia="SimSun" w:cs="Calibri"/>
          <w:lang w:eastAsia="en-IE"/>
        </w:rPr>
        <w:t>The authors would like to thank all the participants in this study who took the time to</w:t>
      </w:r>
      <w:r w:rsidR="00345585" w:rsidRPr="5F23F1D8">
        <w:rPr>
          <w:rFonts w:eastAsia="SimSun" w:cs="Calibri"/>
          <w:lang w:eastAsia="en-IE"/>
        </w:rPr>
        <w:t xml:space="preserve"> </w:t>
      </w:r>
      <w:r w:rsidRPr="5F23F1D8">
        <w:rPr>
          <w:rFonts w:eastAsia="SimSun" w:cs="Calibri"/>
          <w:lang w:eastAsia="en-IE"/>
        </w:rPr>
        <w:t xml:space="preserve">share their experiences in the </w:t>
      </w:r>
      <w:r w:rsidR="00345585" w:rsidRPr="5F23F1D8">
        <w:rPr>
          <w:rFonts w:eastAsia="SimSun" w:cs="Calibri"/>
          <w:lang w:eastAsia="en-IE"/>
        </w:rPr>
        <w:t xml:space="preserve">focus groups, </w:t>
      </w:r>
      <w:r w:rsidRPr="5F23F1D8">
        <w:rPr>
          <w:rFonts w:eastAsia="SimSun" w:cs="Calibri"/>
          <w:lang w:eastAsia="en-IE"/>
        </w:rPr>
        <w:t>interviews and surveys. The information they provided and</w:t>
      </w:r>
      <w:r w:rsidR="00345585" w:rsidRPr="5F23F1D8">
        <w:rPr>
          <w:rFonts w:eastAsia="SimSun" w:cs="Calibri"/>
          <w:lang w:eastAsia="en-IE"/>
        </w:rPr>
        <w:t xml:space="preserve"> </w:t>
      </w:r>
      <w:r w:rsidRPr="5F23F1D8">
        <w:rPr>
          <w:rFonts w:eastAsia="SimSun" w:cs="Calibri"/>
          <w:lang w:eastAsia="en-IE"/>
        </w:rPr>
        <w:t xml:space="preserve">stories they shared are critical in making </w:t>
      </w:r>
      <w:r w:rsidR="00345585" w:rsidRPr="5F23F1D8">
        <w:rPr>
          <w:rFonts w:eastAsia="SimSun" w:cs="Calibri"/>
          <w:lang w:eastAsia="en-IE"/>
        </w:rPr>
        <w:t>r</w:t>
      </w:r>
      <w:r w:rsidRPr="5F23F1D8">
        <w:rPr>
          <w:rFonts w:eastAsia="SimSun" w:cs="Calibri"/>
          <w:lang w:eastAsia="en-IE"/>
        </w:rPr>
        <w:t xml:space="preserve">ecommendations for changes </w:t>
      </w:r>
      <w:r w:rsidR="00345585" w:rsidRPr="5F23F1D8">
        <w:rPr>
          <w:rFonts w:eastAsia="SimSun" w:cs="Calibri"/>
          <w:lang w:eastAsia="en-IE"/>
        </w:rPr>
        <w:t>within services for older people</w:t>
      </w:r>
      <w:r w:rsidR="00CF417C" w:rsidRPr="5F23F1D8">
        <w:rPr>
          <w:rFonts w:eastAsia="SimSun" w:cs="Calibri"/>
          <w:lang w:eastAsia="en-IE"/>
        </w:rPr>
        <w:t xml:space="preserve"> with intellectual disabilities</w:t>
      </w:r>
      <w:r w:rsidRPr="5F23F1D8">
        <w:rPr>
          <w:rFonts w:eastAsia="SimSun" w:cs="Calibri"/>
          <w:lang w:eastAsia="en-IE"/>
        </w:rPr>
        <w:t>.</w:t>
      </w:r>
    </w:p>
    <w:p w14:paraId="47F1700C" w14:textId="77777777" w:rsidR="00CF417C" w:rsidRPr="008D446F" w:rsidRDefault="00CF417C" w:rsidP="00766B0D">
      <w:pPr>
        <w:autoSpaceDE w:val="0"/>
        <w:autoSpaceDN w:val="0"/>
        <w:adjustRightInd w:val="0"/>
        <w:spacing w:after="0"/>
        <w:rPr>
          <w:rFonts w:eastAsia="SimSun" w:cs="Calibri"/>
          <w:szCs w:val="26"/>
          <w:lang w:eastAsia="en-IE"/>
        </w:rPr>
      </w:pPr>
    </w:p>
    <w:p w14:paraId="31E29F6D" w14:textId="5554E5B3" w:rsidR="00766B0D" w:rsidRPr="008D446F" w:rsidRDefault="00766B0D" w:rsidP="00766B0D">
      <w:pPr>
        <w:autoSpaceDE w:val="0"/>
        <w:autoSpaceDN w:val="0"/>
        <w:adjustRightInd w:val="0"/>
        <w:spacing w:after="0"/>
        <w:rPr>
          <w:rFonts w:eastAsia="SimSun" w:cs="Calibri"/>
          <w:szCs w:val="26"/>
          <w:lang w:eastAsia="en-IE"/>
        </w:rPr>
      </w:pPr>
      <w:r w:rsidRPr="008D446F">
        <w:rPr>
          <w:rFonts w:eastAsia="SimSun" w:cs="Calibri"/>
          <w:szCs w:val="26"/>
          <w:lang w:eastAsia="en-IE"/>
        </w:rPr>
        <w:t xml:space="preserve">We would also like to acknowledge the assistance of the </w:t>
      </w:r>
      <w:r w:rsidR="00CF417C" w:rsidRPr="008D446F">
        <w:rPr>
          <w:rFonts w:eastAsia="SimSun" w:cs="Calibri"/>
          <w:szCs w:val="26"/>
          <w:lang w:eastAsia="en-IE"/>
        </w:rPr>
        <w:t>service</w:t>
      </w:r>
      <w:r w:rsidRPr="008D446F">
        <w:rPr>
          <w:rFonts w:eastAsia="SimSun" w:cs="Calibri"/>
          <w:szCs w:val="26"/>
          <w:lang w:eastAsia="en-IE"/>
        </w:rPr>
        <w:t xml:space="preserve"> managers and facilitators</w:t>
      </w:r>
      <w:r w:rsidR="00CF417C" w:rsidRPr="008D446F">
        <w:rPr>
          <w:rFonts w:eastAsia="SimSun" w:cs="Calibri"/>
          <w:szCs w:val="26"/>
          <w:lang w:eastAsia="en-IE"/>
        </w:rPr>
        <w:t xml:space="preserve"> </w:t>
      </w:r>
      <w:r w:rsidRPr="008D446F">
        <w:rPr>
          <w:rFonts w:eastAsia="SimSun" w:cs="Calibri"/>
          <w:szCs w:val="26"/>
          <w:lang w:eastAsia="en-IE"/>
        </w:rPr>
        <w:t>who acted as gatekeepers for the data collection.</w:t>
      </w:r>
    </w:p>
    <w:p w14:paraId="67A58E67" w14:textId="77777777" w:rsidR="00CF417C" w:rsidRPr="008D446F" w:rsidRDefault="00CF417C" w:rsidP="00766B0D">
      <w:pPr>
        <w:autoSpaceDE w:val="0"/>
        <w:autoSpaceDN w:val="0"/>
        <w:adjustRightInd w:val="0"/>
        <w:spacing w:after="0"/>
        <w:rPr>
          <w:rFonts w:eastAsia="SimSun" w:cs="Calibri"/>
          <w:szCs w:val="26"/>
          <w:lang w:eastAsia="en-IE"/>
        </w:rPr>
      </w:pPr>
    </w:p>
    <w:p w14:paraId="64CFC6AF" w14:textId="2C3B2773" w:rsidR="00766B0D" w:rsidRPr="008D446F" w:rsidRDefault="00766B0D" w:rsidP="6353D33D">
      <w:pPr>
        <w:autoSpaceDE w:val="0"/>
        <w:autoSpaceDN w:val="0"/>
        <w:adjustRightInd w:val="0"/>
        <w:spacing w:after="0"/>
        <w:rPr>
          <w:rFonts w:eastAsia="SimSun" w:cs="Calibri"/>
          <w:lang w:eastAsia="en-IE"/>
        </w:rPr>
      </w:pPr>
      <w:r w:rsidRPr="11C55A92">
        <w:rPr>
          <w:rFonts w:eastAsia="SimSun" w:cs="Calibri"/>
          <w:lang w:eastAsia="en-IE"/>
        </w:rPr>
        <w:t xml:space="preserve">Finally, we would like to extend our gratitude to </w:t>
      </w:r>
      <w:r w:rsidR="00CF417C" w:rsidRPr="11C55A92">
        <w:rPr>
          <w:rFonts w:eastAsia="SimSun" w:cs="Calibri"/>
          <w:lang w:eastAsia="en-IE"/>
        </w:rPr>
        <w:t>National Disability Authority</w:t>
      </w:r>
      <w:r w:rsidRPr="11C55A92">
        <w:rPr>
          <w:rFonts w:eastAsia="SimSun" w:cs="Calibri"/>
          <w:lang w:eastAsia="en-IE"/>
        </w:rPr>
        <w:t xml:space="preserve"> </w:t>
      </w:r>
      <w:r w:rsidR="3141759A" w:rsidRPr="11C55A92">
        <w:rPr>
          <w:rFonts w:eastAsia="SimSun" w:cs="Calibri"/>
          <w:lang w:eastAsia="en-IE"/>
        </w:rPr>
        <w:t>(NDA)</w:t>
      </w:r>
      <w:r w:rsidR="55054A75" w:rsidRPr="11C55A92">
        <w:rPr>
          <w:rFonts w:eastAsia="SimSun" w:cs="Calibri"/>
          <w:lang w:eastAsia="en-IE"/>
        </w:rPr>
        <w:t xml:space="preserve"> </w:t>
      </w:r>
      <w:r w:rsidRPr="11C55A92">
        <w:rPr>
          <w:rFonts w:eastAsia="SimSun" w:cs="Calibri"/>
          <w:lang w:eastAsia="en-IE"/>
        </w:rPr>
        <w:t xml:space="preserve">for funding this </w:t>
      </w:r>
      <w:r w:rsidR="002F34F2" w:rsidRPr="11C55A92">
        <w:rPr>
          <w:rFonts w:eastAsia="SimSun" w:cs="Calibri"/>
          <w:lang w:eastAsia="en-IE"/>
        </w:rPr>
        <w:t>research and for their patience in allowing it to be completed during a challenging period</w:t>
      </w:r>
      <w:r w:rsidRPr="11C55A92">
        <w:rPr>
          <w:rFonts w:eastAsia="SimSun" w:cs="Calibri"/>
          <w:lang w:eastAsia="en-IE"/>
        </w:rPr>
        <w:t>.</w:t>
      </w:r>
    </w:p>
    <w:p w14:paraId="0F66A8BE" w14:textId="77777777" w:rsidR="002F34F2" w:rsidRPr="008D446F" w:rsidRDefault="002F34F2" w:rsidP="00766B0D">
      <w:pPr>
        <w:autoSpaceDE w:val="0"/>
        <w:autoSpaceDN w:val="0"/>
        <w:adjustRightInd w:val="0"/>
        <w:spacing w:after="0"/>
        <w:rPr>
          <w:rFonts w:eastAsia="SimSun" w:cs="Calibri"/>
          <w:szCs w:val="26"/>
          <w:lang w:eastAsia="en-IE"/>
        </w:rPr>
      </w:pPr>
    </w:p>
    <w:p w14:paraId="120624C8" w14:textId="4F92406C" w:rsidR="00766B0D" w:rsidRPr="00704F67" w:rsidRDefault="002F34F2" w:rsidP="00766B0D">
      <w:pPr>
        <w:autoSpaceDE w:val="0"/>
        <w:autoSpaceDN w:val="0"/>
        <w:adjustRightInd w:val="0"/>
        <w:spacing w:after="0"/>
        <w:rPr>
          <w:rFonts w:eastAsia="SimSun" w:cs="Calibri-Bold"/>
          <w:b/>
          <w:sz w:val="28"/>
          <w:szCs w:val="30"/>
          <w:lang w:eastAsia="en-IE"/>
        </w:rPr>
      </w:pPr>
      <w:r w:rsidRPr="00704F67">
        <w:rPr>
          <w:rFonts w:eastAsia="SimSun" w:cs="Calibri-Bold"/>
          <w:b/>
          <w:sz w:val="28"/>
          <w:szCs w:val="30"/>
          <w:lang w:eastAsia="en-IE"/>
        </w:rPr>
        <w:t>About the authors</w:t>
      </w:r>
    </w:p>
    <w:p w14:paraId="5D80277E" w14:textId="4E67F575" w:rsidR="00766B0D" w:rsidRPr="001B2E82" w:rsidRDefault="002F34F2" w:rsidP="00EA4E67">
      <w:pPr>
        <w:autoSpaceDE w:val="0"/>
        <w:autoSpaceDN w:val="0"/>
        <w:adjustRightInd w:val="0"/>
        <w:spacing w:after="120"/>
        <w:rPr>
          <w:rFonts w:eastAsia="SimSun" w:cs="Calibri"/>
          <w:color w:val="000000" w:themeColor="text1"/>
          <w:sz w:val="24"/>
          <w:lang w:eastAsia="en-IE"/>
        </w:rPr>
      </w:pPr>
      <w:r w:rsidRPr="001B2E82">
        <w:rPr>
          <w:rFonts w:eastAsia="SimSun" w:cs="Calibri"/>
          <w:color w:val="000000" w:themeColor="text1"/>
          <w:sz w:val="24"/>
          <w:lang w:eastAsia="en-IE"/>
        </w:rPr>
        <w:t>Dr</w:t>
      </w:r>
      <w:r w:rsidR="00D14177" w:rsidRPr="001B2E82">
        <w:rPr>
          <w:rFonts w:eastAsia="SimSun" w:cs="Calibri"/>
          <w:color w:val="000000" w:themeColor="text1"/>
          <w:sz w:val="24"/>
          <w:lang w:eastAsia="en-IE"/>
        </w:rPr>
        <w:t xml:space="preserve"> </w:t>
      </w:r>
      <w:r w:rsidRPr="001B2E82">
        <w:rPr>
          <w:rFonts w:eastAsia="SimSun" w:cs="Calibri"/>
          <w:color w:val="000000" w:themeColor="text1"/>
          <w:sz w:val="24"/>
          <w:lang w:eastAsia="en-IE"/>
        </w:rPr>
        <w:t xml:space="preserve">Fintan Sheerin </w:t>
      </w:r>
      <w:r w:rsidR="00766B0D" w:rsidRPr="001B2E82">
        <w:rPr>
          <w:rFonts w:eastAsia="SimSun" w:cs="Calibri"/>
          <w:color w:val="000000" w:themeColor="text1"/>
          <w:sz w:val="24"/>
          <w:lang w:eastAsia="en-IE"/>
        </w:rPr>
        <w:t>is a</w:t>
      </w:r>
      <w:r w:rsidR="008D446F" w:rsidRPr="001B2E82">
        <w:rPr>
          <w:rFonts w:eastAsia="SimSun" w:cs="Calibri"/>
          <w:color w:val="000000" w:themeColor="text1"/>
          <w:sz w:val="24"/>
          <w:lang w:eastAsia="en-IE"/>
        </w:rPr>
        <w:t>n Associate</w:t>
      </w:r>
      <w:r w:rsidR="00766B0D" w:rsidRPr="001B2E82">
        <w:rPr>
          <w:rFonts w:eastAsia="SimSun" w:cs="Calibri"/>
          <w:color w:val="000000" w:themeColor="text1"/>
          <w:sz w:val="24"/>
          <w:lang w:eastAsia="en-IE"/>
        </w:rPr>
        <w:t xml:space="preserve"> Professor </w:t>
      </w:r>
      <w:r w:rsidR="008D446F" w:rsidRPr="001B2E82">
        <w:rPr>
          <w:rFonts w:eastAsia="SimSun" w:cs="Calibri"/>
          <w:color w:val="000000" w:themeColor="text1"/>
          <w:sz w:val="24"/>
          <w:lang w:eastAsia="en-IE"/>
        </w:rPr>
        <w:t>in Intellectual Disability Nursing</w:t>
      </w:r>
      <w:r w:rsidR="00766B0D" w:rsidRPr="001B2E82">
        <w:rPr>
          <w:rFonts w:eastAsia="SimSun" w:cs="Calibri"/>
          <w:color w:val="000000" w:themeColor="text1"/>
          <w:sz w:val="24"/>
          <w:lang w:eastAsia="en-IE"/>
        </w:rPr>
        <w:t xml:space="preserve"> at the School of Nursing and</w:t>
      </w:r>
      <w:r w:rsidR="008D446F" w:rsidRPr="001B2E82">
        <w:rPr>
          <w:rFonts w:eastAsia="SimSun" w:cs="Calibri"/>
          <w:color w:val="000000" w:themeColor="text1"/>
          <w:sz w:val="24"/>
          <w:lang w:eastAsia="en-IE"/>
        </w:rPr>
        <w:t xml:space="preserve"> </w:t>
      </w:r>
      <w:r w:rsidR="00766B0D" w:rsidRPr="001B2E82">
        <w:rPr>
          <w:rFonts w:eastAsia="SimSun" w:cs="Calibri"/>
          <w:color w:val="000000" w:themeColor="text1"/>
          <w:sz w:val="24"/>
          <w:lang w:eastAsia="en-IE"/>
        </w:rPr>
        <w:t>Midwifery, Trinity College Dublin.</w:t>
      </w:r>
    </w:p>
    <w:p w14:paraId="04384AC3" w14:textId="77777777" w:rsidR="006E53D2" w:rsidRPr="001B2E82" w:rsidRDefault="006E53D2" w:rsidP="006E53D2">
      <w:pPr>
        <w:autoSpaceDE w:val="0"/>
        <w:autoSpaceDN w:val="0"/>
        <w:adjustRightInd w:val="0"/>
        <w:spacing w:after="120"/>
        <w:rPr>
          <w:rFonts w:eastAsia="SimSun" w:cs="Calibri"/>
          <w:color w:val="000000" w:themeColor="text1"/>
          <w:sz w:val="24"/>
          <w:lang w:eastAsia="en-IE"/>
        </w:rPr>
      </w:pPr>
      <w:r w:rsidRPr="001B2E82">
        <w:rPr>
          <w:rFonts w:eastAsia="SimSun" w:cs="Calibri"/>
          <w:color w:val="000000" w:themeColor="text1"/>
          <w:sz w:val="24"/>
          <w:lang w:eastAsia="en-IE"/>
        </w:rPr>
        <w:t>Dr Sandra Fleming is an Assistant Professor in Intellectual Disability Nursing at the School of Nursing and Midwifery, Trinity College Dublin.</w:t>
      </w:r>
    </w:p>
    <w:p w14:paraId="308F0E0D" w14:textId="433F9FB0" w:rsidR="008D446F" w:rsidRPr="001B2E82" w:rsidRDefault="008D446F" w:rsidP="00EA4E67">
      <w:pPr>
        <w:autoSpaceDE w:val="0"/>
        <w:autoSpaceDN w:val="0"/>
        <w:adjustRightInd w:val="0"/>
        <w:spacing w:after="120"/>
        <w:rPr>
          <w:rFonts w:eastAsia="SimSun" w:cs="Calibri"/>
          <w:color w:val="000000" w:themeColor="text1"/>
          <w:sz w:val="24"/>
          <w:lang w:eastAsia="en-IE"/>
        </w:rPr>
      </w:pPr>
      <w:r w:rsidRPr="001B2E82">
        <w:rPr>
          <w:rFonts w:eastAsia="SimSun" w:cs="Calibri"/>
          <w:color w:val="000000" w:themeColor="text1"/>
          <w:sz w:val="24"/>
          <w:lang w:eastAsia="en-IE"/>
        </w:rPr>
        <w:t>Pro</w:t>
      </w:r>
      <w:r w:rsidR="00EA4E67" w:rsidRPr="001B2E82">
        <w:rPr>
          <w:rFonts w:eastAsia="SimSun" w:cs="Calibri"/>
          <w:color w:val="000000" w:themeColor="text1"/>
          <w:sz w:val="24"/>
          <w:lang w:eastAsia="en-IE"/>
        </w:rPr>
        <w:t>f Mary McCarron is Professor of Ageing and Intellectual Disabilities at the School of Nursing and Midwifery, Trinity College Dublin.</w:t>
      </w:r>
    </w:p>
    <w:p w14:paraId="7AF58A62" w14:textId="48ABE0AE" w:rsidR="0037333F" w:rsidRPr="001B2E82" w:rsidRDefault="00EA4E67" w:rsidP="00EA4E67">
      <w:pPr>
        <w:autoSpaceDE w:val="0"/>
        <w:autoSpaceDN w:val="0"/>
        <w:adjustRightInd w:val="0"/>
        <w:spacing w:after="120"/>
        <w:rPr>
          <w:rFonts w:eastAsia="SimSun" w:cs="Calibri"/>
          <w:color w:val="000000" w:themeColor="text1"/>
          <w:sz w:val="24"/>
          <w:lang w:eastAsia="en-IE"/>
        </w:rPr>
      </w:pPr>
      <w:r w:rsidRPr="001B2E82">
        <w:rPr>
          <w:rFonts w:eastAsia="SimSun" w:cs="Calibri"/>
          <w:color w:val="000000" w:themeColor="text1"/>
          <w:sz w:val="24"/>
          <w:lang w:eastAsia="en-IE"/>
        </w:rPr>
        <w:t>Prof</w:t>
      </w:r>
      <w:r w:rsidR="0037333F" w:rsidRPr="001B2E82">
        <w:rPr>
          <w:rFonts w:eastAsia="SimSun" w:cs="Calibri"/>
          <w:color w:val="000000" w:themeColor="text1"/>
          <w:sz w:val="24"/>
          <w:lang w:eastAsia="en-IE"/>
        </w:rPr>
        <w:t xml:space="preserve"> Philip McCallion is Professor</w:t>
      </w:r>
      <w:r w:rsidR="003B29B4" w:rsidRPr="001B2E82">
        <w:rPr>
          <w:rFonts w:eastAsia="SimSun" w:cs="Calibri"/>
          <w:color w:val="000000" w:themeColor="text1"/>
          <w:sz w:val="24"/>
          <w:lang w:eastAsia="en-IE"/>
        </w:rPr>
        <w:t>/Director at the School of Social Welfare</w:t>
      </w:r>
      <w:r w:rsidR="00D14177" w:rsidRPr="001B2E82">
        <w:rPr>
          <w:rFonts w:eastAsia="SimSun" w:cs="Calibri"/>
          <w:color w:val="000000" w:themeColor="text1"/>
          <w:sz w:val="24"/>
          <w:lang w:eastAsia="en-IE"/>
        </w:rPr>
        <w:t>, Temple School of Social Work, Temple University, Philadelphia.</w:t>
      </w:r>
    </w:p>
    <w:p w14:paraId="20BB6B4F" w14:textId="1D8CC0C3" w:rsidR="00D14177" w:rsidRPr="001B2E82" w:rsidRDefault="00D14177" w:rsidP="00EA4E67">
      <w:pPr>
        <w:autoSpaceDE w:val="0"/>
        <w:autoSpaceDN w:val="0"/>
        <w:adjustRightInd w:val="0"/>
        <w:spacing w:after="120"/>
        <w:rPr>
          <w:rFonts w:eastAsia="SimSun" w:cs="Calibri"/>
          <w:color w:val="000000" w:themeColor="text1"/>
          <w:sz w:val="24"/>
          <w:lang w:eastAsia="en-IE"/>
        </w:rPr>
      </w:pPr>
      <w:r w:rsidRPr="001B2E82">
        <w:rPr>
          <w:rFonts w:eastAsia="SimSun" w:cs="Calibri"/>
          <w:color w:val="000000" w:themeColor="text1"/>
          <w:sz w:val="24"/>
          <w:lang w:eastAsia="en-IE"/>
        </w:rPr>
        <w:t>Dr Peter May is</w:t>
      </w:r>
      <w:r w:rsidR="00DA1C81" w:rsidRPr="001B2E82">
        <w:rPr>
          <w:rFonts w:eastAsia="SimSun" w:cs="Calibri"/>
          <w:color w:val="000000" w:themeColor="text1"/>
          <w:sz w:val="24"/>
          <w:lang w:eastAsia="en-IE"/>
        </w:rPr>
        <w:t xml:space="preserve"> a Research Assistant Professor at Trinity Centre for Health Policy and Management, Trinity College Dublin.</w:t>
      </w:r>
    </w:p>
    <w:p w14:paraId="174F99B5" w14:textId="77777777" w:rsidR="00CA6F83" w:rsidRPr="001B2E82" w:rsidRDefault="00CA6F83" w:rsidP="00CA6F83">
      <w:pPr>
        <w:autoSpaceDE w:val="0"/>
        <w:autoSpaceDN w:val="0"/>
        <w:adjustRightInd w:val="0"/>
        <w:spacing w:after="120"/>
        <w:rPr>
          <w:rFonts w:eastAsia="SimSun" w:cs="Calibri"/>
          <w:color w:val="000000" w:themeColor="text1"/>
          <w:sz w:val="24"/>
          <w:lang w:eastAsia="en-IE"/>
        </w:rPr>
      </w:pPr>
      <w:r w:rsidRPr="001B2E82">
        <w:rPr>
          <w:rFonts w:eastAsia="SimSun" w:cs="Calibri"/>
          <w:color w:val="000000" w:themeColor="text1"/>
          <w:sz w:val="24"/>
          <w:lang w:eastAsia="en-IE"/>
        </w:rPr>
        <w:t>Georgia Lalor is a Researcher at the School of Nursing and Midwifery, Trinity College Dublin.</w:t>
      </w:r>
    </w:p>
    <w:p w14:paraId="6C411981" w14:textId="77777777" w:rsidR="006E53D2" w:rsidRPr="001B2E82" w:rsidRDefault="006E53D2" w:rsidP="006E53D2">
      <w:pPr>
        <w:autoSpaceDE w:val="0"/>
        <w:autoSpaceDN w:val="0"/>
        <w:adjustRightInd w:val="0"/>
        <w:spacing w:after="120"/>
        <w:rPr>
          <w:rFonts w:eastAsia="SimSun" w:cs="Calibri"/>
          <w:color w:val="000000" w:themeColor="text1"/>
          <w:sz w:val="24"/>
          <w:lang w:eastAsia="en-IE"/>
        </w:rPr>
      </w:pPr>
      <w:r w:rsidRPr="001B2E82">
        <w:rPr>
          <w:rFonts w:eastAsia="SimSun" w:cs="Calibri"/>
          <w:color w:val="000000" w:themeColor="text1"/>
          <w:sz w:val="24"/>
          <w:lang w:eastAsia="en-IE"/>
        </w:rPr>
        <w:t>Dr Maureen D’Eath is a Postdoctoral Research Fellow at the School of Nursing and Midwifery, Trinity College Dublin.</w:t>
      </w:r>
    </w:p>
    <w:p w14:paraId="59CE65D5" w14:textId="77777777" w:rsidR="00E7263B" w:rsidRPr="001B2E82" w:rsidRDefault="00E7263B" w:rsidP="00E7263B">
      <w:pPr>
        <w:autoSpaceDE w:val="0"/>
        <w:autoSpaceDN w:val="0"/>
        <w:adjustRightInd w:val="0"/>
        <w:spacing w:after="0"/>
        <w:rPr>
          <w:rFonts w:eastAsia="SimSun" w:cs="Calibri"/>
          <w:color w:val="000000" w:themeColor="text1"/>
          <w:sz w:val="24"/>
          <w:lang w:eastAsia="en-IE"/>
        </w:rPr>
      </w:pPr>
    </w:p>
    <w:p w14:paraId="6232F5D3" w14:textId="68A894BA" w:rsidR="00766B0D" w:rsidRPr="001B2E82" w:rsidRDefault="00E7263B" w:rsidP="00EA4E67">
      <w:pPr>
        <w:autoSpaceDE w:val="0"/>
        <w:autoSpaceDN w:val="0"/>
        <w:adjustRightInd w:val="0"/>
        <w:spacing w:after="120"/>
        <w:rPr>
          <w:rFonts w:eastAsia="SimSun" w:cs="Calibri"/>
          <w:color w:val="000000" w:themeColor="text1"/>
          <w:sz w:val="24"/>
          <w:lang w:eastAsia="en-IE"/>
        </w:rPr>
      </w:pPr>
      <w:r w:rsidRPr="001B2E82">
        <w:rPr>
          <w:rFonts w:eastAsia="SimSun" w:cs="Calibri"/>
          <w:color w:val="000000" w:themeColor="text1"/>
          <w:sz w:val="24"/>
          <w:lang w:eastAsia="en-IE"/>
        </w:rPr>
        <w:t xml:space="preserve">Dr Amara Naseer and </w:t>
      </w:r>
      <w:r w:rsidR="00CA6F83" w:rsidRPr="001B2E82">
        <w:rPr>
          <w:rFonts w:eastAsia="SimSun" w:cs="Calibri"/>
          <w:color w:val="000000" w:themeColor="text1"/>
          <w:sz w:val="24"/>
          <w:lang w:eastAsia="en-IE"/>
        </w:rPr>
        <w:t xml:space="preserve">Eadaoin </w:t>
      </w:r>
      <w:r w:rsidRPr="001B2E82">
        <w:rPr>
          <w:rFonts w:eastAsia="SimSun" w:cs="Calibri"/>
          <w:color w:val="000000" w:themeColor="text1"/>
          <w:sz w:val="24"/>
          <w:lang w:eastAsia="en-IE"/>
        </w:rPr>
        <w:t>Foden also contributed to this research.</w:t>
      </w:r>
      <w:r w:rsidR="00704F67" w:rsidRPr="001B2E82">
        <w:rPr>
          <w:rFonts w:eastAsia="SimSun" w:cs="Calibri"/>
          <w:color w:val="000000" w:themeColor="text1"/>
          <w:sz w:val="24"/>
          <w:lang w:eastAsia="en-IE"/>
        </w:rPr>
        <w:t xml:space="preserve"> Their work is gratefully acknowledged.</w:t>
      </w:r>
    </w:p>
    <w:p w14:paraId="58414211" w14:textId="77777777" w:rsidR="008D446F" w:rsidRPr="001B2E82" w:rsidRDefault="008D446F" w:rsidP="00766B0D">
      <w:pPr>
        <w:autoSpaceDE w:val="0"/>
        <w:autoSpaceDN w:val="0"/>
        <w:adjustRightInd w:val="0"/>
        <w:spacing w:after="0"/>
        <w:rPr>
          <w:rFonts w:eastAsia="SimSun" w:cs="Calibri"/>
          <w:color w:val="000000" w:themeColor="text1"/>
          <w:sz w:val="24"/>
          <w:lang w:eastAsia="en-IE"/>
        </w:rPr>
      </w:pPr>
    </w:p>
    <w:p w14:paraId="4810E694" w14:textId="439F2EA5" w:rsidR="001466FF" w:rsidRPr="001B2E82" w:rsidRDefault="00766B0D" w:rsidP="006E53D2">
      <w:pPr>
        <w:autoSpaceDE w:val="0"/>
        <w:autoSpaceDN w:val="0"/>
        <w:adjustRightInd w:val="0"/>
        <w:spacing w:after="0"/>
        <w:rPr>
          <w:rFonts w:eastAsia="SimSun" w:cs="Calibri"/>
          <w:color w:val="000000" w:themeColor="text1"/>
          <w:sz w:val="24"/>
          <w:lang w:eastAsia="en-IE"/>
        </w:rPr>
      </w:pPr>
      <w:r w:rsidRPr="001B2E82">
        <w:rPr>
          <w:rFonts w:eastAsia="SimSun" w:cs="Calibri"/>
          <w:color w:val="000000" w:themeColor="text1"/>
          <w:sz w:val="24"/>
          <w:lang w:eastAsia="en-IE"/>
        </w:rPr>
        <w:t xml:space="preserve">This report may be cited as: Sheerin F., </w:t>
      </w:r>
      <w:r w:rsidR="006E53D2" w:rsidRPr="001B2E82">
        <w:rPr>
          <w:rFonts w:eastAsia="SimSun" w:cs="Calibri"/>
          <w:color w:val="000000" w:themeColor="text1"/>
          <w:sz w:val="24"/>
          <w:lang w:eastAsia="en-IE"/>
        </w:rPr>
        <w:t xml:space="preserve">Fleming, S., </w:t>
      </w:r>
      <w:r w:rsidR="00704F67" w:rsidRPr="001B2E82">
        <w:rPr>
          <w:rFonts w:eastAsia="SimSun" w:cs="Calibri"/>
          <w:color w:val="000000" w:themeColor="text1"/>
          <w:sz w:val="24"/>
          <w:lang w:eastAsia="en-IE"/>
        </w:rPr>
        <w:t>McCarron, M.,</w:t>
      </w:r>
      <w:r w:rsidR="00FA6904" w:rsidRPr="001B2E82">
        <w:rPr>
          <w:rFonts w:eastAsia="SimSun" w:cs="Calibri"/>
          <w:color w:val="000000" w:themeColor="text1"/>
          <w:sz w:val="24"/>
          <w:lang w:eastAsia="en-IE"/>
        </w:rPr>
        <w:t xml:space="preserve"> McCallion, P., May, P., Lalor, G. and </w:t>
      </w:r>
      <w:r w:rsidR="006E53D2" w:rsidRPr="001B2E82">
        <w:rPr>
          <w:rFonts w:eastAsia="SimSun" w:cs="Calibri"/>
          <w:color w:val="000000" w:themeColor="text1"/>
          <w:sz w:val="24"/>
          <w:lang w:eastAsia="en-IE"/>
        </w:rPr>
        <w:t xml:space="preserve">D’Eath, M. </w:t>
      </w:r>
      <w:r w:rsidR="21EF81A9" w:rsidRPr="001B2E82">
        <w:rPr>
          <w:rFonts w:eastAsia="SimSun" w:cs="Calibri"/>
          <w:color w:val="000000" w:themeColor="text1"/>
          <w:sz w:val="24"/>
          <w:lang w:eastAsia="en-IE"/>
        </w:rPr>
        <w:t xml:space="preserve">(2022). </w:t>
      </w:r>
      <w:r w:rsidR="28268BCD" w:rsidRPr="001B2E82">
        <w:rPr>
          <w:rFonts w:eastAsia="SimSun" w:cs="Calibri"/>
          <w:color w:val="000000" w:themeColor="text1"/>
          <w:sz w:val="24"/>
          <w:lang w:eastAsia="en-IE"/>
        </w:rPr>
        <w:t>The</w:t>
      </w:r>
      <w:r w:rsidR="00805F52" w:rsidRPr="001B2E82">
        <w:rPr>
          <w:rFonts w:eastAsia="SimSun" w:cs="Calibri"/>
          <w:color w:val="000000" w:themeColor="text1"/>
          <w:sz w:val="24"/>
          <w:lang w:eastAsia="en-IE"/>
        </w:rPr>
        <w:t xml:space="preserve"> Care of Older Adults </w:t>
      </w:r>
      <w:r w:rsidR="007B4A0C" w:rsidRPr="001B2E82">
        <w:rPr>
          <w:rFonts w:eastAsia="SimSun" w:cs="Calibri"/>
          <w:color w:val="000000" w:themeColor="text1"/>
          <w:sz w:val="24"/>
          <w:lang w:eastAsia="en-IE"/>
        </w:rPr>
        <w:t xml:space="preserve">with </w:t>
      </w:r>
      <w:r w:rsidR="008C65CE" w:rsidRPr="001B2E82">
        <w:rPr>
          <w:rFonts w:eastAsia="SimSun" w:cs="Calibri"/>
          <w:color w:val="000000" w:themeColor="text1"/>
          <w:sz w:val="24"/>
          <w:lang w:eastAsia="en-IE"/>
        </w:rPr>
        <w:t>I</w:t>
      </w:r>
      <w:r w:rsidR="007B4A0C" w:rsidRPr="001B2E82">
        <w:rPr>
          <w:rFonts w:eastAsia="SimSun" w:cs="Calibri"/>
          <w:color w:val="000000" w:themeColor="text1"/>
          <w:sz w:val="24"/>
          <w:lang w:eastAsia="en-IE"/>
        </w:rPr>
        <w:t xml:space="preserve">ntellectual </w:t>
      </w:r>
      <w:r w:rsidR="008C65CE" w:rsidRPr="001B2E82">
        <w:rPr>
          <w:rFonts w:eastAsia="SimSun" w:cs="Calibri"/>
          <w:color w:val="000000" w:themeColor="text1"/>
          <w:sz w:val="24"/>
          <w:lang w:eastAsia="en-IE"/>
        </w:rPr>
        <w:t>D</w:t>
      </w:r>
      <w:r w:rsidR="007B4A0C" w:rsidRPr="001B2E82">
        <w:rPr>
          <w:rFonts w:eastAsia="SimSun" w:cs="Calibri"/>
          <w:color w:val="000000" w:themeColor="text1"/>
          <w:sz w:val="24"/>
          <w:lang w:eastAsia="en-IE"/>
        </w:rPr>
        <w:t>isabilities</w:t>
      </w:r>
      <w:r w:rsidR="00805F52" w:rsidRPr="001B2E82">
        <w:rPr>
          <w:rFonts w:eastAsia="SimSun" w:cs="Calibri"/>
          <w:color w:val="000000" w:themeColor="text1"/>
          <w:sz w:val="24"/>
          <w:lang w:eastAsia="en-IE"/>
        </w:rPr>
        <w:t xml:space="preserve"> and Complex Age-Related Conditions. Funded by National Disability Authority</w:t>
      </w:r>
      <w:r w:rsidR="006E53D2" w:rsidRPr="001B2E82">
        <w:rPr>
          <w:rFonts w:eastAsia="SimSun" w:cs="Calibri"/>
          <w:color w:val="000000" w:themeColor="text1"/>
          <w:sz w:val="24"/>
          <w:lang w:eastAsia="en-IE"/>
        </w:rPr>
        <w:t>. Dublin: Trinity College Dublin, School of Nursing and Midwifery.</w:t>
      </w:r>
    </w:p>
    <w:p w14:paraId="2868C7B7" w14:textId="23A51F72" w:rsidR="00352B3D" w:rsidRDefault="00352B3D">
      <w:pPr>
        <w:spacing w:after="0"/>
      </w:pPr>
      <w:r>
        <w:br w:type="page"/>
      </w:r>
    </w:p>
    <w:p w14:paraId="10B42A77" w14:textId="77777777" w:rsidR="000E5CE1" w:rsidRDefault="000E5CE1" w:rsidP="000F625E">
      <w:pPr>
        <w:spacing w:after="0"/>
      </w:pPr>
    </w:p>
    <w:p w14:paraId="3E59B216" w14:textId="17AF5EC6" w:rsidR="008D446F" w:rsidRDefault="002C1F52" w:rsidP="008D446F">
      <w:pPr>
        <w:pStyle w:val="Heading1"/>
      </w:pPr>
      <w:bookmarkStart w:id="5" w:name="_Toc118555179"/>
      <w:bookmarkStart w:id="6" w:name="_Toc118558239"/>
      <w:bookmarkStart w:id="7" w:name="_Toc121830587"/>
      <w:bookmarkStart w:id="8" w:name="_Toc118558337"/>
      <w:r>
        <w:t xml:space="preserve">Table of </w:t>
      </w:r>
      <w:r w:rsidR="00A64B96">
        <w:t>Contents</w:t>
      </w:r>
      <w:bookmarkEnd w:id="5"/>
      <w:bookmarkEnd w:id="6"/>
      <w:bookmarkEnd w:id="7"/>
    </w:p>
    <w:bookmarkEnd w:id="8"/>
    <w:p w14:paraId="1952FAF1" w14:textId="7BD5C850" w:rsidR="00953FA6" w:rsidRDefault="00C57EAF" w:rsidP="00953FA6">
      <w:pPr>
        <w:pStyle w:val="TOC1"/>
        <w:rPr>
          <w:rFonts w:asciiTheme="minorHAnsi" w:eastAsiaTheme="minorEastAsia" w:hAnsiTheme="minorHAnsi" w:cstheme="minorBidi"/>
          <w:noProof/>
          <w:sz w:val="22"/>
          <w:szCs w:val="22"/>
          <w:lang w:eastAsia="en-IE"/>
        </w:rPr>
      </w:pPr>
      <w:r>
        <w:fldChar w:fldCharType="begin"/>
      </w:r>
      <w:r>
        <w:instrText xml:space="preserve"> TOC \o "1-2" \h \z \u </w:instrText>
      </w:r>
      <w:r>
        <w:fldChar w:fldCharType="separate"/>
      </w:r>
      <w:hyperlink w:anchor="_Toc121830586" w:history="1">
        <w:r w:rsidR="00953FA6" w:rsidRPr="00AB7249">
          <w:rPr>
            <w:rStyle w:val="Hyperlink"/>
            <w:noProof/>
          </w:rPr>
          <w:t>Acknowledgements</w:t>
        </w:r>
        <w:r w:rsidR="00953FA6">
          <w:rPr>
            <w:noProof/>
            <w:webHidden/>
          </w:rPr>
          <w:tab/>
        </w:r>
        <w:r w:rsidR="00953FA6">
          <w:rPr>
            <w:noProof/>
            <w:webHidden/>
          </w:rPr>
          <w:fldChar w:fldCharType="begin"/>
        </w:r>
        <w:r w:rsidR="00953FA6">
          <w:rPr>
            <w:noProof/>
            <w:webHidden/>
          </w:rPr>
          <w:instrText xml:space="preserve"> PAGEREF _Toc121830586 \h </w:instrText>
        </w:r>
        <w:r w:rsidR="00953FA6">
          <w:rPr>
            <w:noProof/>
            <w:webHidden/>
          </w:rPr>
        </w:r>
        <w:r w:rsidR="00953FA6">
          <w:rPr>
            <w:noProof/>
            <w:webHidden/>
          </w:rPr>
          <w:fldChar w:fldCharType="separate"/>
        </w:r>
        <w:r w:rsidR="00953FA6">
          <w:rPr>
            <w:noProof/>
            <w:webHidden/>
          </w:rPr>
          <w:t>2</w:t>
        </w:r>
        <w:r w:rsidR="00953FA6">
          <w:rPr>
            <w:noProof/>
            <w:webHidden/>
          </w:rPr>
          <w:fldChar w:fldCharType="end"/>
        </w:r>
      </w:hyperlink>
    </w:p>
    <w:p w14:paraId="1F71B370" w14:textId="67DB3305" w:rsidR="00953FA6" w:rsidRDefault="00907ED5" w:rsidP="0005123A">
      <w:pPr>
        <w:pStyle w:val="TOC1"/>
        <w:rPr>
          <w:rFonts w:asciiTheme="minorHAnsi" w:eastAsiaTheme="minorEastAsia" w:hAnsiTheme="minorHAnsi" w:cstheme="minorBidi"/>
          <w:noProof/>
          <w:sz w:val="22"/>
          <w:szCs w:val="22"/>
          <w:lang w:eastAsia="en-IE"/>
        </w:rPr>
      </w:pPr>
      <w:hyperlink w:anchor="_Toc121830587" w:history="1">
        <w:r w:rsidR="00953FA6" w:rsidRPr="00AB7249">
          <w:rPr>
            <w:rStyle w:val="Hyperlink"/>
            <w:noProof/>
          </w:rPr>
          <w:t>Table of Contents</w:t>
        </w:r>
        <w:r w:rsidR="00953FA6">
          <w:rPr>
            <w:noProof/>
            <w:webHidden/>
          </w:rPr>
          <w:tab/>
        </w:r>
        <w:r w:rsidR="00953FA6">
          <w:rPr>
            <w:noProof/>
            <w:webHidden/>
          </w:rPr>
          <w:fldChar w:fldCharType="begin"/>
        </w:r>
        <w:r w:rsidR="00953FA6">
          <w:rPr>
            <w:noProof/>
            <w:webHidden/>
          </w:rPr>
          <w:instrText xml:space="preserve"> PAGEREF _Toc121830587 \h </w:instrText>
        </w:r>
        <w:r w:rsidR="00953FA6">
          <w:rPr>
            <w:noProof/>
            <w:webHidden/>
          </w:rPr>
        </w:r>
        <w:r w:rsidR="00953FA6">
          <w:rPr>
            <w:noProof/>
            <w:webHidden/>
          </w:rPr>
          <w:fldChar w:fldCharType="separate"/>
        </w:r>
        <w:r w:rsidR="00953FA6">
          <w:rPr>
            <w:noProof/>
            <w:webHidden/>
          </w:rPr>
          <w:t>3</w:t>
        </w:r>
        <w:r w:rsidR="00953FA6">
          <w:rPr>
            <w:noProof/>
            <w:webHidden/>
          </w:rPr>
          <w:fldChar w:fldCharType="end"/>
        </w:r>
      </w:hyperlink>
    </w:p>
    <w:p w14:paraId="67FD98E4" w14:textId="7D23B65B" w:rsidR="00953FA6" w:rsidRDefault="00907ED5" w:rsidP="0005123A">
      <w:pPr>
        <w:pStyle w:val="TOC1"/>
        <w:rPr>
          <w:rFonts w:asciiTheme="minorHAnsi" w:eastAsiaTheme="minorEastAsia" w:hAnsiTheme="minorHAnsi" w:cstheme="minorBidi"/>
          <w:noProof/>
          <w:sz w:val="22"/>
          <w:szCs w:val="22"/>
          <w:lang w:eastAsia="en-IE"/>
        </w:rPr>
      </w:pPr>
      <w:hyperlink w:anchor="_Toc121830588" w:history="1">
        <w:r w:rsidR="00953FA6" w:rsidRPr="00AB7249">
          <w:rPr>
            <w:rStyle w:val="Hyperlink"/>
            <w:noProof/>
          </w:rPr>
          <w:t>List of Tables</w:t>
        </w:r>
        <w:r w:rsidR="00953FA6">
          <w:rPr>
            <w:noProof/>
            <w:webHidden/>
          </w:rPr>
          <w:tab/>
        </w:r>
        <w:r w:rsidR="00953FA6">
          <w:rPr>
            <w:noProof/>
            <w:webHidden/>
          </w:rPr>
          <w:fldChar w:fldCharType="begin"/>
        </w:r>
        <w:r w:rsidR="00953FA6">
          <w:rPr>
            <w:noProof/>
            <w:webHidden/>
          </w:rPr>
          <w:instrText xml:space="preserve"> PAGEREF _Toc121830588 \h </w:instrText>
        </w:r>
        <w:r w:rsidR="00953FA6">
          <w:rPr>
            <w:noProof/>
            <w:webHidden/>
          </w:rPr>
        </w:r>
        <w:r w:rsidR="00953FA6">
          <w:rPr>
            <w:noProof/>
            <w:webHidden/>
          </w:rPr>
          <w:fldChar w:fldCharType="separate"/>
        </w:r>
        <w:r w:rsidR="00953FA6">
          <w:rPr>
            <w:noProof/>
            <w:webHidden/>
          </w:rPr>
          <w:t>5</w:t>
        </w:r>
        <w:r w:rsidR="00953FA6">
          <w:rPr>
            <w:noProof/>
            <w:webHidden/>
          </w:rPr>
          <w:fldChar w:fldCharType="end"/>
        </w:r>
      </w:hyperlink>
    </w:p>
    <w:p w14:paraId="06DF4E6E" w14:textId="75CFF83B" w:rsidR="00953FA6" w:rsidRDefault="00907ED5" w:rsidP="0005123A">
      <w:pPr>
        <w:pStyle w:val="TOC1"/>
        <w:rPr>
          <w:rFonts w:asciiTheme="minorHAnsi" w:eastAsiaTheme="minorEastAsia" w:hAnsiTheme="minorHAnsi" w:cstheme="minorBidi"/>
          <w:noProof/>
          <w:sz w:val="22"/>
          <w:szCs w:val="22"/>
          <w:lang w:eastAsia="en-IE"/>
        </w:rPr>
      </w:pPr>
      <w:hyperlink w:anchor="_Toc121830589" w:history="1">
        <w:r w:rsidR="00953FA6" w:rsidRPr="00AB7249">
          <w:rPr>
            <w:rStyle w:val="Hyperlink"/>
            <w:noProof/>
          </w:rPr>
          <w:t>List of Figures</w:t>
        </w:r>
        <w:r w:rsidR="00953FA6">
          <w:rPr>
            <w:noProof/>
            <w:webHidden/>
          </w:rPr>
          <w:tab/>
        </w:r>
        <w:r w:rsidR="00953FA6">
          <w:rPr>
            <w:noProof/>
            <w:webHidden/>
          </w:rPr>
          <w:fldChar w:fldCharType="begin"/>
        </w:r>
        <w:r w:rsidR="00953FA6">
          <w:rPr>
            <w:noProof/>
            <w:webHidden/>
          </w:rPr>
          <w:instrText xml:space="preserve"> PAGEREF _Toc121830589 \h </w:instrText>
        </w:r>
        <w:r w:rsidR="00953FA6">
          <w:rPr>
            <w:noProof/>
            <w:webHidden/>
          </w:rPr>
        </w:r>
        <w:r w:rsidR="00953FA6">
          <w:rPr>
            <w:noProof/>
            <w:webHidden/>
          </w:rPr>
          <w:fldChar w:fldCharType="separate"/>
        </w:r>
        <w:r w:rsidR="00953FA6">
          <w:rPr>
            <w:noProof/>
            <w:webHidden/>
          </w:rPr>
          <w:t>5</w:t>
        </w:r>
        <w:r w:rsidR="00953FA6">
          <w:rPr>
            <w:noProof/>
            <w:webHidden/>
          </w:rPr>
          <w:fldChar w:fldCharType="end"/>
        </w:r>
      </w:hyperlink>
    </w:p>
    <w:p w14:paraId="3FD07F25" w14:textId="68C53782" w:rsidR="00953FA6" w:rsidRDefault="00907ED5" w:rsidP="0005123A">
      <w:pPr>
        <w:pStyle w:val="TOC1"/>
        <w:rPr>
          <w:rFonts w:asciiTheme="minorHAnsi" w:eastAsiaTheme="minorEastAsia" w:hAnsiTheme="minorHAnsi" w:cstheme="minorBidi"/>
          <w:noProof/>
          <w:sz w:val="22"/>
          <w:szCs w:val="22"/>
          <w:lang w:eastAsia="en-IE"/>
        </w:rPr>
      </w:pPr>
      <w:hyperlink w:anchor="_Toc121830590" w:history="1">
        <w:r w:rsidR="00953FA6" w:rsidRPr="00AB7249">
          <w:rPr>
            <w:rStyle w:val="Hyperlink"/>
            <w:noProof/>
          </w:rPr>
          <w:t>Abbreviations</w:t>
        </w:r>
        <w:r w:rsidR="00953FA6">
          <w:rPr>
            <w:noProof/>
            <w:webHidden/>
          </w:rPr>
          <w:tab/>
        </w:r>
        <w:r w:rsidR="00953FA6">
          <w:rPr>
            <w:noProof/>
            <w:webHidden/>
          </w:rPr>
          <w:fldChar w:fldCharType="begin"/>
        </w:r>
        <w:r w:rsidR="00953FA6">
          <w:rPr>
            <w:noProof/>
            <w:webHidden/>
          </w:rPr>
          <w:instrText xml:space="preserve"> PAGEREF _Toc121830590 \h </w:instrText>
        </w:r>
        <w:r w:rsidR="00953FA6">
          <w:rPr>
            <w:noProof/>
            <w:webHidden/>
          </w:rPr>
        </w:r>
        <w:r w:rsidR="00953FA6">
          <w:rPr>
            <w:noProof/>
            <w:webHidden/>
          </w:rPr>
          <w:fldChar w:fldCharType="separate"/>
        </w:r>
        <w:r w:rsidR="00953FA6">
          <w:rPr>
            <w:noProof/>
            <w:webHidden/>
          </w:rPr>
          <w:t>6</w:t>
        </w:r>
        <w:r w:rsidR="00953FA6">
          <w:rPr>
            <w:noProof/>
            <w:webHidden/>
          </w:rPr>
          <w:fldChar w:fldCharType="end"/>
        </w:r>
      </w:hyperlink>
    </w:p>
    <w:p w14:paraId="3CAA7639" w14:textId="72879A40" w:rsidR="00953FA6" w:rsidRDefault="00907ED5" w:rsidP="0005123A">
      <w:pPr>
        <w:pStyle w:val="TOC1"/>
        <w:rPr>
          <w:rFonts w:asciiTheme="minorHAnsi" w:eastAsiaTheme="minorEastAsia" w:hAnsiTheme="minorHAnsi" w:cstheme="minorBidi"/>
          <w:noProof/>
          <w:sz w:val="22"/>
          <w:szCs w:val="22"/>
          <w:lang w:eastAsia="en-IE"/>
        </w:rPr>
      </w:pPr>
      <w:hyperlink w:anchor="_Toc121830591" w:history="1">
        <w:r w:rsidR="00953FA6" w:rsidRPr="00AB7249">
          <w:rPr>
            <w:rStyle w:val="Hyperlink"/>
            <w:noProof/>
          </w:rPr>
          <w:t>Executive summary</w:t>
        </w:r>
        <w:r w:rsidR="00953FA6">
          <w:rPr>
            <w:noProof/>
            <w:webHidden/>
          </w:rPr>
          <w:tab/>
        </w:r>
        <w:r w:rsidR="00953FA6">
          <w:rPr>
            <w:noProof/>
            <w:webHidden/>
          </w:rPr>
          <w:fldChar w:fldCharType="begin"/>
        </w:r>
        <w:r w:rsidR="00953FA6">
          <w:rPr>
            <w:noProof/>
            <w:webHidden/>
          </w:rPr>
          <w:instrText xml:space="preserve"> PAGEREF _Toc121830591 \h </w:instrText>
        </w:r>
        <w:r w:rsidR="00953FA6">
          <w:rPr>
            <w:noProof/>
            <w:webHidden/>
          </w:rPr>
        </w:r>
        <w:r w:rsidR="00953FA6">
          <w:rPr>
            <w:noProof/>
            <w:webHidden/>
          </w:rPr>
          <w:fldChar w:fldCharType="separate"/>
        </w:r>
        <w:r w:rsidR="00953FA6">
          <w:rPr>
            <w:noProof/>
            <w:webHidden/>
          </w:rPr>
          <w:t>7</w:t>
        </w:r>
        <w:r w:rsidR="00953FA6">
          <w:rPr>
            <w:noProof/>
            <w:webHidden/>
          </w:rPr>
          <w:fldChar w:fldCharType="end"/>
        </w:r>
      </w:hyperlink>
    </w:p>
    <w:p w14:paraId="728642FE" w14:textId="5CD14DA9" w:rsidR="00953FA6" w:rsidRDefault="00907ED5">
      <w:pPr>
        <w:pStyle w:val="TOC2"/>
        <w:rPr>
          <w:rFonts w:asciiTheme="minorHAnsi" w:eastAsiaTheme="minorEastAsia" w:hAnsiTheme="minorHAnsi" w:cstheme="minorBidi"/>
          <w:noProof/>
          <w:sz w:val="22"/>
          <w:szCs w:val="22"/>
          <w:lang w:eastAsia="en-IE"/>
        </w:rPr>
      </w:pPr>
      <w:hyperlink w:anchor="_Toc121830592" w:history="1">
        <w:r w:rsidR="00953FA6" w:rsidRPr="00AB7249">
          <w:rPr>
            <w:rStyle w:val="Hyperlink"/>
            <w:rFonts w:eastAsia="Calibri"/>
            <w:noProof/>
          </w:rPr>
          <w:t>Introduction</w:t>
        </w:r>
        <w:r w:rsidR="00953FA6">
          <w:rPr>
            <w:noProof/>
            <w:webHidden/>
          </w:rPr>
          <w:tab/>
        </w:r>
        <w:r w:rsidR="00953FA6">
          <w:rPr>
            <w:noProof/>
            <w:webHidden/>
          </w:rPr>
          <w:fldChar w:fldCharType="begin"/>
        </w:r>
        <w:r w:rsidR="00953FA6">
          <w:rPr>
            <w:noProof/>
            <w:webHidden/>
          </w:rPr>
          <w:instrText xml:space="preserve"> PAGEREF _Toc121830592 \h </w:instrText>
        </w:r>
        <w:r w:rsidR="00953FA6">
          <w:rPr>
            <w:noProof/>
            <w:webHidden/>
          </w:rPr>
        </w:r>
        <w:r w:rsidR="00953FA6">
          <w:rPr>
            <w:noProof/>
            <w:webHidden/>
          </w:rPr>
          <w:fldChar w:fldCharType="separate"/>
        </w:r>
        <w:r w:rsidR="00953FA6">
          <w:rPr>
            <w:noProof/>
            <w:webHidden/>
          </w:rPr>
          <w:t>7</w:t>
        </w:r>
        <w:r w:rsidR="00953FA6">
          <w:rPr>
            <w:noProof/>
            <w:webHidden/>
          </w:rPr>
          <w:fldChar w:fldCharType="end"/>
        </w:r>
      </w:hyperlink>
    </w:p>
    <w:p w14:paraId="23C505C2" w14:textId="33FA5DE7" w:rsidR="00953FA6" w:rsidRDefault="00907ED5">
      <w:pPr>
        <w:pStyle w:val="TOC2"/>
        <w:rPr>
          <w:rFonts w:asciiTheme="minorHAnsi" w:eastAsiaTheme="minorEastAsia" w:hAnsiTheme="minorHAnsi" w:cstheme="minorBidi"/>
          <w:noProof/>
          <w:sz w:val="22"/>
          <w:szCs w:val="22"/>
          <w:lang w:eastAsia="en-IE"/>
        </w:rPr>
      </w:pPr>
      <w:hyperlink w:anchor="_Toc121830593" w:history="1">
        <w:r w:rsidR="00953FA6" w:rsidRPr="00AB7249">
          <w:rPr>
            <w:rStyle w:val="Hyperlink"/>
            <w:rFonts w:eastAsia="Calibri"/>
            <w:noProof/>
          </w:rPr>
          <w:t>Methods</w:t>
        </w:r>
        <w:r w:rsidR="00953FA6">
          <w:rPr>
            <w:noProof/>
            <w:webHidden/>
          </w:rPr>
          <w:tab/>
        </w:r>
        <w:r w:rsidR="00953FA6">
          <w:rPr>
            <w:noProof/>
            <w:webHidden/>
          </w:rPr>
          <w:fldChar w:fldCharType="begin"/>
        </w:r>
        <w:r w:rsidR="00953FA6">
          <w:rPr>
            <w:noProof/>
            <w:webHidden/>
          </w:rPr>
          <w:instrText xml:space="preserve"> PAGEREF _Toc121830593 \h </w:instrText>
        </w:r>
        <w:r w:rsidR="00953FA6">
          <w:rPr>
            <w:noProof/>
            <w:webHidden/>
          </w:rPr>
        </w:r>
        <w:r w:rsidR="00953FA6">
          <w:rPr>
            <w:noProof/>
            <w:webHidden/>
          </w:rPr>
          <w:fldChar w:fldCharType="separate"/>
        </w:r>
        <w:r w:rsidR="00953FA6">
          <w:rPr>
            <w:noProof/>
            <w:webHidden/>
          </w:rPr>
          <w:t>9</w:t>
        </w:r>
        <w:r w:rsidR="00953FA6">
          <w:rPr>
            <w:noProof/>
            <w:webHidden/>
          </w:rPr>
          <w:fldChar w:fldCharType="end"/>
        </w:r>
      </w:hyperlink>
    </w:p>
    <w:p w14:paraId="587AA423" w14:textId="65CD1391" w:rsidR="00953FA6" w:rsidRDefault="00907ED5">
      <w:pPr>
        <w:pStyle w:val="TOC2"/>
        <w:rPr>
          <w:rFonts w:asciiTheme="minorHAnsi" w:eastAsiaTheme="minorEastAsia" w:hAnsiTheme="minorHAnsi" w:cstheme="minorBidi"/>
          <w:noProof/>
          <w:sz w:val="22"/>
          <w:szCs w:val="22"/>
          <w:lang w:eastAsia="en-IE"/>
        </w:rPr>
      </w:pPr>
      <w:hyperlink w:anchor="_Toc121830594" w:history="1">
        <w:r w:rsidR="00953FA6" w:rsidRPr="00AB7249">
          <w:rPr>
            <w:rStyle w:val="Hyperlink"/>
            <w:rFonts w:eastAsia="Calibri"/>
            <w:noProof/>
          </w:rPr>
          <w:t>Findings</w:t>
        </w:r>
        <w:r w:rsidR="00953FA6">
          <w:rPr>
            <w:noProof/>
            <w:webHidden/>
          </w:rPr>
          <w:tab/>
        </w:r>
        <w:r w:rsidR="00953FA6">
          <w:rPr>
            <w:noProof/>
            <w:webHidden/>
          </w:rPr>
          <w:fldChar w:fldCharType="begin"/>
        </w:r>
        <w:r w:rsidR="00953FA6">
          <w:rPr>
            <w:noProof/>
            <w:webHidden/>
          </w:rPr>
          <w:instrText xml:space="preserve"> PAGEREF _Toc121830594 \h </w:instrText>
        </w:r>
        <w:r w:rsidR="00953FA6">
          <w:rPr>
            <w:noProof/>
            <w:webHidden/>
          </w:rPr>
        </w:r>
        <w:r w:rsidR="00953FA6">
          <w:rPr>
            <w:noProof/>
            <w:webHidden/>
          </w:rPr>
          <w:fldChar w:fldCharType="separate"/>
        </w:r>
        <w:r w:rsidR="00953FA6">
          <w:rPr>
            <w:noProof/>
            <w:webHidden/>
          </w:rPr>
          <w:t>11</w:t>
        </w:r>
        <w:r w:rsidR="00953FA6">
          <w:rPr>
            <w:noProof/>
            <w:webHidden/>
          </w:rPr>
          <w:fldChar w:fldCharType="end"/>
        </w:r>
      </w:hyperlink>
    </w:p>
    <w:p w14:paraId="73F7C98C" w14:textId="0C24EC5A" w:rsidR="00953FA6" w:rsidRDefault="00907ED5">
      <w:pPr>
        <w:pStyle w:val="TOC2"/>
        <w:rPr>
          <w:rFonts w:asciiTheme="minorHAnsi" w:eastAsiaTheme="minorEastAsia" w:hAnsiTheme="minorHAnsi" w:cstheme="minorBidi"/>
          <w:noProof/>
          <w:sz w:val="22"/>
          <w:szCs w:val="22"/>
          <w:lang w:eastAsia="en-IE"/>
        </w:rPr>
      </w:pPr>
      <w:hyperlink w:anchor="_Toc121830595" w:history="1">
        <w:r w:rsidR="00953FA6" w:rsidRPr="00AB7249">
          <w:rPr>
            <w:rStyle w:val="Hyperlink"/>
            <w:rFonts w:eastAsia="Calibri"/>
            <w:noProof/>
          </w:rPr>
          <w:t>Discussion</w:t>
        </w:r>
        <w:r w:rsidR="00953FA6">
          <w:rPr>
            <w:noProof/>
            <w:webHidden/>
          </w:rPr>
          <w:tab/>
        </w:r>
        <w:r w:rsidR="00953FA6">
          <w:rPr>
            <w:noProof/>
            <w:webHidden/>
          </w:rPr>
          <w:fldChar w:fldCharType="begin"/>
        </w:r>
        <w:r w:rsidR="00953FA6">
          <w:rPr>
            <w:noProof/>
            <w:webHidden/>
          </w:rPr>
          <w:instrText xml:space="preserve"> PAGEREF _Toc121830595 \h </w:instrText>
        </w:r>
        <w:r w:rsidR="00953FA6">
          <w:rPr>
            <w:noProof/>
            <w:webHidden/>
          </w:rPr>
        </w:r>
        <w:r w:rsidR="00953FA6">
          <w:rPr>
            <w:noProof/>
            <w:webHidden/>
          </w:rPr>
          <w:fldChar w:fldCharType="separate"/>
        </w:r>
        <w:r w:rsidR="00953FA6">
          <w:rPr>
            <w:noProof/>
            <w:webHidden/>
          </w:rPr>
          <w:t>16</w:t>
        </w:r>
        <w:r w:rsidR="00953FA6">
          <w:rPr>
            <w:noProof/>
            <w:webHidden/>
          </w:rPr>
          <w:fldChar w:fldCharType="end"/>
        </w:r>
      </w:hyperlink>
    </w:p>
    <w:p w14:paraId="03FC0336" w14:textId="2D564685" w:rsidR="00953FA6" w:rsidRDefault="00907ED5">
      <w:pPr>
        <w:pStyle w:val="TOC2"/>
        <w:rPr>
          <w:rFonts w:asciiTheme="minorHAnsi" w:eastAsiaTheme="minorEastAsia" w:hAnsiTheme="minorHAnsi" w:cstheme="minorBidi"/>
          <w:noProof/>
          <w:sz w:val="22"/>
          <w:szCs w:val="22"/>
          <w:lang w:eastAsia="en-IE"/>
        </w:rPr>
      </w:pPr>
      <w:hyperlink w:anchor="_Toc121830596" w:history="1">
        <w:r w:rsidR="00953FA6" w:rsidRPr="00AB7249">
          <w:rPr>
            <w:rStyle w:val="Hyperlink"/>
            <w:noProof/>
          </w:rPr>
          <w:t>Recommendations</w:t>
        </w:r>
        <w:r w:rsidR="00953FA6">
          <w:rPr>
            <w:noProof/>
            <w:webHidden/>
          </w:rPr>
          <w:tab/>
        </w:r>
        <w:r w:rsidR="00953FA6">
          <w:rPr>
            <w:noProof/>
            <w:webHidden/>
          </w:rPr>
          <w:fldChar w:fldCharType="begin"/>
        </w:r>
        <w:r w:rsidR="00953FA6">
          <w:rPr>
            <w:noProof/>
            <w:webHidden/>
          </w:rPr>
          <w:instrText xml:space="preserve"> PAGEREF _Toc121830596 \h </w:instrText>
        </w:r>
        <w:r w:rsidR="00953FA6">
          <w:rPr>
            <w:noProof/>
            <w:webHidden/>
          </w:rPr>
        </w:r>
        <w:r w:rsidR="00953FA6">
          <w:rPr>
            <w:noProof/>
            <w:webHidden/>
          </w:rPr>
          <w:fldChar w:fldCharType="separate"/>
        </w:r>
        <w:r w:rsidR="00953FA6">
          <w:rPr>
            <w:noProof/>
            <w:webHidden/>
          </w:rPr>
          <w:t>20</w:t>
        </w:r>
        <w:r w:rsidR="00953FA6">
          <w:rPr>
            <w:noProof/>
            <w:webHidden/>
          </w:rPr>
          <w:fldChar w:fldCharType="end"/>
        </w:r>
      </w:hyperlink>
    </w:p>
    <w:p w14:paraId="7613F220" w14:textId="4460C0B3" w:rsidR="00953FA6" w:rsidRDefault="00907ED5" w:rsidP="00953FA6">
      <w:pPr>
        <w:pStyle w:val="TOC1"/>
        <w:rPr>
          <w:rFonts w:asciiTheme="minorHAnsi" w:eastAsiaTheme="minorEastAsia" w:hAnsiTheme="minorHAnsi" w:cstheme="minorBidi"/>
          <w:noProof/>
          <w:sz w:val="22"/>
          <w:szCs w:val="22"/>
          <w:lang w:eastAsia="en-IE"/>
        </w:rPr>
      </w:pPr>
      <w:hyperlink w:anchor="_Toc121830597" w:history="1">
        <w:r w:rsidR="00953FA6" w:rsidRPr="00AB7249">
          <w:rPr>
            <w:rStyle w:val="Hyperlink"/>
            <w:noProof/>
          </w:rPr>
          <w:t>Introduction</w:t>
        </w:r>
        <w:r w:rsidR="00953FA6">
          <w:rPr>
            <w:noProof/>
            <w:webHidden/>
          </w:rPr>
          <w:tab/>
        </w:r>
        <w:r w:rsidR="00953FA6">
          <w:rPr>
            <w:noProof/>
            <w:webHidden/>
          </w:rPr>
          <w:fldChar w:fldCharType="begin"/>
        </w:r>
        <w:r w:rsidR="00953FA6">
          <w:rPr>
            <w:noProof/>
            <w:webHidden/>
          </w:rPr>
          <w:instrText xml:space="preserve"> PAGEREF _Toc121830597 \h </w:instrText>
        </w:r>
        <w:r w:rsidR="00953FA6">
          <w:rPr>
            <w:noProof/>
            <w:webHidden/>
          </w:rPr>
        </w:r>
        <w:r w:rsidR="00953FA6">
          <w:rPr>
            <w:noProof/>
            <w:webHidden/>
          </w:rPr>
          <w:fldChar w:fldCharType="separate"/>
        </w:r>
        <w:r w:rsidR="00953FA6">
          <w:rPr>
            <w:noProof/>
            <w:webHidden/>
          </w:rPr>
          <w:t>26</w:t>
        </w:r>
        <w:r w:rsidR="00953FA6">
          <w:rPr>
            <w:noProof/>
            <w:webHidden/>
          </w:rPr>
          <w:fldChar w:fldCharType="end"/>
        </w:r>
      </w:hyperlink>
    </w:p>
    <w:p w14:paraId="763CA8B6" w14:textId="5E6D583D" w:rsidR="00953FA6" w:rsidRDefault="00907ED5">
      <w:pPr>
        <w:pStyle w:val="TOC2"/>
        <w:rPr>
          <w:rFonts w:asciiTheme="minorHAnsi" w:eastAsiaTheme="minorEastAsia" w:hAnsiTheme="minorHAnsi" w:cstheme="minorBidi"/>
          <w:noProof/>
          <w:sz w:val="22"/>
          <w:szCs w:val="22"/>
          <w:lang w:eastAsia="en-IE"/>
        </w:rPr>
      </w:pPr>
      <w:hyperlink w:anchor="_Toc121830598" w:history="1">
        <w:r w:rsidR="00953FA6" w:rsidRPr="00AB7249">
          <w:rPr>
            <w:rStyle w:val="Hyperlink"/>
            <w:noProof/>
          </w:rPr>
          <w:t>Project aims</w:t>
        </w:r>
        <w:r w:rsidR="00953FA6">
          <w:rPr>
            <w:noProof/>
            <w:webHidden/>
          </w:rPr>
          <w:tab/>
        </w:r>
        <w:r w:rsidR="00953FA6">
          <w:rPr>
            <w:noProof/>
            <w:webHidden/>
          </w:rPr>
          <w:fldChar w:fldCharType="begin"/>
        </w:r>
        <w:r w:rsidR="00953FA6">
          <w:rPr>
            <w:noProof/>
            <w:webHidden/>
          </w:rPr>
          <w:instrText xml:space="preserve"> PAGEREF _Toc121830598 \h </w:instrText>
        </w:r>
        <w:r w:rsidR="00953FA6">
          <w:rPr>
            <w:noProof/>
            <w:webHidden/>
          </w:rPr>
        </w:r>
        <w:r w:rsidR="00953FA6">
          <w:rPr>
            <w:noProof/>
            <w:webHidden/>
          </w:rPr>
          <w:fldChar w:fldCharType="separate"/>
        </w:r>
        <w:r w:rsidR="00953FA6">
          <w:rPr>
            <w:noProof/>
            <w:webHidden/>
          </w:rPr>
          <w:t>26</w:t>
        </w:r>
        <w:r w:rsidR="00953FA6">
          <w:rPr>
            <w:noProof/>
            <w:webHidden/>
          </w:rPr>
          <w:fldChar w:fldCharType="end"/>
        </w:r>
      </w:hyperlink>
    </w:p>
    <w:p w14:paraId="10214E53" w14:textId="1F317526" w:rsidR="00953FA6" w:rsidRDefault="00907ED5">
      <w:pPr>
        <w:pStyle w:val="TOC2"/>
        <w:rPr>
          <w:rFonts w:asciiTheme="minorHAnsi" w:eastAsiaTheme="minorEastAsia" w:hAnsiTheme="minorHAnsi" w:cstheme="minorBidi"/>
          <w:noProof/>
          <w:sz w:val="22"/>
          <w:szCs w:val="22"/>
          <w:lang w:eastAsia="en-IE"/>
        </w:rPr>
      </w:pPr>
      <w:hyperlink w:anchor="_Toc121830599" w:history="1">
        <w:r w:rsidR="00953FA6" w:rsidRPr="00AB7249">
          <w:rPr>
            <w:rStyle w:val="Hyperlink"/>
            <w:noProof/>
          </w:rPr>
          <w:t>Objectives</w:t>
        </w:r>
        <w:r w:rsidR="00953FA6">
          <w:rPr>
            <w:noProof/>
            <w:webHidden/>
          </w:rPr>
          <w:tab/>
        </w:r>
        <w:r w:rsidR="00953FA6">
          <w:rPr>
            <w:noProof/>
            <w:webHidden/>
          </w:rPr>
          <w:fldChar w:fldCharType="begin"/>
        </w:r>
        <w:r w:rsidR="00953FA6">
          <w:rPr>
            <w:noProof/>
            <w:webHidden/>
          </w:rPr>
          <w:instrText xml:space="preserve"> PAGEREF _Toc121830599 \h </w:instrText>
        </w:r>
        <w:r w:rsidR="00953FA6">
          <w:rPr>
            <w:noProof/>
            <w:webHidden/>
          </w:rPr>
        </w:r>
        <w:r w:rsidR="00953FA6">
          <w:rPr>
            <w:noProof/>
            <w:webHidden/>
          </w:rPr>
          <w:fldChar w:fldCharType="separate"/>
        </w:r>
        <w:r w:rsidR="00953FA6">
          <w:rPr>
            <w:noProof/>
            <w:webHidden/>
          </w:rPr>
          <w:t>26</w:t>
        </w:r>
        <w:r w:rsidR="00953FA6">
          <w:rPr>
            <w:noProof/>
            <w:webHidden/>
          </w:rPr>
          <w:fldChar w:fldCharType="end"/>
        </w:r>
      </w:hyperlink>
    </w:p>
    <w:p w14:paraId="68C67189" w14:textId="621C69B3" w:rsidR="00953FA6" w:rsidRDefault="00907ED5">
      <w:pPr>
        <w:pStyle w:val="TOC2"/>
        <w:rPr>
          <w:rFonts w:asciiTheme="minorHAnsi" w:eastAsiaTheme="minorEastAsia" w:hAnsiTheme="minorHAnsi" w:cstheme="minorBidi"/>
          <w:noProof/>
          <w:sz w:val="22"/>
          <w:szCs w:val="22"/>
          <w:lang w:eastAsia="en-IE"/>
        </w:rPr>
      </w:pPr>
      <w:hyperlink w:anchor="_Toc121830600" w:history="1">
        <w:r w:rsidR="00953FA6" w:rsidRPr="00AB7249">
          <w:rPr>
            <w:rStyle w:val="Hyperlink"/>
            <w:noProof/>
          </w:rPr>
          <w:t>Background</w:t>
        </w:r>
        <w:r w:rsidR="00953FA6">
          <w:rPr>
            <w:noProof/>
            <w:webHidden/>
          </w:rPr>
          <w:tab/>
        </w:r>
        <w:r w:rsidR="00953FA6">
          <w:rPr>
            <w:noProof/>
            <w:webHidden/>
          </w:rPr>
          <w:fldChar w:fldCharType="begin"/>
        </w:r>
        <w:r w:rsidR="00953FA6">
          <w:rPr>
            <w:noProof/>
            <w:webHidden/>
          </w:rPr>
          <w:instrText xml:space="preserve"> PAGEREF _Toc121830600 \h </w:instrText>
        </w:r>
        <w:r w:rsidR="00953FA6">
          <w:rPr>
            <w:noProof/>
            <w:webHidden/>
          </w:rPr>
        </w:r>
        <w:r w:rsidR="00953FA6">
          <w:rPr>
            <w:noProof/>
            <w:webHidden/>
          </w:rPr>
          <w:fldChar w:fldCharType="separate"/>
        </w:r>
        <w:r w:rsidR="00953FA6">
          <w:rPr>
            <w:noProof/>
            <w:webHidden/>
          </w:rPr>
          <w:t>26</w:t>
        </w:r>
        <w:r w:rsidR="00953FA6">
          <w:rPr>
            <w:noProof/>
            <w:webHidden/>
          </w:rPr>
          <w:fldChar w:fldCharType="end"/>
        </w:r>
      </w:hyperlink>
    </w:p>
    <w:p w14:paraId="1FFE7521" w14:textId="37D8AE98" w:rsidR="00953FA6" w:rsidRDefault="00907ED5" w:rsidP="00953FA6">
      <w:pPr>
        <w:pStyle w:val="TOC1"/>
        <w:rPr>
          <w:rFonts w:asciiTheme="minorHAnsi" w:eastAsiaTheme="minorEastAsia" w:hAnsiTheme="minorHAnsi" w:cstheme="minorBidi"/>
          <w:noProof/>
          <w:sz w:val="22"/>
          <w:szCs w:val="22"/>
          <w:lang w:eastAsia="en-IE"/>
        </w:rPr>
      </w:pPr>
      <w:hyperlink w:anchor="_Toc121830601" w:history="1">
        <w:r w:rsidR="00953FA6" w:rsidRPr="00AB7249">
          <w:rPr>
            <w:rStyle w:val="Hyperlink"/>
            <w:noProof/>
          </w:rPr>
          <w:t>Chapter 1: Current State of Evidence</w:t>
        </w:r>
        <w:r w:rsidR="00953FA6">
          <w:rPr>
            <w:noProof/>
            <w:webHidden/>
          </w:rPr>
          <w:tab/>
        </w:r>
        <w:r w:rsidR="00953FA6">
          <w:rPr>
            <w:noProof/>
            <w:webHidden/>
          </w:rPr>
          <w:fldChar w:fldCharType="begin"/>
        </w:r>
        <w:r w:rsidR="00953FA6">
          <w:rPr>
            <w:noProof/>
            <w:webHidden/>
          </w:rPr>
          <w:instrText xml:space="preserve"> PAGEREF _Toc121830601 \h </w:instrText>
        </w:r>
        <w:r w:rsidR="00953FA6">
          <w:rPr>
            <w:noProof/>
            <w:webHidden/>
          </w:rPr>
        </w:r>
        <w:r w:rsidR="00953FA6">
          <w:rPr>
            <w:noProof/>
            <w:webHidden/>
          </w:rPr>
          <w:fldChar w:fldCharType="separate"/>
        </w:r>
        <w:r w:rsidR="00953FA6">
          <w:rPr>
            <w:noProof/>
            <w:webHidden/>
          </w:rPr>
          <w:t>28</w:t>
        </w:r>
        <w:r w:rsidR="00953FA6">
          <w:rPr>
            <w:noProof/>
            <w:webHidden/>
          </w:rPr>
          <w:fldChar w:fldCharType="end"/>
        </w:r>
      </w:hyperlink>
    </w:p>
    <w:p w14:paraId="7FE03D17" w14:textId="5E657282" w:rsidR="00953FA6" w:rsidRDefault="00907ED5">
      <w:pPr>
        <w:pStyle w:val="TOC2"/>
        <w:rPr>
          <w:rFonts w:asciiTheme="minorHAnsi" w:eastAsiaTheme="minorEastAsia" w:hAnsiTheme="minorHAnsi" w:cstheme="minorBidi"/>
          <w:noProof/>
          <w:sz w:val="22"/>
          <w:szCs w:val="22"/>
          <w:lang w:eastAsia="en-IE"/>
        </w:rPr>
      </w:pPr>
      <w:hyperlink w:anchor="_Toc121830602" w:history="1">
        <w:r w:rsidR="00953FA6" w:rsidRPr="00AB7249">
          <w:rPr>
            <w:rStyle w:val="Hyperlink"/>
            <w:noProof/>
          </w:rPr>
          <w:t>Models of care</w:t>
        </w:r>
        <w:r w:rsidR="00953FA6">
          <w:rPr>
            <w:noProof/>
            <w:webHidden/>
          </w:rPr>
          <w:tab/>
        </w:r>
        <w:r w:rsidR="00953FA6">
          <w:rPr>
            <w:noProof/>
            <w:webHidden/>
          </w:rPr>
          <w:fldChar w:fldCharType="begin"/>
        </w:r>
        <w:r w:rsidR="00953FA6">
          <w:rPr>
            <w:noProof/>
            <w:webHidden/>
          </w:rPr>
          <w:instrText xml:space="preserve"> PAGEREF _Toc121830602 \h </w:instrText>
        </w:r>
        <w:r w:rsidR="00953FA6">
          <w:rPr>
            <w:noProof/>
            <w:webHidden/>
          </w:rPr>
        </w:r>
        <w:r w:rsidR="00953FA6">
          <w:rPr>
            <w:noProof/>
            <w:webHidden/>
          </w:rPr>
          <w:fldChar w:fldCharType="separate"/>
        </w:r>
        <w:r w:rsidR="00953FA6">
          <w:rPr>
            <w:noProof/>
            <w:webHidden/>
          </w:rPr>
          <w:t>28</w:t>
        </w:r>
        <w:r w:rsidR="00953FA6">
          <w:rPr>
            <w:noProof/>
            <w:webHidden/>
          </w:rPr>
          <w:fldChar w:fldCharType="end"/>
        </w:r>
      </w:hyperlink>
    </w:p>
    <w:p w14:paraId="58948DD8" w14:textId="078FA0A3" w:rsidR="00953FA6" w:rsidRDefault="00907ED5">
      <w:pPr>
        <w:pStyle w:val="TOC2"/>
        <w:rPr>
          <w:rFonts w:asciiTheme="minorHAnsi" w:eastAsiaTheme="minorEastAsia" w:hAnsiTheme="minorHAnsi" w:cstheme="minorBidi"/>
          <w:noProof/>
          <w:sz w:val="22"/>
          <w:szCs w:val="22"/>
          <w:lang w:eastAsia="en-IE"/>
        </w:rPr>
      </w:pPr>
      <w:hyperlink w:anchor="_Toc121830603" w:history="1">
        <w:r w:rsidR="00953FA6" w:rsidRPr="00AB7249">
          <w:rPr>
            <w:rStyle w:val="Hyperlink"/>
            <w:noProof/>
          </w:rPr>
          <w:t>Complex age-related issues</w:t>
        </w:r>
        <w:r w:rsidR="00953FA6">
          <w:rPr>
            <w:noProof/>
            <w:webHidden/>
          </w:rPr>
          <w:tab/>
        </w:r>
        <w:r w:rsidR="00953FA6">
          <w:rPr>
            <w:noProof/>
            <w:webHidden/>
          </w:rPr>
          <w:fldChar w:fldCharType="begin"/>
        </w:r>
        <w:r w:rsidR="00953FA6">
          <w:rPr>
            <w:noProof/>
            <w:webHidden/>
          </w:rPr>
          <w:instrText xml:space="preserve"> PAGEREF _Toc121830603 \h </w:instrText>
        </w:r>
        <w:r w:rsidR="00953FA6">
          <w:rPr>
            <w:noProof/>
            <w:webHidden/>
          </w:rPr>
        </w:r>
        <w:r w:rsidR="00953FA6">
          <w:rPr>
            <w:noProof/>
            <w:webHidden/>
          </w:rPr>
          <w:fldChar w:fldCharType="separate"/>
        </w:r>
        <w:r w:rsidR="00953FA6">
          <w:rPr>
            <w:noProof/>
            <w:webHidden/>
          </w:rPr>
          <w:t>40</w:t>
        </w:r>
        <w:r w:rsidR="00953FA6">
          <w:rPr>
            <w:noProof/>
            <w:webHidden/>
          </w:rPr>
          <w:fldChar w:fldCharType="end"/>
        </w:r>
      </w:hyperlink>
    </w:p>
    <w:p w14:paraId="56128649" w14:textId="2D190AB4" w:rsidR="00953FA6" w:rsidRDefault="00907ED5">
      <w:pPr>
        <w:pStyle w:val="TOC2"/>
        <w:rPr>
          <w:rFonts w:asciiTheme="minorHAnsi" w:eastAsiaTheme="minorEastAsia" w:hAnsiTheme="minorHAnsi" w:cstheme="minorBidi"/>
          <w:noProof/>
          <w:sz w:val="22"/>
          <w:szCs w:val="22"/>
          <w:lang w:eastAsia="en-IE"/>
        </w:rPr>
      </w:pPr>
      <w:hyperlink w:anchor="_Toc121830604" w:history="1">
        <w:r w:rsidR="00953FA6" w:rsidRPr="00AB7249">
          <w:rPr>
            <w:rStyle w:val="Hyperlink"/>
            <w:noProof/>
          </w:rPr>
          <w:t>Measuring outcomes of service</w:t>
        </w:r>
        <w:r w:rsidR="00953FA6">
          <w:rPr>
            <w:noProof/>
            <w:webHidden/>
          </w:rPr>
          <w:tab/>
        </w:r>
        <w:r w:rsidR="00953FA6">
          <w:rPr>
            <w:noProof/>
            <w:webHidden/>
          </w:rPr>
          <w:fldChar w:fldCharType="begin"/>
        </w:r>
        <w:r w:rsidR="00953FA6">
          <w:rPr>
            <w:noProof/>
            <w:webHidden/>
          </w:rPr>
          <w:instrText xml:space="preserve"> PAGEREF _Toc121830604 \h </w:instrText>
        </w:r>
        <w:r w:rsidR="00953FA6">
          <w:rPr>
            <w:noProof/>
            <w:webHidden/>
          </w:rPr>
        </w:r>
        <w:r w:rsidR="00953FA6">
          <w:rPr>
            <w:noProof/>
            <w:webHidden/>
          </w:rPr>
          <w:fldChar w:fldCharType="separate"/>
        </w:r>
        <w:r w:rsidR="00953FA6">
          <w:rPr>
            <w:noProof/>
            <w:webHidden/>
          </w:rPr>
          <w:t>51</w:t>
        </w:r>
        <w:r w:rsidR="00953FA6">
          <w:rPr>
            <w:noProof/>
            <w:webHidden/>
          </w:rPr>
          <w:fldChar w:fldCharType="end"/>
        </w:r>
      </w:hyperlink>
    </w:p>
    <w:p w14:paraId="1FB6912A" w14:textId="7925EF6E" w:rsidR="00953FA6" w:rsidRDefault="00907ED5">
      <w:pPr>
        <w:pStyle w:val="TOC2"/>
        <w:rPr>
          <w:rFonts w:asciiTheme="minorHAnsi" w:eastAsiaTheme="minorEastAsia" w:hAnsiTheme="minorHAnsi" w:cstheme="minorBidi"/>
          <w:noProof/>
          <w:sz w:val="22"/>
          <w:szCs w:val="22"/>
          <w:lang w:eastAsia="en-IE"/>
        </w:rPr>
      </w:pPr>
      <w:hyperlink w:anchor="_Toc121830605" w:history="1">
        <w:r w:rsidR="00953FA6" w:rsidRPr="00AB7249">
          <w:rPr>
            <w:rStyle w:val="Hyperlink"/>
            <w:noProof/>
          </w:rPr>
          <w:t>Challenges to service provision</w:t>
        </w:r>
        <w:r w:rsidR="00953FA6">
          <w:rPr>
            <w:noProof/>
            <w:webHidden/>
          </w:rPr>
          <w:tab/>
        </w:r>
        <w:r w:rsidR="00953FA6">
          <w:rPr>
            <w:noProof/>
            <w:webHidden/>
          </w:rPr>
          <w:fldChar w:fldCharType="begin"/>
        </w:r>
        <w:r w:rsidR="00953FA6">
          <w:rPr>
            <w:noProof/>
            <w:webHidden/>
          </w:rPr>
          <w:instrText xml:space="preserve"> PAGEREF _Toc121830605 \h </w:instrText>
        </w:r>
        <w:r w:rsidR="00953FA6">
          <w:rPr>
            <w:noProof/>
            <w:webHidden/>
          </w:rPr>
        </w:r>
        <w:r w:rsidR="00953FA6">
          <w:rPr>
            <w:noProof/>
            <w:webHidden/>
          </w:rPr>
          <w:fldChar w:fldCharType="separate"/>
        </w:r>
        <w:r w:rsidR="00953FA6">
          <w:rPr>
            <w:noProof/>
            <w:webHidden/>
          </w:rPr>
          <w:t>56</w:t>
        </w:r>
        <w:r w:rsidR="00953FA6">
          <w:rPr>
            <w:noProof/>
            <w:webHidden/>
          </w:rPr>
          <w:fldChar w:fldCharType="end"/>
        </w:r>
      </w:hyperlink>
    </w:p>
    <w:p w14:paraId="39EBA84A" w14:textId="2C05A30F" w:rsidR="00953FA6" w:rsidRDefault="00907ED5">
      <w:pPr>
        <w:pStyle w:val="TOC2"/>
        <w:rPr>
          <w:rFonts w:asciiTheme="minorHAnsi" w:eastAsiaTheme="minorEastAsia" w:hAnsiTheme="minorHAnsi" w:cstheme="minorBidi"/>
          <w:noProof/>
          <w:sz w:val="22"/>
          <w:szCs w:val="22"/>
          <w:lang w:eastAsia="en-IE"/>
        </w:rPr>
      </w:pPr>
      <w:hyperlink w:anchor="_Toc121830606" w:history="1">
        <w:r w:rsidR="00953FA6" w:rsidRPr="00AB7249">
          <w:rPr>
            <w:rStyle w:val="Hyperlink"/>
            <w:noProof/>
          </w:rPr>
          <w:t>Conclusion</w:t>
        </w:r>
        <w:r w:rsidR="00953FA6">
          <w:rPr>
            <w:noProof/>
            <w:webHidden/>
          </w:rPr>
          <w:tab/>
        </w:r>
        <w:r w:rsidR="00953FA6">
          <w:rPr>
            <w:noProof/>
            <w:webHidden/>
          </w:rPr>
          <w:fldChar w:fldCharType="begin"/>
        </w:r>
        <w:r w:rsidR="00953FA6">
          <w:rPr>
            <w:noProof/>
            <w:webHidden/>
          </w:rPr>
          <w:instrText xml:space="preserve"> PAGEREF _Toc121830606 \h </w:instrText>
        </w:r>
        <w:r w:rsidR="00953FA6">
          <w:rPr>
            <w:noProof/>
            <w:webHidden/>
          </w:rPr>
        </w:r>
        <w:r w:rsidR="00953FA6">
          <w:rPr>
            <w:noProof/>
            <w:webHidden/>
          </w:rPr>
          <w:fldChar w:fldCharType="separate"/>
        </w:r>
        <w:r w:rsidR="00953FA6">
          <w:rPr>
            <w:noProof/>
            <w:webHidden/>
          </w:rPr>
          <w:t>60</w:t>
        </w:r>
        <w:r w:rsidR="00953FA6">
          <w:rPr>
            <w:noProof/>
            <w:webHidden/>
          </w:rPr>
          <w:fldChar w:fldCharType="end"/>
        </w:r>
      </w:hyperlink>
    </w:p>
    <w:p w14:paraId="20A3E2EC" w14:textId="7C72F0ED" w:rsidR="00953FA6" w:rsidRDefault="00907ED5" w:rsidP="00953FA6">
      <w:pPr>
        <w:pStyle w:val="TOC1"/>
        <w:rPr>
          <w:rFonts w:asciiTheme="minorHAnsi" w:eastAsiaTheme="minorEastAsia" w:hAnsiTheme="minorHAnsi" w:cstheme="minorBidi"/>
          <w:noProof/>
          <w:sz w:val="22"/>
          <w:szCs w:val="22"/>
          <w:lang w:eastAsia="en-IE"/>
        </w:rPr>
      </w:pPr>
      <w:hyperlink w:anchor="_Toc121830607" w:history="1">
        <w:r w:rsidR="00953FA6" w:rsidRPr="00AB7249">
          <w:rPr>
            <w:rStyle w:val="Hyperlink"/>
            <w:noProof/>
          </w:rPr>
          <w:t>Chapter 2: Overview of Fieldwork</w:t>
        </w:r>
        <w:r w:rsidR="00953FA6">
          <w:rPr>
            <w:noProof/>
            <w:webHidden/>
          </w:rPr>
          <w:tab/>
        </w:r>
        <w:r w:rsidR="00953FA6">
          <w:rPr>
            <w:noProof/>
            <w:webHidden/>
          </w:rPr>
          <w:fldChar w:fldCharType="begin"/>
        </w:r>
        <w:r w:rsidR="00953FA6">
          <w:rPr>
            <w:noProof/>
            <w:webHidden/>
          </w:rPr>
          <w:instrText xml:space="preserve"> PAGEREF _Toc121830607 \h </w:instrText>
        </w:r>
        <w:r w:rsidR="00953FA6">
          <w:rPr>
            <w:noProof/>
            <w:webHidden/>
          </w:rPr>
        </w:r>
        <w:r w:rsidR="00953FA6">
          <w:rPr>
            <w:noProof/>
            <w:webHidden/>
          </w:rPr>
          <w:fldChar w:fldCharType="separate"/>
        </w:r>
        <w:r w:rsidR="00953FA6">
          <w:rPr>
            <w:noProof/>
            <w:webHidden/>
          </w:rPr>
          <w:t>62</w:t>
        </w:r>
        <w:r w:rsidR="00953FA6">
          <w:rPr>
            <w:noProof/>
            <w:webHidden/>
          </w:rPr>
          <w:fldChar w:fldCharType="end"/>
        </w:r>
      </w:hyperlink>
    </w:p>
    <w:p w14:paraId="4A452883" w14:textId="48E5DAE2" w:rsidR="00953FA6" w:rsidRDefault="00907ED5">
      <w:pPr>
        <w:pStyle w:val="TOC2"/>
        <w:rPr>
          <w:rFonts w:asciiTheme="minorHAnsi" w:eastAsiaTheme="minorEastAsia" w:hAnsiTheme="minorHAnsi" w:cstheme="minorBidi"/>
          <w:noProof/>
          <w:sz w:val="22"/>
          <w:szCs w:val="22"/>
          <w:lang w:eastAsia="en-IE"/>
        </w:rPr>
      </w:pPr>
      <w:hyperlink w:anchor="_Toc121830608" w:history="1">
        <w:r w:rsidR="00953FA6" w:rsidRPr="00AB7249">
          <w:rPr>
            <w:rStyle w:val="Hyperlink"/>
            <w:noProof/>
          </w:rPr>
          <w:t>Introduction</w:t>
        </w:r>
        <w:r w:rsidR="00953FA6">
          <w:rPr>
            <w:noProof/>
            <w:webHidden/>
          </w:rPr>
          <w:tab/>
        </w:r>
        <w:r w:rsidR="00953FA6">
          <w:rPr>
            <w:noProof/>
            <w:webHidden/>
          </w:rPr>
          <w:fldChar w:fldCharType="begin"/>
        </w:r>
        <w:r w:rsidR="00953FA6">
          <w:rPr>
            <w:noProof/>
            <w:webHidden/>
          </w:rPr>
          <w:instrText xml:space="preserve"> PAGEREF _Toc121830608 \h </w:instrText>
        </w:r>
        <w:r w:rsidR="00953FA6">
          <w:rPr>
            <w:noProof/>
            <w:webHidden/>
          </w:rPr>
        </w:r>
        <w:r w:rsidR="00953FA6">
          <w:rPr>
            <w:noProof/>
            <w:webHidden/>
          </w:rPr>
          <w:fldChar w:fldCharType="separate"/>
        </w:r>
        <w:r w:rsidR="00953FA6">
          <w:rPr>
            <w:noProof/>
            <w:webHidden/>
          </w:rPr>
          <w:t>62</w:t>
        </w:r>
        <w:r w:rsidR="00953FA6">
          <w:rPr>
            <w:noProof/>
            <w:webHidden/>
          </w:rPr>
          <w:fldChar w:fldCharType="end"/>
        </w:r>
      </w:hyperlink>
    </w:p>
    <w:p w14:paraId="5A300CF2" w14:textId="1648F284" w:rsidR="00953FA6" w:rsidRDefault="00907ED5">
      <w:pPr>
        <w:pStyle w:val="TOC2"/>
        <w:rPr>
          <w:rFonts w:asciiTheme="minorHAnsi" w:eastAsiaTheme="minorEastAsia" w:hAnsiTheme="minorHAnsi" w:cstheme="minorBidi"/>
          <w:noProof/>
          <w:sz w:val="22"/>
          <w:szCs w:val="22"/>
          <w:lang w:eastAsia="en-IE"/>
        </w:rPr>
      </w:pPr>
      <w:hyperlink w:anchor="_Toc121830609" w:history="1">
        <w:r w:rsidR="00953FA6" w:rsidRPr="00AB7249">
          <w:rPr>
            <w:rStyle w:val="Hyperlink"/>
            <w:noProof/>
          </w:rPr>
          <w:t>Study aim and objectives</w:t>
        </w:r>
        <w:r w:rsidR="00953FA6">
          <w:rPr>
            <w:noProof/>
            <w:webHidden/>
          </w:rPr>
          <w:tab/>
        </w:r>
        <w:r w:rsidR="00953FA6">
          <w:rPr>
            <w:noProof/>
            <w:webHidden/>
          </w:rPr>
          <w:fldChar w:fldCharType="begin"/>
        </w:r>
        <w:r w:rsidR="00953FA6">
          <w:rPr>
            <w:noProof/>
            <w:webHidden/>
          </w:rPr>
          <w:instrText xml:space="preserve"> PAGEREF _Toc121830609 \h </w:instrText>
        </w:r>
        <w:r w:rsidR="00953FA6">
          <w:rPr>
            <w:noProof/>
            <w:webHidden/>
          </w:rPr>
        </w:r>
        <w:r w:rsidR="00953FA6">
          <w:rPr>
            <w:noProof/>
            <w:webHidden/>
          </w:rPr>
          <w:fldChar w:fldCharType="separate"/>
        </w:r>
        <w:r w:rsidR="00953FA6">
          <w:rPr>
            <w:noProof/>
            <w:webHidden/>
          </w:rPr>
          <w:t>62</w:t>
        </w:r>
        <w:r w:rsidR="00953FA6">
          <w:rPr>
            <w:noProof/>
            <w:webHidden/>
          </w:rPr>
          <w:fldChar w:fldCharType="end"/>
        </w:r>
      </w:hyperlink>
    </w:p>
    <w:p w14:paraId="006D7436" w14:textId="5E43E95F" w:rsidR="00953FA6" w:rsidRDefault="00907ED5">
      <w:pPr>
        <w:pStyle w:val="TOC2"/>
        <w:rPr>
          <w:rFonts w:asciiTheme="minorHAnsi" w:eastAsiaTheme="minorEastAsia" w:hAnsiTheme="minorHAnsi" w:cstheme="minorBidi"/>
          <w:noProof/>
          <w:sz w:val="22"/>
          <w:szCs w:val="22"/>
          <w:lang w:eastAsia="en-IE"/>
        </w:rPr>
      </w:pPr>
      <w:hyperlink w:anchor="_Toc121830610" w:history="1">
        <w:r w:rsidR="00953FA6" w:rsidRPr="00AB7249">
          <w:rPr>
            <w:rStyle w:val="Hyperlink"/>
            <w:noProof/>
          </w:rPr>
          <w:t>Research design</w:t>
        </w:r>
        <w:r w:rsidR="00953FA6">
          <w:rPr>
            <w:noProof/>
            <w:webHidden/>
          </w:rPr>
          <w:tab/>
        </w:r>
        <w:r w:rsidR="00953FA6">
          <w:rPr>
            <w:noProof/>
            <w:webHidden/>
          </w:rPr>
          <w:fldChar w:fldCharType="begin"/>
        </w:r>
        <w:r w:rsidR="00953FA6">
          <w:rPr>
            <w:noProof/>
            <w:webHidden/>
          </w:rPr>
          <w:instrText xml:space="preserve"> PAGEREF _Toc121830610 \h </w:instrText>
        </w:r>
        <w:r w:rsidR="00953FA6">
          <w:rPr>
            <w:noProof/>
            <w:webHidden/>
          </w:rPr>
        </w:r>
        <w:r w:rsidR="00953FA6">
          <w:rPr>
            <w:noProof/>
            <w:webHidden/>
          </w:rPr>
          <w:fldChar w:fldCharType="separate"/>
        </w:r>
        <w:r w:rsidR="00953FA6">
          <w:rPr>
            <w:noProof/>
            <w:webHidden/>
          </w:rPr>
          <w:t>62</w:t>
        </w:r>
        <w:r w:rsidR="00953FA6">
          <w:rPr>
            <w:noProof/>
            <w:webHidden/>
          </w:rPr>
          <w:fldChar w:fldCharType="end"/>
        </w:r>
      </w:hyperlink>
    </w:p>
    <w:p w14:paraId="020FFC5C" w14:textId="4170DCE9" w:rsidR="00953FA6" w:rsidRDefault="00907ED5">
      <w:pPr>
        <w:pStyle w:val="TOC2"/>
        <w:rPr>
          <w:rFonts w:asciiTheme="minorHAnsi" w:eastAsiaTheme="minorEastAsia" w:hAnsiTheme="minorHAnsi" w:cstheme="minorBidi"/>
          <w:noProof/>
          <w:sz w:val="22"/>
          <w:szCs w:val="22"/>
          <w:lang w:eastAsia="en-IE"/>
        </w:rPr>
      </w:pPr>
      <w:hyperlink w:anchor="_Toc121830611" w:history="1">
        <w:r w:rsidR="00953FA6" w:rsidRPr="00AB7249">
          <w:rPr>
            <w:rStyle w:val="Hyperlink"/>
            <w:noProof/>
          </w:rPr>
          <w:t>Data collection: phase 1</w:t>
        </w:r>
        <w:r w:rsidR="00953FA6">
          <w:rPr>
            <w:noProof/>
            <w:webHidden/>
          </w:rPr>
          <w:tab/>
        </w:r>
        <w:r w:rsidR="00953FA6">
          <w:rPr>
            <w:noProof/>
            <w:webHidden/>
          </w:rPr>
          <w:fldChar w:fldCharType="begin"/>
        </w:r>
        <w:r w:rsidR="00953FA6">
          <w:rPr>
            <w:noProof/>
            <w:webHidden/>
          </w:rPr>
          <w:instrText xml:space="preserve"> PAGEREF _Toc121830611 \h </w:instrText>
        </w:r>
        <w:r w:rsidR="00953FA6">
          <w:rPr>
            <w:noProof/>
            <w:webHidden/>
          </w:rPr>
        </w:r>
        <w:r w:rsidR="00953FA6">
          <w:rPr>
            <w:noProof/>
            <w:webHidden/>
          </w:rPr>
          <w:fldChar w:fldCharType="separate"/>
        </w:r>
        <w:r w:rsidR="00953FA6">
          <w:rPr>
            <w:noProof/>
            <w:webHidden/>
          </w:rPr>
          <w:t>62</w:t>
        </w:r>
        <w:r w:rsidR="00953FA6">
          <w:rPr>
            <w:noProof/>
            <w:webHidden/>
          </w:rPr>
          <w:fldChar w:fldCharType="end"/>
        </w:r>
      </w:hyperlink>
    </w:p>
    <w:p w14:paraId="3A510680" w14:textId="16FAF01A" w:rsidR="00953FA6" w:rsidRDefault="00907ED5">
      <w:pPr>
        <w:pStyle w:val="TOC2"/>
        <w:rPr>
          <w:rFonts w:asciiTheme="minorHAnsi" w:eastAsiaTheme="minorEastAsia" w:hAnsiTheme="minorHAnsi" w:cstheme="minorBidi"/>
          <w:noProof/>
          <w:sz w:val="22"/>
          <w:szCs w:val="22"/>
          <w:lang w:eastAsia="en-IE"/>
        </w:rPr>
      </w:pPr>
      <w:hyperlink w:anchor="_Toc121830612" w:history="1">
        <w:r w:rsidR="00953FA6" w:rsidRPr="00AB7249">
          <w:rPr>
            <w:rStyle w:val="Hyperlink"/>
            <w:noProof/>
          </w:rPr>
          <w:t>Data collection: phase 2</w:t>
        </w:r>
        <w:r w:rsidR="00953FA6">
          <w:rPr>
            <w:noProof/>
            <w:webHidden/>
          </w:rPr>
          <w:tab/>
        </w:r>
        <w:r w:rsidR="00953FA6">
          <w:rPr>
            <w:noProof/>
            <w:webHidden/>
          </w:rPr>
          <w:fldChar w:fldCharType="begin"/>
        </w:r>
        <w:r w:rsidR="00953FA6">
          <w:rPr>
            <w:noProof/>
            <w:webHidden/>
          </w:rPr>
          <w:instrText xml:space="preserve"> PAGEREF _Toc121830612 \h </w:instrText>
        </w:r>
        <w:r w:rsidR="00953FA6">
          <w:rPr>
            <w:noProof/>
            <w:webHidden/>
          </w:rPr>
        </w:r>
        <w:r w:rsidR="00953FA6">
          <w:rPr>
            <w:noProof/>
            <w:webHidden/>
          </w:rPr>
          <w:fldChar w:fldCharType="separate"/>
        </w:r>
        <w:r w:rsidR="00953FA6">
          <w:rPr>
            <w:noProof/>
            <w:webHidden/>
          </w:rPr>
          <w:t>65</w:t>
        </w:r>
        <w:r w:rsidR="00953FA6">
          <w:rPr>
            <w:noProof/>
            <w:webHidden/>
          </w:rPr>
          <w:fldChar w:fldCharType="end"/>
        </w:r>
      </w:hyperlink>
    </w:p>
    <w:p w14:paraId="517340DD" w14:textId="78092283" w:rsidR="00953FA6" w:rsidRDefault="00907ED5">
      <w:pPr>
        <w:pStyle w:val="TOC2"/>
        <w:rPr>
          <w:rFonts w:asciiTheme="minorHAnsi" w:eastAsiaTheme="minorEastAsia" w:hAnsiTheme="minorHAnsi" w:cstheme="minorBidi"/>
          <w:noProof/>
          <w:sz w:val="22"/>
          <w:szCs w:val="22"/>
          <w:lang w:eastAsia="en-IE"/>
        </w:rPr>
      </w:pPr>
      <w:hyperlink w:anchor="_Toc121830613" w:history="1">
        <w:r w:rsidR="00953FA6" w:rsidRPr="00AB7249">
          <w:rPr>
            <w:rStyle w:val="Hyperlink"/>
            <w:noProof/>
          </w:rPr>
          <w:t>Data analysis</w:t>
        </w:r>
        <w:r w:rsidR="00953FA6">
          <w:rPr>
            <w:noProof/>
            <w:webHidden/>
          </w:rPr>
          <w:tab/>
        </w:r>
        <w:r w:rsidR="00953FA6">
          <w:rPr>
            <w:noProof/>
            <w:webHidden/>
          </w:rPr>
          <w:fldChar w:fldCharType="begin"/>
        </w:r>
        <w:r w:rsidR="00953FA6">
          <w:rPr>
            <w:noProof/>
            <w:webHidden/>
          </w:rPr>
          <w:instrText xml:space="preserve"> PAGEREF _Toc121830613 \h </w:instrText>
        </w:r>
        <w:r w:rsidR="00953FA6">
          <w:rPr>
            <w:noProof/>
            <w:webHidden/>
          </w:rPr>
        </w:r>
        <w:r w:rsidR="00953FA6">
          <w:rPr>
            <w:noProof/>
            <w:webHidden/>
          </w:rPr>
          <w:fldChar w:fldCharType="separate"/>
        </w:r>
        <w:r w:rsidR="00953FA6">
          <w:rPr>
            <w:noProof/>
            <w:webHidden/>
          </w:rPr>
          <w:t>67</w:t>
        </w:r>
        <w:r w:rsidR="00953FA6">
          <w:rPr>
            <w:noProof/>
            <w:webHidden/>
          </w:rPr>
          <w:fldChar w:fldCharType="end"/>
        </w:r>
      </w:hyperlink>
    </w:p>
    <w:p w14:paraId="4D8C4024" w14:textId="0A24BAB8" w:rsidR="00953FA6" w:rsidRDefault="00907ED5">
      <w:pPr>
        <w:pStyle w:val="TOC2"/>
        <w:rPr>
          <w:rFonts w:asciiTheme="minorHAnsi" w:eastAsiaTheme="minorEastAsia" w:hAnsiTheme="minorHAnsi" w:cstheme="minorBidi"/>
          <w:noProof/>
          <w:sz w:val="22"/>
          <w:szCs w:val="22"/>
          <w:lang w:eastAsia="en-IE"/>
        </w:rPr>
      </w:pPr>
      <w:hyperlink w:anchor="_Toc121830614" w:history="1">
        <w:r w:rsidR="00953FA6" w:rsidRPr="00AB7249">
          <w:rPr>
            <w:rStyle w:val="Hyperlink"/>
            <w:noProof/>
          </w:rPr>
          <w:t>Ethical considerations</w:t>
        </w:r>
        <w:r w:rsidR="00953FA6">
          <w:rPr>
            <w:noProof/>
            <w:webHidden/>
          </w:rPr>
          <w:tab/>
        </w:r>
        <w:r w:rsidR="00953FA6">
          <w:rPr>
            <w:noProof/>
            <w:webHidden/>
          </w:rPr>
          <w:fldChar w:fldCharType="begin"/>
        </w:r>
        <w:r w:rsidR="00953FA6">
          <w:rPr>
            <w:noProof/>
            <w:webHidden/>
          </w:rPr>
          <w:instrText xml:space="preserve"> PAGEREF _Toc121830614 \h </w:instrText>
        </w:r>
        <w:r w:rsidR="00953FA6">
          <w:rPr>
            <w:noProof/>
            <w:webHidden/>
          </w:rPr>
        </w:r>
        <w:r w:rsidR="00953FA6">
          <w:rPr>
            <w:noProof/>
            <w:webHidden/>
          </w:rPr>
          <w:fldChar w:fldCharType="separate"/>
        </w:r>
        <w:r w:rsidR="00953FA6">
          <w:rPr>
            <w:noProof/>
            <w:webHidden/>
          </w:rPr>
          <w:t>68</w:t>
        </w:r>
        <w:r w:rsidR="00953FA6">
          <w:rPr>
            <w:noProof/>
            <w:webHidden/>
          </w:rPr>
          <w:fldChar w:fldCharType="end"/>
        </w:r>
      </w:hyperlink>
    </w:p>
    <w:p w14:paraId="18858776" w14:textId="02781931" w:rsidR="00953FA6" w:rsidRDefault="00907ED5">
      <w:pPr>
        <w:pStyle w:val="TOC2"/>
        <w:rPr>
          <w:rFonts w:asciiTheme="minorHAnsi" w:eastAsiaTheme="minorEastAsia" w:hAnsiTheme="minorHAnsi" w:cstheme="minorBidi"/>
          <w:noProof/>
          <w:sz w:val="22"/>
          <w:szCs w:val="22"/>
          <w:lang w:eastAsia="en-IE"/>
        </w:rPr>
      </w:pPr>
      <w:hyperlink w:anchor="_Toc121830615" w:history="1">
        <w:r w:rsidR="00953FA6" w:rsidRPr="00AB7249">
          <w:rPr>
            <w:rStyle w:val="Hyperlink"/>
            <w:noProof/>
          </w:rPr>
          <w:t>Sample profile</w:t>
        </w:r>
        <w:r w:rsidR="00953FA6">
          <w:rPr>
            <w:noProof/>
            <w:webHidden/>
          </w:rPr>
          <w:tab/>
        </w:r>
        <w:r w:rsidR="00953FA6">
          <w:rPr>
            <w:noProof/>
            <w:webHidden/>
          </w:rPr>
          <w:fldChar w:fldCharType="begin"/>
        </w:r>
        <w:r w:rsidR="00953FA6">
          <w:rPr>
            <w:noProof/>
            <w:webHidden/>
          </w:rPr>
          <w:instrText xml:space="preserve"> PAGEREF _Toc121830615 \h </w:instrText>
        </w:r>
        <w:r w:rsidR="00953FA6">
          <w:rPr>
            <w:noProof/>
            <w:webHidden/>
          </w:rPr>
        </w:r>
        <w:r w:rsidR="00953FA6">
          <w:rPr>
            <w:noProof/>
            <w:webHidden/>
          </w:rPr>
          <w:fldChar w:fldCharType="separate"/>
        </w:r>
        <w:r w:rsidR="00953FA6">
          <w:rPr>
            <w:noProof/>
            <w:webHidden/>
          </w:rPr>
          <w:t>69</w:t>
        </w:r>
        <w:r w:rsidR="00953FA6">
          <w:rPr>
            <w:noProof/>
            <w:webHidden/>
          </w:rPr>
          <w:fldChar w:fldCharType="end"/>
        </w:r>
      </w:hyperlink>
    </w:p>
    <w:p w14:paraId="55AA804C" w14:textId="4838AB44" w:rsidR="00953FA6" w:rsidRDefault="00907ED5" w:rsidP="0005123A">
      <w:pPr>
        <w:pStyle w:val="TOC1"/>
        <w:rPr>
          <w:rFonts w:asciiTheme="minorHAnsi" w:eastAsiaTheme="minorEastAsia" w:hAnsiTheme="minorHAnsi" w:cstheme="minorBidi"/>
          <w:noProof/>
          <w:sz w:val="22"/>
          <w:szCs w:val="22"/>
          <w:lang w:eastAsia="en-IE"/>
        </w:rPr>
      </w:pPr>
      <w:hyperlink w:anchor="_Toc121830616" w:history="1">
        <w:r w:rsidR="00953FA6" w:rsidRPr="00AB7249">
          <w:rPr>
            <w:rStyle w:val="Hyperlink"/>
            <w:noProof/>
          </w:rPr>
          <w:t>Chapter 3: Findings: Approaches to services</w:t>
        </w:r>
        <w:r w:rsidR="00953FA6">
          <w:rPr>
            <w:noProof/>
            <w:webHidden/>
          </w:rPr>
          <w:tab/>
        </w:r>
        <w:r w:rsidR="00953FA6">
          <w:rPr>
            <w:noProof/>
            <w:webHidden/>
          </w:rPr>
          <w:fldChar w:fldCharType="begin"/>
        </w:r>
        <w:r w:rsidR="00953FA6">
          <w:rPr>
            <w:noProof/>
            <w:webHidden/>
          </w:rPr>
          <w:instrText xml:space="preserve"> PAGEREF _Toc121830616 \h </w:instrText>
        </w:r>
        <w:r w:rsidR="00953FA6">
          <w:rPr>
            <w:noProof/>
            <w:webHidden/>
          </w:rPr>
        </w:r>
        <w:r w:rsidR="00953FA6">
          <w:rPr>
            <w:noProof/>
            <w:webHidden/>
          </w:rPr>
          <w:fldChar w:fldCharType="separate"/>
        </w:r>
        <w:r w:rsidR="00953FA6">
          <w:rPr>
            <w:noProof/>
            <w:webHidden/>
          </w:rPr>
          <w:t>71</w:t>
        </w:r>
        <w:r w:rsidR="00953FA6">
          <w:rPr>
            <w:noProof/>
            <w:webHidden/>
          </w:rPr>
          <w:fldChar w:fldCharType="end"/>
        </w:r>
      </w:hyperlink>
    </w:p>
    <w:p w14:paraId="0908D9ED" w14:textId="7795F766" w:rsidR="00953FA6" w:rsidRDefault="00907ED5">
      <w:pPr>
        <w:pStyle w:val="TOC2"/>
        <w:rPr>
          <w:rFonts w:asciiTheme="minorHAnsi" w:eastAsiaTheme="minorEastAsia" w:hAnsiTheme="minorHAnsi" w:cstheme="minorBidi"/>
          <w:noProof/>
          <w:sz w:val="22"/>
          <w:szCs w:val="22"/>
          <w:lang w:eastAsia="en-IE"/>
        </w:rPr>
      </w:pPr>
      <w:hyperlink w:anchor="_Toc121830617" w:history="1">
        <w:r w:rsidR="00953FA6" w:rsidRPr="00AB7249">
          <w:rPr>
            <w:rStyle w:val="Hyperlink"/>
            <w:noProof/>
          </w:rPr>
          <w:t>Introduction</w:t>
        </w:r>
        <w:r w:rsidR="00953FA6">
          <w:rPr>
            <w:noProof/>
            <w:webHidden/>
          </w:rPr>
          <w:tab/>
        </w:r>
        <w:r w:rsidR="00953FA6">
          <w:rPr>
            <w:noProof/>
            <w:webHidden/>
          </w:rPr>
          <w:fldChar w:fldCharType="begin"/>
        </w:r>
        <w:r w:rsidR="00953FA6">
          <w:rPr>
            <w:noProof/>
            <w:webHidden/>
          </w:rPr>
          <w:instrText xml:space="preserve"> PAGEREF _Toc121830617 \h </w:instrText>
        </w:r>
        <w:r w:rsidR="00953FA6">
          <w:rPr>
            <w:noProof/>
            <w:webHidden/>
          </w:rPr>
        </w:r>
        <w:r w:rsidR="00953FA6">
          <w:rPr>
            <w:noProof/>
            <w:webHidden/>
          </w:rPr>
          <w:fldChar w:fldCharType="separate"/>
        </w:r>
        <w:r w:rsidR="00953FA6">
          <w:rPr>
            <w:noProof/>
            <w:webHidden/>
          </w:rPr>
          <w:t>71</w:t>
        </w:r>
        <w:r w:rsidR="00953FA6">
          <w:rPr>
            <w:noProof/>
            <w:webHidden/>
          </w:rPr>
          <w:fldChar w:fldCharType="end"/>
        </w:r>
      </w:hyperlink>
    </w:p>
    <w:p w14:paraId="339D054E" w14:textId="5A8F183D" w:rsidR="00953FA6" w:rsidRDefault="00907ED5">
      <w:pPr>
        <w:pStyle w:val="TOC2"/>
        <w:rPr>
          <w:rFonts w:asciiTheme="minorHAnsi" w:eastAsiaTheme="minorEastAsia" w:hAnsiTheme="minorHAnsi" w:cstheme="minorBidi"/>
          <w:noProof/>
          <w:sz w:val="22"/>
          <w:szCs w:val="22"/>
          <w:lang w:eastAsia="en-IE"/>
        </w:rPr>
      </w:pPr>
      <w:hyperlink w:anchor="_Toc121830618" w:history="1">
        <w:r w:rsidR="00953FA6" w:rsidRPr="00AB7249">
          <w:rPr>
            <w:rStyle w:val="Hyperlink"/>
            <w:noProof/>
          </w:rPr>
          <w:t>Specialist service approach</w:t>
        </w:r>
        <w:r w:rsidR="00953FA6">
          <w:rPr>
            <w:noProof/>
            <w:webHidden/>
          </w:rPr>
          <w:tab/>
        </w:r>
        <w:r w:rsidR="00953FA6">
          <w:rPr>
            <w:noProof/>
            <w:webHidden/>
          </w:rPr>
          <w:fldChar w:fldCharType="begin"/>
        </w:r>
        <w:r w:rsidR="00953FA6">
          <w:rPr>
            <w:noProof/>
            <w:webHidden/>
          </w:rPr>
          <w:instrText xml:space="preserve"> PAGEREF _Toc121830618 \h </w:instrText>
        </w:r>
        <w:r w:rsidR="00953FA6">
          <w:rPr>
            <w:noProof/>
            <w:webHidden/>
          </w:rPr>
        </w:r>
        <w:r w:rsidR="00953FA6">
          <w:rPr>
            <w:noProof/>
            <w:webHidden/>
          </w:rPr>
          <w:fldChar w:fldCharType="separate"/>
        </w:r>
        <w:r w:rsidR="00953FA6">
          <w:rPr>
            <w:noProof/>
            <w:webHidden/>
          </w:rPr>
          <w:t>73</w:t>
        </w:r>
        <w:r w:rsidR="00953FA6">
          <w:rPr>
            <w:noProof/>
            <w:webHidden/>
          </w:rPr>
          <w:fldChar w:fldCharType="end"/>
        </w:r>
      </w:hyperlink>
    </w:p>
    <w:p w14:paraId="29E1619F" w14:textId="0E21B64B" w:rsidR="00953FA6" w:rsidRDefault="00907ED5">
      <w:pPr>
        <w:pStyle w:val="TOC2"/>
        <w:rPr>
          <w:rFonts w:asciiTheme="minorHAnsi" w:eastAsiaTheme="minorEastAsia" w:hAnsiTheme="minorHAnsi" w:cstheme="minorBidi"/>
          <w:noProof/>
          <w:sz w:val="22"/>
          <w:szCs w:val="22"/>
          <w:lang w:eastAsia="en-IE"/>
        </w:rPr>
      </w:pPr>
      <w:hyperlink w:anchor="_Toc121830619" w:history="1">
        <w:r w:rsidR="00953FA6" w:rsidRPr="00AB7249">
          <w:rPr>
            <w:rStyle w:val="Hyperlink"/>
            <w:noProof/>
          </w:rPr>
          <w:t>Nurse-led approaches</w:t>
        </w:r>
        <w:r w:rsidR="00953FA6">
          <w:rPr>
            <w:noProof/>
            <w:webHidden/>
          </w:rPr>
          <w:tab/>
        </w:r>
        <w:r w:rsidR="00953FA6">
          <w:rPr>
            <w:noProof/>
            <w:webHidden/>
          </w:rPr>
          <w:fldChar w:fldCharType="begin"/>
        </w:r>
        <w:r w:rsidR="00953FA6">
          <w:rPr>
            <w:noProof/>
            <w:webHidden/>
          </w:rPr>
          <w:instrText xml:space="preserve"> PAGEREF _Toc121830619 \h </w:instrText>
        </w:r>
        <w:r w:rsidR="00953FA6">
          <w:rPr>
            <w:noProof/>
            <w:webHidden/>
          </w:rPr>
        </w:r>
        <w:r w:rsidR="00953FA6">
          <w:rPr>
            <w:noProof/>
            <w:webHidden/>
          </w:rPr>
          <w:fldChar w:fldCharType="separate"/>
        </w:r>
        <w:r w:rsidR="00953FA6">
          <w:rPr>
            <w:noProof/>
            <w:webHidden/>
          </w:rPr>
          <w:t>74</w:t>
        </w:r>
        <w:r w:rsidR="00953FA6">
          <w:rPr>
            <w:noProof/>
            <w:webHidden/>
          </w:rPr>
          <w:fldChar w:fldCharType="end"/>
        </w:r>
      </w:hyperlink>
    </w:p>
    <w:p w14:paraId="466AD3E6" w14:textId="15C35520" w:rsidR="00953FA6" w:rsidRDefault="00907ED5">
      <w:pPr>
        <w:pStyle w:val="TOC2"/>
        <w:rPr>
          <w:rFonts w:asciiTheme="minorHAnsi" w:eastAsiaTheme="minorEastAsia" w:hAnsiTheme="minorHAnsi" w:cstheme="minorBidi"/>
          <w:noProof/>
          <w:sz w:val="22"/>
          <w:szCs w:val="22"/>
          <w:lang w:eastAsia="en-IE"/>
        </w:rPr>
      </w:pPr>
      <w:hyperlink w:anchor="_Toc121830620" w:history="1">
        <w:r w:rsidR="00953FA6" w:rsidRPr="00AB7249">
          <w:rPr>
            <w:rStyle w:val="Hyperlink"/>
            <w:noProof/>
          </w:rPr>
          <w:t>Health and social care approaches</w:t>
        </w:r>
        <w:r w:rsidR="00953FA6">
          <w:rPr>
            <w:noProof/>
            <w:webHidden/>
          </w:rPr>
          <w:tab/>
        </w:r>
        <w:r w:rsidR="00953FA6">
          <w:rPr>
            <w:noProof/>
            <w:webHidden/>
          </w:rPr>
          <w:fldChar w:fldCharType="begin"/>
        </w:r>
        <w:r w:rsidR="00953FA6">
          <w:rPr>
            <w:noProof/>
            <w:webHidden/>
          </w:rPr>
          <w:instrText xml:space="preserve"> PAGEREF _Toc121830620 \h </w:instrText>
        </w:r>
        <w:r w:rsidR="00953FA6">
          <w:rPr>
            <w:noProof/>
            <w:webHidden/>
          </w:rPr>
        </w:r>
        <w:r w:rsidR="00953FA6">
          <w:rPr>
            <w:noProof/>
            <w:webHidden/>
          </w:rPr>
          <w:fldChar w:fldCharType="separate"/>
        </w:r>
        <w:r w:rsidR="00953FA6">
          <w:rPr>
            <w:noProof/>
            <w:webHidden/>
          </w:rPr>
          <w:t>76</w:t>
        </w:r>
        <w:r w:rsidR="00953FA6">
          <w:rPr>
            <w:noProof/>
            <w:webHidden/>
          </w:rPr>
          <w:fldChar w:fldCharType="end"/>
        </w:r>
      </w:hyperlink>
    </w:p>
    <w:p w14:paraId="0B4FEECE" w14:textId="6571BA2D" w:rsidR="00953FA6" w:rsidRDefault="00907ED5">
      <w:pPr>
        <w:pStyle w:val="TOC2"/>
        <w:rPr>
          <w:rFonts w:asciiTheme="minorHAnsi" w:eastAsiaTheme="minorEastAsia" w:hAnsiTheme="minorHAnsi" w:cstheme="minorBidi"/>
          <w:noProof/>
          <w:sz w:val="22"/>
          <w:szCs w:val="22"/>
          <w:lang w:eastAsia="en-IE"/>
        </w:rPr>
      </w:pPr>
      <w:hyperlink w:anchor="_Toc121830621" w:history="1">
        <w:r w:rsidR="00953FA6" w:rsidRPr="00AB7249">
          <w:rPr>
            <w:rStyle w:val="Hyperlink"/>
            <w:noProof/>
          </w:rPr>
          <w:t>Flexibility across service approaches</w:t>
        </w:r>
        <w:r w:rsidR="00953FA6">
          <w:rPr>
            <w:noProof/>
            <w:webHidden/>
          </w:rPr>
          <w:tab/>
        </w:r>
        <w:r w:rsidR="00953FA6">
          <w:rPr>
            <w:noProof/>
            <w:webHidden/>
          </w:rPr>
          <w:fldChar w:fldCharType="begin"/>
        </w:r>
        <w:r w:rsidR="00953FA6">
          <w:rPr>
            <w:noProof/>
            <w:webHidden/>
          </w:rPr>
          <w:instrText xml:space="preserve"> PAGEREF _Toc121830621 \h </w:instrText>
        </w:r>
        <w:r w:rsidR="00953FA6">
          <w:rPr>
            <w:noProof/>
            <w:webHidden/>
          </w:rPr>
        </w:r>
        <w:r w:rsidR="00953FA6">
          <w:rPr>
            <w:noProof/>
            <w:webHidden/>
          </w:rPr>
          <w:fldChar w:fldCharType="separate"/>
        </w:r>
        <w:r w:rsidR="00953FA6">
          <w:rPr>
            <w:noProof/>
            <w:webHidden/>
          </w:rPr>
          <w:t>78</w:t>
        </w:r>
        <w:r w:rsidR="00953FA6">
          <w:rPr>
            <w:noProof/>
            <w:webHidden/>
          </w:rPr>
          <w:fldChar w:fldCharType="end"/>
        </w:r>
      </w:hyperlink>
    </w:p>
    <w:p w14:paraId="14891CEC" w14:textId="7FFC932A" w:rsidR="00953FA6" w:rsidRDefault="00907ED5">
      <w:pPr>
        <w:pStyle w:val="TOC2"/>
        <w:rPr>
          <w:rFonts w:asciiTheme="minorHAnsi" w:eastAsiaTheme="minorEastAsia" w:hAnsiTheme="minorHAnsi" w:cstheme="minorBidi"/>
          <w:noProof/>
          <w:sz w:val="22"/>
          <w:szCs w:val="22"/>
          <w:lang w:eastAsia="en-IE"/>
        </w:rPr>
      </w:pPr>
      <w:hyperlink w:anchor="_Toc121830622" w:history="1">
        <w:r w:rsidR="00953FA6" w:rsidRPr="00AB7249">
          <w:rPr>
            <w:rStyle w:val="Hyperlink"/>
            <w:noProof/>
          </w:rPr>
          <w:t>Key principles of service provision</w:t>
        </w:r>
        <w:r w:rsidR="00953FA6">
          <w:rPr>
            <w:noProof/>
            <w:webHidden/>
          </w:rPr>
          <w:tab/>
        </w:r>
        <w:r w:rsidR="00953FA6">
          <w:rPr>
            <w:noProof/>
            <w:webHidden/>
          </w:rPr>
          <w:fldChar w:fldCharType="begin"/>
        </w:r>
        <w:r w:rsidR="00953FA6">
          <w:rPr>
            <w:noProof/>
            <w:webHidden/>
          </w:rPr>
          <w:instrText xml:space="preserve"> PAGEREF _Toc121830622 \h </w:instrText>
        </w:r>
        <w:r w:rsidR="00953FA6">
          <w:rPr>
            <w:noProof/>
            <w:webHidden/>
          </w:rPr>
        </w:r>
        <w:r w:rsidR="00953FA6">
          <w:rPr>
            <w:noProof/>
            <w:webHidden/>
          </w:rPr>
          <w:fldChar w:fldCharType="separate"/>
        </w:r>
        <w:r w:rsidR="00953FA6">
          <w:rPr>
            <w:noProof/>
            <w:webHidden/>
          </w:rPr>
          <w:t>79</w:t>
        </w:r>
        <w:r w:rsidR="00953FA6">
          <w:rPr>
            <w:noProof/>
            <w:webHidden/>
          </w:rPr>
          <w:fldChar w:fldCharType="end"/>
        </w:r>
      </w:hyperlink>
    </w:p>
    <w:p w14:paraId="6B27332B" w14:textId="1CC16530" w:rsidR="00953FA6" w:rsidRDefault="00907ED5" w:rsidP="0005123A">
      <w:pPr>
        <w:pStyle w:val="TOC1"/>
        <w:rPr>
          <w:rFonts w:asciiTheme="minorHAnsi" w:eastAsiaTheme="minorEastAsia" w:hAnsiTheme="minorHAnsi" w:cstheme="minorBidi"/>
          <w:noProof/>
          <w:sz w:val="22"/>
          <w:szCs w:val="22"/>
          <w:lang w:eastAsia="en-IE"/>
        </w:rPr>
      </w:pPr>
      <w:hyperlink w:anchor="_Toc121830623" w:history="1">
        <w:r w:rsidR="00953FA6" w:rsidRPr="00AB7249">
          <w:rPr>
            <w:rStyle w:val="Hyperlink"/>
            <w:noProof/>
          </w:rPr>
          <w:t>Chapter 4: Findings: Providing services to meet older individuals’ needs</w:t>
        </w:r>
        <w:r w:rsidR="00953FA6">
          <w:rPr>
            <w:noProof/>
            <w:webHidden/>
          </w:rPr>
          <w:tab/>
        </w:r>
        <w:r w:rsidR="00953FA6">
          <w:rPr>
            <w:noProof/>
            <w:webHidden/>
          </w:rPr>
          <w:fldChar w:fldCharType="begin"/>
        </w:r>
        <w:r w:rsidR="00953FA6">
          <w:rPr>
            <w:noProof/>
            <w:webHidden/>
          </w:rPr>
          <w:instrText xml:space="preserve"> PAGEREF _Toc121830623 \h </w:instrText>
        </w:r>
        <w:r w:rsidR="00953FA6">
          <w:rPr>
            <w:noProof/>
            <w:webHidden/>
          </w:rPr>
        </w:r>
        <w:r w:rsidR="00953FA6">
          <w:rPr>
            <w:noProof/>
            <w:webHidden/>
          </w:rPr>
          <w:fldChar w:fldCharType="separate"/>
        </w:r>
        <w:r w:rsidR="00953FA6">
          <w:rPr>
            <w:noProof/>
            <w:webHidden/>
          </w:rPr>
          <w:t>88</w:t>
        </w:r>
        <w:r w:rsidR="00953FA6">
          <w:rPr>
            <w:noProof/>
            <w:webHidden/>
          </w:rPr>
          <w:fldChar w:fldCharType="end"/>
        </w:r>
      </w:hyperlink>
    </w:p>
    <w:p w14:paraId="59E2E39E" w14:textId="39574DFD" w:rsidR="00953FA6" w:rsidRDefault="00907ED5">
      <w:pPr>
        <w:pStyle w:val="TOC2"/>
        <w:rPr>
          <w:rFonts w:asciiTheme="minorHAnsi" w:eastAsiaTheme="minorEastAsia" w:hAnsiTheme="minorHAnsi" w:cstheme="minorBidi"/>
          <w:noProof/>
          <w:sz w:val="22"/>
          <w:szCs w:val="22"/>
          <w:lang w:eastAsia="en-IE"/>
        </w:rPr>
      </w:pPr>
      <w:hyperlink w:anchor="_Toc121830624" w:history="1">
        <w:r w:rsidR="00953FA6" w:rsidRPr="00AB7249">
          <w:rPr>
            <w:rStyle w:val="Hyperlink"/>
            <w:noProof/>
          </w:rPr>
          <w:t>Changing needs of the population as they age</w:t>
        </w:r>
        <w:r w:rsidR="00953FA6">
          <w:rPr>
            <w:noProof/>
            <w:webHidden/>
          </w:rPr>
          <w:tab/>
        </w:r>
        <w:r w:rsidR="00953FA6">
          <w:rPr>
            <w:noProof/>
            <w:webHidden/>
          </w:rPr>
          <w:fldChar w:fldCharType="begin"/>
        </w:r>
        <w:r w:rsidR="00953FA6">
          <w:rPr>
            <w:noProof/>
            <w:webHidden/>
          </w:rPr>
          <w:instrText xml:space="preserve"> PAGEREF _Toc121830624 \h </w:instrText>
        </w:r>
        <w:r w:rsidR="00953FA6">
          <w:rPr>
            <w:noProof/>
            <w:webHidden/>
          </w:rPr>
        </w:r>
        <w:r w:rsidR="00953FA6">
          <w:rPr>
            <w:noProof/>
            <w:webHidden/>
          </w:rPr>
          <w:fldChar w:fldCharType="separate"/>
        </w:r>
        <w:r w:rsidR="00953FA6">
          <w:rPr>
            <w:noProof/>
            <w:webHidden/>
          </w:rPr>
          <w:t>88</w:t>
        </w:r>
        <w:r w:rsidR="00953FA6">
          <w:rPr>
            <w:noProof/>
            <w:webHidden/>
          </w:rPr>
          <w:fldChar w:fldCharType="end"/>
        </w:r>
      </w:hyperlink>
    </w:p>
    <w:p w14:paraId="70430CEC" w14:textId="3F4B7E74" w:rsidR="00953FA6" w:rsidRDefault="00907ED5">
      <w:pPr>
        <w:pStyle w:val="TOC2"/>
        <w:rPr>
          <w:rFonts w:asciiTheme="minorHAnsi" w:eastAsiaTheme="minorEastAsia" w:hAnsiTheme="minorHAnsi" w:cstheme="minorBidi"/>
          <w:noProof/>
          <w:sz w:val="22"/>
          <w:szCs w:val="22"/>
          <w:lang w:eastAsia="en-IE"/>
        </w:rPr>
      </w:pPr>
      <w:hyperlink w:anchor="_Toc121830625" w:history="1">
        <w:r w:rsidR="00953FA6" w:rsidRPr="00AB7249">
          <w:rPr>
            <w:rStyle w:val="Hyperlink"/>
            <w:noProof/>
          </w:rPr>
          <w:t>Dementia</w:t>
        </w:r>
        <w:r w:rsidR="00953FA6">
          <w:rPr>
            <w:noProof/>
            <w:webHidden/>
          </w:rPr>
          <w:tab/>
        </w:r>
        <w:r w:rsidR="00953FA6">
          <w:rPr>
            <w:noProof/>
            <w:webHidden/>
          </w:rPr>
          <w:fldChar w:fldCharType="begin"/>
        </w:r>
        <w:r w:rsidR="00953FA6">
          <w:rPr>
            <w:noProof/>
            <w:webHidden/>
          </w:rPr>
          <w:instrText xml:space="preserve"> PAGEREF _Toc121830625 \h </w:instrText>
        </w:r>
        <w:r w:rsidR="00953FA6">
          <w:rPr>
            <w:noProof/>
            <w:webHidden/>
          </w:rPr>
        </w:r>
        <w:r w:rsidR="00953FA6">
          <w:rPr>
            <w:noProof/>
            <w:webHidden/>
          </w:rPr>
          <w:fldChar w:fldCharType="separate"/>
        </w:r>
        <w:r w:rsidR="00953FA6">
          <w:rPr>
            <w:noProof/>
            <w:webHidden/>
          </w:rPr>
          <w:t>88</w:t>
        </w:r>
        <w:r w:rsidR="00953FA6">
          <w:rPr>
            <w:noProof/>
            <w:webHidden/>
          </w:rPr>
          <w:fldChar w:fldCharType="end"/>
        </w:r>
      </w:hyperlink>
    </w:p>
    <w:p w14:paraId="5753A27C" w14:textId="38D51AD3" w:rsidR="00953FA6" w:rsidRDefault="00907ED5">
      <w:pPr>
        <w:pStyle w:val="TOC2"/>
        <w:rPr>
          <w:rFonts w:asciiTheme="minorHAnsi" w:eastAsiaTheme="minorEastAsia" w:hAnsiTheme="minorHAnsi" w:cstheme="minorBidi"/>
          <w:noProof/>
          <w:sz w:val="22"/>
          <w:szCs w:val="22"/>
          <w:lang w:eastAsia="en-IE"/>
        </w:rPr>
      </w:pPr>
      <w:hyperlink w:anchor="_Toc121830626" w:history="1">
        <w:r w:rsidR="00953FA6" w:rsidRPr="00AB7249">
          <w:rPr>
            <w:rStyle w:val="Hyperlink"/>
            <w:noProof/>
          </w:rPr>
          <w:t>Retirement</w:t>
        </w:r>
        <w:r w:rsidR="00953FA6">
          <w:rPr>
            <w:noProof/>
            <w:webHidden/>
          </w:rPr>
          <w:tab/>
        </w:r>
        <w:r w:rsidR="00953FA6">
          <w:rPr>
            <w:noProof/>
            <w:webHidden/>
          </w:rPr>
          <w:fldChar w:fldCharType="begin"/>
        </w:r>
        <w:r w:rsidR="00953FA6">
          <w:rPr>
            <w:noProof/>
            <w:webHidden/>
          </w:rPr>
          <w:instrText xml:space="preserve"> PAGEREF _Toc121830626 \h </w:instrText>
        </w:r>
        <w:r w:rsidR="00953FA6">
          <w:rPr>
            <w:noProof/>
            <w:webHidden/>
          </w:rPr>
        </w:r>
        <w:r w:rsidR="00953FA6">
          <w:rPr>
            <w:noProof/>
            <w:webHidden/>
          </w:rPr>
          <w:fldChar w:fldCharType="separate"/>
        </w:r>
        <w:r w:rsidR="00953FA6">
          <w:rPr>
            <w:noProof/>
            <w:webHidden/>
          </w:rPr>
          <w:t>90</w:t>
        </w:r>
        <w:r w:rsidR="00953FA6">
          <w:rPr>
            <w:noProof/>
            <w:webHidden/>
          </w:rPr>
          <w:fldChar w:fldCharType="end"/>
        </w:r>
      </w:hyperlink>
    </w:p>
    <w:p w14:paraId="3E8D467D" w14:textId="638D071F" w:rsidR="00953FA6" w:rsidRDefault="00907ED5">
      <w:pPr>
        <w:pStyle w:val="TOC2"/>
        <w:rPr>
          <w:rFonts w:asciiTheme="minorHAnsi" w:eastAsiaTheme="minorEastAsia" w:hAnsiTheme="minorHAnsi" w:cstheme="minorBidi"/>
          <w:noProof/>
          <w:sz w:val="22"/>
          <w:szCs w:val="22"/>
          <w:lang w:eastAsia="en-IE"/>
        </w:rPr>
      </w:pPr>
      <w:hyperlink w:anchor="_Toc121830627" w:history="1">
        <w:r w:rsidR="00953FA6" w:rsidRPr="00AB7249">
          <w:rPr>
            <w:rStyle w:val="Hyperlink"/>
            <w:noProof/>
          </w:rPr>
          <w:t>End of life</w:t>
        </w:r>
        <w:r w:rsidR="00953FA6">
          <w:rPr>
            <w:noProof/>
            <w:webHidden/>
          </w:rPr>
          <w:tab/>
        </w:r>
        <w:r w:rsidR="00953FA6">
          <w:rPr>
            <w:noProof/>
            <w:webHidden/>
          </w:rPr>
          <w:fldChar w:fldCharType="begin"/>
        </w:r>
        <w:r w:rsidR="00953FA6">
          <w:rPr>
            <w:noProof/>
            <w:webHidden/>
          </w:rPr>
          <w:instrText xml:space="preserve"> PAGEREF _Toc121830627 \h </w:instrText>
        </w:r>
        <w:r w:rsidR="00953FA6">
          <w:rPr>
            <w:noProof/>
            <w:webHidden/>
          </w:rPr>
        </w:r>
        <w:r w:rsidR="00953FA6">
          <w:rPr>
            <w:noProof/>
            <w:webHidden/>
          </w:rPr>
          <w:fldChar w:fldCharType="separate"/>
        </w:r>
        <w:r w:rsidR="00953FA6">
          <w:rPr>
            <w:noProof/>
            <w:webHidden/>
          </w:rPr>
          <w:t>92</w:t>
        </w:r>
        <w:r w:rsidR="00953FA6">
          <w:rPr>
            <w:noProof/>
            <w:webHidden/>
          </w:rPr>
          <w:fldChar w:fldCharType="end"/>
        </w:r>
      </w:hyperlink>
    </w:p>
    <w:p w14:paraId="4CD60246" w14:textId="7C3F70AD" w:rsidR="00953FA6" w:rsidRDefault="00907ED5" w:rsidP="0005123A">
      <w:pPr>
        <w:pStyle w:val="TOC1"/>
        <w:rPr>
          <w:rFonts w:asciiTheme="minorHAnsi" w:eastAsiaTheme="minorEastAsia" w:hAnsiTheme="minorHAnsi" w:cstheme="minorBidi"/>
          <w:noProof/>
          <w:sz w:val="22"/>
          <w:szCs w:val="22"/>
          <w:lang w:eastAsia="en-IE"/>
        </w:rPr>
      </w:pPr>
      <w:hyperlink w:anchor="_Toc121830628" w:history="1">
        <w:r w:rsidR="00953FA6" w:rsidRPr="00AB7249">
          <w:rPr>
            <w:rStyle w:val="Hyperlink"/>
            <w:noProof/>
          </w:rPr>
          <w:t>Chapter 5: Findings: Responding to individuals’ needs</w:t>
        </w:r>
        <w:r w:rsidR="00953FA6">
          <w:rPr>
            <w:noProof/>
            <w:webHidden/>
          </w:rPr>
          <w:tab/>
        </w:r>
        <w:r w:rsidR="00953FA6">
          <w:rPr>
            <w:noProof/>
            <w:webHidden/>
          </w:rPr>
          <w:fldChar w:fldCharType="begin"/>
        </w:r>
        <w:r w:rsidR="00953FA6">
          <w:rPr>
            <w:noProof/>
            <w:webHidden/>
          </w:rPr>
          <w:instrText xml:space="preserve"> PAGEREF _Toc121830628 \h </w:instrText>
        </w:r>
        <w:r w:rsidR="00953FA6">
          <w:rPr>
            <w:noProof/>
            <w:webHidden/>
          </w:rPr>
        </w:r>
        <w:r w:rsidR="00953FA6">
          <w:rPr>
            <w:noProof/>
            <w:webHidden/>
          </w:rPr>
          <w:fldChar w:fldCharType="separate"/>
        </w:r>
        <w:r w:rsidR="00953FA6">
          <w:rPr>
            <w:noProof/>
            <w:webHidden/>
          </w:rPr>
          <w:t>96</w:t>
        </w:r>
        <w:r w:rsidR="00953FA6">
          <w:rPr>
            <w:noProof/>
            <w:webHidden/>
          </w:rPr>
          <w:fldChar w:fldCharType="end"/>
        </w:r>
      </w:hyperlink>
    </w:p>
    <w:p w14:paraId="4922219A" w14:textId="180208E8" w:rsidR="00953FA6" w:rsidRDefault="00907ED5">
      <w:pPr>
        <w:pStyle w:val="TOC2"/>
        <w:rPr>
          <w:rFonts w:asciiTheme="minorHAnsi" w:eastAsiaTheme="minorEastAsia" w:hAnsiTheme="minorHAnsi" w:cstheme="minorBidi"/>
          <w:noProof/>
          <w:sz w:val="22"/>
          <w:szCs w:val="22"/>
          <w:lang w:eastAsia="en-IE"/>
        </w:rPr>
      </w:pPr>
      <w:hyperlink w:anchor="_Toc121830629" w:history="1">
        <w:r w:rsidR="00953FA6" w:rsidRPr="00AB7249">
          <w:rPr>
            <w:rStyle w:val="Hyperlink"/>
            <w:noProof/>
          </w:rPr>
          <w:t>Listening to the older person and their family</w:t>
        </w:r>
        <w:r w:rsidR="00953FA6">
          <w:rPr>
            <w:noProof/>
            <w:webHidden/>
          </w:rPr>
          <w:tab/>
        </w:r>
        <w:r w:rsidR="00953FA6">
          <w:rPr>
            <w:noProof/>
            <w:webHidden/>
          </w:rPr>
          <w:fldChar w:fldCharType="begin"/>
        </w:r>
        <w:r w:rsidR="00953FA6">
          <w:rPr>
            <w:noProof/>
            <w:webHidden/>
          </w:rPr>
          <w:instrText xml:space="preserve"> PAGEREF _Toc121830629 \h </w:instrText>
        </w:r>
        <w:r w:rsidR="00953FA6">
          <w:rPr>
            <w:noProof/>
            <w:webHidden/>
          </w:rPr>
        </w:r>
        <w:r w:rsidR="00953FA6">
          <w:rPr>
            <w:noProof/>
            <w:webHidden/>
          </w:rPr>
          <w:fldChar w:fldCharType="separate"/>
        </w:r>
        <w:r w:rsidR="00953FA6">
          <w:rPr>
            <w:noProof/>
            <w:webHidden/>
          </w:rPr>
          <w:t>96</w:t>
        </w:r>
        <w:r w:rsidR="00953FA6">
          <w:rPr>
            <w:noProof/>
            <w:webHidden/>
          </w:rPr>
          <w:fldChar w:fldCharType="end"/>
        </w:r>
      </w:hyperlink>
    </w:p>
    <w:p w14:paraId="3D6FF98C" w14:textId="46664C4A" w:rsidR="00953FA6" w:rsidRDefault="00907ED5">
      <w:pPr>
        <w:pStyle w:val="TOC2"/>
        <w:rPr>
          <w:rFonts w:asciiTheme="minorHAnsi" w:eastAsiaTheme="minorEastAsia" w:hAnsiTheme="minorHAnsi" w:cstheme="minorBidi"/>
          <w:noProof/>
          <w:sz w:val="22"/>
          <w:szCs w:val="22"/>
          <w:lang w:eastAsia="en-IE"/>
        </w:rPr>
      </w:pPr>
      <w:hyperlink w:anchor="_Toc121830630" w:history="1">
        <w:r w:rsidR="00953FA6" w:rsidRPr="00AB7249">
          <w:rPr>
            <w:rStyle w:val="Hyperlink"/>
            <w:noProof/>
          </w:rPr>
          <w:t>The service environment</w:t>
        </w:r>
        <w:r w:rsidR="00953FA6">
          <w:rPr>
            <w:noProof/>
            <w:webHidden/>
          </w:rPr>
          <w:tab/>
        </w:r>
        <w:r w:rsidR="00953FA6">
          <w:rPr>
            <w:noProof/>
            <w:webHidden/>
          </w:rPr>
          <w:fldChar w:fldCharType="begin"/>
        </w:r>
        <w:r w:rsidR="00953FA6">
          <w:rPr>
            <w:noProof/>
            <w:webHidden/>
          </w:rPr>
          <w:instrText xml:space="preserve"> PAGEREF _Toc121830630 \h </w:instrText>
        </w:r>
        <w:r w:rsidR="00953FA6">
          <w:rPr>
            <w:noProof/>
            <w:webHidden/>
          </w:rPr>
        </w:r>
        <w:r w:rsidR="00953FA6">
          <w:rPr>
            <w:noProof/>
            <w:webHidden/>
          </w:rPr>
          <w:fldChar w:fldCharType="separate"/>
        </w:r>
        <w:r w:rsidR="00953FA6">
          <w:rPr>
            <w:noProof/>
            <w:webHidden/>
          </w:rPr>
          <w:t>99</w:t>
        </w:r>
        <w:r w:rsidR="00953FA6">
          <w:rPr>
            <w:noProof/>
            <w:webHidden/>
          </w:rPr>
          <w:fldChar w:fldCharType="end"/>
        </w:r>
      </w:hyperlink>
    </w:p>
    <w:p w14:paraId="0BC53938" w14:textId="7861308D" w:rsidR="00953FA6" w:rsidRDefault="00907ED5">
      <w:pPr>
        <w:pStyle w:val="TOC2"/>
        <w:rPr>
          <w:rFonts w:asciiTheme="minorHAnsi" w:eastAsiaTheme="minorEastAsia" w:hAnsiTheme="minorHAnsi" w:cstheme="minorBidi"/>
          <w:noProof/>
          <w:sz w:val="22"/>
          <w:szCs w:val="22"/>
          <w:lang w:eastAsia="en-IE"/>
        </w:rPr>
      </w:pPr>
      <w:hyperlink w:anchor="_Toc121830631" w:history="1">
        <w:r w:rsidR="00953FA6" w:rsidRPr="00AB7249">
          <w:rPr>
            <w:rStyle w:val="Hyperlink"/>
            <w:noProof/>
          </w:rPr>
          <w:t>Standards and regulations</w:t>
        </w:r>
        <w:r w:rsidR="00953FA6">
          <w:rPr>
            <w:noProof/>
            <w:webHidden/>
          </w:rPr>
          <w:tab/>
        </w:r>
        <w:r w:rsidR="00953FA6">
          <w:rPr>
            <w:noProof/>
            <w:webHidden/>
          </w:rPr>
          <w:fldChar w:fldCharType="begin"/>
        </w:r>
        <w:r w:rsidR="00953FA6">
          <w:rPr>
            <w:noProof/>
            <w:webHidden/>
          </w:rPr>
          <w:instrText xml:space="preserve"> PAGEREF _Toc121830631 \h </w:instrText>
        </w:r>
        <w:r w:rsidR="00953FA6">
          <w:rPr>
            <w:noProof/>
            <w:webHidden/>
          </w:rPr>
        </w:r>
        <w:r w:rsidR="00953FA6">
          <w:rPr>
            <w:noProof/>
            <w:webHidden/>
          </w:rPr>
          <w:fldChar w:fldCharType="separate"/>
        </w:r>
        <w:r w:rsidR="00953FA6">
          <w:rPr>
            <w:noProof/>
            <w:webHidden/>
          </w:rPr>
          <w:t>104</w:t>
        </w:r>
        <w:r w:rsidR="00953FA6">
          <w:rPr>
            <w:noProof/>
            <w:webHidden/>
          </w:rPr>
          <w:fldChar w:fldCharType="end"/>
        </w:r>
      </w:hyperlink>
    </w:p>
    <w:p w14:paraId="2830C627" w14:textId="212B9ED0" w:rsidR="00953FA6" w:rsidRDefault="00907ED5">
      <w:pPr>
        <w:pStyle w:val="TOC2"/>
        <w:rPr>
          <w:rFonts w:asciiTheme="minorHAnsi" w:eastAsiaTheme="minorEastAsia" w:hAnsiTheme="minorHAnsi" w:cstheme="minorBidi"/>
          <w:noProof/>
          <w:sz w:val="22"/>
          <w:szCs w:val="22"/>
          <w:lang w:eastAsia="en-IE"/>
        </w:rPr>
      </w:pPr>
      <w:hyperlink w:anchor="_Toc121830632" w:history="1">
        <w:r w:rsidR="00953FA6" w:rsidRPr="00AB7249">
          <w:rPr>
            <w:rStyle w:val="Hyperlink"/>
            <w:noProof/>
          </w:rPr>
          <w:t>Resources</w:t>
        </w:r>
        <w:r w:rsidR="00953FA6">
          <w:rPr>
            <w:noProof/>
            <w:webHidden/>
          </w:rPr>
          <w:tab/>
        </w:r>
        <w:r w:rsidR="00953FA6">
          <w:rPr>
            <w:noProof/>
            <w:webHidden/>
          </w:rPr>
          <w:fldChar w:fldCharType="begin"/>
        </w:r>
        <w:r w:rsidR="00953FA6">
          <w:rPr>
            <w:noProof/>
            <w:webHidden/>
          </w:rPr>
          <w:instrText xml:space="preserve"> PAGEREF _Toc121830632 \h </w:instrText>
        </w:r>
        <w:r w:rsidR="00953FA6">
          <w:rPr>
            <w:noProof/>
            <w:webHidden/>
          </w:rPr>
        </w:r>
        <w:r w:rsidR="00953FA6">
          <w:rPr>
            <w:noProof/>
            <w:webHidden/>
          </w:rPr>
          <w:fldChar w:fldCharType="separate"/>
        </w:r>
        <w:r w:rsidR="00953FA6">
          <w:rPr>
            <w:noProof/>
            <w:webHidden/>
          </w:rPr>
          <w:t>105</w:t>
        </w:r>
        <w:r w:rsidR="00953FA6">
          <w:rPr>
            <w:noProof/>
            <w:webHidden/>
          </w:rPr>
          <w:fldChar w:fldCharType="end"/>
        </w:r>
      </w:hyperlink>
    </w:p>
    <w:p w14:paraId="722E9178" w14:textId="0836DDCF" w:rsidR="00953FA6" w:rsidRDefault="00907ED5">
      <w:pPr>
        <w:pStyle w:val="TOC2"/>
        <w:rPr>
          <w:rFonts w:asciiTheme="minorHAnsi" w:eastAsiaTheme="minorEastAsia" w:hAnsiTheme="minorHAnsi" w:cstheme="minorBidi"/>
          <w:noProof/>
          <w:sz w:val="22"/>
          <w:szCs w:val="22"/>
          <w:lang w:eastAsia="en-IE"/>
        </w:rPr>
      </w:pPr>
      <w:hyperlink w:anchor="_Toc121830633" w:history="1">
        <w:r w:rsidR="00953FA6" w:rsidRPr="00AB7249">
          <w:rPr>
            <w:rStyle w:val="Hyperlink"/>
            <w:noProof/>
          </w:rPr>
          <w:t>Outcomes and quality of life</w:t>
        </w:r>
        <w:r w:rsidR="00953FA6">
          <w:rPr>
            <w:noProof/>
            <w:webHidden/>
          </w:rPr>
          <w:tab/>
        </w:r>
        <w:r w:rsidR="00953FA6">
          <w:rPr>
            <w:noProof/>
            <w:webHidden/>
          </w:rPr>
          <w:fldChar w:fldCharType="begin"/>
        </w:r>
        <w:r w:rsidR="00953FA6">
          <w:rPr>
            <w:noProof/>
            <w:webHidden/>
          </w:rPr>
          <w:instrText xml:space="preserve"> PAGEREF _Toc121830633 \h </w:instrText>
        </w:r>
        <w:r w:rsidR="00953FA6">
          <w:rPr>
            <w:noProof/>
            <w:webHidden/>
          </w:rPr>
        </w:r>
        <w:r w:rsidR="00953FA6">
          <w:rPr>
            <w:noProof/>
            <w:webHidden/>
          </w:rPr>
          <w:fldChar w:fldCharType="separate"/>
        </w:r>
        <w:r w:rsidR="00953FA6">
          <w:rPr>
            <w:noProof/>
            <w:webHidden/>
          </w:rPr>
          <w:t>111</w:t>
        </w:r>
        <w:r w:rsidR="00953FA6">
          <w:rPr>
            <w:noProof/>
            <w:webHidden/>
          </w:rPr>
          <w:fldChar w:fldCharType="end"/>
        </w:r>
      </w:hyperlink>
    </w:p>
    <w:p w14:paraId="7F8F977C" w14:textId="6AF8FBF7" w:rsidR="00953FA6" w:rsidRDefault="00907ED5" w:rsidP="0005123A">
      <w:pPr>
        <w:pStyle w:val="TOC1"/>
        <w:rPr>
          <w:rFonts w:asciiTheme="minorHAnsi" w:eastAsiaTheme="minorEastAsia" w:hAnsiTheme="minorHAnsi" w:cstheme="minorBidi"/>
          <w:noProof/>
          <w:sz w:val="22"/>
          <w:szCs w:val="22"/>
          <w:lang w:eastAsia="en-IE"/>
        </w:rPr>
      </w:pPr>
      <w:hyperlink w:anchor="_Toc121830634" w:history="1">
        <w:r w:rsidR="00953FA6" w:rsidRPr="00AB7249">
          <w:rPr>
            <w:rStyle w:val="Hyperlink"/>
            <w:noProof/>
          </w:rPr>
          <w:t>Chapter 6: Discussion and recommendations</w:t>
        </w:r>
        <w:r w:rsidR="00953FA6">
          <w:rPr>
            <w:noProof/>
            <w:webHidden/>
          </w:rPr>
          <w:tab/>
        </w:r>
        <w:r w:rsidR="00953FA6">
          <w:rPr>
            <w:noProof/>
            <w:webHidden/>
          </w:rPr>
          <w:fldChar w:fldCharType="begin"/>
        </w:r>
        <w:r w:rsidR="00953FA6">
          <w:rPr>
            <w:noProof/>
            <w:webHidden/>
          </w:rPr>
          <w:instrText xml:space="preserve"> PAGEREF _Toc121830634 \h </w:instrText>
        </w:r>
        <w:r w:rsidR="00953FA6">
          <w:rPr>
            <w:noProof/>
            <w:webHidden/>
          </w:rPr>
        </w:r>
        <w:r w:rsidR="00953FA6">
          <w:rPr>
            <w:noProof/>
            <w:webHidden/>
          </w:rPr>
          <w:fldChar w:fldCharType="separate"/>
        </w:r>
        <w:r w:rsidR="00953FA6">
          <w:rPr>
            <w:noProof/>
            <w:webHidden/>
          </w:rPr>
          <w:t>116</w:t>
        </w:r>
        <w:r w:rsidR="00953FA6">
          <w:rPr>
            <w:noProof/>
            <w:webHidden/>
          </w:rPr>
          <w:fldChar w:fldCharType="end"/>
        </w:r>
      </w:hyperlink>
    </w:p>
    <w:p w14:paraId="42B369A8" w14:textId="23D482C0" w:rsidR="00953FA6" w:rsidRDefault="00907ED5">
      <w:pPr>
        <w:pStyle w:val="TOC2"/>
        <w:rPr>
          <w:rFonts w:asciiTheme="minorHAnsi" w:eastAsiaTheme="minorEastAsia" w:hAnsiTheme="minorHAnsi" w:cstheme="minorBidi"/>
          <w:noProof/>
          <w:sz w:val="22"/>
          <w:szCs w:val="22"/>
          <w:lang w:eastAsia="en-IE"/>
        </w:rPr>
      </w:pPr>
      <w:hyperlink w:anchor="_Toc121830635" w:history="1">
        <w:r w:rsidR="00953FA6" w:rsidRPr="00AB7249">
          <w:rPr>
            <w:rStyle w:val="Hyperlink"/>
            <w:rFonts w:eastAsia="Gill Sans"/>
            <w:noProof/>
          </w:rPr>
          <w:t>Service approaches</w:t>
        </w:r>
        <w:r w:rsidR="00953FA6">
          <w:rPr>
            <w:noProof/>
            <w:webHidden/>
          </w:rPr>
          <w:tab/>
        </w:r>
        <w:r w:rsidR="00953FA6">
          <w:rPr>
            <w:noProof/>
            <w:webHidden/>
          </w:rPr>
          <w:fldChar w:fldCharType="begin"/>
        </w:r>
        <w:r w:rsidR="00953FA6">
          <w:rPr>
            <w:noProof/>
            <w:webHidden/>
          </w:rPr>
          <w:instrText xml:space="preserve"> PAGEREF _Toc121830635 \h </w:instrText>
        </w:r>
        <w:r w:rsidR="00953FA6">
          <w:rPr>
            <w:noProof/>
            <w:webHidden/>
          </w:rPr>
        </w:r>
        <w:r w:rsidR="00953FA6">
          <w:rPr>
            <w:noProof/>
            <w:webHidden/>
          </w:rPr>
          <w:fldChar w:fldCharType="separate"/>
        </w:r>
        <w:r w:rsidR="00953FA6">
          <w:rPr>
            <w:noProof/>
            <w:webHidden/>
          </w:rPr>
          <w:t>116</w:t>
        </w:r>
        <w:r w:rsidR="00953FA6">
          <w:rPr>
            <w:noProof/>
            <w:webHidden/>
          </w:rPr>
          <w:fldChar w:fldCharType="end"/>
        </w:r>
      </w:hyperlink>
    </w:p>
    <w:p w14:paraId="77E92460" w14:textId="0F55E684" w:rsidR="00953FA6" w:rsidRDefault="00907ED5">
      <w:pPr>
        <w:pStyle w:val="TOC2"/>
        <w:rPr>
          <w:rFonts w:asciiTheme="minorHAnsi" w:eastAsiaTheme="minorEastAsia" w:hAnsiTheme="minorHAnsi" w:cstheme="minorBidi"/>
          <w:noProof/>
          <w:sz w:val="22"/>
          <w:szCs w:val="22"/>
          <w:lang w:eastAsia="en-IE"/>
        </w:rPr>
      </w:pPr>
      <w:hyperlink w:anchor="_Toc121830636" w:history="1">
        <w:r w:rsidR="00953FA6" w:rsidRPr="00AB7249">
          <w:rPr>
            <w:rStyle w:val="Hyperlink"/>
            <w:rFonts w:eastAsia="Gill Sans"/>
            <w:noProof/>
          </w:rPr>
          <w:t>Current and future needs</w:t>
        </w:r>
        <w:r w:rsidR="00953FA6">
          <w:rPr>
            <w:noProof/>
            <w:webHidden/>
          </w:rPr>
          <w:tab/>
        </w:r>
        <w:r w:rsidR="00953FA6">
          <w:rPr>
            <w:noProof/>
            <w:webHidden/>
          </w:rPr>
          <w:fldChar w:fldCharType="begin"/>
        </w:r>
        <w:r w:rsidR="00953FA6">
          <w:rPr>
            <w:noProof/>
            <w:webHidden/>
          </w:rPr>
          <w:instrText xml:space="preserve"> PAGEREF _Toc121830636 \h </w:instrText>
        </w:r>
        <w:r w:rsidR="00953FA6">
          <w:rPr>
            <w:noProof/>
            <w:webHidden/>
          </w:rPr>
        </w:r>
        <w:r w:rsidR="00953FA6">
          <w:rPr>
            <w:noProof/>
            <w:webHidden/>
          </w:rPr>
          <w:fldChar w:fldCharType="separate"/>
        </w:r>
        <w:r w:rsidR="00953FA6">
          <w:rPr>
            <w:noProof/>
            <w:webHidden/>
          </w:rPr>
          <w:t>121</w:t>
        </w:r>
        <w:r w:rsidR="00953FA6">
          <w:rPr>
            <w:noProof/>
            <w:webHidden/>
          </w:rPr>
          <w:fldChar w:fldCharType="end"/>
        </w:r>
      </w:hyperlink>
    </w:p>
    <w:p w14:paraId="4625689E" w14:textId="29B750BD" w:rsidR="00953FA6" w:rsidRDefault="00907ED5">
      <w:pPr>
        <w:pStyle w:val="TOC2"/>
        <w:rPr>
          <w:rFonts w:asciiTheme="minorHAnsi" w:eastAsiaTheme="minorEastAsia" w:hAnsiTheme="minorHAnsi" w:cstheme="minorBidi"/>
          <w:noProof/>
          <w:sz w:val="22"/>
          <w:szCs w:val="22"/>
          <w:lang w:eastAsia="en-IE"/>
        </w:rPr>
      </w:pPr>
      <w:hyperlink w:anchor="_Toc121830637" w:history="1">
        <w:r w:rsidR="00953FA6" w:rsidRPr="00AB7249">
          <w:rPr>
            <w:rStyle w:val="Hyperlink"/>
            <w:noProof/>
          </w:rPr>
          <w:t>Meeting future need</w:t>
        </w:r>
        <w:r w:rsidR="00953FA6">
          <w:rPr>
            <w:noProof/>
            <w:webHidden/>
          </w:rPr>
          <w:tab/>
        </w:r>
        <w:r w:rsidR="00953FA6">
          <w:rPr>
            <w:noProof/>
            <w:webHidden/>
          </w:rPr>
          <w:fldChar w:fldCharType="begin"/>
        </w:r>
        <w:r w:rsidR="00953FA6">
          <w:rPr>
            <w:noProof/>
            <w:webHidden/>
          </w:rPr>
          <w:instrText xml:space="preserve"> PAGEREF _Toc121830637 \h </w:instrText>
        </w:r>
        <w:r w:rsidR="00953FA6">
          <w:rPr>
            <w:noProof/>
            <w:webHidden/>
          </w:rPr>
        </w:r>
        <w:r w:rsidR="00953FA6">
          <w:rPr>
            <w:noProof/>
            <w:webHidden/>
          </w:rPr>
          <w:fldChar w:fldCharType="separate"/>
        </w:r>
        <w:r w:rsidR="00953FA6">
          <w:rPr>
            <w:noProof/>
            <w:webHidden/>
          </w:rPr>
          <w:t>123</w:t>
        </w:r>
        <w:r w:rsidR="00953FA6">
          <w:rPr>
            <w:noProof/>
            <w:webHidden/>
          </w:rPr>
          <w:fldChar w:fldCharType="end"/>
        </w:r>
      </w:hyperlink>
    </w:p>
    <w:p w14:paraId="242B450D" w14:textId="2CA4A853" w:rsidR="00953FA6" w:rsidRDefault="00907ED5">
      <w:pPr>
        <w:pStyle w:val="TOC2"/>
        <w:rPr>
          <w:rFonts w:asciiTheme="minorHAnsi" w:eastAsiaTheme="minorEastAsia" w:hAnsiTheme="minorHAnsi" w:cstheme="minorBidi"/>
          <w:noProof/>
          <w:sz w:val="22"/>
          <w:szCs w:val="22"/>
          <w:lang w:eastAsia="en-IE"/>
        </w:rPr>
      </w:pPr>
      <w:hyperlink w:anchor="_Toc121830638" w:history="1">
        <w:r w:rsidR="00953FA6" w:rsidRPr="00AB7249">
          <w:rPr>
            <w:rStyle w:val="Hyperlink"/>
            <w:rFonts w:eastAsia="Gill Sans"/>
            <w:noProof/>
          </w:rPr>
          <w:t>Conclusions</w:t>
        </w:r>
        <w:r w:rsidR="00953FA6">
          <w:rPr>
            <w:noProof/>
            <w:webHidden/>
          </w:rPr>
          <w:tab/>
        </w:r>
        <w:r w:rsidR="00953FA6">
          <w:rPr>
            <w:noProof/>
            <w:webHidden/>
          </w:rPr>
          <w:fldChar w:fldCharType="begin"/>
        </w:r>
        <w:r w:rsidR="00953FA6">
          <w:rPr>
            <w:noProof/>
            <w:webHidden/>
          </w:rPr>
          <w:instrText xml:space="preserve"> PAGEREF _Toc121830638 \h </w:instrText>
        </w:r>
        <w:r w:rsidR="00953FA6">
          <w:rPr>
            <w:noProof/>
            <w:webHidden/>
          </w:rPr>
        </w:r>
        <w:r w:rsidR="00953FA6">
          <w:rPr>
            <w:noProof/>
            <w:webHidden/>
          </w:rPr>
          <w:fldChar w:fldCharType="separate"/>
        </w:r>
        <w:r w:rsidR="00953FA6">
          <w:rPr>
            <w:noProof/>
            <w:webHidden/>
          </w:rPr>
          <w:t>126</w:t>
        </w:r>
        <w:r w:rsidR="00953FA6">
          <w:rPr>
            <w:noProof/>
            <w:webHidden/>
          </w:rPr>
          <w:fldChar w:fldCharType="end"/>
        </w:r>
      </w:hyperlink>
    </w:p>
    <w:p w14:paraId="2B04BA6C" w14:textId="2ACC7488" w:rsidR="00953FA6" w:rsidRDefault="00907ED5">
      <w:pPr>
        <w:pStyle w:val="TOC2"/>
        <w:rPr>
          <w:rFonts w:asciiTheme="minorHAnsi" w:eastAsiaTheme="minorEastAsia" w:hAnsiTheme="minorHAnsi" w:cstheme="minorBidi"/>
          <w:noProof/>
          <w:sz w:val="22"/>
          <w:szCs w:val="22"/>
          <w:lang w:eastAsia="en-IE"/>
        </w:rPr>
      </w:pPr>
      <w:hyperlink w:anchor="_Toc121830639" w:history="1">
        <w:r w:rsidR="00953FA6" w:rsidRPr="00AB7249">
          <w:rPr>
            <w:rStyle w:val="Hyperlink"/>
            <w:rFonts w:eastAsia="Calibri"/>
            <w:noProof/>
          </w:rPr>
          <w:t>Limitations</w:t>
        </w:r>
        <w:r w:rsidR="00953FA6">
          <w:rPr>
            <w:noProof/>
            <w:webHidden/>
          </w:rPr>
          <w:tab/>
        </w:r>
        <w:r w:rsidR="00953FA6">
          <w:rPr>
            <w:noProof/>
            <w:webHidden/>
          </w:rPr>
          <w:fldChar w:fldCharType="begin"/>
        </w:r>
        <w:r w:rsidR="00953FA6">
          <w:rPr>
            <w:noProof/>
            <w:webHidden/>
          </w:rPr>
          <w:instrText xml:space="preserve"> PAGEREF _Toc121830639 \h </w:instrText>
        </w:r>
        <w:r w:rsidR="00953FA6">
          <w:rPr>
            <w:noProof/>
            <w:webHidden/>
          </w:rPr>
        </w:r>
        <w:r w:rsidR="00953FA6">
          <w:rPr>
            <w:noProof/>
            <w:webHidden/>
          </w:rPr>
          <w:fldChar w:fldCharType="separate"/>
        </w:r>
        <w:r w:rsidR="00953FA6">
          <w:rPr>
            <w:noProof/>
            <w:webHidden/>
          </w:rPr>
          <w:t>127</w:t>
        </w:r>
        <w:r w:rsidR="00953FA6">
          <w:rPr>
            <w:noProof/>
            <w:webHidden/>
          </w:rPr>
          <w:fldChar w:fldCharType="end"/>
        </w:r>
      </w:hyperlink>
    </w:p>
    <w:p w14:paraId="6F708BA3" w14:textId="4FDD5173" w:rsidR="00953FA6" w:rsidRDefault="00907ED5">
      <w:pPr>
        <w:pStyle w:val="TOC2"/>
        <w:rPr>
          <w:rFonts w:asciiTheme="minorHAnsi" w:eastAsiaTheme="minorEastAsia" w:hAnsiTheme="minorHAnsi" w:cstheme="minorBidi"/>
          <w:noProof/>
          <w:sz w:val="22"/>
          <w:szCs w:val="22"/>
          <w:lang w:eastAsia="en-IE"/>
        </w:rPr>
      </w:pPr>
      <w:hyperlink w:anchor="_Toc121830640" w:history="1">
        <w:r w:rsidR="00953FA6" w:rsidRPr="00AB7249">
          <w:rPr>
            <w:rStyle w:val="Hyperlink"/>
            <w:rFonts w:eastAsia="Gill Sans"/>
            <w:noProof/>
          </w:rPr>
          <w:t>Recommendations</w:t>
        </w:r>
        <w:r w:rsidR="00953FA6">
          <w:rPr>
            <w:noProof/>
            <w:webHidden/>
          </w:rPr>
          <w:tab/>
        </w:r>
        <w:r w:rsidR="00953FA6">
          <w:rPr>
            <w:noProof/>
            <w:webHidden/>
          </w:rPr>
          <w:fldChar w:fldCharType="begin"/>
        </w:r>
        <w:r w:rsidR="00953FA6">
          <w:rPr>
            <w:noProof/>
            <w:webHidden/>
          </w:rPr>
          <w:instrText xml:space="preserve"> PAGEREF _Toc121830640 \h </w:instrText>
        </w:r>
        <w:r w:rsidR="00953FA6">
          <w:rPr>
            <w:noProof/>
            <w:webHidden/>
          </w:rPr>
        </w:r>
        <w:r w:rsidR="00953FA6">
          <w:rPr>
            <w:noProof/>
            <w:webHidden/>
          </w:rPr>
          <w:fldChar w:fldCharType="separate"/>
        </w:r>
        <w:r w:rsidR="00953FA6">
          <w:rPr>
            <w:noProof/>
            <w:webHidden/>
          </w:rPr>
          <w:t>129</w:t>
        </w:r>
        <w:r w:rsidR="00953FA6">
          <w:rPr>
            <w:noProof/>
            <w:webHidden/>
          </w:rPr>
          <w:fldChar w:fldCharType="end"/>
        </w:r>
      </w:hyperlink>
    </w:p>
    <w:p w14:paraId="4BA9D437" w14:textId="251B3EB6" w:rsidR="00953FA6" w:rsidRDefault="00907ED5" w:rsidP="0005123A">
      <w:pPr>
        <w:pStyle w:val="TOC1"/>
        <w:rPr>
          <w:rFonts w:asciiTheme="minorHAnsi" w:eastAsiaTheme="minorEastAsia" w:hAnsiTheme="minorHAnsi" w:cstheme="minorBidi"/>
          <w:noProof/>
          <w:sz w:val="22"/>
          <w:szCs w:val="22"/>
          <w:lang w:eastAsia="en-IE"/>
        </w:rPr>
      </w:pPr>
      <w:hyperlink w:anchor="_Toc121830641" w:history="1">
        <w:r w:rsidR="00953FA6" w:rsidRPr="00AB7249">
          <w:rPr>
            <w:rStyle w:val="Hyperlink"/>
            <w:noProof/>
          </w:rPr>
          <w:t>References</w:t>
        </w:r>
        <w:r w:rsidR="00953FA6">
          <w:rPr>
            <w:noProof/>
            <w:webHidden/>
          </w:rPr>
          <w:tab/>
        </w:r>
        <w:r w:rsidR="00953FA6">
          <w:rPr>
            <w:noProof/>
            <w:webHidden/>
          </w:rPr>
          <w:fldChar w:fldCharType="begin"/>
        </w:r>
        <w:r w:rsidR="00953FA6">
          <w:rPr>
            <w:noProof/>
            <w:webHidden/>
          </w:rPr>
          <w:instrText xml:space="preserve"> PAGEREF _Toc121830641 \h </w:instrText>
        </w:r>
        <w:r w:rsidR="00953FA6">
          <w:rPr>
            <w:noProof/>
            <w:webHidden/>
          </w:rPr>
        </w:r>
        <w:r w:rsidR="00953FA6">
          <w:rPr>
            <w:noProof/>
            <w:webHidden/>
          </w:rPr>
          <w:fldChar w:fldCharType="separate"/>
        </w:r>
        <w:r w:rsidR="00953FA6">
          <w:rPr>
            <w:noProof/>
            <w:webHidden/>
          </w:rPr>
          <w:t>134</w:t>
        </w:r>
        <w:r w:rsidR="00953FA6">
          <w:rPr>
            <w:noProof/>
            <w:webHidden/>
          </w:rPr>
          <w:fldChar w:fldCharType="end"/>
        </w:r>
      </w:hyperlink>
    </w:p>
    <w:p w14:paraId="4D3F2051" w14:textId="0AE1DBDC" w:rsidR="00953FA6" w:rsidRDefault="00907ED5" w:rsidP="0005123A">
      <w:pPr>
        <w:pStyle w:val="TOC1"/>
        <w:rPr>
          <w:rFonts w:asciiTheme="minorHAnsi" w:eastAsiaTheme="minorEastAsia" w:hAnsiTheme="minorHAnsi" w:cstheme="minorBidi"/>
          <w:noProof/>
          <w:sz w:val="22"/>
          <w:szCs w:val="22"/>
          <w:lang w:eastAsia="en-IE"/>
        </w:rPr>
      </w:pPr>
      <w:hyperlink w:anchor="_Toc121830642" w:history="1">
        <w:r w:rsidR="00953FA6" w:rsidRPr="00AB7249">
          <w:rPr>
            <w:rStyle w:val="Hyperlink"/>
            <w:noProof/>
          </w:rPr>
          <w:t>Appendix</w:t>
        </w:r>
        <w:r w:rsidR="00953FA6">
          <w:rPr>
            <w:noProof/>
            <w:webHidden/>
          </w:rPr>
          <w:tab/>
        </w:r>
        <w:r w:rsidR="00953FA6">
          <w:rPr>
            <w:noProof/>
            <w:webHidden/>
          </w:rPr>
          <w:fldChar w:fldCharType="begin"/>
        </w:r>
        <w:r w:rsidR="00953FA6">
          <w:rPr>
            <w:noProof/>
            <w:webHidden/>
          </w:rPr>
          <w:instrText xml:space="preserve"> PAGEREF _Toc121830642 \h </w:instrText>
        </w:r>
        <w:r w:rsidR="00953FA6">
          <w:rPr>
            <w:noProof/>
            <w:webHidden/>
          </w:rPr>
        </w:r>
        <w:r w:rsidR="00953FA6">
          <w:rPr>
            <w:noProof/>
            <w:webHidden/>
          </w:rPr>
          <w:fldChar w:fldCharType="separate"/>
        </w:r>
        <w:r w:rsidR="00953FA6">
          <w:rPr>
            <w:noProof/>
            <w:webHidden/>
          </w:rPr>
          <w:t>155</w:t>
        </w:r>
        <w:r w:rsidR="00953FA6">
          <w:rPr>
            <w:noProof/>
            <w:webHidden/>
          </w:rPr>
          <w:fldChar w:fldCharType="end"/>
        </w:r>
      </w:hyperlink>
    </w:p>
    <w:p w14:paraId="09C79134" w14:textId="501734EF" w:rsidR="00953FA6" w:rsidRDefault="00907ED5">
      <w:pPr>
        <w:pStyle w:val="TOC2"/>
        <w:rPr>
          <w:rFonts w:asciiTheme="minorHAnsi" w:eastAsiaTheme="minorEastAsia" w:hAnsiTheme="minorHAnsi" w:cstheme="minorBidi"/>
          <w:noProof/>
          <w:sz w:val="22"/>
          <w:szCs w:val="22"/>
          <w:lang w:eastAsia="en-IE"/>
        </w:rPr>
      </w:pPr>
      <w:hyperlink w:anchor="_Toc121830643" w:history="1">
        <w:r w:rsidR="00953FA6" w:rsidRPr="00AB7249">
          <w:rPr>
            <w:rStyle w:val="Hyperlink"/>
            <w:noProof/>
          </w:rPr>
          <w:t>Survey findings</w:t>
        </w:r>
        <w:r w:rsidR="00953FA6">
          <w:rPr>
            <w:noProof/>
            <w:webHidden/>
          </w:rPr>
          <w:tab/>
        </w:r>
        <w:r w:rsidR="00953FA6">
          <w:rPr>
            <w:noProof/>
            <w:webHidden/>
          </w:rPr>
          <w:fldChar w:fldCharType="begin"/>
        </w:r>
        <w:r w:rsidR="00953FA6">
          <w:rPr>
            <w:noProof/>
            <w:webHidden/>
          </w:rPr>
          <w:instrText xml:space="preserve"> PAGEREF _Toc121830643 \h </w:instrText>
        </w:r>
        <w:r w:rsidR="00953FA6">
          <w:rPr>
            <w:noProof/>
            <w:webHidden/>
          </w:rPr>
        </w:r>
        <w:r w:rsidR="00953FA6">
          <w:rPr>
            <w:noProof/>
            <w:webHidden/>
          </w:rPr>
          <w:fldChar w:fldCharType="separate"/>
        </w:r>
        <w:r w:rsidR="00953FA6">
          <w:rPr>
            <w:noProof/>
            <w:webHidden/>
          </w:rPr>
          <w:t>155</w:t>
        </w:r>
        <w:r w:rsidR="00953FA6">
          <w:rPr>
            <w:noProof/>
            <w:webHidden/>
          </w:rPr>
          <w:fldChar w:fldCharType="end"/>
        </w:r>
      </w:hyperlink>
    </w:p>
    <w:p w14:paraId="5C68DFAC" w14:textId="5AA41971" w:rsidR="008D446F" w:rsidRDefault="00C57EAF" w:rsidP="000F625E">
      <w:pPr>
        <w:spacing w:after="0"/>
      </w:pPr>
      <w:r>
        <w:fldChar w:fldCharType="end"/>
      </w:r>
    </w:p>
    <w:p w14:paraId="49B0ED35" w14:textId="6428B3FF" w:rsidR="00354558" w:rsidRDefault="00B64CC7" w:rsidP="00C16EF5">
      <w:pPr>
        <w:pStyle w:val="Heading1"/>
      </w:pPr>
      <w:r>
        <w:br w:type="page"/>
      </w:r>
      <w:bookmarkStart w:id="9" w:name="_Toc118555180"/>
      <w:bookmarkStart w:id="10" w:name="_Toc118558240"/>
      <w:bookmarkStart w:id="11" w:name="_Toc118558338"/>
      <w:bookmarkStart w:id="12" w:name="_Toc121830588"/>
      <w:r w:rsidR="00EB2C18">
        <w:t>List of</w:t>
      </w:r>
      <w:r w:rsidR="00155354">
        <w:t xml:space="preserve"> </w:t>
      </w:r>
      <w:r w:rsidR="00EB2C18">
        <w:t>Tables</w:t>
      </w:r>
      <w:bookmarkEnd w:id="9"/>
      <w:bookmarkEnd w:id="10"/>
      <w:bookmarkEnd w:id="11"/>
      <w:bookmarkEnd w:id="12"/>
    </w:p>
    <w:p w14:paraId="46FE6E08" w14:textId="5237798D" w:rsidR="00350313" w:rsidRDefault="00430214" w:rsidP="003318DB">
      <w:pPr>
        <w:pStyle w:val="TableofFigures"/>
        <w:rPr>
          <w:rFonts w:asciiTheme="minorHAnsi" w:eastAsiaTheme="minorEastAsia" w:hAnsiTheme="minorHAnsi" w:cstheme="minorBidi"/>
          <w:noProof/>
          <w:sz w:val="22"/>
          <w:szCs w:val="22"/>
          <w:lang w:eastAsia="en-IE"/>
        </w:rPr>
      </w:pPr>
      <w:r>
        <w:fldChar w:fldCharType="begin"/>
      </w:r>
      <w:r>
        <w:instrText xml:space="preserve"> TOC \h \z \c "Table" </w:instrText>
      </w:r>
      <w:r>
        <w:fldChar w:fldCharType="separate"/>
      </w:r>
      <w:hyperlink w:anchor="_Toc121830412" w:history="1">
        <w:r w:rsidR="00350313" w:rsidRPr="00D1283D">
          <w:rPr>
            <w:rStyle w:val="Hyperlink"/>
            <w:noProof/>
          </w:rPr>
          <w:t>Table 1: Housing types</w:t>
        </w:r>
        <w:r w:rsidR="00350313">
          <w:rPr>
            <w:noProof/>
            <w:webHidden/>
          </w:rPr>
          <w:tab/>
        </w:r>
        <w:r w:rsidR="00350313">
          <w:rPr>
            <w:noProof/>
            <w:webHidden/>
          </w:rPr>
          <w:fldChar w:fldCharType="begin"/>
        </w:r>
        <w:r w:rsidR="00350313">
          <w:rPr>
            <w:noProof/>
            <w:webHidden/>
          </w:rPr>
          <w:instrText xml:space="preserve"> PAGEREF _Toc121830412 \h </w:instrText>
        </w:r>
        <w:r w:rsidR="00350313">
          <w:rPr>
            <w:noProof/>
            <w:webHidden/>
          </w:rPr>
        </w:r>
        <w:r w:rsidR="00350313">
          <w:rPr>
            <w:noProof/>
            <w:webHidden/>
          </w:rPr>
          <w:fldChar w:fldCharType="separate"/>
        </w:r>
        <w:r w:rsidR="00350313">
          <w:rPr>
            <w:noProof/>
            <w:webHidden/>
          </w:rPr>
          <w:t>43</w:t>
        </w:r>
        <w:r w:rsidR="00350313">
          <w:rPr>
            <w:noProof/>
            <w:webHidden/>
          </w:rPr>
          <w:fldChar w:fldCharType="end"/>
        </w:r>
      </w:hyperlink>
    </w:p>
    <w:p w14:paraId="29D00ECF" w14:textId="6D66EA43" w:rsidR="00350313" w:rsidRDefault="00907ED5" w:rsidP="003318DB">
      <w:pPr>
        <w:pStyle w:val="TableofFigures"/>
        <w:rPr>
          <w:rFonts w:asciiTheme="minorHAnsi" w:eastAsiaTheme="minorEastAsia" w:hAnsiTheme="minorHAnsi" w:cstheme="minorBidi"/>
          <w:noProof/>
          <w:sz w:val="22"/>
          <w:szCs w:val="22"/>
          <w:lang w:eastAsia="en-IE"/>
        </w:rPr>
      </w:pPr>
      <w:hyperlink w:anchor="_Toc121830413" w:history="1">
        <w:r w:rsidR="00350313" w:rsidRPr="00D1283D">
          <w:rPr>
            <w:rStyle w:val="Hyperlink"/>
            <w:noProof/>
          </w:rPr>
          <w:t>Table 2: Details of participants/respondents across the study</w:t>
        </w:r>
        <w:r w:rsidR="00350313">
          <w:rPr>
            <w:noProof/>
            <w:webHidden/>
          </w:rPr>
          <w:tab/>
        </w:r>
        <w:r w:rsidR="00350313">
          <w:rPr>
            <w:noProof/>
            <w:webHidden/>
          </w:rPr>
          <w:fldChar w:fldCharType="begin"/>
        </w:r>
        <w:r w:rsidR="00350313">
          <w:rPr>
            <w:noProof/>
            <w:webHidden/>
          </w:rPr>
          <w:instrText xml:space="preserve"> PAGEREF _Toc121830413 \h </w:instrText>
        </w:r>
        <w:r w:rsidR="00350313">
          <w:rPr>
            <w:noProof/>
            <w:webHidden/>
          </w:rPr>
        </w:r>
        <w:r w:rsidR="00350313">
          <w:rPr>
            <w:noProof/>
            <w:webHidden/>
          </w:rPr>
          <w:fldChar w:fldCharType="separate"/>
        </w:r>
        <w:r w:rsidR="00350313">
          <w:rPr>
            <w:noProof/>
            <w:webHidden/>
          </w:rPr>
          <w:t>69</w:t>
        </w:r>
        <w:r w:rsidR="00350313">
          <w:rPr>
            <w:noProof/>
            <w:webHidden/>
          </w:rPr>
          <w:fldChar w:fldCharType="end"/>
        </w:r>
      </w:hyperlink>
    </w:p>
    <w:p w14:paraId="2DD4F63D" w14:textId="6349F632" w:rsidR="00350313" w:rsidRDefault="00907ED5" w:rsidP="003318DB">
      <w:pPr>
        <w:pStyle w:val="TableofFigures"/>
        <w:rPr>
          <w:rFonts w:asciiTheme="minorHAnsi" w:eastAsiaTheme="minorEastAsia" w:hAnsiTheme="minorHAnsi" w:cstheme="minorBidi"/>
          <w:noProof/>
          <w:sz w:val="22"/>
          <w:szCs w:val="22"/>
          <w:lang w:eastAsia="en-IE"/>
        </w:rPr>
      </w:pPr>
      <w:hyperlink w:anchor="_Toc121830414" w:history="1">
        <w:r w:rsidR="00350313" w:rsidRPr="00D1283D">
          <w:rPr>
            <w:rStyle w:val="Hyperlink"/>
            <w:noProof/>
          </w:rPr>
          <w:t xml:space="preserve">Table 3: </w:t>
        </w:r>
        <w:r w:rsidR="00350313" w:rsidRPr="00D1283D">
          <w:rPr>
            <w:rStyle w:val="Hyperlink"/>
            <w:rFonts w:eastAsia="Calibri"/>
            <w:noProof/>
          </w:rPr>
          <w:t>Service approaches identified across survey respondent settings</w:t>
        </w:r>
        <w:r w:rsidR="00350313">
          <w:rPr>
            <w:noProof/>
            <w:webHidden/>
          </w:rPr>
          <w:tab/>
        </w:r>
        <w:r w:rsidR="00350313">
          <w:rPr>
            <w:noProof/>
            <w:webHidden/>
          </w:rPr>
          <w:fldChar w:fldCharType="begin"/>
        </w:r>
        <w:r w:rsidR="00350313">
          <w:rPr>
            <w:noProof/>
            <w:webHidden/>
          </w:rPr>
          <w:instrText xml:space="preserve"> PAGEREF _Toc121830414 \h </w:instrText>
        </w:r>
        <w:r w:rsidR="00350313">
          <w:rPr>
            <w:noProof/>
            <w:webHidden/>
          </w:rPr>
        </w:r>
        <w:r w:rsidR="00350313">
          <w:rPr>
            <w:noProof/>
            <w:webHidden/>
          </w:rPr>
          <w:fldChar w:fldCharType="separate"/>
        </w:r>
        <w:r w:rsidR="00350313">
          <w:rPr>
            <w:noProof/>
            <w:webHidden/>
          </w:rPr>
          <w:t>71</w:t>
        </w:r>
        <w:r w:rsidR="00350313">
          <w:rPr>
            <w:noProof/>
            <w:webHidden/>
          </w:rPr>
          <w:fldChar w:fldCharType="end"/>
        </w:r>
      </w:hyperlink>
    </w:p>
    <w:p w14:paraId="5DF7503C" w14:textId="5AF3E041" w:rsidR="00350313" w:rsidRDefault="00907ED5" w:rsidP="003318DB">
      <w:pPr>
        <w:pStyle w:val="TableofFigures"/>
        <w:rPr>
          <w:rFonts w:asciiTheme="minorHAnsi" w:eastAsiaTheme="minorEastAsia" w:hAnsiTheme="minorHAnsi" w:cstheme="minorBidi"/>
          <w:noProof/>
          <w:sz w:val="22"/>
          <w:szCs w:val="22"/>
          <w:lang w:eastAsia="en-IE"/>
        </w:rPr>
      </w:pPr>
      <w:hyperlink w:anchor="_Toc121830415" w:history="1">
        <w:r w:rsidR="00350313" w:rsidRPr="00D1283D">
          <w:rPr>
            <w:rStyle w:val="Hyperlink"/>
            <w:noProof/>
          </w:rPr>
          <w:t xml:space="preserve">Table 4: </w:t>
        </w:r>
        <w:r w:rsidR="00350313" w:rsidRPr="00D1283D">
          <w:rPr>
            <w:rStyle w:val="Hyperlink"/>
            <w:rFonts w:eastAsia="Calibri"/>
            <w:noProof/>
          </w:rPr>
          <w:t>Congregated setting types identified by survey respondents</w:t>
        </w:r>
        <w:r w:rsidR="00350313">
          <w:rPr>
            <w:noProof/>
            <w:webHidden/>
          </w:rPr>
          <w:tab/>
        </w:r>
        <w:r w:rsidR="00350313">
          <w:rPr>
            <w:noProof/>
            <w:webHidden/>
          </w:rPr>
          <w:fldChar w:fldCharType="begin"/>
        </w:r>
        <w:r w:rsidR="00350313">
          <w:rPr>
            <w:noProof/>
            <w:webHidden/>
          </w:rPr>
          <w:instrText xml:space="preserve"> PAGEREF _Toc121830415 \h </w:instrText>
        </w:r>
        <w:r w:rsidR="00350313">
          <w:rPr>
            <w:noProof/>
            <w:webHidden/>
          </w:rPr>
        </w:r>
        <w:r w:rsidR="00350313">
          <w:rPr>
            <w:noProof/>
            <w:webHidden/>
          </w:rPr>
          <w:fldChar w:fldCharType="separate"/>
        </w:r>
        <w:r w:rsidR="00350313">
          <w:rPr>
            <w:noProof/>
            <w:webHidden/>
          </w:rPr>
          <w:t>73</w:t>
        </w:r>
        <w:r w:rsidR="00350313">
          <w:rPr>
            <w:noProof/>
            <w:webHidden/>
          </w:rPr>
          <w:fldChar w:fldCharType="end"/>
        </w:r>
      </w:hyperlink>
    </w:p>
    <w:p w14:paraId="73CDF1F9" w14:textId="69BFABCC" w:rsidR="00350313" w:rsidRDefault="00907ED5" w:rsidP="003318DB">
      <w:pPr>
        <w:pStyle w:val="TableofFigures"/>
        <w:rPr>
          <w:rFonts w:asciiTheme="minorHAnsi" w:eastAsiaTheme="minorEastAsia" w:hAnsiTheme="minorHAnsi" w:cstheme="minorBidi"/>
          <w:noProof/>
          <w:sz w:val="22"/>
          <w:szCs w:val="22"/>
          <w:lang w:eastAsia="en-IE"/>
        </w:rPr>
      </w:pPr>
      <w:hyperlink w:anchor="_Toc121830416" w:history="1">
        <w:r w:rsidR="00350313" w:rsidRPr="00D1283D">
          <w:rPr>
            <w:rStyle w:val="Hyperlink"/>
            <w:noProof/>
          </w:rPr>
          <w:t>Table 5: Significant age-related concerns for older adults in services</w:t>
        </w:r>
        <w:r w:rsidR="00350313">
          <w:rPr>
            <w:noProof/>
            <w:webHidden/>
          </w:rPr>
          <w:tab/>
        </w:r>
        <w:r w:rsidR="00350313">
          <w:rPr>
            <w:noProof/>
            <w:webHidden/>
          </w:rPr>
          <w:fldChar w:fldCharType="begin"/>
        </w:r>
        <w:r w:rsidR="00350313">
          <w:rPr>
            <w:noProof/>
            <w:webHidden/>
          </w:rPr>
          <w:instrText xml:space="preserve"> PAGEREF _Toc121830416 \h </w:instrText>
        </w:r>
        <w:r w:rsidR="00350313">
          <w:rPr>
            <w:noProof/>
            <w:webHidden/>
          </w:rPr>
        </w:r>
        <w:r w:rsidR="00350313">
          <w:rPr>
            <w:noProof/>
            <w:webHidden/>
          </w:rPr>
          <w:fldChar w:fldCharType="separate"/>
        </w:r>
        <w:r w:rsidR="00350313">
          <w:rPr>
            <w:noProof/>
            <w:webHidden/>
          </w:rPr>
          <w:t>88</w:t>
        </w:r>
        <w:r w:rsidR="00350313">
          <w:rPr>
            <w:noProof/>
            <w:webHidden/>
          </w:rPr>
          <w:fldChar w:fldCharType="end"/>
        </w:r>
      </w:hyperlink>
    </w:p>
    <w:p w14:paraId="3BC51D6B" w14:textId="34F0FC35" w:rsidR="000D6331" w:rsidRDefault="00430214">
      <w:pPr>
        <w:spacing w:after="0"/>
      </w:pPr>
      <w:r>
        <w:fldChar w:fldCharType="end"/>
      </w:r>
    </w:p>
    <w:p w14:paraId="53BBD751" w14:textId="5D7B7C3F" w:rsidR="002643FE" w:rsidRDefault="002643FE" w:rsidP="002643FE">
      <w:pPr>
        <w:pStyle w:val="Heading1"/>
      </w:pPr>
      <w:bookmarkStart w:id="13" w:name="_Toc118555181"/>
      <w:bookmarkStart w:id="14" w:name="_Toc118558241"/>
      <w:bookmarkStart w:id="15" w:name="_Toc118558339"/>
      <w:bookmarkStart w:id="16" w:name="_Toc121830589"/>
      <w:r>
        <w:t>List of Figures</w:t>
      </w:r>
      <w:bookmarkEnd w:id="13"/>
      <w:bookmarkEnd w:id="14"/>
      <w:bookmarkEnd w:id="15"/>
      <w:bookmarkEnd w:id="16"/>
    </w:p>
    <w:p w14:paraId="1B626CF7" w14:textId="428ECC50" w:rsidR="00953FA6" w:rsidRDefault="00B1384D">
      <w:pPr>
        <w:pStyle w:val="TableofFigures"/>
        <w:rPr>
          <w:rFonts w:asciiTheme="minorHAnsi" w:eastAsiaTheme="minorEastAsia" w:hAnsiTheme="minorHAnsi" w:cstheme="minorBidi"/>
          <w:noProof/>
          <w:sz w:val="22"/>
          <w:szCs w:val="22"/>
          <w:lang w:eastAsia="en-IE"/>
        </w:rPr>
      </w:pPr>
      <w:r>
        <w:fldChar w:fldCharType="begin"/>
      </w:r>
      <w:r>
        <w:instrText xml:space="preserve"> TOC \h \z \c "Figure" </w:instrText>
      </w:r>
      <w:r>
        <w:fldChar w:fldCharType="separate"/>
      </w:r>
      <w:hyperlink w:anchor="_Toc121830564" w:history="1">
        <w:r w:rsidR="00953FA6" w:rsidRPr="0038237B">
          <w:rPr>
            <w:rStyle w:val="Hyperlink"/>
            <w:noProof/>
          </w:rPr>
          <w:t>Figure 1: Components of a model of care for older people with intellectual disabilities and age-related complex needs</w:t>
        </w:r>
        <w:r w:rsidR="00953FA6">
          <w:rPr>
            <w:noProof/>
            <w:webHidden/>
          </w:rPr>
          <w:tab/>
        </w:r>
        <w:r w:rsidR="00953FA6">
          <w:rPr>
            <w:noProof/>
            <w:webHidden/>
          </w:rPr>
          <w:fldChar w:fldCharType="begin"/>
        </w:r>
        <w:r w:rsidR="00953FA6">
          <w:rPr>
            <w:noProof/>
            <w:webHidden/>
          </w:rPr>
          <w:instrText xml:space="preserve"> PAGEREF _Toc121830564 \h </w:instrText>
        </w:r>
        <w:r w:rsidR="00953FA6">
          <w:rPr>
            <w:noProof/>
            <w:webHidden/>
          </w:rPr>
        </w:r>
        <w:r w:rsidR="00953FA6">
          <w:rPr>
            <w:noProof/>
            <w:webHidden/>
          </w:rPr>
          <w:fldChar w:fldCharType="separate"/>
        </w:r>
        <w:r w:rsidR="00953FA6">
          <w:rPr>
            <w:noProof/>
            <w:webHidden/>
          </w:rPr>
          <w:t>29</w:t>
        </w:r>
        <w:r w:rsidR="00953FA6">
          <w:rPr>
            <w:noProof/>
            <w:webHidden/>
          </w:rPr>
          <w:fldChar w:fldCharType="end"/>
        </w:r>
      </w:hyperlink>
    </w:p>
    <w:p w14:paraId="29FB00C5" w14:textId="7D827245" w:rsidR="00953FA6" w:rsidRDefault="00907ED5">
      <w:pPr>
        <w:pStyle w:val="TableofFigures"/>
        <w:rPr>
          <w:rFonts w:asciiTheme="minorHAnsi" w:eastAsiaTheme="minorEastAsia" w:hAnsiTheme="minorHAnsi" w:cstheme="minorBidi"/>
          <w:noProof/>
          <w:sz w:val="22"/>
          <w:szCs w:val="22"/>
          <w:lang w:eastAsia="en-IE"/>
        </w:rPr>
      </w:pPr>
      <w:hyperlink w:anchor="_Toc121830565" w:history="1">
        <w:r w:rsidR="00953FA6" w:rsidRPr="0038237B">
          <w:rPr>
            <w:rStyle w:val="Hyperlink"/>
            <w:noProof/>
          </w:rPr>
          <w:t>Figure 2: South Australian Intellectual Disability Health Service Model of Care 2020</w:t>
        </w:r>
        <w:r w:rsidR="00953FA6">
          <w:rPr>
            <w:noProof/>
            <w:webHidden/>
          </w:rPr>
          <w:tab/>
        </w:r>
        <w:r w:rsidR="00953FA6">
          <w:rPr>
            <w:noProof/>
            <w:webHidden/>
          </w:rPr>
          <w:fldChar w:fldCharType="begin"/>
        </w:r>
        <w:r w:rsidR="00953FA6">
          <w:rPr>
            <w:noProof/>
            <w:webHidden/>
          </w:rPr>
          <w:instrText xml:space="preserve"> PAGEREF _Toc121830565 \h </w:instrText>
        </w:r>
        <w:r w:rsidR="00953FA6">
          <w:rPr>
            <w:noProof/>
            <w:webHidden/>
          </w:rPr>
        </w:r>
        <w:r w:rsidR="00953FA6">
          <w:rPr>
            <w:noProof/>
            <w:webHidden/>
          </w:rPr>
          <w:fldChar w:fldCharType="separate"/>
        </w:r>
        <w:r w:rsidR="00953FA6">
          <w:rPr>
            <w:noProof/>
            <w:webHidden/>
          </w:rPr>
          <w:t>37</w:t>
        </w:r>
        <w:r w:rsidR="00953FA6">
          <w:rPr>
            <w:noProof/>
            <w:webHidden/>
          </w:rPr>
          <w:fldChar w:fldCharType="end"/>
        </w:r>
      </w:hyperlink>
    </w:p>
    <w:p w14:paraId="1D595285" w14:textId="616E35C7" w:rsidR="00953FA6" w:rsidRDefault="00907ED5">
      <w:pPr>
        <w:pStyle w:val="TableofFigures"/>
        <w:rPr>
          <w:rFonts w:asciiTheme="minorHAnsi" w:eastAsiaTheme="minorEastAsia" w:hAnsiTheme="minorHAnsi" w:cstheme="minorBidi"/>
          <w:noProof/>
          <w:sz w:val="22"/>
          <w:szCs w:val="22"/>
          <w:lang w:eastAsia="en-IE"/>
        </w:rPr>
      </w:pPr>
      <w:hyperlink w:anchor="_Toc121830566" w:history="1">
        <w:r w:rsidR="00953FA6" w:rsidRPr="0038237B">
          <w:rPr>
            <w:rStyle w:val="Hyperlink"/>
            <w:noProof/>
          </w:rPr>
          <w:t>Figure 3: Scope of age-related needs of older people with intellectual disabilities</w:t>
        </w:r>
        <w:r w:rsidR="00953FA6">
          <w:rPr>
            <w:noProof/>
            <w:webHidden/>
          </w:rPr>
          <w:tab/>
        </w:r>
        <w:r w:rsidR="00953FA6">
          <w:rPr>
            <w:noProof/>
            <w:webHidden/>
          </w:rPr>
          <w:fldChar w:fldCharType="begin"/>
        </w:r>
        <w:r w:rsidR="00953FA6">
          <w:rPr>
            <w:noProof/>
            <w:webHidden/>
          </w:rPr>
          <w:instrText xml:space="preserve"> PAGEREF _Toc121830566 \h </w:instrText>
        </w:r>
        <w:r w:rsidR="00953FA6">
          <w:rPr>
            <w:noProof/>
            <w:webHidden/>
          </w:rPr>
        </w:r>
        <w:r w:rsidR="00953FA6">
          <w:rPr>
            <w:noProof/>
            <w:webHidden/>
          </w:rPr>
          <w:fldChar w:fldCharType="separate"/>
        </w:r>
        <w:r w:rsidR="00953FA6">
          <w:rPr>
            <w:noProof/>
            <w:webHidden/>
          </w:rPr>
          <w:t>120</w:t>
        </w:r>
        <w:r w:rsidR="00953FA6">
          <w:rPr>
            <w:noProof/>
            <w:webHidden/>
          </w:rPr>
          <w:fldChar w:fldCharType="end"/>
        </w:r>
      </w:hyperlink>
    </w:p>
    <w:p w14:paraId="38E4CE84" w14:textId="2D5BABEE" w:rsidR="00155354" w:rsidRDefault="00B1384D" w:rsidP="00354558">
      <w:pPr>
        <w:spacing w:after="0"/>
      </w:pPr>
      <w:r>
        <w:fldChar w:fldCharType="end"/>
      </w:r>
    </w:p>
    <w:p w14:paraId="1AE5C355" w14:textId="1343E771" w:rsidR="005C05A0" w:rsidRDefault="005C05A0" w:rsidP="00354558">
      <w:pPr>
        <w:spacing w:after="0"/>
      </w:pPr>
      <w:r>
        <w:br w:type="page"/>
      </w:r>
    </w:p>
    <w:p w14:paraId="25B808A3" w14:textId="058BA0D5" w:rsidR="005C05A0" w:rsidRDefault="005C05A0" w:rsidP="00C16EF5">
      <w:pPr>
        <w:pStyle w:val="Heading1"/>
      </w:pPr>
      <w:bookmarkStart w:id="17" w:name="_Toc118555182"/>
      <w:bookmarkStart w:id="18" w:name="_Toc118558242"/>
      <w:bookmarkStart w:id="19" w:name="_Toc118558340"/>
      <w:bookmarkStart w:id="20" w:name="_Toc121830590"/>
      <w:r>
        <w:t>Abbreviations</w:t>
      </w:r>
      <w:bookmarkEnd w:id="17"/>
      <w:bookmarkEnd w:id="18"/>
      <w:bookmarkEnd w:id="19"/>
      <w:bookmarkEnd w:id="20"/>
    </w:p>
    <w:p w14:paraId="0A4AE00B" w14:textId="2B5FBF58" w:rsidR="00E75CB9" w:rsidRDefault="00E75CB9" w:rsidP="00115A20">
      <w:pPr>
        <w:ind w:left="1440" w:hanging="1440"/>
      </w:pPr>
      <w:r>
        <w:t>COVID-19</w:t>
      </w:r>
      <w:r>
        <w:tab/>
        <w:t>Coronavirus</w:t>
      </w:r>
      <w:r w:rsidR="001D0B78">
        <w:t xml:space="preserve"> Disease 19</w:t>
      </w:r>
    </w:p>
    <w:p w14:paraId="1219E2A3" w14:textId="751ACE01" w:rsidR="00402B5D" w:rsidRDefault="00402B5D" w:rsidP="00115A20">
      <w:pPr>
        <w:ind w:left="1440" w:hanging="1440"/>
      </w:pPr>
      <w:r>
        <w:t>DPER</w:t>
      </w:r>
      <w:r>
        <w:tab/>
      </w:r>
      <w:r w:rsidRPr="00690B80">
        <w:t>Dep</w:t>
      </w:r>
      <w:r>
        <w:t>artment</w:t>
      </w:r>
      <w:r w:rsidRPr="00690B80">
        <w:t xml:space="preserve"> of </w:t>
      </w:r>
      <w:r>
        <w:t>Public Expenditure and Reform</w:t>
      </w:r>
    </w:p>
    <w:p w14:paraId="205DEA83" w14:textId="137AF8F0" w:rsidR="009532B0" w:rsidRDefault="009532B0" w:rsidP="00115A20">
      <w:pPr>
        <w:ind w:left="1440" w:hanging="1440"/>
      </w:pPr>
      <w:r>
        <w:t>GS</w:t>
      </w:r>
      <w:r>
        <w:tab/>
        <w:t>Generic Services</w:t>
      </w:r>
    </w:p>
    <w:p w14:paraId="33C8FF9A" w14:textId="57A76330" w:rsidR="00872B3D" w:rsidRDefault="00872B3D" w:rsidP="00C16EF5">
      <w:pPr>
        <w:ind w:left="1440" w:hanging="1440"/>
      </w:pPr>
      <w:r>
        <w:t>HIQA</w:t>
      </w:r>
      <w:r>
        <w:tab/>
        <w:t xml:space="preserve">Health Information </w:t>
      </w:r>
      <w:r w:rsidR="45A6085B">
        <w:t xml:space="preserve">and </w:t>
      </w:r>
      <w:r>
        <w:t>Quality Authority</w:t>
      </w:r>
    </w:p>
    <w:p w14:paraId="7959A91C" w14:textId="6F7F7406" w:rsidR="00402B5D" w:rsidRDefault="00402B5D" w:rsidP="00115A20">
      <w:r>
        <w:t>HSE</w:t>
      </w:r>
      <w:r w:rsidR="00115A20">
        <w:tab/>
      </w:r>
      <w:r w:rsidR="00115A20">
        <w:tab/>
        <w:t xml:space="preserve">Health Service Executive </w:t>
      </w:r>
    </w:p>
    <w:p w14:paraId="42411B0B" w14:textId="6F7F7406" w:rsidR="001B3100" w:rsidRDefault="001B3100" w:rsidP="00C16EF5">
      <w:pPr>
        <w:ind w:left="1440" w:hanging="1440"/>
      </w:pPr>
      <w:r>
        <w:t>IDS-TILDA</w:t>
      </w:r>
      <w:r>
        <w:tab/>
        <w:t>Intellectual Disability Supplement to The Irish Longitudinal Study on Ageing</w:t>
      </w:r>
    </w:p>
    <w:p w14:paraId="48707FE2" w14:textId="2E881AD7" w:rsidR="001302DC" w:rsidRDefault="005D0F5D" w:rsidP="00115A20">
      <w:r>
        <w:t>NDA</w:t>
      </w:r>
      <w:r>
        <w:tab/>
      </w:r>
      <w:r>
        <w:tab/>
        <w:t>National Disability Authority</w:t>
      </w:r>
    </w:p>
    <w:p w14:paraId="367A77BB" w14:textId="31EFBA73" w:rsidR="009532B0" w:rsidRDefault="009532B0" w:rsidP="00115A20">
      <w:r>
        <w:t>OTH</w:t>
      </w:r>
      <w:r>
        <w:tab/>
      </w:r>
      <w:r>
        <w:tab/>
        <w:t>Other</w:t>
      </w:r>
    </w:p>
    <w:p w14:paraId="03881087" w14:textId="03C085C6" w:rsidR="0054091F" w:rsidRDefault="0054091F" w:rsidP="00115A20">
      <w:r>
        <w:t>PCC</w:t>
      </w:r>
      <w:r>
        <w:tab/>
      </w:r>
      <w:r>
        <w:tab/>
        <w:t>Person-centred Care</w:t>
      </w:r>
    </w:p>
    <w:p w14:paraId="12421F79" w14:textId="0FF4E06F" w:rsidR="0054091F" w:rsidRDefault="0054091F" w:rsidP="00115A20">
      <w:r>
        <w:t>PCP</w:t>
      </w:r>
      <w:r>
        <w:tab/>
      </w:r>
      <w:r>
        <w:tab/>
        <w:t>Person-centred Planning</w:t>
      </w:r>
    </w:p>
    <w:p w14:paraId="21970541" w14:textId="3340D3B9" w:rsidR="00BC7FCB" w:rsidRDefault="00BC7FCB" w:rsidP="00C16EF5">
      <w:r>
        <w:t>RNID</w:t>
      </w:r>
      <w:r>
        <w:tab/>
      </w:r>
      <w:r>
        <w:tab/>
      </w:r>
      <w:r w:rsidRPr="0002381D">
        <w:t>Registered Nurse in Intellectual Disability</w:t>
      </w:r>
    </w:p>
    <w:p w14:paraId="5907407D" w14:textId="7E272653" w:rsidR="009532B0" w:rsidRDefault="009532B0" w:rsidP="00C16EF5">
      <w:r>
        <w:t>SS</w:t>
      </w:r>
      <w:r>
        <w:tab/>
      </w:r>
      <w:r>
        <w:tab/>
        <w:t>Specialist services</w:t>
      </w:r>
    </w:p>
    <w:p w14:paraId="3E2C68A1" w14:textId="77777777" w:rsidR="00FA009B" w:rsidRDefault="001302DC" w:rsidP="00C16EF5">
      <w:r>
        <w:t>TCAID</w:t>
      </w:r>
      <w:r>
        <w:tab/>
        <w:t>Trinity Centre for Ageing and Intellectual Disability</w:t>
      </w:r>
    </w:p>
    <w:p w14:paraId="442F7C5A" w14:textId="3F09C9C6" w:rsidR="0073635B" w:rsidRDefault="0073635B" w:rsidP="00C16EF5">
      <w:r>
        <w:t>UNCRPD</w:t>
      </w:r>
      <w:r>
        <w:tab/>
        <w:t>United Nations Convention on the Rights of Persons with Disabilit</w:t>
      </w:r>
      <w:r w:rsidR="00156201">
        <w:t>ies</w:t>
      </w:r>
    </w:p>
    <w:p w14:paraId="188576AF" w14:textId="77777777" w:rsidR="00167CFE" w:rsidRDefault="00167CFE">
      <w:pPr>
        <w:spacing w:after="0"/>
      </w:pPr>
    </w:p>
    <w:p w14:paraId="028E7BB7" w14:textId="7DEB856C" w:rsidR="00D34715" w:rsidRDefault="00D34715">
      <w:pPr>
        <w:spacing w:after="0"/>
      </w:pPr>
    </w:p>
    <w:p w14:paraId="6F55FBE0" w14:textId="4803359B" w:rsidR="00D34715" w:rsidRDefault="00976196">
      <w:pPr>
        <w:spacing w:after="0"/>
      </w:pPr>
      <w:r>
        <w:br w:type="page"/>
      </w:r>
    </w:p>
    <w:p w14:paraId="103D36EF" w14:textId="77777777" w:rsidR="00D34715" w:rsidRDefault="00D34715">
      <w:pPr>
        <w:spacing w:after="0"/>
      </w:pPr>
    </w:p>
    <w:p w14:paraId="75A90138" w14:textId="1A45633A" w:rsidR="000F5C21" w:rsidRDefault="000F5C21" w:rsidP="00745519">
      <w:pPr>
        <w:pStyle w:val="Heading1"/>
      </w:pPr>
      <w:bookmarkStart w:id="21" w:name="_Toc118555183"/>
      <w:bookmarkStart w:id="22" w:name="_Toc118558243"/>
      <w:bookmarkStart w:id="23" w:name="_Toc118558341"/>
      <w:bookmarkStart w:id="24" w:name="_Toc121830591"/>
      <w:r>
        <w:t>Executive summary</w:t>
      </w:r>
      <w:bookmarkEnd w:id="21"/>
      <w:bookmarkEnd w:id="22"/>
      <w:bookmarkEnd w:id="23"/>
      <w:bookmarkEnd w:id="24"/>
    </w:p>
    <w:p w14:paraId="76E2ECE7" w14:textId="5E08B326" w:rsidR="36244224" w:rsidRPr="00B744A6" w:rsidRDefault="00B744A6" w:rsidP="00B744A6">
      <w:pPr>
        <w:pStyle w:val="Heading2"/>
        <w:rPr>
          <w:rFonts w:eastAsia="Calibri"/>
          <w:sz w:val="26"/>
        </w:rPr>
      </w:pPr>
      <w:bookmarkStart w:id="25" w:name="_Toc121830592"/>
      <w:r>
        <w:rPr>
          <w:rFonts w:eastAsia="Calibri"/>
        </w:rPr>
        <w:t>Introduction</w:t>
      </w:r>
      <w:bookmarkEnd w:id="25"/>
    </w:p>
    <w:p w14:paraId="7A1061EE" w14:textId="74469A51" w:rsidR="002A3596" w:rsidRDefault="00F6171A" w:rsidP="002A3596">
      <w:pPr>
        <w:rPr>
          <w:szCs w:val="26"/>
        </w:rPr>
      </w:pPr>
      <w:r>
        <w:rPr>
          <w:rFonts w:eastAsia="Calibri" w:cs="Calibri"/>
          <w:szCs w:val="26"/>
        </w:rPr>
        <w:t>People with intellectual disabilit</w:t>
      </w:r>
      <w:r w:rsidR="00A000DA">
        <w:rPr>
          <w:rFonts w:eastAsia="Calibri" w:cs="Calibri"/>
          <w:szCs w:val="26"/>
        </w:rPr>
        <w:t>ies</w:t>
      </w:r>
      <w:r>
        <w:rPr>
          <w:rFonts w:eastAsia="Calibri" w:cs="Calibri"/>
          <w:szCs w:val="26"/>
        </w:rPr>
        <w:t xml:space="preserve"> are living </w:t>
      </w:r>
      <w:r w:rsidR="00B20660">
        <w:rPr>
          <w:rFonts w:eastAsia="Calibri" w:cs="Calibri"/>
          <w:szCs w:val="26"/>
        </w:rPr>
        <w:t>longer with increasing numbers advancing into</w:t>
      </w:r>
      <w:r>
        <w:rPr>
          <w:rFonts w:eastAsia="Calibri" w:cs="Calibri"/>
          <w:szCs w:val="26"/>
        </w:rPr>
        <w:t xml:space="preserve"> older age</w:t>
      </w:r>
      <w:r w:rsidR="00583985">
        <w:rPr>
          <w:rFonts w:eastAsia="Calibri" w:cs="Calibri"/>
          <w:szCs w:val="26"/>
        </w:rPr>
        <w:t xml:space="preserve"> </w:t>
      </w:r>
      <w:r w:rsidR="00573F7E">
        <w:rPr>
          <w:rFonts w:eastAsia="Calibri" w:cs="Calibri"/>
          <w:szCs w:val="26"/>
        </w:rPr>
        <w:fldChar w:fldCharType="begin"/>
      </w:r>
      <w:r w:rsidR="00573F7E">
        <w:rPr>
          <w:rFonts w:eastAsia="Calibri" w:cs="Calibri"/>
          <w:szCs w:val="26"/>
        </w:rPr>
        <w:instrText xml:space="preserve"> ADDIN EN.CITE &lt;EndNote&gt;&lt;Cite&gt;&lt;Author&gt;Egan&lt;/Author&gt;&lt;Year&gt;2022&lt;/Year&gt;&lt;RecNum&gt;339&lt;/RecNum&gt;&lt;DisplayText&gt;(Egan et al., 2022)&lt;/DisplayText&gt;&lt;record&gt;&lt;rec-number&gt;339&lt;/rec-number&gt;&lt;foreign-keys&gt;&lt;key app="EN" db-id="xtwfdzde5ttr0zevxrh5sf0c2wfzw5zf2vra" timestamp="1643290955" guid="478640a9-ada5-4ce8-8d71-5570ffce4a90"&gt;339&lt;/key&gt;&lt;/foreign-keys&gt;&lt;ref-type name="Journal Article"&gt;17&lt;/ref-type&gt;&lt;contributors&gt;&lt;authors&gt;&lt;author&gt;Egan, Caroline&lt;/author&gt;&lt;author&gt;Mulcahy, Helen&lt;/author&gt;&lt;author&gt;Naughton, Corina&lt;/author&gt;&lt;/authors&gt;&lt;/contributors&gt;&lt;titles&gt;&lt;title&gt;Transitioning to long-term care for older adults with intellectual disabilities: A concept analysis&lt;/title&gt;&lt;secondary-title&gt;Journal of Intellectual Disabilities&lt;/secondary-title&gt;&lt;short-title&gt;Transitioning to long-term care for older adults with intellectual disabilities: A concept analysis&lt;/short-title&gt;&lt;/titles&gt;&lt;periodical&gt;&lt;full-title&gt;Journal of Intellectual Disabilities&lt;/full-title&gt;&lt;/periodical&gt;&lt;pages&gt;1015-1032&lt;/pages&gt;&lt;volume&gt;26&lt;/volume&gt;&lt;number&gt;4&lt;/number&gt;&lt;dates&gt;&lt;year&gt;2022&lt;/year&gt;&lt;/dates&gt;&lt;urls&gt;&lt;/urls&gt;&lt;electronic-resource-num&gt;10.1177/17446295211041839&lt;/electronic-resource-num&gt;&lt;/record&gt;&lt;/Cite&gt;&lt;/EndNote&gt;</w:instrText>
      </w:r>
      <w:r w:rsidR="00573F7E">
        <w:rPr>
          <w:rFonts w:eastAsia="Calibri" w:cs="Calibri"/>
          <w:szCs w:val="26"/>
        </w:rPr>
        <w:fldChar w:fldCharType="separate"/>
      </w:r>
      <w:r w:rsidR="00573F7E">
        <w:rPr>
          <w:rFonts w:eastAsia="Calibri" w:cs="Calibri"/>
          <w:noProof/>
          <w:szCs w:val="26"/>
        </w:rPr>
        <w:t>(Egan et al., 2022)</w:t>
      </w:r>
      <w:r w:rsidR="00573F7E">
        <w:rPr>
          <w:rFonts w:eastAsia="Calibri" w:cs="Calibri"/>
          <w:szCs w:val="26"/>
        </w:rPr>
        <w:fldChar w:fldCharType="end"/>
      </w:r>
      <w:r w:rsidR="00583985">
        <w:rPr>
          <w:rFonts w:eastAsia="Calibri" w:cs="Calibri"/>
          <w:szCs w:val="26"/>
        </w:rPr>
        <w:t>. Thi</w:t>
      </w:r>
      <w:r w:rsidR="00B20B98">
        <w:rPr>
          <w:rFonts w:eastAsia="Calibri" w:cs="Calibri"/>
          <w:szCs w:val="26"/>
        </w:rPr>
        <w:t xml:space="preserve">s is </w:t>
      </w:r>
      <w:r w:rsidR="008A44BA">
        <w:rPr>
          <w:rFonts w:eastAsia="Calibri" w:cs="Calibri"/>
          <w:szCs w:val="26"/>
        </w:rPr>
        <w:t xml:space="preserve">directly related to improvements in health care and supports but it carries with it challenges, for </w:t>
      </w:r>
      <w:r w:rsidR="0022626C">
        <w:rPr>
          <w:rFonts w:eastAsia="Calibri" w:cs="Calibri"/>
          <w:szCs w:val="26"/>
        </w:rPr>
        <w:t xml:space="preserve">the growth of services in Ireland was predicated on </w:t>
      </w:r>
      <w:r w:rsidR="00731F17">
        <w:rPr>
          <w:rFonts w:eastAsia="Calibri" w:cs="Calibri"/>
          <w:szCs w:val="26"/>
        </w:rPr>
        <w:t>meeting the needs of a</w:t>
      </w:r>
      <w:r w:rsidR="0022626C">
        <w:rPr>
          <w:rFonts w:eastAsia="Calibri" w:cs="Calibri"/>
          <w:szCs w:val="26"/>
        </w:rPr>
        <w:t xml:space="preserve"> population</w:t>
      </w:r>
      <w:r w:rsidR="00731F17">
        <w:rPr>
          <w:rFonts w:eastAsia="Calibri" w:cs="Calibri"/>
          <w:szCs w:val="26"/>
        </w:rPr>
        <w:t xml:space="preserve"> who would have a shorter lifespan. </w:t>
      </w:r>
      <w:r w:rsidR="007E3A3F">
        <w:rPr>
          <w:rFonts w:eastAsia="Calibri" w:cs="Calibri"/>
          <w:szCs w:val="26"/>
        </w:rPr>
        <w:t>Recent decades have seen a movement from a relatively predictable demographic to one that is increasingly diverse</w:t>
      </w:r>
      <w:r w:rsidR="0037023B">
        <w:rPr>
          <w:rFonts w:eastAsia="Calibri" w:cs="Calibri"/>
          <w:szCs w:val="26"/>
        </w:rPr>
        <w:t xml:space="preserve"> and with needs that are varied and complex </w:t>
      </w:r>
      <w:r w:rsidR="00D53B76">
        <w:fldChar w:fldCharType="begin">
          <w:fldData xml:space="preserve">PEVuZE5vdGU+PENpdGU+PEF1dGhvcj5IYXR6aWRpbWl0cmlhZG91PC9BdXRob3I+PFllYXI+MjAw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</w:fldData>
        </w:fldChar>
      </w:r>
      <w:r w:rsidR="00B26CBF">
        <w:instrText xml:space="preserve"> ADDIN EN.CITE </w:instrText>
      </w:r>
      <w:r w:rsidR="00B26CBF">
        <w:fldChar w:fldCharType="begin">
          <w:fldData xml:space="preserve">PEVuZE5vdGU+PENpdGU+PEF1dGhvcj5IYXR6aWRpbWl0cmlhZG91PC9BdXRob3I+PFllYXI+MjAw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</w:fldData>
        </w:fldChar>
      </w:r>
      <w:r w:rsidR="00B26CBF">
        <w:instrText xml:space="preserve"> ADDIN EN.CITE.DATA </w:instrText>
      </w:r>
      <w:r w:rsidR="00B26CBF">
        <w:fldChar w:fldCharType="end"/>
      </w:r>
      <w:r w:rsidR="00D53B76">
        <w:fldChar w:fldCharType="separate"/>
      </w:r>
      <w:r w:rsidR="00B26CBF">
        <w:rPr>
          <w:noProof/>
        </w:rPr>
        <w:t>(McCausland et al., 2021a; Hatzidimitriadou &amp; Milne, 2005)</w:t>
      </w:r>
      <w:r w:rsidR="00D53B76">
        <w:fldChar w:fldCharType="end"/>
      </w:r>
      <w:r w:rsidR="00D53B76">
        <w:t>. Th</w:t>
      </w:r>
      <w:r w:rsidR="006B5344">
        <w:t xml:space="preserve">e absence of a concomitant change in the </w:t>
      </w:r>
      <w:r w:rsidR="002E3780">
        <w:t>national approach to service provision and the funding model therein, has meant that</w:t>
      </w:r>
      <w:r w:rsidR="00D53B76">
        <w:t xml:space="preserve">, as people with intellectual disabilities have </w:t>
      </w:r>
      <w:r w:rsidR="006B5344">
        <w:t>aged, services have found it difficult to respond to the</w:t>
      </w:r>
      <w:r w:rsidR="002E3780">
        <w:t>ir</w:t>
      </w:r>
      <w:r w:rsidR="006B5344">
        <w:t xml:space="preserve"> needs and wishes.</w:t>
      </w:r>
      <w:r w:rsidR="003623E9">
        <w:t xml:space="preserve"> It is in this context that, in </w:t>
      </w:r>
      <w:r w:rsidR="36244224" w:rsidRPr="00B744A6">
        <w:rPr>
          <w:rFonts w:eastAsia="Calibri" w:cs="Calibri"/>
          <w:szCs w:val="26"/>
        </w:rPr>
        <w:t xml:space="preserve">2019, the National Disability </w:t>
      </w:r>
      <w:r w:rsidR="36244224" w:rsidRPr="00B744A6">
        <w:rPr>
          <w:szCs w:val="26"/>
        </w:rPr>
        <w:t>Authority commissioned the Trinity Centre for Ageing and Intellectual Disability (TCAID) to carry out research on the care of older adults with complex age-related conditions.</w:t>
      </w:r>
    </w:p>
    <w:p w14:paraId="35A54941" w14:textId="0E1CA660" w:rsidR="002A3596" w:rsidRPr="002A3596" w:rsidRDefault="005F6CC8" w:rsidP="002A3596">
      <w:pPr>
        <w:rPr>
          <w:rFonts w:eastAsia="Calibri" w:cs="Calibri"/>
          <w:szCs w:val="26"/>
        </w:rPr>
      </w:pPr>
      <w:r>
        <w:rPr>
          <w:rFonts w:eastAsia="Calibri" w:cs="Calibri"/>
          <w:szCs w:val="26"/>
        </w:rPr>
        <w:t>The aim of this research was</w:t>
      </w:r>
      <w:r w:rsidR="36244224" w:rsidRPr="00B744A6">
        <w:rPr>
          <w:rFonts w:eastAsia="Calibri" w:cs="Calibri"/>
          <w:szCs w:val="26"/>
        </w:rPr>
        <w:t xml:space="preserve"> to examine the care</w:t>
      </w:r>
      <w:r w:rsidR="36244224" w:rsidRPr="00B744A6">
        <w:rPr>
          <w:szCs w:val="26"/>
        </w:rPr>
        <w:t xml:space="preserve"> and service options for older adults with intellectual disabilities and complex age-related conditions</w:t>
      </w:r>
      <w:r w:rsidR="00E55EA7">
        <w:rPr>
          <w:szCs w:val="26"/>
        </w:rPr>
        <w:t xml:space="preserve"> across a number of service settings: intellectual disability services which provided specific ageing pathways; </w:t>
      </w:r>
      <w:r w:rsidR="005948C5">
        <w:rPr>
          <w:szCs w:val="26"/>
        </w:rPr>
        <w:t xml:space="preserve">intellectual disability services that offered a generic pathway; and nursing homes. </w:t>
      </w:r>
      <w:r w:rsidR="002A3596">
        <w:rPr>
          <w:lang w:val="en-US"/>
        </w:rPr>
        <w:t>For the purposes of this study, an older adult with intellectual disabilities is defined as a person who is 40 years of age or older. This is in line with the definition employed for the Intellectual Disability Supplement to the Irish Longitudinal Study on Ageing</w:t>
      </w:r>
      <w:r w:rsidR="001B7390">
        <w:rPr>
          <w:lang w:val="en-US"/>
        </w:rPr>
        <w:t xml:space="preserve"> </w:t>
      </w:r>
      <w:r w:rsidR="001B7390">
        <w:rPr>
          <w:lang w:val="en-US"/>
        </w:rPr>
        <w:fldChar w:fldCharType="begin"/>
      </w:r>
      <w:r w:rsidR="001B7390">
        <w:rPr>
          <w:lang w:val="en-US"/>
        </w:rPr>
        <w:instrText xml:space="preserve"> ADDIN EN.CITE &lt;EndNote&gt;&lt;Cite&gt;&lt;Author&gt;McCarron&lt;/Author&gt;&lt;Year&gt;2017&lt;/Year&gt;&lt;RecNum&gt;459&lt;/RecNum&gt;&lt;DisplayText&gt;(McCarron et al., 2017b)&lt;/DisplayText&gt;&lt;record&gt;&lt;rec-number&gt;459&lt;/rec-number&gt;&lt;foreign-keys&gt;&lt;key app="EN" db-id="xtwfdzde5ttr0zevxrh5sf0c2wfzw5zf2vra" timestamp="1646131747" guid="a375753f-315a-46ab-abce-35f19b39f85c"&gt;459&lt;/key&gt;&lt;/foreign-keys&gt;&lt;ref-type name="Report"&gt;27&lt;/ref-type&gt;&lt;contributors&gt;&lt;authors&gt;&lt;author&gt;McCarron, Mary&lt;/author&gt;&lt;author&gt;Haigh, Margaret&lt;/author&gt;&lt;author&gt;McCallion, Philip&lt;/author&gt;&lt;author&gt;McCallion, Philip&lt;/author&gt;&lt;author&gt;Carroll, Rachael&lt;/author&gt;&lt;author&gt;Burke, Eilish&lt;/author&gt;&lt;author&gt;McGlinchey, Eimear&lt;/author&gt;&lt;author&gt;O’Donovan, Mary-Ann&lt;/author&gt;&lt;author&gt;McCausland, Darren&lt;/author&gt;&lt;author&gt;Sheerin, Fintan&lt;/author&gt;&lt;/authors&gt;&lt;/contributors&gt;&lt;titles&gt;&lt;title&gt;Health, wellbeing and social inclusion: Ageing with an intellectual disability in Ireland: Evidence from the first ten years of The Intellectual Disability Supplement to The Irish Longitudinal Study on Ageing (IDS-TILDA)&lt;/title&gt;&lt;/titles&gt;&lt;dates&gt;&lt;year&gt;2017&lt;/year&gt;&lt;/dates&gt;&lt;pub-location&gt;Dublin&lt;/pub-location&gt;&lt;publisher&gt;Trinity College Dublin&lt;/publisher&gt;&lt;urls&gt;&lt;/urls&gt;&lt;/record&gt;&lt;/Cite&gt;&lt;/EndNote&gt;</w:instrText>
      </w:r>
      <w:r w:rsidR="001B7390">
        <w:rPr>
          <w:lang w:val="en-US"/>
        </w:rPr>
        <w:fldChar w:fldCharType="separate"/>
      </w:r>
      <w:r w:rsidR="001B7390">
        <w:rPr>
          <w:noProof/>
          <w:lang w:val="en-US"/>
        </w:rPr>
        <w:t>(McCarron et al., 2017b)</w:t>
      </w:r>
      <w:r w:rsidR="001B7390">
        <w:rPr>
          <w:lang w:val="en-US"/>
        </w:rPr>
        <w:fldChar w:fldCharType="end"/>
      </w:r>
      <w:r w:rsidR="002A3596">
        <w:rPr>
          <w:lang w:val="en-US"/>
        </w:rPr>
        <w:t xml:space="preserve"> </w:t>
      </w:r>
    </w:p>
    <w:p w14:paraId="1F5A301C" w14:textId="0B1363F6" w:rsidR="36244224" w:rsidRDefault="006C5932" w:rsidP="00B744A6">
      <w:pPr>
        <w:rPr>
          <w:szCs w:val="26"/>
        </w:rPr>
      </w:pPr>
      <w:r>
        <w:rPr>
          <w:szCs w:val="26"/>
        </w:rPr>
        <w:t xml:space="preserve">The occurrence of </w:t>
      </w:r>
      <w:r w:rsidR="005D2DDC">
        <w:rPr>
          <w:szCs w:val="26"/>
        </w:rPr>
        <w:t xml:space="preserve">COVID-19 at the initial stage of this </w:t>
      </w:r>
      <w:r w:rsidR="00266C2F">
        <w:rPr>
          <w:szCs w:val="26"/>
        </w:rPr>
        <w:t>research</w:t>
      </w:r>
      <w:r w:rsidR="005D2DDC">
        <w:rPr>
          <w:szCs w:val="26"/>
        </w:rPr>
        <w:t>, and the effect of that on nursing homes led to a</w:t>
      </w:r>
      <w:r w:rsidR="00B351A9">
        <w:rPr>
          <w:szCs w:val="26"/>
        </w:rPr>
        <w:t>n ethically-based</w:t>
      </w:r>
      <w:r w:rsidR="005D2DDC">
        <w:rPr>
          <w:szCs w:val="26"/>
        </w:rPr>
        <w:t xml:space="preserve"> decision </w:t>
      </w:r>
      <w:r w:rsidR="00266C2F">
        <w:rPr>
          <w:szCs w:val="26"/>
        </w:rPr>
        <w:t xml:space="preserve">being made not to burden those settings with the demands of this study. The result is that their voices are not present in this study. </w:t>
      </w:r>
    </w:p>
    <w:p w14:paraId="1ED758B0" w14:textId="16DBF549" w:rsidR="36244224" w:rsidRPr="00B744A6" w:rsidRDefault="00B351A9" w:rsidP="00B744A6">
      <w:pPr>
        <w:rPr>
          <w:rFonts w:eastAsia="Calibri" w:cs="Calibri"/>
        </w:rPr>
      </w:pPr>
      <w:r>
        <w:t xml:space="preserve">This research presents a detailed review of the evidence base pertaining to the care and support of </w:t>
      </w:r>
      <w:r w:rsidR="36244224" w:rsidRPr="47E55367">
        <w:rPr>
          <w:rFonts w:eastAsia="Gill Sans MT" w:cs="Gill Sans MT"/>
        </w:rPr>
        <w:t xml:space="preserve">older adults with </w:t>
      </w:r>
      <w:r w:rsidRPr="47E55367">
        <w:rPr>
          <w:rFonts w:eastAsia="Gill Sans MT" w:cs="Gill Sans MT"/>
        </w:rPr>
        <w:t xml:space="preserve">intellectual disabilities and </w:t>
      </w:r>
      <w:r w:rsidR="36244224" w:rsidRPr="47E55367">
        <w:rPr>
          <w:rFonts w:eastAsia="Gill Sans MT" w:cs="Gill Sans MT"/>
        </w:rPr>
        <w:t>complex age-related conditions</w:t>
      </w:r>
      <w:r w:rsidRPr="47E55367">
        <w:rPr>
          <w:rFonts w:eastAsia="Calibri" w:cs="Calibri"/>
        </w:rPr>
        <w:t>. It considerabl</w:t>
      </w:r>
      <w:r w:rsidR="2F073E0B" w:rsidRPr="47E55367">
        <w:rPr>
          <w:rFonts w:eastAsia="Calibri" w:cs="Calibri"/>
        </w:rPr>
        <w:t>y</w:t>
      </w:r>
      <w:r w:rsidRPr="47E55367">
        <w:rPr>
          <w:rFonts w:eastAsia="Calibri" w:cs="Calibri"/>
        </w:rPr>
        <w:t xml:space="preserve"> adds to that through the generation of evidence </w:t>
      </w:r>
      <w:r w:rsidR="00550A35" w:rsidRPr="47E55367">
        <w:rPr>
          <w:rFonts w:eastAsia="Calibri" w:cs="Calibri"/>
        </w:rPr>
        <w:t xml:space="preserve">on the models of care that are currently guiding services and the </w:t>
      </w:r>
      <w:r w:rsidR="00D372D1" w:rsidRPr="47E55367">
        <w:rPr>
          <w:rFonts w:eastAsia="Calibri" w:cs="Calibri"/>
        </w:rPr>
        <w:t>identification of key shortcomings in the resourcing of services as they look to meeting individuals’ needs in the future.</w:t>
      </w:r>
      <w:r w:rsidR="00550A35" w:rsidRPr="47E55367">
        <w:rPr>
          <w:rFonts w:eastAsia="Calibri" w:cs="Calibri"/>
        </w:rPr>
        <w:t xml:space="preserve">  </w:t>
      </w:r>
    </w:p>
    <w:p w14:paraId="5ABC7770" w14:textId="0B2BE9E7" w:rsidR="36244224" w:rsidRPr="00B744A6" w:rsidRDefault="36244224" w:rsidP="00B744A6">
      <w:pPr>
        <w:rPr>
          <w:szCs w:val="26"/>
        </w:rPr>
      </w:pPr>
      <w:r w:rsidRPr="00B744A6">
        <w:rPr>
          <w:rFonts w:eastAsia="Calibri" w:cs="Calibri"/>
          <w:szCs w:val="26"/>
        </w:rPr>
        <w:t>The findings are intended to guide policymakers and service providers in relation to various models of service and supports, including</w:t>
      </w:r>
      <w:r w:rsidR="002E6BBF">
        <w:rPr>
          <w:rFonts w:eastAsia="Calibri" w:cs="Calibri"/>
          <w:szCs w:val="26"/>
        </w:rPr>
        <w:t>,</w:t>
      </w:r>
      <w:r w:rsidRPr="00B744A6">
        <w:rPr>
          <w:rFonts w:eastAsia="Calibri" w:cs="Calibri"/>
          <w:szCs w:val="26"/>
        </w:rPr>
        <w:t xml:space="preserve"> in particular</w:t>
      </w:r>
      <w:r w:rsidR="002E6BBF">
        <w:rPr>
          <w:rFonts w:eastAsia="Calibri" w:cs="Calibri"/>
          <w:szCs w:val="26"/>
        </w:rPr>
        <w:t>,</w:t>
      </w:r>
      <w:r w:rsidRPr="00B744A6">
        <w:rPr>
          <w:rFonts w:eastAsia="Calibri" w:cs="Calibri"/>
          <w:szCs w:val="26"/>
        </w:rPr>
        <w:t xml:space="preserve"> the </w:t>
      </w:r>
      <w:r w:rsidRPr="00B744A6">
        <w:rPr>
          <w:szCs w:val="26"/>
        </w:rPr>
        <w:t xml:space="preserve">HSE, the Department of Health and the Department of Public Expenditure and Reform (DPER). </w:t>
      </w:r>
      <w:r w:rsidRPr="00B744A6">
        <w:rPr>
          <w:rFonts w:eastAsia="Calibri" w:cs="Calibri"/>
          <w:szCs w:val="26"/>
        </w:rPr>
        <w:t xml:space="preserve"> </w:t>
      </w:r>
    </w:p>
    <w:p w14:paraId="42F400F7" w14:textId="15B1936A" w:rsidR="36244224" w:rsidRPr="00B744A6" w:rsidRDefault="36244224" w:rsidP="00B744A6">
      <w:pPr>
        <w:rPr>
          <w:rFonts w:eastAsia="Calibri" w:cs="Calibri"/>
          <w:szCs w:val="26"/>
        </w:rPr>
      </w:pPr>
      <w:r w:rsidRPr="00B744A6">
        <w:rPr>
          <w:rFonts w:eastAsia="Calibri" w:cs="Calibri"/>
          <w:color w:val="000000" w:themeColor="text1"/>
          <w:szCs w:val="26"/>
        </w:rPr>
        <w:t>Th</w:t>
      </w:r>
      <w:r w:rsidR="002E6BBF">
        <w:rPr>
          <w:rFonts w:eastAsia="Calibri" w:cs="Calibri"/>
          <w:color w:val="000000" w:themeColor="text1"/>
          <w:szCs w:val="26"/>
        </w:rPr>
        <w:t>e</w:t>
      </w:r>
      <w:r w:rsidRPr="00B744A6">
        <w:rPr>
          <w:rFonts w:eastAsia="Calibri" w:cs="Calibri"/>
          <w:color w:val="000000" w:themeColor="text1"/>
          <w:szCs w:val="26"/>
        </w:rPr>
        <w:t xml:space="preserve"> report </w:t>
      </w:r>
      <w:r w:rsidRPr="00B744A6">
        <w:rPr>
          <w:rFonts w:eastAsia="Calibri" w:cs="Calibri"/>
          <w:szCs w:val="26"/>
        </w:rPr>
        <w:t>is divided into six chapters; the first sets the context by presenting the key literature on the care of older adults with intellectual disabilities and complex age-related needs and the second details the methodology and profile of participants. The following three chapters each examine a particular theme derived from topics addressed across the various datasets whilst the final chapter discusses the findings in relation to existing literature, making recommendations based on these findings.</w:t>
      </w:r>
    </w:p>
    <w:p w14:paraId="733ECBAF" w14:textId="4C48C328" w:rsidR="36244224" w:rsidRPr="00B744A6" w:rsidRDefault="36244224" w:rsidP="00B744A6">
      <w:pPr>
        <w:rPr>
          <w:rFonts w:eastAsia="Calibri" w:cs="Calibri"/>
          <w:color w:val="000000" w:themeColor="text1"/>
          <w:szCs w:val="26"/>
        </w:rPr>
      </w:pPr>
      <w:r w:rsidRPr="00B744A6">
        <w:rPr>
          <w:rFonts w:eastAsia="Calibri" w:cs="Calibri"/>
          <w:color w:val="000000" w:themeColor="text1"/>
          <w:szCs w:val="26"/>
        </w:rPr>
        <w:t xml:space="preserve">As noted in </w:t>
      </w:r>
      <w:r w:rsidR="0076711D">
        <w:rPr>
          <w:rFonts w:eastAsia="Calibri" w:cs="Calibri"/>
          <w:color w:val="000000" w:themeColor="text1"/>
          <w:szCs w:val="26"/>
        </w:rPr>
        <w:t>the f</w:t>
      </w:r>
      <w:r w:rsidRPr="00B744A6">
        <w:rPr>
          <w:rFonts w:eastAsia="Calibri" w:cs="Calibri"/>
          <w:color w:val="000000" w:themeColor="text1"/>
          <w:szCs w:val="26"/>
        </w:rPr>
        <w:t xml:space="preserve">igure </w:t>
      </w:r>
      <w:r w:rsidR="0076711D">
        <w:rPr>
          <w:rFonts w:eastAsia="Calibri" w:cs="Calibri"/>
          <w:color w:val="000000" w:themeColor="text1"/>
          <w:szCs w:val="26"/>
        </w:rPr>
        <w:t>below</w:t>
      </w:r>
      <w:r w:rsidRPr="00B744A6">
        <w:rPr>
          <w:rFonts w:eastAsia="Calibri" w:cs="Calibri"/>
          <w:color w:val="000000" w:themeColor="text1"/>
          <w:szCs w:val="26"/>
        </w:rPr>
        <w:t>, based upon a systematic review</w:t>
      </w:r>
      <w:r w:rsidR="009D381F">
        <w:rPr>
          <w:rFonts w:eastAsia="Calibri" w:cs="Calibri"/>
          <w:color w:val="000000" w:themeColor="text1"/>
          <w:szCs w:val="26"/>
        </w:rPr>
        <w:t xml:space="preserve"> </w:t>
      </w:r>
      <w:r w:rsidR="009D381F">
        <w:rPr>
          <w:rFonts w:eastAsia="Calibri" w:cs="Calibri"/>
          <w:color w:val="000000" w:themeColor="text1"/>
          <w:szCs w:val="26"/>
        </w:rPr>
        <w:fldChar w:fldCharType="begin"/>
      </w:r>
      <w:r w:rsidR="009D381F">
        <w:rPr>
          <w:rFonts w:eastAsia="Calibri" w:cs="Calibri"/>
          <w:color w:val="000000" w:themeColor="text1"/>
          <w:szCs w:val="26"/>
        </w:rPr>
        <w:instrText xml:space="preserve"> ADDIN EN.CITE &lt;EndNote&gt;&lt;Cite&gt;&lt;Author&gt;Sheerin&lt;/Author&gt;&lt;Year&gt;2021&lt;/Year&gt;&lt;RecNum&gt;658&lt;/RecNum&gt;&lt;DisplayText&gt;(Sheerin et al., 2021a)&lt;/DisplayText&gt;&lt;record&gt;&lt;rec-number&gt;658&lt;/rec-number&gt;&lt;foreign-keys&gt;&lt;key app="EN" db-id="xtwfdzde5ttr0zevxrh5sf0c2wfzw5zf2vra" timestamp="1657546608" guid="83298505-6f88-4222-b415-1a7ec538af8e"&gt;658&lt;/key&gt;&lt;/foreign-keys&gt;&lt;ref-type name="Unpublished Work"&gt;34&lt;/ref-type&gt;&lt;contributors&gt;&lt;authors&gt;&lt;author&gt;Sheerin, Fintan&lt;/author&gt;&lt;author&gt;Fleming, Sandra&lt;/author&gt;&lt;author&gt;Naseer, Amara&lt;/author&gt;&lt;author&gt;Foden, Eadaoin &lt;/author&gt;&lt;author&gt;McCallion, Philip&lt;/author&gt;&lt;author&gt;McCarron, Mary&lt;/author&gt;&lt;/authors&gt;&lt;/contributors&gt;&lt;titles&gt;&lt;title&gt;Care of Older Adults with Intellectual Disabilities and Complex Age-Related Conditions: A Systematic Review Final Report [Unpublished Manuscript]&lt;/title&gt;&lt;/titles&gt;&lt;dates&gt;&lt;year&gt;2021&lt;/year&gt;&lt;pub-dates&gt;&lt;date&gt;July&lt;/date&gt;&lt;/pub-dates&gt;&lt;/dates&gt;&lt;pub-location&gt;Dublin&lt;/pub-location&gt;&lt;publisher&gt;Trinity Centre for Ageing and Intellectual Disability&lt;/publisher&gt;&lt;urls&gt;&lt;/urls&gt;&lt;/record&gt;&lt;/Cite&gt;&lt;/EndNote&gt;</w:instrText>
      </w:r>
      <w:r w:rsidR="009D381F">
        <w:rPr>
          <w:rFonts w:eastAsia="Calibri" w:cs="Calibri"/>
          <w:color w:val="000000" w:themeColor="text1"/>
          <w:szCs w:val="26"/>
        </w:rPr>
        <w:fldChar w:fldCharType="separate"/>
      </w:r>
      <w:r w:rsidR="009D381F">
        <w:rPr>
          <w:rFonts w:eastAsia="Calibri" w:cs="Calibri"/>
          <w:noProof/>
          <w:color w:val="000000" w:themeColor="text1"/>
          <w:szCs w:val="26"/>
        </w:rPr>
        <w:t>(Sheerin et al., 2021a)</w:t>
      </w:r>
      <w:r w:rsidR="009D381F">
        <w:rPr>
          <w:rFonts w:eastAsia="Calibri" w:cs="Calibri"/>
          <w:color w:val="000000" w:themeColor="text1"/>
          <w:szCs w:val="26"/>
        </w:rPr>
        <w:fldChar w:fldCharType="end"/>
      </w:r>
      <w:r w:rsidR="00661DFC">
        <w:rPr>
          <w:rFonts w:eastAsia="Calibri" w:cs="Calibri"/>
          <w:color w:val="000000" w:themeColor="text1"/>
          <w:szCs w:val="26"/>
        </w:rPr>
        <w:t>,</w:t>
      </w:r>
      <w:r w:rsidRPr="00B744A6">
        <w:rPr>
          <w:rFonts w:eastAsia="Calibri" w:cs="Calibri"/>
          <w:color w:val="000000" w:themeColor="text1"/>
          <w:szCs w:val="26"/>
        </w:rPr>
        <w:t xml:space="preserve"> several recurrent concepts seen as central to the provision of service and care for older people with intellectual disabilities were identified, including integration, planning, workforce, and networking, all underpinned by principles of ageing in place and person-centred planning (PCP).</w:t>
      </w:r>
    </w:p>
    <w:p w14:paraId="782E8FF3" w14:textId="3C60A7B8" w:rsidR="008435FD" w:rsidRPr="00B744A6" w:rsidRDefault="008435FD" w:rsidP="008435FD">
      <w:pPr>
        <w:jc w:val="center"/>
        <w:rPr>
          <w:rFonts w:eastAsia="Calibri" w:cs="Calibri"/>
          <w:b/>
          <w:bCs/>
          <w:szCs w:val="26"/>
        </w:rPr>
      </w:pPr>
      <w:r>
        <w:rPr>
          <w:noProof/>
          <w:lang w:eastAsia="en-IE"/>
        </w:rPr>
        <mc:AlternateContent>
          <mc:Choice Requires="wps">
            <w:drawing>
              <wp:anchor distT="0" distB="0" distL="114300" distR="114300" simplePos="0" relativeHeight="251658247" behindDoc="0" locked="0" layoutInCell="1" allowOverlap="1" wp14:anchorId="630F113D" wp14:editId="6A786092">
                <wp:simplePos x="0" y="0"/>
                <wp:positionH relativeFrom="column">
                  <wp:posOffset>148590</wp:posOffset>
                </wp:positionH>
                <wp:positionV relativeFrom="paragraph">
                  <wp:posOffset>3828415</wp:posOffset>
                </wp:positionV>
                <wp:extent cx="1847850" cy="676275"/>
                <wp:effectExtent l="0" t="0" r="19050" b="28575"/>
                <wp:wrapNone/>
                <wp:docPr id="36" name="Rectangle 3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847850" cy="676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ED1B25" id="Rectangle 36" o:spid="_x0000_s1026" alt="&quot;&quot;" style="position:absolute;margin-left:11.7pt;margin-top:301.45pt;width:145.5pt;height:53.2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" fillcolor="white [3212]" strokecolor="white [3212]" strokeweight="1pt"/>
            </w:pict>
          </mc:Fallback>
        </mc:AlternateContent>
      </w:r>
      <w:r>
        <w:rPr>
          <w:noProof/>
          <w:lang w:eastAsia="en-IE"/>
        </w:rPr>
        <w:drawing>
          <wp:anchor distT="0" distB="0" distL="114300" distR="114300" simplePos="0" relativeHeight="251658240" behindDoc="0" locked="0" layoutInCell="1" allowOverlap="1" wp14:anchorId="37EF9E67" wp14:editId="552B8EAE">
            <wp:simplePos x="0" y="0"/>
            <wp:positionH relativeFrom="margin">
              <wp:align>left</wp:align>
            </wp:positionH>
            <wp:positionV relativeFrom="margin">
              <wp:posOffset>3610610</wp:posOffset>
            </wp:positionV>
            <wp:extent cx="6267450" cy="4203065"/>
            <wp:effectExtent l="0" t="0" r="0" b="6985"/>
            <wp:wrapSquare wrapText="bothSides"/>
            <wp:docPr id="34" name="Picture 34" descr="Components of a model of care for older people with intellectual disabilities and age-related complex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omponents of a model of care for older people with intellectual disabilities and age-related complex nee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7450" cy="420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44A6">
        <w:rPr>
          <w:b/>
          <w:bCs/>
          <w:szCs w:val="26"/>
        </w:rPr>
        <w:t>Components of a model of care for older people with intellectual disabilities and age-related complex needs</w:t>
      </w:r>
      <w:r w:rsidRPr="00B744A6">
        <w:rPr>
          <w:rFonts w:eastAsia="Calibri" w:cs="Calibri"/>
          <w:b/>
          <w:bCs/>
          <w:szCs w:val="26"/>
        </w:rPr>
        <w:t xml:space="preserve"> </w:t>
      </w:r>
    </w:p>
    <w:p w14:paraId="38D5ABDA" w14:textId="021F6189" w:rsidR="008435FD" w:rsidRPr="00B744A6" w:rsidRDefault="008435FD" w:rsidP="00B744A6">
      <w:pPr>
        <w:rPr>
          <w:rFonts w:eastAsia="Calibri" w:cs="Calibri"/>
          <w:color w:val="000000" w:themeColor="text1"/>
          <w:szCs w:val="26"/>
        </w:rPr>
      </w:pPr>
    </w:p>
    <w:p w14:paraId="05ED6FA3" w14:textId="7BCA1A1C" w:rsidR="36244224" w:rsidRPr="005B366A" w:rsidRDefault="002E6BBF" w:rsidP="005B366A">
      <w:pPr>
        <w:jc w:val="center"/>
        <w:rPr>
          <w:bCs/>
          <w:szCs w:val="26"/>
        </w:rPr>
      </w:pPr>
      <w:r w:rsidRPr="00575440">
        <w:rPr>
          <w:sz w:val="22"/>
          <w:szCs w:val="22"/>
        </w:rPr>
        <w:t xml:space="preserve">Source: </w:t>
      </w:r>
      <w:r w:rsidRPr="005B366A">
        <w:rPr>
          <w:rFonts w:cstheme="minorBidi"/>
          <w:bCs/>
          <w:sz w:val="22"/>
          <w:szCs w:val="22"/>
        </w:rPr>
        <w:fldChar w:fldCharType="begin">
          <w:fldData xml:space="preserve">PEVuZE5vdGU+PENpdGU+PEF1dGhvcj5IU0U8L0F1dGhvcj48WWVhcj4yMDE2PC9ZZWFyPjxSZWNO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</w:fldData>
        </w:fldChar>
      </w:r>
      <w:r w:rsidR="00B26CBF" w:rsidRPr="005B366A">
        <w:rPr>
          <w:rFonts w:cstheme="minorBidi"/>
          <w:bCs/>
          <w:sz w:val="22"/>
          <w:szCs w:val="22"/>
        </w:rPr>
        <w:instrText xml:space="preserve"> ADDIN EN.CITE </w:instrText>
      </w:r>
      <w:r w:rsidR="00B26CBF" w:rsidRPr="005B366A">
        <w:rPr>
          <w:rFonts w:cstheme="minorBidi"/>
          <w:bCs/>
          <w:sz w:val="22"/>
          <w:szCs w:val="22"/>
        </w:rPr>
        <w:fldChar w:fldCharType="begin">
          <w:fldData xml:space="preserve">PEVuZE5vdGU+PENpdGU+PEF1dGhvcj5IU0U8L0F1dGhvcj48WWVhcj4yMDE2PC9ZZWFyPjxSZWNO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</w:fldData>
        </w:fldChar>
      </w:r>
      <w:r w:rsidR="00B26CBF" w:rsidRPr="005B366A">
        <w:rPr>
          <w:rFonts w:cstheme="minorBidi"/>
          <w:bCs/>
          <w:sz w:val="22"/>
          <w:szCs w:val="22"/>
        </w:rPr>
        <w:instrText xml:space="preserve"> ADDIN EN.CITE.DATA </w:instrText>
      </w:r>
      <w:r w:rsidR="00B26CBF" w:rsidRPr="005B366A">
        <w:rPr>
          <w:rFonts w:cstheme="minorBidi"/>
          <w:bCs/>
          <w:sz w:val="22"/>
          <w:szCs w:val="22"/>
        </w:rPr>
      </w:r>
      <w:r w:rsidR="00B26CBF" w:rsidRPr="005B366A">
        <w:rPr>
          <w:rFonts w:cstheme="minorBidi"/>
          <w:bCs/>
          <w:sz w:val="22"/>
          <w:szCs w:val="22"/>
        </w:rPr>
        <w:fldChar w:fldCharType="end"/>
      </w:r>
      <w:r w:rsidRPr="005B366A">
        <w:rPr>
          <w:rFonts w:cstheme="minorBidi"/>
          <w:bCs/>
          <w:sz w:val="22"/>
          <w:szCs w:val="22"/>
        </w:rPr>
      </w:r>
      <w:r w:rsidRPr="005B366A">
        <w:rPr>
          <w:rFonts w:cstheme="minorBidi"/>
          <w:bCs/>
          <w:sz w:val="22"/>
          <w:szCs w:val="22"/>
        </w:rPr>
        <w:fldChar w:fldCharType="separate"/>
      </w:r>
      <w:r w:rsidR="00B26CBF" w:rsidRPr="005B366A">
        <w:rPr>
          <w:rFonts w:cstheme="minorBidi"/>
          <w:bCs/>
          <w:noProof/>
          <w:sz w:val="22"/>
          <w:szCs w:val="22"/>
        </w:rPr>
        <w:t>(Sheerin 2021, based on HSE, 2016; Genio, 2016)</w:t>
      </w:r>
      <w:r w:rsidRPr="005B366A">
        <w:rPr>
          <w:rFonts w:cstheme="minorBidi"/>
          <w:bCs/>
          <w:sz w:val="22"/>
          <w:szCs w:val="22"/>
        </w:rPr>
        <w:fldChar w:fldCharType="end"/>
      </w:r>
    </w:p>
    <w:p w14:paraId="575AC1E3" w14:textId="7146393C" w:rsidR="36244224" w:rsidRPr="00B744A6" w:rsidRDefault="36244224" w:rsidP="00B744A6">
      <w:pPr>
        <w:rPr>
          <w:szCs w:val="26"/>
        </w:rPr>
      </w:pPr>
      <w:r w:rsidRPr="00B744A6">
        <w:rPr>
          <w:rFonts w:eastAsia="Calibri" w:cs="Calibri"/>
          <w:szCs w:val="26"/>
        </w:rPr>
        <w:t xml:space="preserve">The systematic review and other literature reviews undertaken by the team established that the main issues affecting older people </w:t>
      </w:r>
      <w:r w:rsidRPr="00B744A6">
        <w:rPr>
          <w:szCs w:val="26"/>
        </w:rPr>
        <w:t xml:space="preserve">with intellectual disabilities were physical, psychological, and social issues, as well as the challenges to providing care. </w:t>
      </w:r>
      <w:r w:rsidRPr="00B744A6">
        <w:rPr>
          <w:rFonts w:eastAsia="Calibri" w:cs="Calibri"/>
          <w:szCs w:val="26"/>
        </w:rPr>
        <w:t xml:space="preserve"> Responding to the complex needs of older people with intellectual disabilities was established as a challenge, with the current response to care characterised by a lack of future planning, limited resources and funding and a care system that is fragmented, with ageing, intellectual disability and dementia services often working in silos. To address these gaps in service provision, an argument is made that there is an urgent need for a comprehensive and integrated approach to care. An integrated care model requires proactive planning, connected services, a multidisciplinary workforce, and support for familial and social networks.</w:t>
      </w:r>
    </w:p>
    <w:p w14:paraId="1E5B0823" w14:textId="61D9481A" w:rsidR="36244224" w:rsidRPr="00661DFC" w:rsidRDefault="00661DFC" w:rsidP="00661DFC">
      <w:pPr>
        <w:pStyle w:val="Heading2"/>
        <w:rPr>
          <w:sz w:val="26"/>
        </w:rPr>
      </w:pPr>
      <w:bookmarkStart w:id="26" w:name="_Toc121830593"/>
      <w:r w:rsidRPr="00661DFC">
        <w:rPr>
          <w:rFonts w:eastAsia="Calibri"/>
        </w:rPr>
        <w:t>Methods</w:t>
      </w:r>
      <w:bookmarkEnd w:id="26"/>
    </w:p>
    <w:p w14:paraId="6E14CBD7" w14:textId="49BE6433" w:rsidR="36244224" w:rsidRPr="00B744A6" w:rsidRDefault="41584F9E" w:rsidP="00B744A6">
      <w:r w:rsidRPr="68A51868">
        <w:rPr>
          <w:rFonts w:eastAsia="Calibri" w:cs="Calibri"/>
        </w:rPr>
        <w:t>Th</w:t>
      </w:r>
      <w:r w:rsidR="72AAFE97" w:rsidRPr="68A51868">
        <w:rPr>
          <w:rFonts w:eastAsia="Calibri" w:cs="Calibri"/>
        </w:rPr>
        <w:t xml:space="preserve">is was a </w:t>
      </w:r>
      <w:r w:rsidRPr="68A51868">
        <w:rPr>
          <w:rFonts w:eastAsia="Calibri" w:cs="Calibri"/>
        </w:rPr>
        <w:t>descriptive mixed methods design</w:t>
      </w:r>
      <w:r w:rsidR="72AAFE97" w:rsidRPr="68A51868">
        <w:rPr>
          <w:rFonts w:eastAsia="Calibri" w:cs="Calibri"/>
        </w:rPr>
        <w:t xml:space="preserve"> study</w:t>
      </w:r>
      <w:r w:rsidRPr="68A51868">
        <w:rPr>
          <w:rFonts w:eastAsia="Calibri" w:cs="Calibri"/>
        </w:rPr>
        <w:t>, using two phases of data collection</w:t>
      </w:r>
      <w:r>
        <w:t xml:space="preserve">. </w:t>
      </w:r>
      <w:r w:rsidRPr="68A51868">
        <w:rPr>
          <w:rFonts w:eastAsia="Calibri" w:cs="Calibri"/>
        </w:rPr>
        <w:t xml:space="preserve">Phase 1 of data collection </w:t>
      </w:r>
      <w:r w:rsidR="00097C66">
        <w:rPr>
          <w:rFonts w:eastAsia="Calibri" w:cs="Calibri"/>
        </w:rPr>
        <w:t xml:space="preserve">sought to </w:t>
      </w:r>
      <w:r w:rsidRPr="68A51868">
        <w:rPr>
          <w:rFonts w:eastAsia="Calibri" w:cs="Calibri"/>
        </w:rPr>
        <w:t xml:space="preserve">explore the perspectives of senior staff and managers in intellectual disability services and nursing homes on:  </w:t>
      </w:r>
    </w:p>
    <w:p w14:paraId="04A8BBEE" w14:textId="617154EB" w:rsidR="36244224" w:rsidRPr="00B744A6" w:rsidRDefault="36244224" w:rsidP="002A24F0">
      <w:pPr>
        <w:pStyle w:val="ListParagraph"/>
        <w:numPr>
          <w:ilvl w:val="0"/>
          <w:numId w:val="37"/>
        </w:numPr>
        <w:rPr>
          <w:rFonts w:eastAsia="Calibri" w:cs="Calibri"/>
          <w:szCs w:val="26"/>
        </w:rPr>
      </w:pPr>
      <w:r w:rsidRPr="00B744A6">
        <w:rPr>
          <w:rFonts w:eastAsia="Calibri" w:cs="Calibri"/>
          <w:szCs w:val="26"/>
        </w:rPr>
        <w:t xml:space="preserve">Current models of care in specialist and non-specialist settings  </w:t>
      </w:r>
    </w:p>
    <w:p w14:paraId="17C2773F" w14:textId="1122F574" w:rsidR="36244224" w:rsidRPr="00B744A6" w:rsidRDefault="36244224" w:rsidP="002A24F0">
      <w:pPr>
        <w:pStyle w:val="ListParagraph"/>
        <w:numPr>
          <w:ilvl w:val="0"/>
          <w:numId w:val="37"/>
        </w:numPr>
        <w:rPr>
          <w:rFonts w:eastAsia="Calibri" w:cs="Calibri"/>
          <w:szCs w:val="26"/>
        </w:rPr>
      </w:pPr>
      <w:r w:rsidRPr="00B744A6">
        <w:rPr>
          <w:rFonts w:eastAsia="Calibri" w:cs="Calibri"/>
          <w:szCs w:val="26"/>
        </w:rPr>
        <w:t xml:space="preserve">Factors influencing decision-making on care needs  </w:t>
      </w:r>
    </w:p>
    <w:p w14:paraId="547977F3" w14:textId="7EE35FEB" w:rsidR="36244224" w:rsidRPr="00B744A6" w:rsidRDefault="36244224" w:rsidP="002A24F0">
      <w:pPr>
        <w:pStyle w:val="ListParagraph"/>
        <w:numPr>
          <w:ilvl w:val="0"/>
          <w:numId w:val="37"/>
        </w:numPr>
        <w:rPr>
          <w:rFonts w:eastAsia="Calibri" w:cs="Calibri"/>
          <w:szCs w:val="26"/>
        </w:rPr>
      </w:pPr>
      <w:r w:rsidRPr="00B744A6">
        <w:rPr>
          <w:rFonts w:eastAsia="Calibri" w:cs="Calibri"/>
          <w:szCs w:val="26"/>
        </w:rPr>
        <w:t xml:space="preserve">Expected future need  </w:t>
      </w:r>
    </w:p>
    <w:p w14:paraId="3BECF59F" w14:textId="0B56E5D6" w:rsidR="36244224" w:rsidRPr="00B744A6" w:rsidRDefault="36244224" w:rsidP="002A24F0">
      <w:pPr>
        <w:pStyle w:val="ListParagraph"/>
        <w:numPr>
          <w:ilvl w:val="0"/>
          <w:numId w:val="37"/>
        </w:numPr>
        <w:rPr>
          <w:rFonts w:eastAsia="Calibri" w:cs="Calibri"/>
          <w:szCs w:val="26"/>
        </w:rPr>
      </w:pPr>
      <w:r w:rsidRPr="00B744A6">
        <w:rPr>
          <w:rFonts w:eastAsia="Calibri" w:cs="Calibri"/>
          <w:szCs w:val="26"/>
        </w:rPr>
        <w:t>Experiences of supporting ‘transitions’ (i.e., geographic</w:t>
      </w:r>
      <w:r w:rsidR="00D265B8">
        <w:rPr>
          <w:rFonts w:eastAsia="Calibri" w:cs="Calibri"/>
          <w:szCs w:val="26"/>
        </w:rPr>
        <w:t xml:space="preserve">al, social, health and activity or </w:t>
      </w:r>
      <w:r w:rsidRPr="00B744A6">
        <w:rPr>
          <w:rFonts w:eastAsia="Calibri" w:cs="Calibri"/>
          <w:szCs w:val="26"/>
        </w:rPr>
        <w:t xml:space="preserve">work),  </w:t>
      </w:r>
    </w:p>
    <w:p w14:paraId="7537B164" w14:textId="03B6803A" w:rsidR="36244224" w:rsidRPr="00B744A6" w:rsidRDefault="36244224" w:rsidP="002A24F0">
      <w:pPr>
        <w:pStyle w:val="ListParagraph"/>
        <w:numPr>
          <w:ilvl w:val="0"/>
          <w:numId w:val="37"/>
        </w:numPr>
        <w:rPr>
          <w:rFonts w:eastAsia="Calibri" w:cs="Calibri"/>
          <w:szCs w:val="26"/>
        </w:rPr>
      </w:pPr>
      <w:r w:rsidRPr="00B744A6">
        <w:rPr>
          <w:rFonts w:eastAsia="Calibri" w:cs="Calibri"/>
          <w:szCs w:val="26"/>
        </w:rPr>
        <w:t xml:space="preserve">Current outcomes and how these outcomes affect quality of life in the different settings.  </w:t>
      </w:r>
    </w:p>
    <w:p w14:paraId="4A695B30" w14:textId="664A961E" w:rsidR="36244224" w:rsidRPr="00B744A6" w:rsidRDefault="36244224" w:rsidP="00B744A6">
      <w:pPr>
        <w:rPr>
          <w:rFonts w:eastAsia="Calibri" w:cs="Calibri"/>
          <w:szCs w:val="26"/>
        </w:rPr>
      </w:pPr>
      <w:r w:rsidRPr="00B744A6">
        <w:rPr>
          <w:rFonts w:eastAsia="Calibri" w:cs="Calibri"/>
          <w:szCs w:val="26"/>
        </w:rPr>
        <w:t xml:space="preserve">Data was collected using focus groups, interviews, and a survey questionnaire.  </w:t>
      </w:r>
    </w:p>
    <w:p w14:paraId="05E354EA" w14:textId="74CF77D5" w:rsidR="36244224" w:rsidRPr="00B744A6" w:rsidRDefault="36244224" w:rsidP="00B744A6">
      <w:pPr>
        <w:rPr>
          <w:szCs w:val="26"/>
        </w:rPr>
      </w:pPr>
      <w:r w:rsidRPr="00B744A6">
        <w:rPr>
          <w:rFonts w:eastAsia="Calibri" w:cs="Calibri"/>
          <w:szCs w:val="26"/>
        </w:rPr>
        <w:t xml:space="preserve">Phase 2 explored the experiences and outcomes for support staff, older people </w:t>
      </w:r>
      <w:r w:rsidRPr="00B744A6">
        <w:rPr>
          <w:szCs w:val="26"/>
        </w:rPr>
        <w:t>with intellectual disabilities, and family members when faced with age-related challenges including their experiences of navigating health care transitions, in tandem with soc</w:t>
      </w:r>
      <w:r w:rsidR="00D265B8">
        <w:rPr>
          <w:szCs w:val="26"/>
        </w:rPr>
        <w:t xml:space="preserve">ial, geographical, and activity or </w:t>
      </w:r>
      <w:r w:rsidRPr="00B744A6">
        <w:rPr>
          <w:szCs w:val="26"/>
        </w:rPr>
        <w:t xml:space="preserve">work transitions. Data were collected during this phase using focus groups and interviews. </w:t>
      </w:r>
      <w:r w:rsidRPr="00B744A6">
        <w:rPr>
          <w:rFonts w:eastAsia="Calibri" w:cs="Calibri"/>
          <w:szCs w:val="26"/>
        </w:rPr>
        <w:t xml:space="preserve"> </w:t>
      </w:r>
    </w:p>
    <w:p w14:paraId="5C0615EA" w14:textId="3B2F3711" w:rsidR="36244224" w:rsidRPr="00B744A6" w:rsidRDefault="36244224" w:rsidP="00B744A6">
      <w:pPr>
        <w:rPr>
          <w:szCs w:val="26"/>
        </w:rPr>
      </w:pPr>
      <w:r w:rsidRPr="00B744A6">
        <w:rPr>
          <w:rFonts w:eastAsia="Calibri" w:cs="Calibri"/>
          <w:szCs w:val="26"/>
        </w:rPr>
        <w:t>The audio recordings from focus groups and interviews were transcribed verbatim by a professional company, and the researchers reviewed these written transcripts for accuracy</w:t>
      </w:r>
      <w:r w:rsidRPr="00B744A6">
        <w:rPr>
          <w:szCs w:val="26"/>
        </w:rPr>
        <w:t xml:space="preserve">. The qualitative data was analysed using the reflexive thematic analysis approach proposed by </w:t>
      </w:r>
      <w:r w:rsidR="00F35B3D">
        <w:fldChar w:fldCharType="begin"/>
      </w:r>
      <w:r w:rsidR="00F35B3D">
        <w:instrText xml:space="preserve"> ADDIN EN.CITE &lt;EndNote&gt;&lt;Cite AuthorYear="1"&gt;&lt;Author&gt;Braun&lt;/Author&gt;&lt;Year&gt;2006&lt;/Year&gt;&lt;RecNum&gt;762&lt;/RecNum&gt;&lt;DisplayText&gt;Braun and Clarke (2006)&lt;/DisplayText&gt;&lt;record&gt;&lt;rec-number&gt;762&lt;/rec-number&gt;&lt;foreign-keys&gt;&lt;key app="EN" db-id="xtwfdzde5ttr0zevxrh5sf0c2wfzw5zf2vra" timestamp="1667585545" guid="9c748bce-70aa-41c5-a682-e95cda48eeca"&gt;762&lt;/key&gt;&lt;/foreign-keys&gt;&lt;ref-type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1478-0887&lt;/isbn&gt;&lt;urls&gt;&lt;/urls&gt;&lt;/record&gt;&lt;/Cite&gt;&lt;/EndNote&gt;</w:instrText>
      </w:r>
      <w:r w:rsidR="00F35B3D">
        <w:fldChar w:fldCharType="separate"/>
      </w:r>
      <w:r w:rsidR="00F35B3D">
        <w:rPr>
          <w:noProof/>
        </w:rPr>
        <w:t>Braun and Clarke (2006)</w:t>
      </w:r>
      <w:r w:rsidR="00F35B3D">
        <w:fldChar w:fldCharType="end"/>
      </w:r>
      <w:r w:rsidR="006312ED">
        <w:t xml:space="preserve"> </w:t>
      </w:r>
      <w:r w:rsidRPr="00B744A6">
        <w:rPr>
          <w:szCs w:val="26"/>
        </w:rPr>
        <w:t xml:space="preserve">whereby data was coded, and over-arching themes were identified. The research team discussed how the themes fit with theoretical perspectives and current policy as identified in the literature review regarding current practice and the processes which drive it, current and planned provision for ageing, and perceived future need. Themes were also considered in the context of the IDS-TILDA dataset. </w:t>
      </w:r>
      <w:r w:rsidRPr="00B744A6">
        <w:rPr>
          <w:rFonts w:eastAsia="Calibri" w:cs="Calibri"/>
          <w:szCs w:val="26"/>
        </w:rPr>
        <w:t xml:space="preserve"> </w:t>
      </w:r>
    </w:p>
    <w:p w14:paraId="4F031065" w14:textId="4974B57A" w:rsidR="36244224" w:rsidRPr="00B744A6" w:rsidRDefault="36244224" w:rsidP="00B744A6">
      <w:pPr>
        <w:rPr>
          <w:szCs w:val="26"/>
        </w:rPr>
      </w:pPr>
      <w:r w:rsidRPr="00B744A6">
        <w:rPr>
          <w:rFonts w:eastAsia="Calibri" w:cs="Calibri"/>
          <w:szCs w:val="26"/>
        </w:rPr>
        <w:t>Th</w:t>
      </w:r>
      <w:r w:rsidRPr="00B744A6">
        <w:rPr>
          <w:szCs w:val="26"/>
        </w:rPr>
        <w:t xml:space="preserve">e main overarching themes identified in the qualitative data were: </w:t>
      </w:r>
      <w:r w:rsidRPr="00B744A6">
        <w:rPr>
          <w:rFonts w:eastAsia="Calibri" w:cs="Calibri"/>
          <w:szCs w:val="26"/>
        </w:rPr>
        <w:t xml:space="preserve"> </w:t>
      </w:r>
    </w:p>
    <w:p w14:paraId="149BADCE" w14:textId="66E2D924" w:rsidR="36244224" w:rsidRPr="00B744A6" w:rsidRDefault="36244224" w:rsidP="002A24F0">
      <w:pPr>
        <w:pStyle w:val="ListParagraph"/>
        <w:numPr>
          <w:ilvl w:val="0"/>
          <w:numId w:val="36"/>
        </w:numPr>
        <w:rPr>
          <w:rFonts w:eastAsia="Calibri" w:cs="Calibri"/>
          <w:szCs w:val="26"/>
        </w:rPr>
      </w:pPr>
      <w:r w:rsidRPr="00B744A6">
        <w:rPr>
          <w:rFonts w:eastAsia="Calibri" w:cs="Calibri"/>
          <w:szCs w:val="26"/>
        </w:rPr>
        <w:t xml:space="preserve">Approaches to service </w:t>
      </w:r>
    </w:p>
    <w:p w14:paraId="685D5870" w14:textId="77DAB579" w:rsidR="36244224" w:rsidRPr="00B744A6" w:rsidRDefault="36244224" w:rsidP="002A24F0">
      <w:pPr>
        <w:pStyle w:val="ListParagraph"/>
        <w:numPr>
          <w:ilvl w:val="0"/>
          <w:numId w:val="36"/>
        </w:numPr>
        <w:rPr>
          <w:rFonts w:eastAsia="Calibri" w:cs="Calibri"/>
          <w:szCs w:val="26"/>
        </w:rPr>
      </w:pPr>
      <w:r w:rsidRPr="00B744A6">
        <w:rPr>
          <w:rFonts w:eastAsia="Calibri" w:cs="Calibri"/>
          <w:szCs w:val="26"/>
        </w:rPr>
        <w:t xml:space="preserve">Providing service to meet individuals needs  </w:t>
      </w:r>
    </w:p>
    <w:p w14:paraId="70E67AA8" w14:textId="75BFDE6F" w:rsidR="36244224" w:rsidRPr="00F8397C" w:rsidRDefault="36244224" w:rsidP="002A24F0">
      <w:pPr>
        <w:pStyle w:val="ListParagraph"/>
        <w:numPr>
          <w:ilvl w:val="0"/>
          <w:numId w:val="36"/>
        </w:numPr>
        <w:rPr>
          <w:rFonts w:eastAsia="Calibri" w:cs="Calibri"/>
          <w:szCs w:val="26"/>
        </w:rPr>
      </w:pPr>
      <w:r w:rsidRPr="00B744A6">
        <w:rPr>
          <w:rFonts w:eastAsia="Calibri" w:cs="Calibri"/>
          <w:szCs w:val="26"/>
        </w:rPr>
        <w:t xml:space="preserve">Responding to individuals’ needs </w:t>
      </w:r>
    </w:p>
    <w:p w14:paraId="3AA62AEA" w14:textId="185232D9" w:rsidR="36244224" w:rsidRPr="00B744A6" w:rsidRDefault="00F8397C" w:rsidP="00B744A6">
      <w:r w:rsidRPr="5573071A">
        <w:rPr>
          <w:rFonts w:eastAsia="Calibri" w:cs="Calibri"/>
        </w:rPr>
        <w:t>Analysis of</w:t>
      </w:r>
      <w:r w:rsidR="36244224" w:rsidRPr="5573071A">
        <w:rPr>
          <w:rFonts w:eastAsia="Calibri" w:cs="Calibri"/>
        </w:rPr>
        <w:t xml:space="preserve"> quantitative data, obtained through the two online questionnaires, </w:t>
      </w:r>
      <w:r w:rsidRPr="5573071A">
        <w:rPr>
          <w:rFonts w:eastAsia="Calibri" w:cs="Calibri"/>
        </w:rPr>
        <w:t xml:space="preserve">was </w:t>
      </w:r>
      <w:r w:rsidR="00C5343F" w:rsidRPr="5573071A">
        <w:rPr>
          <w:rFonts w:eastAsia="Calibri" w:cs="Calibri"/>
        </w:rPr>
        <w:t>conducted using</w:t>
      </w:r>
      <w:r w:rsidR="36244224" w:rsidRPr="5573071A">
        <w:rPr>
          <w:rFonts w:eastAsia="Calibri" w:cs="Calibri"/>
        </w:rPr>
        <w:t xml:space="preserve"> SPSS Version 21 (IBM Corporation 2012). </w:t>
      </w:r>
      <w:r w:rsidR="36244224">
        <w:t xml:space="preserve">Statistical tests were performed to establish whether statistically significant differences between two overarching categories of service approaches (those with specific ageing pathways and those without) were present in the data. These were explored using Fisher’s Exact Test but no statistically significant differences (p&lt;0.005) were identified in respect of a range of complex ageing conditions. Services falling within each category described a mix of effective and </w:t>
      </w:r>
      <w:r w:rsidR="00D265B8">
        <w:t xml:space="preserve">limited or </w:t>
      </w:r>
      <w:r w:rsidR="36244224">
        <w:t xml:space="preserve">non-existent pathways. Thus, for example, 66.7% (n=10) of ‘specialist’ services indicated that they had an effective pathway for dementia care, with 33.3% (n=5) stating that they did not. Amongst ‘non-specialist’ services, 40% (n=4) indicated that they had an effective dementia pathway and 60% (n=6) did not. As no significant differences were identified, descriptive statistics were generated first to describe the demographic profile of individuals residing in intellectual disability care services for older people intellectual and to develop an overall picture of current service approaches and models of care for older people with intellectual disabilities and complex age-related needs, including the financial implications of complex age-related care needs for services. </w:t>
      </w:r>
      <w:r w:rsidR="36244224" w:rsidRPr="5573071A">
        <w:rPr>
          <w:rFonts w:eastAsia="Calibri" w:cs="Calibri"/>
        </w:rPr>
        <w:t xml:space="preserve">Qualitative data within the surveys were coded thematically to identify themes that would help to uncover valuable insights and to support the interpretation of the quantitative data.   </w:t>
      </w:r>
    </w:p>
    <w:p w14:paraId="3FFEC331" w14:textId="389AE866" w:rsidR="36244224" w:rsidRPr="00B744A6" w:rsidRDefault="41584F9E" w:rsidP="00B744A6">
      <w:r w:rsidRPr="68A51868">
        <w:rPr>
          <w:rFonts w:eastAsia="Calibri" w:cs="Calibri"/>
        </w:rPr>
        <w:t xml:space="preserve">Ethical approval was obtained from the Research Ethics Committee of the Faculty of Health Sciences in Trinity College Dublin. All researchers involved in the study were bound by and adhered to the national and international codes of good practice in research, and by professional standards within their disciplines. All participants received information sheets that outlined the study procedures, the risks and benefits associated with participating, and the protocols regarding confidentiality and voluntary participation. For the online survey, participants were asked to read information on the study and give informed consent before starting the survey. Before each focus group and interview, written or verbal consent was obtained from </w:t>
      </w:r>
      <w:r>
        <w:t xml:space="preserve">participants. Where verbal consent was </w:t>
      </w:r>
      <w:r w:rsidR="7A112B3E">
        <w:t>given,</w:t>
      </w:r>
      <w:r>
        <w:t xml:space="preserve"> this formed part of the audio recording. To protect the confidentiality of participants, focus group and interview audio files were uploaded onto a password protected folder on a double-encrypted, password-protected TCAID computer and deleted from the audio recorders. The audio files were transcribed by a professional transcription company that had signed a Data Processing Agreement with the Data Controller for this study. Once transcribed, the audio recordings were deleted, and the transcripts were stored on the double encrypted TCAI</w:t>
      </w:r>
      <w:r w:rsidR="00D265B8">
        <w:t>D computer available only to</w:t>
      </w:r>
      <w:r>
        <w:t xml:space="preserve"> the researchers. During transcription, all identifying information was removed, and participant names were pseudonymised.  </w:t>
      </w:r>
      <w:r w:rsidRPr="68A51868">
        <w:rPr>
          <w:rFonts w:eastAsia="Calibri" w:cs="Calibri"/>
        </w:rPr>
        <w:t xml:space="preserve"> </w:t>
      </w:r>
    </w:p>
    <w:p w14:paraId="0458F7AA" w14:textId="67E888E7" w:rsidR="36244224" w:rsidRPr="00906FEB" w:rsidRDefault="36244224" w:rsidP="008435FD">
      <w:pPr>
        <w:pStyle w:val="NormalAfterList"/>
        <w:rPr>
          <w:rFonts w:eastAsia="Calibri"/>
          <w:szCs w:val="26"/>
        </w:rPr>
      </w:pPr>
      <w:r w:rsidRPr="008435FD">
        <w:rPr>
          <w:rFonts w:eastAsia="Calibri"/>
          <w:b/>
          <w:szCs w:val="26"/>
        </w:rPr>
        <w:t>Details of participants/respondents across the</w:t>
      </w:r>
      <w:r w:rsidRPr="00C473C4">
        <w:rPr>
          <w:rFonts w:eastAsia="Calibri"/>
          <w:b/>
          <w:szCs w:val="26"/>
        </w:rPr>
        <w:t xml:space="preserve"> study</w:t>
      </w:r>
      <w:r w:rsidRPr="00906FEB">
        <w:rPr>
          <w:rFonts w:eastAsia="Calibri"/>
          <w:szCs w:val="26"/>
        </w:rPr>
        <w:t xml:space="preserve"> </w:t>
      </w:r>
    </w:p>
    <w:tbl>
      <w:tblPr>
        <w:tblW w:w="0" w:type="auto"/>
        <w:tblLayout w:type="fixed"/>
        <w:tblLook w:val="04A0" w:firstRow="1" w:lastRow="0" w:firstColumn="1" w:lastColumn="0" w:noHBand="0" w:noVBand="1"/>
      </w:tblPr>
      <w:tblGrid>
        <w:gridCol w:w="2835"/>
        <w:gridCol w:w="4101"/>
        <w:gridCol w:w="1689"/>
      </w:tblGrid>
      <w:tr w:rsidR="62695176" w:rsidRPr="0013566B" w14:paraId="26792D78" w14:textId="77777777" w:rsidTr="00BF25A4">
        <w:trPr>
          <w:trHeight w:val="315"/>
        </w:trPr>
        <w:tc>
          <w:tcPr>
            <w:tcW w:w="2835" w:type="dxa"/>
            <w:tcBorders>
              <w:top w:val="single" w:sz="8" w:space="0" w:color="8EA9DB"/>
              <w:left w:val="single" w:sz="8" w:space="0" w:color="8EA9DB"/>
              <w:bottom w:val="single" w:sz="8" w:space="0" w:color="8EA9DB"/>
              <w:right w:val="nil"/>
            </w:tcBorders>
          </w:tcPr>
          <w:p w14:paraId="4B69CDB3" w14:textId="12575044" w:rsidR="62695176" w:rsidRPr="0013566B" w:rsidRDefault="62695176" w:rsidP="00C5343F">
            <w:pPr>
              <w:spacing w:after="0"/>
              <w:rPr>
                <w:sz w:val="22"/>
                <w:szCs w:val="22"/>
              </w:rPr>
            </w:pPr>
            <w:r w:rsidRPr="0013566B">
              <w:rPr>
                <w:rFonts w:eastAsia="Calibri" w:cs="Calibri"/>
                <w:b/>
                <w:bCs/>
                <w:sz w:val="22"/>
                <w:szCs w:val="22"/>
              </w:rPr>
              <w:t>Mode of Data Collection</w:t>
            </w:r>
            <w:r w:rsidRPr="0013566B">
              <w:rPr>
                <w:rFonts w:eastAsia="Calibri" w:cs="Calibri"/>
                <w:sz w:val="22"/>
                <w:szCs w:val="22"/>
              </w:rPr>
              <w:t xml:space="preserve"> </w:t>
            </w:r>
          </w:p>
        </w:tc>
        <w:tc>
          <w:tcPr>
            <w:tcW w:w="4101" w:type="dxa"/>
            <w:tcBorders>
              <w:top w:val="single" w:sz="8" w:space="0" w:color="8EA9DB"/>
              <w:left w:val="nil"/>
              <w:bottom w:val="single" w:sz="8" w:space="0" w:color="8EA9DB"/>
              <w:right w:val="nil"/>
            </w:tcBorders>
          </w:tcPr>
          <w:p w14:paraId="787DE980" w14:textId="65A736F2" w:rsidR="62695176" w:rsidRPr="0013566B" w:rsidRDefault="62695176" w:rsidP="00C5343F">
            <w:pPr>
              <w:spacing w:after="0"/>
              <w:rPr>
                <w:sz w:val="22"/>
                <w:szCs w:val="22"/>
              </w:rPr>
            </w:pPr>
            <w:r w:rsidRPr="0013566B">
              <w:rPr>
                <w:rFonts w:eastAsia="Calibri" w:cs="Calibri"/>
                <w:b/>
                <w:bCs/>
                <w:sz w:val="22"/>
                <w:szCs w:val="22"/>
              </w:rPr>
              <w:t>Participants</w:t>
            </w:r>
            <w:r w:rsidRPr="0013566B">
              <w:rPr>
                <w:rFonts w:eastAsia="Calibri" w:cs="Calibri"/>
                <w:sz w:val="22"/>
                <w:szCs w:val="22"/>
              </w:rPr>
              <w:t xml:space="preserve"> </w:t>
            </w:r>
          </w:p>
        </w:tc>
        <w:tc>
          <w:tcPr>
            <w:tcW w:w="1689" w:type="dxa"/>
            <w:tcBorders>
              <w:top w:val="single" w:sz="8" w:space="0" w:color="8EA9DB"/>
              <w:left w:val="nil"/>
              <w:bottom w:val="single" w:sz="8" w:space="0" w:color="8EA9DB"/>
              <w:right w:val="single" w:sz="8" w:space="0" w:color="8EA9DB"/>
            </w:tcBorders>
          </w:tcPr>
          <w:p w14:paraId="15C394F8" w14:textId="07DE203F" w:rsidR="62695176" w:rsidRPr="0013566B" w:rsidRDefault="62695176" w:rsidP="00C5343F">
            <w:pPr>
              <w:spacing w:after="0"/>
              <w:jc w:val="center"/>
              <w:rPr>
                <w:rFonts w:eastAsia="Calibri" w:cs="Calibri"/>
                <w:sz w:val="22"/>
                <w:szCs w:val="22"/>
              </w:rPr>
            </w:pPr>
            <w:r w:rsidRPr="0013566B">
              <w:rPr>
                <w:rFonts w:eastAsia="Calibri" w:cs="Calibri"/>
                <w:b/>
                <w:bCs/>
                <w:sz w:val="22"/>
                <w:szCs w:val="22"/>
              </w:rPr>
              <w:t>No. of Participants</w:t>
            </w:r>
            <w:r w:rsidRPr="0013566B">
              <w:rPr>
                <w:rFonts w:eastAsia="Calibri" w:cs="Calibri"/>
                <w:sz w:val="22"/>
                <w:szCs w:val="22"/>
              </w:rPr>
              <w:t xml:space="preserve"> </w:t>
            </w:r>
          </w:p>
        </w:tc>
      </w:tr>
      <w:tr w:rsidR="62695176" w:rsidRPr="0013566B" w14:paraId="205B98C4" w14:textId="77777777" w:rsidTr="00BF25A4">
        <w:trPr>
          <w:trHeight w:val="315"/>
        </w:trPr>
        <w:tc>
          <w:tcPr>
            <w:tcW w:w="2835" w:type="dxa"/>
            <w:vMerge w:val="restart"/>
            <w:tcBorders>
              <w:top w:val="single" w:sz="8" w:space="0" w:color="8EA9DB"/>
              <w:left w:val="single" w:sz="8" w:space="0" w:color="8EA9DB"/>
              <w:bottom w:val="single" w:sz="8" w:space="0" w:color="8EA9DB"/>
              <w:right w:val="single" w:sz="8" w:space="0" w:color="8EA9DB"/>
            </w:tcBorders>
          </w:tcPr>
          <w:p w14:paraId="6679E973" w14:textId="63BEF875" w:rsidR="62695176" w:rsidRPr="0013566B" w:rsidRDefault="62695176" w:rsidP="00C5343F">
            <w:pPr>
              <w:spacing w:after="0"/>
              <w:rPr>
                <w:sz w:val="22"/>
                <w:szCs w:val="22"/>
              </w:rPr>
            </w:pPr>
            <w:r w:rsidRPr="0013566B">
              <w:rPr>
                <w:rFonts w:eastAsia="Calibri" w:cs="Calibri"/>
                <w:b/>
                <w:bCs/>
                <w:sz w:val="22"/>
                <w:szCs w:val="22"/>
              </w:rPr>
              <w:t>Focus groups (n=8)</w:t>
            </w:r>
            <w:r w:rsidRPr="0013566B">
              <w:rPr>
                <w:rFonts w:eastAsia="Calibri" w:cs="Calibri"/>
                <w:sz w:val="22"/>
                <w:szCs w:val="22"/>
              </w:rPr>
              <w:t xml:space="preserve"> </w:t>
            </w:r>
          </w:p>
        </w:tc>
        <w:tc>
          <w:tcPr>
            <w:tcW w:w="4101" w:type="dxa"/>
            <w:tcBorders>
              <w:top w:val="single" w:sz="8" w:space="0" w:color="8EA9DB"/>
              <w:left w:val="single" w:sz="8" w:space="0" w:color="8EA9DB"/>
              <w:bottom w:val="single" w:sz="8" w:space="0" w:color="8EA9DB"/>
              <w:right w:val="single" w:sz="8" w:space="0" w:color="8EA9DB"/>
            </w:tcBorders>
            <w:shd w:val="clear" w:color="auto" w:fill="D9E2F3" w:themeFill="accent5" w:themeFillTint="33"/>
          </w:tcPr>
          <w:p w14:paraId="6E11894B" w14:textId="0947B571" w:rsidR="62695176" w:rsidRPr="0013566B" w:rsidRDefault="62695176" w:rsidP="00C5343F">
            <w:pPr>
              <w:spacing w:after="0"/>
              <w:rPr>
                <w:sz w:val="22"/>
                <w:szCs w:val="22"/>
              </w:rPr>
            </w:pPr>
            <w:r w:rsidRPr="0013566B">
              <w:rPr>
                <w:rFonts w:eastAsia="Calibri" w:cs="Calibri"/>
                <w:color w:val="000000" w:themeColor="text1"/>
                <w:sz w:val="22"/>
                <w:szCs w:val="22"/>
              </w:rPr>
              <w:t xml:space="preserve">Service managers </w:t>
            </w:r>
          </w:p>
        </w:tc>
        <w:tc>
          <w:tcPr>
            <w:tcW w:w="1689" w:type="dxa"/>
            <w:tcBorders>
              <w:top w:val="single" w:sz="8" w:space="0" w:color="8EA9DB"/>
              <w:left w:val="single" w:sz="8" w:space="0" w:color="8EA9DB"/>
              <w:bottom w:val="single" w:sz="8" w:space="0" w:color="8EA9DB"/>
              <w:right w:val="single" w:sz="8" w:space="0" w:color="8EA9DB"/>
            </w:tcBorders>
            <w:shd w:val="clear" w:color="auto" w:fill="D9E2F3" w:themeFill="accent5" w:themeFillTint="33"/>
          </w:tcPr>
          <w:p w14:paraId="0F07757E" w14:textId="72F05166" w:rsidR="62695176" w:rsidRPr="0013566B" w:rsidRDefault="62695176" w:rsidP="00C5343F">
            <w:pPr>
              <w:spacing w:after="0"/>
              <w:jc w:val="center"/>
              <w:rPr>
                <w:rFonts w:eastAsia="Calibri" w:cs="Calibri"/>
                <w:color w:val="000000" w:themeColor="text1"/>
                <w:sz w:val="22"/>
                <w:szCs w:val="22"/>
              </w:rPr>
            </w:pPr>
            <w:r w:rsidRPr="0013566B">
              <w:rPr>
                <w:rFonts w:eastAsia="Calibri" w:cs="Calibri"/>
                <w:color w:val="000000" w:themeColor="text1"/>
                <w:sz w:val="22"/>
                <w:szCs w:val="22"/>
              </w:rPr>
              <w:t xml:space="preserve">  </w:t>
            </w:r>
          </w:p>
        </w:tc>
      </w:tr>
      <w:tr w:rsidR="62695176" w:rsidRPr="0013566B" w14:paraId="03A6FF0C" w14:textId="77777777" w:rsidTr="00BF25A4">
        <w:trPr>
          <w:trHeight w:val="315"/>
        </w:trPr>
        <w:tc>
          <w:tcPr>
            <w:tcW w:w="2835" w:type="dxa"/>
            <w:vMerge/>
            <w:tcBorders>
              <w:left w:val="single" w:sz="0" w:space="0" w:color="8EA9DB"/>
              <w:right w:val="single" w:sz="0" w:space="0" w:color="8EA9DB"/>
            </w:tcBorders>
            <w:vAlign w:val="center"/>
          </w:tcPr>
          <w:p w14:paraId="34D9058F" w14:textId="77777777" w:rsidR="000E3BC2" w:rsidRPr="0013566B" w:rsidRDefault="000E3BC2" w:rsidP="00C5343F">
            <w:pPr>
              <w:spacing w:after="0"/>
              <w:rPr>
                <w:sz w:val="22"/>
                <w:szCs w:val="22"/>
              </w:rPr>
            </w:pPr>
          </w:p>
        </w:tc>
        <w:tc>
          <w:tcPr>
            <w:tcW w:w="4101" w:type="dxa"/>
            <w:tcBorders>
              <w:top w:val="single" w:sz="8" w:space="0" w:color="8EA9DB"/>
              <w:left w:val="nil"/>
              <w:bottom w:val="single" w:sz="8" w:space="0" w:color="8EA9DB"/>
              <w:right w:val="single" w:sz="8" w:space="0" w:color="8EA9DB"/>
            </w:tcBorders>
            <w:shd w:val="clear" w:color="auto" w:fill="D9E2F3" w:themeFill="accent5" w:themeFillTint="33"/>
          </w:tcPr>
          <w:p w14:paraId="4BADAB7A" w14:textId="047BD712" w:rsidR="62695176" w:rsidRPr="0013566B" w:rsidRDefault="62695176" w:rsidP="00C5343F">
            <w:pPr>
              <w:spacing w:after="0"/>
              <w:jc w:val="center"/>
              <w:rPr>
                <w:rFonts w:eastAsia="Calibri" w:cs="Calibri"/>
                <w:color w:val="000000" w:themeColor="text1"/>
                <w:sz w:val="22"/>
                <w:szCs w:val="22"/>
              </w:rPr>
            </w:pPr>
            <w:r w:rsidRPr="0013566B">
              <w:rPr>
                <w:rFonts w:eastAsia="Calibri" w:cs="Calibri"/>
                <w:i/>
                <w:iCs/>
                <w:color w:val="000000" w:themeColor="text1"/>
                <w:sz w:val="22"/>
                <w:szCs w:val="22"/>
              </w:rPr>
              <w:t xml:space="preserve">Specialist service </w:t>
            </w:r>
            <w:r w:rsidRPr="0013566B">
              <w:rPr>
                <w:rFonts w:eastAsia="Calibri" w:cs="Calibri"/>
                <w:color w:val="000000" w:themeColor="text1"/>
                <w:sz w:val="22"/>
                <w:szCs w:val="22"/>
              </w:rPr>
              <w:t xml:space="preserve">(SS) </w:t>
            </w:r>
          </w:p>
        </w:tc>
        <w:tc>
          <w:tcPr>
            <w:tcW w:w="1689" w:type="dxa"/>
            <w:tcBorders>
              <w:top w:val="single" w:sz="8" w:space="0" w:color="8EA9DB"/>
              <w:left w:val="single" w:sz="8" w:space="0" w:color="8EA9DB"/>
              <w:bottom w:val="single" w:sz="8" w:space="0" w:color="8EA9DB"/>
              <w:right w:val="single" w:sz="8" w:space="0" w:color="8EA9DB"/>
            </w:tcBorders>
            <w:shd w:val="clear" w:color="auto" w:fill="D9E2F3" w:themeFill="accent5" w:themeFillTint="33"/>
          </w:tcPr>
          <w:p w14:paraId="367300DD" w14:textId="3EBE0C25" w:rsidR="62695176" w:rsidRPr="0013566B" w:rsidRDefault="62695176" w:rsidP="00C5343F">
            <w:pPr>
              <w:spacing w:after="0"/>
              <w:jc w:val="center"/>
              <w:rPr>
                <w:rFonts w:eastAsia="Calibri" w:cs="Calibri"/>
                <w:color w:val="000000" w:themeColor="text1"/>
                <w:sz w:val="22"/>
                <w:szCs w:val="22"/>
              </w:rPr>
            </w:pPr>
            <w:r w:rsidRPr="0013566B">
              <w:rPr>
                <w:rFonts w:eastAsia="Calibri" w:cs="Calibri"/>
                <w:color w:val="000000" w:themeColor="text1"/>
                <w:sz w:val="22"/>
                <w:szCs w:val="22"/>
              </w:rPr>
              <w:t xml:space="preserve">8 </w:t>
            </w:r>
          </w:p>
        </w:tc>
      </w:tr>
      <w:tr w:rsidR="62695176" w:rsidRPr="0013566B" w14:paraId="0BC23051" w14:textId="77777777" w:rsidTr="00BF25A4">
        <w:trPr>
          <w:trHeight w:val="315"/>
        </w:trPr>
        <w:tc>
          <w:tcPr>
            <w:tcW w:w="2835" w:type="dxa"/>
            <w:vMerge/>
            <w:tcBorders>
              <w:left w:val="single" w:sz="0" w:space="0" w:color="8EA9DB"/>
              <w:right w:val="single" w:sz="0" w:space="0" w:color="8EA9DB"/>
            </w:tcBorders>
            <w:vAlign w:val="center"/>
          </w:tcPr>
          <w:p w14:paraId="475736B3" w14:textId="77777777" w:rsidR="000E3BC2" w:rsidRPr="0013566B" w:rsidRDefault="000E3BC2" w:rsidP="00C5343F">
            <w:pPr>
              <w:spacing w:after="0"/>
              <w:rPr>
                <w:sz w:val="22"/>
                <w:szCs w:val="22"/>
              </w:rPr>
            </w:pPr>
          </w:p>
        </w:tc>
        <w:tc>
          <w:tcPr>
            <w:tcW w:w="4101" w:type="dxa"/>
            <w:tcBorders>
              <w:top w:val="single" w:sz="8" w:space="0" w:color="8EA9DB"/>
              <w:left w:val="nil"/>
              <w:bottom w:val="single" w:sz="8" w:space="0" w:color="8EA9DB"/>
              <w:right w:val="single" w:sz="8" w:space="0" w:color="8EA9DB"/>
            </w:tcBorders>
            <w:shd w:val="clear" w:color="auto" w:fill="D9E2F3" w:themeFill="accent5" w:themeFillTint="33"/>
          </w:tcPr>
          <w:p w14:paraId="2B568304" w14:textId="53F0BF32" w:rsidR="62695176" w:rsidRPr="0013566B" w:rsidRDefault="62695176" w:rsidP="00C5343F">
            <w:pPr>
              <w:spacing w:after="0"/>
              <w:jc w:val="center"/>
              <w:rPr>
                <w:rFonts w:eastAsia="Calibri" w:cs="Calibri"/>
                <w:color w:val="000000" w:themeColor="text1"/>
                <w:sz w:val="22"/>
                <w:szCs w:val="22"/>
              </w:rPr>
            </w:pPr>
            <w:r w:rsidRPr="0013566B">
              <w:rPr>
                <w:rFonts w:eastAsia="Calibri" w:cs="Calibri"/>
                <w:i/>
                <w:iCs/>
                <w:color w:val="000000" w:themeColor="text1"/>
                <w:sz w:val="22"/>
                <w:szCs w:val="22"/>
              </w:rPr>
              <w:t xml:space="preserve">Generalist service </w:t>
            </w:r>
            <w:r w:rsidRPr="0013566B">
              <w:rPr>
                <w:rFonts w:eastAsia="Calibri" w:cs="Calibri"/>
                <w:color w:val="000000" w:themeColor="text1"/>
                <w:sz w:val="22"/>
                <w:szCs w:val="22"/>
              </w:rPr>
              <w:t xml:space="preserve">(GS) </w:t>
            </w:r>
          </w:p>
        </w:tc>
        <w:tc>
          <w:tcPr>
            <w:tcW w:w="1689" w:type="dxa"/>
            <w:tcBorders>
              <w:top w:val="single" w:sz="8" w:space="0" w:color="8EA9DB"/>
              <w:left w:val="single" w:sz="8" w:space="0" w:color="8EA9DB"/>
              <w:bottom w:val="single" w:sz="8" w:space="0" w:color="8EA9DB"/>
              <w:right w:val="single" w:sz="8" w:space="0" w:color="8EA9DB"/>
            </w:tcBorders>
            <w:shd w:val="clear" w:color="auto" w:fill="D9E2F3" w:themeFill="accent5" w:themeFillTint="33"/>
          </w:tcPr>
          <w:p w14:paraId="70D347A6" w14:textId="7D81587F" w:rsidR="62695176" w:rsidRPr="0013566B" w:rsidRDefault="62695176" w:rsidP="00C5343F">
            <w:pPr>
              <w:spacing w:after="0"/>
              <w:jc w:val="center"/>
              <w:rPr>
                <w:rFonts w:eastAsia="Calibri" w:cs="Calibri"/>
                <w:color w:val="000000" w:themeColor="text1"/>
                <w:sz w:val="22"/>
                <w:szCs w:val="22"/>
              </w:rPr>
            </w:pPr>
            <w:r w:rsidRPr="0013566B">
              <w:rPr>
                <w:rFonts w:eastAsia="Calibri" w:cs="Calibri"/>
                <w:color w:val="000000" w:themeColor="text1"/>
                <w:sz w:val="22"/>
                <w:szCs w:val="22"/>
              </w:rPr>
              <w:t xml:space="preserve">8 </w:t>
            </w:r>
          </w:p>
        </w:tc>
      </w:tr>
      <w:tr w:rsidR="62695176" w:rsidRPr="0013566B" w14:paraId="2357B857" w14:textId="77777777" w:rsidTr="00BF25A4">
        <w:trPr>
          <w:trHeight w:val="315"/>
        </w:trPr>
        <w:tc>
          <w:tcPr>
            <w:tcW w:w="2835" w:type="dxa"/>
            <w:vMerge/>
            <w:tcBorders>
              <w:left w:val="single" w:sz="0" w:space="0" w:color="8EA9DB"/>
              <w:right w:val="single" w:sz="0" w:space="0" w:color="8EA9DB"/>
            </w:tcBorders>
            <w:vAlign w:val="center"/>
          </w:tcPr>
          <w:p w14:paraId="34913257" w14:textId="77777777" w:rsidR="000E3BC2" w:rsidRPr="0013566B" w:rsidRDefault="000E3BC2" w:rsidP="00C5343F">
            <w:pPr>
              <w:spacing w:after="0"/>
              <w:rPr>
                <w:sz w:val="22"/>
                <w:szCs w:val="22"/>
              </w:rPr>
            </w:pPr>
          </w:p>
        </w:tc>
        <w:tc>
          <w:tcPr>
            <w:tcW w:w="4101" w:type="dxa"/>
            <w:tcBorders>
              <w:top w:val="single" w:sz="8" w:space="0" w:color="8EA9DB"/>
              <w:left w:val="nil"/>
              <w:bottom w:val="single" w:sz="8" w:space="0" w:color="8EA9DB"/>
              <w:right w:val="single" w:sz="8" w:space="0" w:color="8EA9DB"/>
            </w:tcBorders>
            <w:shd w:val="clear" w:color="auto" w:fill="D9E2F3" w:themeFill="accent5" w:themeFillTint="33"/>
          </w:tcPr>
          <w:p w14:paraId="0C50CC73" w14:textId="411B377A" w:rsidR="62695176" w:rsidRPr="0013566B" w:rsidRDefault="62695176" w:rsidP="00C5343F">
            <w:pPr>
              <w:spacing w:after="0"/>
              <w:rPr>
                <w:sz w:val="22"/>
                <w:szCs w:val="22"/>
              </w:rPr>
            </w:pPr>
            <w:r w:rsidRPr="0013566B">
              <w:rPr>
                <w:rFonts w:eastAsia="Calibri" w:cs="Calibri"/>
                <w:color w:val="000000" w:themeColor="text1"/>
                <w:sz w:val="22"/>
                <w:szCs w:val="22"/>
              </w:rPr>
              <w:t xml:space="preserve">Direct care staff </w:t>
            </w:r>
          </w:p>
        </w:tc>
        <w:tc>
          <w:tcPr>
            <w:tcW w:w="1689" w:type="dxa"/>
            <w:tcBorders>
              <w:top w:val="single" w:sz="8" w:space="0" w:color="8EA9DB"/>
              <w:left w:val="single" w:sz="8" w:space="0" w:color="8EA9DB"/>
              <w:bottom w:val="single" w:sz="8" w:space="0" w:color="8EA9DB"/>
              <w:right w:val="single" w:sz="8" w:space="0" w:color="8EA9DB"/>
            </w:tcBorders>
            <w:shd w:val="clear" w:color="auto" w:fill="D9E2F3" w:themeFill="accent5" w:themeFillTint="33"/>
          </w:tcPr>
          <w:p w14:paraId="29439156" w14:textId="5000BFD1" w:rsidR="62695176" w:rsidRPr="0013566B" w:rsidRDefault="62695176" w:rsidP="00C5343F">
            <w:pPr>
              <w:spacing w:after="0"/>
              <w:jc w:val="center"/>
              <w:rPr>
                <w:rFonts w:eastAsia="Calibri" w:cs="Calibri"/>
                <w:color w:val="000000" w:themeColor="text1"/>
                <w:sz w:val="22"/>
                <w:szCs w:val="22"/>
              </w:rPr>
            </w:pPr>
            <w:r w:rsidRPr="0013566B">
              <w:rPr>
                <w:rFonts w:eastAsia="Calibri" w:cs="Calibri"/>
                <w:color w:val="000000" w:themeColor="text1"/>
                <w:sz w:val="22"/>
                <w:szCs w:val="22"/>
              </w:rPr>
              <w:t xml:space="preserve">  </w:t>
            </w:r>
          </w:p>
        </w:tc>
      </w:tr>
      <w:tr w:rsidR="62695176" w:rsidRPr="0013566B" w14:paraId="221C4F15" w14:textId="77777777" w:rsidTr="00BF25A4">
        <w:trPr>
          <w:trHeight w:val="315"/>
        </w:trPr>
        <w:tc>
          <w:tcPr>
            <w:tcW w:w="2835" w:type="dxa"/>
            <w:vMerge/>
            <w:tcBorders>
              <w:left w:val="single" w:sz="0" w:space="0" w:color="8EA9DB"/>
              <w:right w:val="single" w:sz="0" w:space="0" w:color="8EA9DB"/>
            </w:tcBorders>
            <w:vAlign w:val="center"/>
          </w:tcPr>
          <w:p w14:paraId="61941065" w14:textId="77777777" w:rsidR="000E3BC2" w:rsidRPr="0013566B" w:rsidRDefault="000E3BC2" w:rsidP="00C5343F">
            <w:pPr>
              <w:spacing w:after="0"/>
              <w:rPr>
                <w:sz w:val="22"/>
                <w:szCs w:val="22"/>
              </w:rPr>
            </w:pPr>
          </w:p>
        </w:tc>
        <w:tc>
          <w:tcPr>
            <w:tcW w:w="4101" w:type="dxa"/>
            <w:tcBorders>
              <w:top w:val="single" w:sz="8" w:space="0" w:color="8EA9DB"/>
              <w:left w:val="nil"/>
              <w:bottom w:val="single" w:sz="8" w:space="0" w:color="8EA9DB"/>
              <w:right w:val="single" w:sz="8" w:space="0" w:color="8EA9DB"/>
            </w:tcBorders>
            <w:shd w:val="clear" w:color="auto" w:fill="D9E2F3" w:themeFill="accent5" w:themeFillTint="33"/>
          </w:tcPr>
          <w:p w14:paraId="37697251" w14:textId="1D8F32F0" w:rsidR="62695176" w:rsidRPr="0013566B" w:rsidRDefault="62695176" w:rsidP="00C5343F">
            <w:pPr>
              <w:spacing w:after="0"/>
              <w:jc w:val="center"/>
              <w:rPr>
                <w:rFonts w:eastAsia="Calibri" w:cs="Calibri"/>
                <w:color w:val="000000" w:themeColor="text1"/>
                <w:sz w:val="22"/>
                <w:szCs w:val="22"/>
              </w:rPr>
            </w:pPr>
            <w:r w:rsidRPr="0013566B">
              <w:rPr>
                <w:rFonts w:eastAsia="Calibri" w:cs="Calibri"/>
                <w:i/>
                <w:iCs/>
                <w:color w:val="000000" w:themeColor="text1"/>
                <w:sz w:val="22"/>
                <w:szCs w:val="22"/>
              </w:rPr>
              <w:t xml:space="preserve">Specialist service </w:t>
            </w:r>
            <w:r w:rsidRPr="0013566B">
              <w:rPr>
                <w:rFonts w:eastAsia="Calibri" w:cs="Calibri"/>
                <w:color w:val="000000" w:themeColor="text1"/>
                <w:sz w:val="22"/>
                <w:szCs w:val="22"/>
              </w:rPr>
              <w:t xml:space="preserve">(SS) </w:t>
            </w:r>
          </w:p>
        </w:tc>
        <w:tc>
          <w:tcPr>
            <w:tcW w:w="1689" w:type="dxa"/>
            <w:tcBorders>
              <w:top w:val="single" w:sz="8" w:space="0" w:color="8EA9DB"/>
              <w:left w:val="single" w:sz="8" w:space="0" w:color="8EA9DB"/>
              <w:bottom w:val="single" w:sz="8" w:space="0" w:color="8EA9DB"/>
              <w:right w:val="single" w:sz="8" w:space="0" w:color="8EA9DB"/>
            </w:tcBorders>
            <w:shd w:val="clear" w:color="auto" w:fill="D9E2F3" w:themeFill="accent5" w:themeFillTint="33"/>
          </w:tcPr>
          <w:p w14:paraId="35FC6AC1" w14:textId="185698EA" w:rsidR="62695176" w:rsidRPr="0013566B" w:rsidRDefault="62695176" w:rsidP="00C5343F">
            <w:pPr>
              <w:spacing w:after="0"/>
              <w:jc w:val="center"/>
              <w:rPr>
                <w:rFonts w:eastAsia="Calibri" w:cs="Calibri"/>
                <w:color w:val="000000" w:themeColor="text1"/>
                <w:sz w:val="22"/>
                <w:szCs w:val="22"/>
              </w:rPr>
            </w:pPr>
            <w:r w:rsidRPr="0013566B">
              <w:rPr>
                <w:rFonts w:eastAsia="Calibri" w:cs="Calibri"/>
                <w:color w:val="000000" w:themeColor="text1"/>
                <w:sz w:val="22"/>
                <w:szCs w:val="22"/>
              </w:rPr>
              <w:t xml:space="preserve">5 </w:t>
            </w:r>
          </w:p>
        </w:tc>
      </w:tr>
      <w:tr w:rsidR="62695176" w:rsidRPr="0013566B" w14:paraId="706065E2" w14:textId="77777777" w:rsidTr="00BF25A4">
        <w:trPr>
          <w:trHeight w:val="315"/>
        </w:trPr>
        <w:tc>
          <w:tcPr>
            <w:tcW w:w="2835" w:type="dxa"/>
            <w:vMerge/>
            <w:tcBorders>
              <w:left w:val="single" w:sz="0" w:space="0" w:color="8EA9DB"/>
              <w:bottom w:val="single" w:sz="0" w:space="0" w:color="8EA9DB"/>
              <w:right w:val="single" w:sz="0" w:space="0" w:color="8EA9DB"/>
            </w:tcBorders>
            <w:vAlign w:val="center"/>
          </w:tcPr>
          <w:p w14:paraId="080CF34C" w14:textId="77777777" w:rsidR="000E3BC2" w:rsidRPr="0013566B" w:rsidRDefault="000E3BC2" w:rsidP="00C5343F">
            <w:pPr>
              <w:spacing w:after="0"/>
              <w:rPr>
                <w:sz w:val="22"/>
                <w:szCs w:val="22"/>
              </w:rPr>
            </w:pPr>
          </w:p>
        </w:tc>
        <w:tc>
          <w:tcPr>
            <w:tcW w:w="4101" w:type="dxa"/>
            <w:tcBorders>
              <w:top w:val="single" w:sz="8" w:space="0" w:color="8EA9DB"/>
              <w:left w:val="nil"/>
              <w:bottom w:val="single" w:sz="8" w:space="0" w:color="8EA9DB"/>
              <w:right w:val="single" w:sz="8" w:space="0" w:color="8EA9DB"/>
            </w:tcBorders>
            <w:shd w:val="clear" w:color="auto" w:fill="D9E2F3" w:themeFill="accent5" w:themeFillTint="33"/>
          </w:tcPr>
          <w:p w14:paraId="15A3E865" w14:textId="40C9DFFD" w:rsidR="62695176" w:rsidRPr="0013566B" w:rsidRDefault="62695176" w:rsidP="00C5343F">
            <w:pPr>
              <w:spacing w:after="0"/>
              <w:jc w:val="center"/>
              <w:rPr>
                <w:rFonts w:eastAsia="Calibri" w:cs="Calibri"/>
                <w:color w:val="000000" w:themeColor="text1"/>
                <w:sz w:val="22"/>
                <w:szCs w:val="22"/>
              </w:rPr>
            </w:pPr>
            <w:r w:rsidRPr="0013566B">
              <w:rPr>
                <w:rFonts w:eastAsia="Calibri" w:cs="Calibri"/>
                <w:i/>
                <w:iCs/>
                <w:color w:val="000000" w:themeColor="text1"/>
                <w:sz w:val="22"/>
                <w:szCs w:val="22"/>
              </w:rPr>
              <w:t xml:space="preserve">Generalist service </w:t>
            </w:r>
            <w:r w:rsidRPr="0013566B">
              <w:rPr>
                <w:rFonts w:eastAsia="Calibri" w:cs="Calibri"/>
                <w:color w:val="000000" w:themeColor="text1"/>
                <w:sz w:val="22"/>
                <w:szCs w:val="22"/>
              </w:rPr>
              <w:t xml:space="preserve">(GS) </w:t>
            </w:r>
          </w:p>
        </w:tc>
        <w:tc>
          <w:tcPr>
            <w:tcW w:w="1689" w:type="dxa"/>
            <w:tcBorders>
              <w:top w:val="single" w:sz="8" w:space="0" w:color="8EA9DB"/>
              <w:left w:val="single" w:sz="8" w:space="0" w:color="8EA9DB"/>
              <w:bottom w:val="single" w:sz="8" w:space="0" w:color="8EA9DB"/>
              <w:right w:val="single" w:sz="8" w:space="0" w:color="8EA9DB"/>
            </w:tcBorders>
            <w:shd w:val="clear" w:color="auto" w:fill="D9E2F3" w:themeFill="accent5" w:themeFillTint="33"/>
          </w:tcPr>
          <w:p w14:paraId="3EADEB19" w14:textId="35E44AE0" w:rsidR="62695176" w:rsidRPr="0013566B" w:rsidRDefault="62695176" w:rsidP="00C5343F">
            <w:pPr>
              <w:spacing w:after="0"/>
              <w:jc w:val="center"/>
              <w:rPr>
                <w:rFonts w:eastAsia="Calibri" w:cs="Calibri"/>
                <w:color w:val="000000" w:themeColor="text1"/>
                <w:sz w:val="22"/>
                <w:szCs w:val="22"/>
              </w:rPr>
            </w:pPr>
            <w:r w:rsidRPr="0013566B">
              <w:rPr>
                <w:rFonts w:eastAsia="Calibri" w:cs="Calibri"/>
                <w:color w:val="000000" w:themeColor="text1"/>
                <w:sz w:val="22"/>
                <w:szCs w:val="22"/>
              </w:rPr>
              <w:t xml:space="preserve">4 </w:t>
            </w:r>
          </w:p>
        </w:tc>
      </w:tr>
      <w:tr w:rsidR="62695176" w:rsidRPr="0013566B" w14:paraId="63FEBB63" w14:textId="77777777" w:rsidTr="00BF25A4">
        <w:trPr>
          <w:trHeight w:val="420"/>
        </w:trPr>
        <w:tc>
          <w:tcPr>
            <w:tcW w:w="2835" w:type="dxa"/>
            <w:vMerge w:val="restart"/>
            <w:tcBorders>
              <w:top w:val="nil"/>
              <w:left w:val="single" w:sz="8" w:space="0" w:color="8EA9DB"/>
              <w:bottom w:val="single" w:sz="8" w:space="0" w:color="8EA9DB"/>
              <w:right w:val="single" w:sz="8" w:space="0" w:color="8EA9DB"/>
            </w:tcBorders>
          </w:tcPr>
          <w:p w14:paraId="5695DB9D" w14:textId="4A988A65" w:rsidR="62695176" w:rsidRPr="0013566B" w:rsidRDefault="62695176" w:rsidP="00C5343F">
            <w:pPr>
              <w:spacing w:after="0"/>
              <w:rPr>
                <w:sz w:val="22"/>
                <w:szCs w:val="22"/>
              </w:rPr>
            </w:pPr>
            <w:r w:rsidRPr="0013566B">
              <w:rPr>
                <w:rFonts w:eastAsia="Calibri" w:cs="Calibri"/>
                <w:b/>
                <w:bCs/>
                <w:sz w:val="22"/>
                <w:szCs w:val="22"/>
              </w:rPr>
              <w:t>Individual interviews (n=13)</w:t>
            </w:r>
            <w:r w:rsidRPr="0013566B">
              <w:rPr>
                <w:rFonts w:eastAsia="Calibri" w:cs="Calibri"/>
                <w:sz w:val="22"/>
                <w:szCs w:val="22"/>
              </w:rPr>
              <w:t xml:space="preserve"> </w:t>
            </w:r>
          </w:p>
        </w:tc>
        <w:tc>
          <w:tcPr>
            <w:tcW w:w="4101" w:type="dxa"/>
            <w:tcBorders>
              <w:top w:val="single" w:sz="8" w:space="0" w:color="8EA9DB"/>
              <w:left w:val="single" w:sz="8" w:space="0" w:color="8EA9DB"/>
              <w:bottom w:val="single" w:sz="8" w:space="0" w:color="8EA9DB"/>
              <w:right w:val="single" w:sz="8" w:space="0" w:color="8EA9DB"/>
            </w:tcBorders>
            <w:shd w:val="clear" w:color="auto" w:fill="D9E2F3" w:themeFill="accent5" w:themeFillTint="33"/>
          </w:tcPr>
          <w:p w14:paraId="56DD9D1D" w14:textId="6C69CED0" w:rsidR="62695176" w:rsidRPr="0013566B" w:rsidRDefault="62695176" w:rsidP="00C5343F">
            <w:pPr>
              <w:spacing w:after="0"/>
              <w:rPr>
                <w:sz w:val="22"/>
                <w:szCs w:val="22"/>
              </w:rPr>
            </w:pPr>
            <w:r w:rsidRPr="0013566B">
              <w:rPr>
                <w:rFonts w:eastAsia="Calibri" w:cs="Calibri"/>
                <w:color w:val="000000" w:themeColor="text1"/>
                <w:sz w:val="22"/>
                <w:szCs w:val="22"/>
              </w:rPr>
              <w:t xml:space="preserve">Service manager (SS) </w:t>
            </w:r>
          </w:p>
        </w:tc>
        <w:tc>
          <w:tcPr>
            <w:tcW w:w="1689" w:type="dxa"/>
            <w:tcBorders>
              <w:top w:val="single" w:sz="8" w:space="0" w:color="8EA9DB"/>
              <w:left w:val="single" w:sz="8" w:space="0" w:color="8EA9DB"/>
              <w:bottom w:val="single" w:sz="8" w:space="0" w:color="8EA9DB"/>
              <w:right w:val="single" w:sz="8" w:space="0" w:color="8EA9DB"/>
            </w:tcBorders>
            <w:shd w:val="clear" w:color="auto" w:fill="D9E2F3" w:themeFill="accent5" w:themeFillTint="33"/>
          </w:tcPr>
          <w:p w14:paraId="0A1F24D2" w14:textId="38C81614" w:rsidR="62695176" w:rsidRPr="0013566B" w:rsidRDefault="62695176" w:rsidP="00C5343F">
            <w:pPr>
              <w:spacing w:after="0"/>
              <w:jc w:val="center"/>
              <w:rPr>
                <w:rFonts w:eastAsia="Calibri" w:cs="Calibri"/>
                <w:color w:val="000000" w:themeColor="text1"/>
                <w:sz w:val="22"/>
                <w:szCs w:val="22"/>
              </w:rPr>
            </w:pPr>
            <w:r w:rsidRPr="0013566B">
              <w:rPr>
                <w:rFonts w:eastAsia="Calibri" w:cs="Calibri"/>
                <w:color w:val="000000" w:themeColor="text1"/>
                <w:sz w:val="22"/>
                <w:szCs w:val="22"/>
              </w:rPr>
              <w:t xml:space="preserve">1 </w:t>
            </w:r>
          </w:p>
        </w:tc>
      </w:tr>
      <w:tr w:rsidR="62695176" w:rsidRPr="0013566B" w14:paraId="0B04FF32" w14:textId="77777777" w:rsidTr="00BF25A4">
        <w:trPr>
          <w:trHeight w:val="420"/>
        </w:trPr>
        <w:tc>
          <w:tcPr>
            <w:tcW w:w="2835" w:type="dxa"/>
            <w:vMerge/>
            <w:tcBorders>
              <w:left w:val="single" w:sz="0" w:space="0" w:color="8EA9DB"/>
              <w:right w:val="single" w:sz="0" w:space="0" w:color="8EA9DB"/>
            </w:tcBorders>
            <w:vAlign w:val="center"/>
          </w:tcPr>
          <w:p w14:paraId="2D982712" w14:textId="77777777" w:rsidR="000E3BC2" w:rsidRPr="0013566B" w:rsidRDefault="000E3BC2" w:rsidP="00C5343F">
            <w:pPr>
              <w:spacing w:after="0"/>
              <w:rPr>
                <w:sz w:val="22"/>
                <w:szCs w:val="22"/>
              </w:rPr>
            </w:pPr>
          </w:p>
        </w:tc>
        <w:tc>
          <w:tcPr>
            <w:tcW w:w="4101" w:type="dxa"/>
            <w:tcBorders>
              <w:top w:val="single" w:sz="8" w:space="0" w:color="8EA9DB"/>
              <w:left w:val="nil"/>
              <w:bottom w:val="single" w:sz="8" w:space="0" w:color="8EA9DB"/>
              <w:right w:val="single" w:sz="8" w:space="0" w:color="8EA9DB"/>
            </w:tcBorders>
            <w:shd w:val="clear" w:color="auto" w:fill="D9E2F3" w:themeFill="accent5" w:themeFillTint="33"/>
          </w:tcPr>
          <w:p w14:paraId="5927B4CA" w14:textId="4EB78EB3" w:rsidR="62695176" w:rsidRPr="0013566B" w:rsidRDefault="62695176" w:rsidP="00C5343F">
            <w:pPr>
              <w:spacing w:after="0"/>
              <w:rPr>
                <w:sz w:val="22"/>
                <w:szCs w:val="22"/>
              </w:rPr>
            </w:pPr>
            <w:r w:rsidRPr="0013566B">
              <w:rPr>
                <w:rFonts w:eastAsia="Calibri" w:cs="Calibri"/>
                <w:color w:val="000000" w:themeColor="text1"/>
                <w:sz w:val="22"/>
                <w:szCs w:val="22"/>
              </w:rPr>
              <w:t xml:space="preserve">Older person with intellectual disability </w:t>
            </w:r>
          </w:p>
        </w:tc>
        <w:tc>
          <w:tcPr>
            <w:tcW w:w="1689" w:type="dxa"/>
            <w:tcBorders>
              <w:top w:val="single" w:sz="8" w:space="0" w:color="8EA9DB"/>
              <w:left w:val="single" w:sz="8" w:space="0" w:color="8EA9DB"/>
              <w:bottom w:val="single" w:sz="8" w:space="0" w:color="8EA9DB"/>
              <w:right w:val="single" w:sz="8" w:space="0" w:color="8EA9DB"/>
            </w:tcBorders>
            <w:shd w:val="clear" w:color="auto" w:fill="D9E2F3" w:themeFill="accent5" w:themeFillTint="33"/>
          </w:tcPr>
          <w:p w14:paraId="7221419C" w14:textId="0579AC6A" w:rsidR="62695176" w:rsidRPr="0013566B" w:rsidRDefault="62695176" w:rsidP="00C5343F">
            <w:pPr>
              <w:spacing w:after="0"/>
              <w:jc w:val="center"/>
              <w:rPr>
                <w:rFonts w:eastAsia="Calibri" w:cs="Calibri"/>
                <w:color w:val="000000" w:themeColor="text1"/>
                <w:sz w:val="22"/>
                <w:szCs w:val="22"/>
              </w:rPr>
            </w:pPr>
            <w:r w:rsidRPr="0013566B">
              <w:rPr>
                <w:rFonts w:eastAsia="Calibri" w:cs="Calibri"/>
                <w:color w:val="000000" w:themeColor="text1"/>
                <w:sz w:val="22"/>
                <w:szCs w:val="22"/>
              </w:rPr>
              <w:t xml:space="preserve">7 </w:t>
            </w:r>
          </w:p>
        </w:tc>
      </w:tr>
      <w:tr w:rsidR="62695176" w:rsidRPr="0013566B" w14:paraId="5CD93468" w14:textId="77777777" w:rsidTr="00BF25A4">
        <w:trPr>
          <w:trHeight w:val="375"/>
        </w:trPr>
        <w:tc>
          <w:tcPr>
            <w:tcW w:w="2835" w:type="dxa"/>
            <w:vMerge/>
            <w:tcBorders>
              <w:left w:val="single" w:sz="0" w:space="0" w:color="8EA9DB"/>
              <w:right w:val="single" w:sz="0" w:space="0" w:color="8EA9DB"/>
            </w:tcBorders>
            <w:vAlign w:val="center"/>
          </w:tcPr>
          <w:p w14:paraId="27C21B5B" w14:textId="77777777" w:rsidR="000E3BC2" w:rsidRPr="0013566B" w:rsidRDefault="000E3BC2" w:rsidP="00C5343F">
            <w:pPr>
              <w:spacing w:after="0"/>
              <w:rPr>
                <w:sz w:val="22"/>
                <w:szCs w:val="22"/>
              </w:rPr>
            </w:pPr>
          </w:p>
        </w:tc>
        <w:tc>
          <w:tcPr>
            <w:tcW w:w="4101" w:type="dxa"/>
            <w:tcBorders>
              <w:top w:val="single" w:sz="8" w:space="0" w:color="8EA9DB"/>
              <w:left w:val="nil"/>
              <w:bottom w:val="single" w:sz="8" w:space="0" w:color="8EA9DB"/>
              <w:right w:val="single" w:sz="8" w:space="0" w:color="8EA9DB"/>
            </w:tcBorders>
            <w:shd w:val="clear" w:color="auto" w:fill="D9E2F3" w:themeFill="accent5" w:themeFillTint="33"/>
          </w:tcPr>
          <w:p w14:paraId="064D3A56" w14:textId="36939725" w:rsidR="62695176" w:rsidRPr="0013566B" w:rsidRDefault="62695176" w:rsidP="00C5343F">
            <w:pPr>
              <w:spacing w:after="0"/>
              <w:rPr>
                <w:sz w:val="22"/>
                <w:szCs w:val="22"/>
              </w:rPr>
            </w:pPr>
            <w:r w:rsidRPr="0013566B">
              <w:rPr>
                <w:rFonts w:eastAsia="Calibri" w:cs="Calibri"/>
                <w:color w:val="000000" w:themeColor="text1"/>
                <w:sz w:val="22"/>
                <w:szCs w:val="22"/>
              </w:rPr>
              <w:t xml:space="preserve">Family of older person receiving services </w:t>
            </w:r>
          </w:p>
        </w:tc>
        <w:tc>
          <w:tcPr>
            <w:tcW w:w="1689" w:type="dxa"/>
            <w:tcBorders>
              <w:top w:val="single" w:sz="8" w:space="0" w:color="8EA9DB"/>
              <w:left w:val="single" w:sz="8" w:space="0" w:color="8EA9DB"/>
              <w:bottom w:val="single" w:sz="8" w:space="0" w:color="8EA9DB"/>
              <w:right w:val="single" w:sz="8" w:space="0" w:color="8EA9DB"/>
            </w:tcBorders>
            <w:shd w:val="clear" w:color="auto" w:fill="D9E2F3" w:themeFill="accent5" w:themeFillTint="33"/>
          </w:tcPr>
          <w:p w14:paraId="03BBB9E3" w14:textId="489B5B64" w:rsidR="62695176" w:rsidRPr="0013566B" w:rsidRDefault="62695176" w:rsidP="00C5343F">
            <w:pPr>
              <w:spacing w:after="0"/>
              <w:jc w:val="center"/>
              <w:rPr>
                <w:rFonts w:eastAsia="Calibri" w:cs="Calibri"/>
                <w:color w:val="000000" w:themeColor="text1"/>
                <w:sz w:val="22"/>
                <w:szCs w:val="22"/>
              </w:rPr>
            </w:pPr>
            <w:r w:rsidRPr="0013566B">
              <w:rPr>
                <w:rFonts w:eastAsia="Calibri" w:cs="Calibri"/>
                <w:color w:val="000000" w:themeColor="text1"/>
                <w:sz w:val="22"/>
                <w:szCs w:val="22"/>
              </w:rPr>
              <w:t xml:space="preserve">2 </w:t>
            </w:r>
          </w:p>
        </w:tc>
      </w:tr>
      <w:tr w:rsidR="62695176" w:rsidRPr="0013566B" w14:paraId="46A50223" w14:textId="77777777" w:rsidTr="00BF25A4">
        <w:trPr>
          <w:trHeight w:val="315"/>
        </w:trPr>
        <w:tc>
          <w:tcPr>
            <w:tcW w:w="2835" w:type="dxa"/>
            <w:vMerge/>
            <w:tcBorders>
              <w:left w:val="single" w:sz="0" w:space="0" w:color="8EA9DB"/>
              <w:bottom w:val="single" w:sz="0" w:space="0" w:color="8EA9DB"/>
              <w:right w:val="single" w:sz="0" w:space="0" w:color="8EA9DB"/>
            </w:tcBorders>
            <w:vAlign w:val="center"/>
          </w:tcPr>
          <w:p w14:paraId="4D85DB64" w14:textId="77777777" w:rsidR="000E3BC2" w:rsidRPr="0013566B" w:rsidRDefault="000E3BC2" w:rsidP="00C5343F">
            <w:pPr>
              <w:spacing w:after="0"/>
              <w:rPr>
                <w:sz w:val="22"/>
                <w:szCs w:val="22"/>
              </w:rPr>
            </w:pPr>
          </w:p>
        </w:tc>
        <w:tc>
          <w:tcPr>
            <w:tcW w:w="4101" w:type="dxa"/>
            <w:tcBorders>
              <w:top w:val="single" w:sz="8" w:space="0" w:color="8EA9DB"/>
              <w:left w:val="nil"/>
              <w:bottom w:val="single" w:sz="8" w:space="0" w:color="8EA9DB"/>
              <w:right w:val="single" w:sz="8" w:space="0" w:color="8EA9DB"/>
            </w:tcBorders>
            <w:shd w:val="clear" w:color="auto" w:fill="D9E2F3" w:themeFill="accent5" w:themeFillTint="33"/>
          </w:tcPr>
          <w:p w14:paraId="34A1B5E4" w14:textId="2EF65445" w:rsidR="62695176" w:rsidRPr="0013566B" w:rsidRDefault="62695176" w:rsidP="00C5343F">
            <w:pPr>
              <w:spacing w:after="0"/>
              <w:rPr>
                <w:sz w:val="22"/>
                <w:szCs w:val="22"/>
              </w:rPr>
            </w:pPr>
            <w:r w:rsidRPr="0013566B">
              <w:rPr>
                <w:rFonts w:eastAsia="Calibri" w:cs="Calibri"/>
                <w:color w:val="000000" w:themeColor="text1"/>
                <w:sz w:val="22"/>
                <w:szCs w:val="22"/>
              </w:rPr>
              <w:t xml:space="preserve">Family of deceased older person </w:t>
            </w:r>
          </w:p>
        </w:tc>
        <w:tc>
          <w:tcPr>
            <w:tcW w:w="1689" w:type="dxa"/>
            <w:tcBorders>
              <w:top w:val="single" w:sz="8" w:space="0" w:color="8EA9DB"/>
              <w:left w:val="single" w:sz="8" w:space="0" w:color="8EA9DB"/>
              <w:bottom w:val="single" w:sz="8" w:space="0" w:color="8EA9DB"/>
              <w:right w:val="single" w:sz="8" w:space="0" w:color="8EA9DB"/>
            </w:tcBorders>
            <w:shd w:val="clear" w:color="auto" w:fill="D9E2F3" w:themeFill="accent5" w:themeFillTint="33"/>
          </w:tcPr>
          <w:p w14:paraId="4742556E" w14:textId="2637E834" w:rsidR="62695176" w:rsidRPr="0013566B" w:rsidRDefault="62695176" w:rsidP="00C5343F">
            <w:pPr>
              <w:spacing w:after="0"/>
              <w:jc w:val="center"/>
              <w:rPr>
                <w:rFonts w:eastAsia="Calibri" w:cs="Calibri"/>
                <w:color w:val="000000" w:themeColor="text1"/>
                <w:sz w:val="22"/>
                <w:szCs w:val="22"/>
              </w:rPr>
            </w:pPr>
            <w:r w:rsidRPr="0013566B">
              <w:rPr>
                <w:rFonts w:eastAsia="Calibri" w:cs="Calibri"/>
                <w:color w:val="000000" w:themeColor="text1"/>
                <w:sz w:val="22"/>
                <w:szCs w:val="22"/>
              </w:rPr>
              <w:t xml:space="preserve">3 </w:t>
            </w:r>
          </w:p>
        </w:tc>
      </w:tr>
      <w:tr w:rsidR="62695176" w:rsidRPr="0013566B" w14:paraId="4940C4A6" w14:textId="77777777" w:rsidTr="00BF25A4">
        <w:trPr>
          <w:trHeight w:val="435"/>
        </w:trPr>
        <w:tc>
          <w:tcPr>
            <w:tcW w:w="2835" w:type="dxa"/>
            <w:vMerge w:val="restart"/>
            <w:tcBorders>
              <w:top w:val="nil"/>
              <w:left w:val="single" w:sz="8" w:space="0" w:color="8EA9DB"/>
              <w:bottom w:val="single" w:sz="8" w:space="0" w:color="8EA9DB"/>
              <w:right w:val="single" w:sz="8" w:space="0" w:color="8EA9DB"/>
            </w:tcBorders>
          </w:tcPr>
          <w:p w14:paraId="2328A666" w14:textId="5B058C1C" w:rsidR="62695176" w:rsidRPr="0013566B" w:rsidRDefault="62695176" w:rsidP="00C5343F">
            <w:pPr>
              <w:spacing w:after="0"/>
              <w:rPr>
                <w:sz w:val="22"/>
                <w:szCs w:val="22"/>
              </w:rPr>
            </w:pPr>
            <w:r w:rsidRPr="0013566B">
              <w:rPr>
                <w:rFonts w:eastAsia="Calibri" w:cs="Calibri"/>
                <w:b/>
                <w:bCs/>
                <w:sz w:val="22"/>
                <w:szCs w:val="22"/>
              </w:rPr>
              <w:t>Group interviews (n=3)</w:t>
            </w:r>
            <w:r w:rsidRPr="0013566B">
              <w:rPr>
                <w:rFonts w:eastAsia="Calibri" w:cs="Calibri"/>
                <w:sz w:val="22"/>
                <w:szCs w:val="22"/>
              </w:rPr>
              <w:t xml:space="preserve"> </w:t>
            </w:r>
          </w:p>
        </w:tc>
        <w:tc>
          <w:tcPr>
            <w:tcW w:w="4101" w:type="dxa"/>
            <w:tcBorders>
              <w:top w:val="single" w:sz="8" w:space="0" w:color="8EA9DB"/>
              <w:left w:val="single" w:sz="8" w:space="0" w:color="8EA9DB"/>
              <w:bottom w:val="single" w:sz="8" w:space="0" w:color="8EA9DB"/>
              <w:right w:val="single" w:sz="8" w:space="0" w:color="8EA9DB"/>
            </w:tcBorders>
            <w:shd w:val="clear" w:color="auto" w:fill="D9E2F3" w:themeFill="accent5" w:themeFillTint="33"/>
          </w:tcPr>
          <w:p w14:paraId="76BD8F84" w14:textId="7143F66F" w:rsidR="62695176" w:rsidRPr="0013566B" w:rsidRDefault="62695176" w:rsidP="00C5343F">
            <w:pPr>
              <w:spacing w:after="0"/>
              <w:rPr>
                <w:sz w:val="22"/>
                <w:szCs w:val="22"/>
              </w:rPr>
            </w:pPr>
            <w:r w:rsidRPr="0013566B">
              <w:rPr>
                <w:rFonts w:eastAsia="Calibri" w:cs="Calibri"/>
                <w:color w:val="000000" w:themeColor="text1"/>
                <w:sz w:val="22"/>
                <w:szCs w:val="22"/>
              </w:rPr>
              <w:t xml:space="preserve">Joint older persons with intellectual disability </w:t>
            </w:r>
          </w:p>
        </w:tc>
        <w:tc>
          <w:tcPr>
            <w:tcW w:w="1689" w:type="dxa"/>
            <w:tcBorders>
              <w:top w:val="single" w:sz="8" w:space="0" w:color="8EA9DB"/>
              <w:left w:val="single" w:sz="8" w:space="0" w:color="8EA9DB"/>
              <w:bottom w:val="single" w:sz="8" w:space="0" w:color="8EA9DB"/>
              <w:right w:val="single" w:sz="8" w:space="0" w:color="8EA9DB"/>
            </w:tcBorders>
            <w:shd w:val="clear" w:color="auto" w:fill="D9E2F3" w:themeFill="accent5" w:themeFillTint="33"/>
          </w:tcPr>
          <w:p w14:paraId="3DC65F63" w14:textId="167C1D0C" w:rsidR="62695176" w:rsidRPr="0013566B" w:rsidRDefault="62695176" w:rsidP="00C5343F">
            <w:pPr>
              <w:spacing w:after="0"/>
              <w:jc w:val="center"/>
              <w:rPr>
                <w:rFonts w:eastAsia="Calibri" w:cs="Calibri"/>
                <w:color w:val="000000" w:themeColor="text1"/>
                <w:sz w:val="22"/>
                <w:szCs w:val="22"/>
              </w:rPr>
            </w:pPr>
            <w:r w:rsidRPr="0013566B">
              <w:rPr>
                <w:rFonts w:eastAsia="Calibri" w:cs="Calibri"/>
                <w:color w:val="000000" w:themeColor="text1"/>
                <w:sz w:val="22"/>
                <w:szCs w:val="22"/>
              </w:rPr>
              <w:t xml:space="preserve">2 </w:t>
            </w:r>
          </w:p>
        </w:tc>
      </w:tr>
      <w:tr w:rsidR="62695176" w:rsidRPr="0013566B" w14:paraId="50169DC0" w14:textId="77777777" w:rsidTr="00BF25A4">
        <w:trPr>
          <w:trHeight w:val="555"/>
        </w:trPr>
        <w:tc>
          <w:tcPr>
            <w:tcW w:w="2835" w:type="dxa"/>
            <w:vMerge/>
            <w:tcBorders>
              <w:left w:val="single" w:sz="0" w:space="0" w:color="8EA9DB"/>
              <w:bottom w:val="single" w:sz="0" w:space="0" w:color="8EA9DB"/>
              <w:right w:val="single" w:sz="0" w:space="0" w:color="8EA9DB"/>
            </w:tcBorders>
            <w:vAlign w:val="center"/>
          </w:tcPr>
          <w:p w14:paraId="64773C45" w14:textId="77777777" w:rsidR="000E3BC2" w:rsidRPr="0013566B" w:rsidRDefault="000E3BC2" w:rsidP="00C5343F">
            <w:pPr>
              <w:spacing w:after="0"/>
              <w:rPr>
                <w:sz w:val="22"/>
                <w:szCs w:val="22"/>
              </w:rPr>
            </w:pPr>
          </w:p>
        </w:tc>
        <w:tc>
          <w:tcPr>
            <w:tcW w:w="4101" w:type="dxa"/>
            <w:tcBorders>
              <w:top w:val="single" w:sz="8" w:space="0" w:color="8EA9DB"/>
              <w:left w:val="nil"/>
              <w:bottom w:val="single" w:sz="8" w:space="0" w:color="8EA9DB"/>
              <w:right w:val="single" w:sz="8" w:space="0" w:color="8EA9DB"/>
            </w:tcBorders>
            <w:shd w:val="clear" w:color="auto" w:fill="D9E2F3" w:themeFill="accent5" w:themeFillTint="33"/>
          </w:tcPr>
          <w:p w14:paraId="07A1B30C" w14:textId="2A132414" w:rsidR="62695176" w:rsidRPr="0013566B" w:rsidRDefault="62695176" w:rsidP="00C5343F">
            <w:pPr>
              <w:spacing w:after="0"/>
              <w:rPr>
                <w:sz w:val="22"/>
                <w:szCs w:val="22"/>
              </w:rPr>
            </w:pPr>
            <w:r w:rsidRPr="0013566B">
              <w:rPr>
                <w:rFonts w:eastAsia="Calibri" w:cs="Calibri"/>
                <w:color w:val="000000" w:themeColor="text1"/>
                <w:sz w:val="22"/>
                <w:szCs w:val="22"/>
              </w:rPr>
              <w:t xml:space="preserve">Joint family </w:t>
            </w:r>
            <w:r w:rsidR="00D265B8">
              <w:rPr>
                <w:rFonts w:eastAsia="Calibri" w:cs="Calibri"/>
                <w:color w:val="000000" w:themeColor="text1"/>
                <w:sz w:val="22"/>
                <w:szCs w:val="22"/>
              </w:rPr>
              <w:t xml:space="preserve">(Fam) and or </w:t>
            </w:r>
            <w:r w:rsidRPr="0013566B">
              <w:rPr>
                <w:rFonts w:eastAsia="Calibri" w:cs="Calibri"/>
                <w:color w:val="000000" w:themeColor="text1"/>
                <w:sz w:val="22"/>
                <w:szCs w:val="22"/>
              </w:rPr>
              <w:t xml:space="preserve">older person (OP) with intellectual disability </w:t>
            </w:r>
          </w:p>
        </w:tc>
        <w:tc>
          <w:tcPr>
            <w:tcW w:w="1689" w:type="dxa"/>
            <w:tcBorders>
              <w:top w:val="single" w:sz="8" w:space="0" w:color="8EA9DB"/>
              <w:left w:val="single" w:sz="8" w:space="0" w:color="8EA9DB"/>
              <w:bottom w:val="single" w:sz="8" w:space="0" w:color="8EA9DB"/>
              <w:right w:val="single" w:sz="8" w:space="0" w:color="8EA9DB"/>
            </w:tcBorders>
            <w:shd w:val="clear" w:color="auto" w:fill="D9E2F3" w:themeFill="accent5" w:themeFillTint="33"/>
          </w:tcPr>
          <w:p w14:paraId="70512B4B" w14:textId="37113269" w:rsidR="62695176" w:rsidRPr="0013566B" w:rsidRDefault="62695176" w:rsidP="00C5343F">
            <w:pPr>
              <w:spacing w:after="0"/>
              <w:jc w:val="center"/>
              <w:rPr>
                <w:rFonts w:eastAsia="Calibri" w:cs="Calibri"/>
                <w:color w:val="000000" w:themeColor="text1"/>
                <w:sz w:val="22"/>
                <w:szCs w:val="22"/>
              </w:rPr>
            </w:pPr>
            <w:r w:rsidRPr="0013566B">
              <w:rPr>
                <w:rFonts w:eastAsia="Calibri" w:cs="Calibri"/>
                <w:color w:val="000000" w:themeColor="text1"/>
                <w:sz w:val="22"/>
                <w:szCs w:val="22"/>
              </w:rPr>
              <w:t xml:space="preserve">3 (Fam) </w:t>
            </w:r>
          </w:p>
          <w:p w14:paraId="641A0688" w14:textId="3A678428" w:rsidR="62695176" w:rsidRPr="0013566B" w:rsidRDefault="62695176" w:rsidP="00C5343F">
            <w:pPr>
              <w:spacing w:after="0"/>
              <w:jc w:val="center"/>
              <w:rPr>
                <w:rFonts w:eastAsia="Calibri" w:cs="Calibri"/>
                <w:color w:val="000000" w:themeColor="text1"/>
                <w:sz w:val="22"/>
                <w:szCs w:val="22"/>
              </w:rPr>
            </w:pPr>
            <w:r w:rsidRPr="0013566B">
              <w:rPr>
                <w:rFonts w:eastAsia="Calibri" w:cs="Calibri"/>
                <w:color w:val="000000" w:themeColor="text1"/>
                <w:sz w:val="22"/>
                <w:szCs w:val="22"/>
              </w:rPr>
              <w:t xml:space="preserve">2 (OP) </w:t>
            </w:r>
          </w:p>
        </w:tc>
      </w:tr>
      <w:tr w:rsidR="62695176" w:rsidRPr="0013566B" w14:paraId="4BA44CA6" w14:textId="77777777" w:rsidTr="00BF25A4">
        <w:trPr>
          <w:trHeight w:val="435"/>
        </w:trPr>
        <w:tc>
          <w:tcPr>
            <w:tcW w:w="2835" w:type="dxa"/>
            <w:tcBorders>
              <w:top w:val="nil"/>
              <w:left w:val="single" w:sz="8" w:space="0" w:color="8EA9DB"/>
              <w:bottom w:val="single" w:sz="8" w:space="0" w:color="8EA9DB"/>
              <w:right w:val="single" w:sz="8" w:space="0" w:color="8EA9DB"/>
            </w:tcBorders>
          </w:tcPr>
          <w:p w14:paraId="1D87054A" w14:textId="40263E3A" w:rsidR="62695176" w:rsidRPr="0013566B" w:rsidRDefault="62695176" w:rsidP="00C5343F">
            <w:pPr>
              <w:spacing w:after="0"/>
              <w:rPr>
                <w:sz w:val="22"/>
                <w:szCs w:val="22"/>
              </w:rPr>
            </w:pPr>
            <w:r w:rsidRPr="0013566B">
              <w:rPr>
                <w:rFonts w:eastAsia="Calibri" w:cs="Calibri"/>
                <w:b/>
                <w:bCs/>
                <w:sz w:val="22"/>
                <w:szCs w:val="22"/>
              </w:rPr>
              <w:t>Main survey (n=32)</w:t>
            </w:r>
            <w:r w:rsidRPr="0013566B">
              <w:rPr>
                <w:rFonts w:eastAsia="Calibri" w:cs="Calibri"/>
                <w:sz w:val="22"/>
                <w:szCs w:val="22"/>
              </w:rPr>
              <w:t xml:space="preserve"> </w:t>
            </w:r>
          </w:p>
        </w:tc>
        <w:tc>
          <w:tcPr>
            <w:tcW w:w="4101" w:type="dxa"/>
            <w:tcBorders>
              <w:top w:val="single" w:sz="8" w:space="0" w:color="8EA9DB"/>
              <w:left w:val="single" w:sz="8" w:space="0" w:color="8EA9DB"/>
              <w:bottom w:val="single" w:sz="8" w:space="0" w:color="8EA9DB"/>
              <w:right w:val="single" w:sz="8" w:space="0" w:color="8EA9DB"/>
            </w:tcBorders>
            <w:shd w:val="clear" w:color="auto" w:fill="D9E2F3" w:themeFill="accent5" w:themeFillTint="33"/>
          </w:tcPr>
          <w:p w14:paraId="430B4CB4" w14:textId="62F347F2" w:rsidR="62695176" w:rsidRPr="0013566B" w:rsidRDefault="62695176" w:rsidP="00C5343F">
            <w:pPr>
              <w:spacing w:after="0"/>
              <w:rPr>
                <w:sz w:val="22"/>
                <w:szCs w:val="22"/>
              </w:rPr>
            </w:pPr>
            <w:r w:rsidRPr="0013566B">
              <w:rPr>
                <w:rFonts w:eastAsia="Calibri" w:cs="Calibri"/>
                <w:color w:val="000000" w:themeColor="text1"/>
                <w:sz w:val="22"/>
                <w:szCs w:val="22"/>
              </w:rPr>
              <w:t xml:space="preserve">Senior managers from adult intellectual disability services </w:t>
            </w:r>
          </w:p>
        </w:tc>
        <w:tc>
          <w:tcPr>
            <w:tcW w:w="1689" w:type="dxa"/>
            <w:tcBorders>
              <w:top w:val="single" w:sz="8" w:space="0" w:color="8EA9DB"/>
              <w:left w:val="single" w:sz="8" w:space="0" w:color="8EA9DB"/>
              <w:bottom w:val="single" w:sz="8" w:space="0" w:color="8EA9DB"/>
              <w:right w:val="single" w:sz="8" w:space="0" w:color="8EA9DB"/>
            </w:tcBorders>
            <w:shd w:val="clear" w:color="auto" w:fill="D9E2F3" w:themeFill="accent5" w:themeFillTint="33"/>
          </w:tcPr>
          <w:p w14:paraId="51B0FE66" w14:textId="4C4281F9" w:rsidR="62695176" w:rsidRPr="0013566B" w:rsidRDefault="62695176" w:rsidP="00C5343F">
            <w:pPr>
              <w:spacing w:after="0"/>
              <w:jc w:val="center"/>
              <w:rPr>
                <w:rFonts w:eastAsia="Calibri" w:cs="Calibri"/>
                <w:color w:val="000000" w:themeColor="text1"/>
                <w:sz w:val="22"/>
                <w:szCs w:val="22"/>
              </w:rPr>
            </w:pPr>
            <w:r w:rsidRPr="0013566B">
              <w:rPr>
                <w:rFonts w:eastAsia="Calibri" w:cs="Calibri"/>
                <w:color w:val="000000" w:themeColor="text1"/>
                <w:sz w:val="22"/>
                <w:szCs w:val="22"/>
              </w:rPr>
              <w:t xml:space="preserve">32 </w:t>
            </w:r>
          </w:p>
        </w:tc>
      </w:tr>
      <w:tr w:rsidR="62695176" w:rsidRPr="0013566B" w14:paraId="65D564FD" w14:textId="77777777" w:rsidTr="00BF25A4">
        <w:trPr>
          <w:trHeight w:val="495"/>
        </w:trPr>
        <w:tc>
          <w:tcPr>
            <w:tcW w:w="2835" w:type="dxa"/>
            <w:tcBorders>
              <w:top w:val="single" w:sz="8" w:space="0" w:color="8EA9DB"/>
              <w:left w:val="single" w:sz="8" w:space="0" w:color="8EA9DB"/>
              <w:bottom w:val="single" w:sz="8" w:space="0" w:color="8EA9DB"/>
              <w:right w:val="single" w:sz="8" w:space="0" w:color="8EA9DB"/>
            </w:tcBorders>
          </w:tcPr>
          <w:p w14:paraId="08B4F7EB" w14:textId="4F3029AA" w:rsidR="62695176" w:rsidRPr="0013566B" w:rsidRDefault="62695176" w:rsidP="00C5343F">
            <w:pPr>
              <w:spacing w:after="0"/>
              <w:rPr>
                <w:sz w:val="22"/>
                <w:szCs w:val="22"/>
              </w:rPr>
            </w:pPr>
            <w:r w:rsidRPr="0013566B">
              <w:rPr>
                <w:rFonts w:eastAsia="Calibri" w:cs="Calibri"/>
                <w:b/>
                <w:bCs/>
                <w:sz w:val="22"/>
                <w:szCs w:val="22"/>
              </w:rPr>
              <w:t>Follow-on costings survey (n=2)</w:t>
            </w:r>
            <w:r w:rsidRPr="0013566B">
              <w:rPr>
                <w:rFonts w:eastAsia="Calibri" w:cs="Calibri"/>
                <w:sz w:val="22"/>
                <w:szCs w:val="22"/>
              </w:rPr>
              <w:t xml:space="preserve"> </w:t>
            </w:r>
          </w:p>
        </w:tc>
        <w:tc>
          <w:tcPr>
            <w:tcW w:w="4101" w:type="dxa"/>
            <w:tcBorders>
              <w:top w:val="single" w:sz="8" w:space="0" w:color="8EA9DB"/>
              <w:left w:val="single" w:sz="8" w:space="0" w:color="8EA9DB"/>
              <w:bottom w:val="single" w:sz="8" w:space="0" w:color="8EA9DB"/>
              <w:right w:val="single" w:sz="8" w:space="0" w:color="8EA9DB"/>
            </w:tcBorders>
            <w:shd w:val="clear" w:color="auto" w:fill="D9E2F3" w:themeFill="accent5" w:themeFillTint="33"/>
          </w:tcPr>
          <w:p w14:paraId="3CB7F5CE" w14:textId="7A0C356A" w:rsidR="62695176" w:rsidRPr="0013566B" w:rsidRDefault="62695176" w:rsidP="00C5343F">
            <w:pPr>
              <w:spacing w:after="0"/>
              <w:rPr>
                <w:sz w:val="22"/>
                <w:szCs w:val="22"/>
              </w:rPr>
            </w:pPr>
            <w:r w:rsidRPr="0013566B">
              <w:rPr>
                <w:rFonts w:eastAsia="Calibri" w:cs="Calibri"/>
                <w:color w:val="000000" w:themeColor="text1"/>
                <w:sz w:val="22"/>
                <w:szCs w:val="22"/>
              </w:rPr>
              <w:t xml:space="preserve">Senior managers from adult intellectual disability services </w:t>
            </w:r>
          </w:p>
        </w:tc>
        <w:tc>
          <w:tcPr>
            <w:tcW w:w="1689" w:type="dxa"/>
            <w:tcBorders>
              <w:top w:val="single" w:sz="8" w:space="0" w:color="8EA9DB"/>
              <w:left w:val="single" w:sz="8" w:space="0" w:color="8EA9DB"/>
              <w:bottom w:val="single" w:sz="8" w:space="0" w:color="8EA9DB"/>
              <w:right w:val="single" w:sz="8" w:space="0" w:color="8EA9DB"/>
            </w:tcBorders>
            <w:shd w:val="clear" w:color="auto" w:fill="D9E2F3" w:themeFill="accent5" w:themeFillTint="33"/>
          </w:tcPr>
          <w:p w14:paraId="7E15C7F7" w14:textId="425B5904" w:rsidR="62695176" w:rsidRPr="0013566B" w:rsidRDefault="62695176" w:rsidP="00C5343F">
            <w:pPr>
              <w:spacing w:after="0"/>
              <w:jc w:val="center"/>
              <w:rPr>
                <w:rFonts w:eastAsia="Calibri" w:cs="Calibri"/>
                <w:color w:val="000000" w:themeColor="text1"/>
                <w:sz w:val="22"/>
                <w:szCs w:val="22"/>
              </w:rPr>
            </w:pPr>
            <w:r w:rsidRPr="0013566B">
              <w:rPr>
                <w:rFonts w:eastAsia="Calibri" w:cs="Calibri"/>
                <w:color w:val="000000" w:themeColor="text1"/>
                <w:sz w:val="22"/>
                <w:szCs w:val="22"/>
              </w:rPr>
              <w:t xml:space="preserve">2 </w:t>
            </w:r>
          </w:p>
        </w:tc>
      </w:tr>
      <w:tr w:rsidR="62695176" w:rsidRPr="0013566B" w14:paraId="52E6ACF9" w14:textId="77777777" w:rsidTr="00BF25A4">
        <w:trPr>
          <w:trHeight w:val="315"/>
        </w:trPr>
        <w:tc>
          <w:tcPr>
            <w:tcW w:w="2835" w:type="dxa"/>
            <w:tcBorders>
              <w:top w:val="single" w:sz="8" w:space="0" w:color="8EA9DB"/>
              <w:left w:val="single" w:sz="8" w:space="0" w:color="8EA9DB"/>
              <w:bottom w:val="single" w:sz="8" w:space="0" w:color="8EA9DB"/>
              <w:right w:val="single" w:sz="8" w:space="0" w:color="8EA9DB"/>
            </w:tcBorders>
          </w:tcPr>
          <w:p w14:paraId="2DDEAB32" w14:textId="11C51241" w:rsidR="62695176" w:rsidRPr="0013566B" w:rsidRDefault="62695176" w:rsidP="00C5343F">
            <w:pPr>
              <w:spacing w:after="0"/>
              <w:rPr>
                <w:sz w:val="22"/>
                <w:szCs w:val="22"/>
              </w:rPr>
            </w:pPr>
            <w:r w:rsidRPr="0013566B">
              <w:rPr>
                <w:rFonts w:eastAsia="Calibri" w:cs="Calibri"/>
                <w:b/>
                <w:bCs/>
                <w:i/>
                <w:iCs/>
                <w:sz w:val="22"/>
                <w:szCs w:val="22"/>
              </w:rPr>
              <w:t>Total No. Participants</w:t>
            </w:r>
            <w:r w:rsidRPr="0013566B">
              <w:rPr>
                <w:rFonts w:eastAsia="Calibri" w:cs="Calibri"/>
                <w:sz w:val="22"/>
                <w:szCs w:val="22"/>
              </w:rPr>
              <w:t xml:space="preserve"> </w:t>
            </w:r>
          </w:p>
        </w:tc>
        <w:tc>
          <w:tcPr>
            <w:tcW w:w="4101" w:type="dxa"/>
            <w:tcBorders>
              <w:top w:val="single" w:sz="8" w:space="0" w:color="8EA9DB"/>
              <w:left w:val="single" w:sz="8" w:space="0" w:color="8EA9DB"/>
              <w:bottom w:val="single" w:sz="8" w:space="0" w:color="8EA9DB"/>
              <w:right w:val="single" w:sz="8" w:space="0" w:color="8EA9DB"/>
            </w:tcBorders>
            <w:shd w:val="clear" w:color="auto" w:fill="D9E2F3" w:themeFill="accent5" w:themeFillTint="33"/>
          </w:tcPr>
          <w:p w14:paraId="0219BC06" w14:textId="23DB98FB" w:rsidR="62695176" w:rsidRPr="0013566B" w:rsidRDefault="62695176" w:rsidP="00C5343F">
            <w:pPr>
              <w:spacing w:after="0"/>
              <w:rPr>
                <w:sz w:val="22"/>
                <w:szCs w:val="22"/>
              </w:rPr>
            </w:pPr>
            <w:r w:rsidRPr="0013566B">
              <w:rPr>
                <w:rFonts w:eastAsia="Calibri" w:cs="Calibri"/>
                <w:i/>
                <w:iCs/>
                <w:color w:val="000000" w:themeColor="text1"/>
                <w:sz w:val="22"/>
                <w:szCs w:val="22"/>
              </w:rPr>
              <w:t xml:space="preserve"> </w:t>
            </w:r>
            <w:r w:rsidRPr="0013566B">
              <w:rPr>
                <w:rFonts w:eastAsia="Calibri" w:cs="Calibri"/>
                <w:color w:val="000000" w:themeColor="text1"/>
                <w:sz w:val="22"/>
                <w:szCs w:val="22"/>
              </w:rPr>
              <w:t xml:space="preserve"> </w:t>
            </w:r>
          </w:p>
        </w:tc>
        <w:tc>
          <w:tcPr>
            <w:tcW w:w="1689" w:type="dxa"/>
            <w:tcBorders>
              <w:top w:val="single" w:sz="8" w:space="0" w:color="8EA9DB"/>
              <w:left w:val="single" w:sz="8" w:space="0" w:color="8EA9DB"/>
              <w:bottom w:val="single" w:sz="8" w:space="0" w:color="8EA9DB"/>
              <w:right w:val="single" w:sz="8" w:space="0" w:color="8EA9DB"/>
            </w:tcBorders>
            <w:shd w:val="clear" w:color="auto" w:fill="D9E2F3" w:themeFill="accent5" w:themeFillTint="33"/>
          </w:tcPr>
          <w:p w14:paraId="442FE906" w14:textId="4A83EFC3" w:rsidR="62695176" w:rsidRPr="0013566B" w:rsidRDefault="62695176" w:rsidP="00C5343F">
            <w:pPr>
              <w:spacing w:after="0"/>
              <w:jc w:val="center"/>
              <w:rPr>
                <w:rFonts w:eastAsia="Calibri" w:cs="Calibri"/>
                <w:color w:val="000000" w:themeColor="text1"/>
                <w:sz w:val="22"/>
                <w:szCs w:val="22"/>
              </w:rPr>
            </w:pPr>
            <w:r w:rsidRPr="0013566B">
              <w:rPr>
                <w:rFonts w:eastAsia="Calibri" w:cs="Calibri"/>
                <w:b/>
                <w:bCs/>
                <w:i/>
                <w:iCs/>
                <w:color w:val="000000" w:themeColor="text1"/>
                <w:sz w:val="22"/>
                <w:szCs w:val="22"/>
              </w:rPr>
              <w:t>79</w:t>
            </w:r>
            <w:r w:rsidRPr="0013566B">
              <w:rPr>
                <w:rFonts w:eastAsia="Calibri" w:cs="Calibri"/>
                <w:color w:val="000000" w:themeColor="text1"/>
                <w:sz w:val="22"/>
                <w:szCs w:val="22"/>
              </w:rPr>
              <w:t xml:space="preserve"> </w:t>
            </w:r>
          </w:p>
        </w:tc>
      </w:tr>
    </w:tbl>
    <w:p w14:paraId="188AAF8C" w14:textId="36EFD7FE" w:rsidR="36244224" w:rsidRPr="00BF25A4" w:rsidRDefault="36244224" w:rsidP="00BF25A4">
      <w:pPr>
        <w:rPr>
          <w:szCs w:val="26"/>
        </w:rPr>
      </w:pPr>
      <w:r w:rsidRPr="00BF25A4">
        <w:rPr>
          <w:rFonts w:eastAsia="Calibri" w:cs="Calibri"/>
          <w:szCs w:val="26"/>
        </w:rPr>
        <w:t xml:space="preserve"> </w:t>
      </w:r>
    </w:p>
    <w:p w14:paraId="0EFC137F" w14:textId="5477A91C" w:rsidR="36244224" w:rsidRPr="00BF25A4" w:rsidRDefault="00BF25A4" w:rsidP="00BF25A4">
      <w:pPr>
        <w:rPr>
          <w:szCs w:val="26"/>
        </w:rPr>
      </w:pPr>
      <w:r w:rsidRPr="00BF25A4">
        <w:rPr>
          <w:rFonts w:eastAsia="Calibri" w:cs="Calibri"/>
          <w:szCs w:val="26"/>
        </w:rPr>
        <w:t>As noted, t</w:t>
      </w:r>
      <w:r w:rsidR="36244224" w:rsidRPr="00BF25A4">
        <w:rPr>
          <w:rFonts w:eastAsia="Calibri" w:cs="Calibri"/>
          <w:szCs w:val="26"/>
        </w:rPr>
        <w:t xml:space="preserve">he occurrence of the COVID-19 pandemic during the timescale of this research resulted in significant challenges, not least in engaging with the nursing home sector where COVID-19 had a very significant impact. As a result, and despite repeated efforts over a protracted period, it was not possible to access nursing home input in the study. The findings, therefore, represent the perspectives of managers and staff from intellectual disability service providers and of people/family members of people who received care in such services. </w:t>
      </w:r>
    </w:p>
    <w:p w14:paraId="432DCD0A" w14:textId="6A638CA4" w:rsidR="36244224" w:rsidRDefault="00BF25A4" w:rsidP="00BF25A4">
      <w:pPr>
        <w:pStyle w:val="Heading2"/>
        <w:rPr>
          <w:rFonts w:eastAsia="Calibri"/>
        </w:rPr>
      </w:pPr>
      <w:bookmarkStart w:id="27" w:name="_Toc121830594"/>
      <w:r w:rsidRPr="00BF25A4">
        <w:rPr>
          <w:rFonts w:eastAsia="Calibri"/>
        </w:rPr>
        <w:t>Findings</w:t>
      </w:r>
      <w:bookmarkEnd w:id="27"/>
    </w:p>
    <w:p w14:paraId="27E3CFF2" w14:textId="0D7B5C03" w:rsidR="00BF25A4" w:rsidRPr="00BF25A4" w:rsidRDefault="00BF25A4" w:rsidP="00BF25A4">
      <w:r>
        <w:t>The findings are</w:t>
      </w:r>
      <w:r w:rsidR="005F1E4C">
        <w:t xml:space="preserve"> presented below under the three emergent themes.</w:t>
      </w:r>
    </w:p>
    <w:p w14:paraId="5E4713E4" w14:textId="56CB5BD1" w:rsidR="36244224" w:rsidRPr="00BF25A4" w:rsidRDefault="00BF25A4" w:rsidP="00BF25A4">
      <w:pPr>
        <w:pStyle w:val="Heading3"/>
        <w:rPr>
          <w:color w:val="auto"/>
        </w:rPr>
      </w:pPr>
      <w:r w:rsidRPr="00BF25A4">
        <w:rPr>
          <w:rFonts w:eastAsia="Calibri"/>
          <w:color w:val="auto"/>
        </w:rPr>
        <w:t>Theme 1:</w:t>
      </w:r>
      <w:r w:rsidR="36244224" w:rsidRPr="00BF25A4">
        <w:rPr>
          <w:rFonts w:eastAsia="Calibri"/>
          <w:color w:val="auto"/>
        </w:rPr>
        <w:t xml:space="preserve"> Approaches to </w:t>
      </w:r>
      <w:r w:rsidR="000423E6">
        <w:rPr>
          <w:rFonts w:eastAsia="Calibri"/>
          <w:color w:val="auto"/>
        </w:rPr>
        <w:t>s</w:t>
      </w:r>
      <w:r w:rsidR="36244224" w:rsidRPr="00BF25A4">
        <w:rPr>
          <w:rFonts w:eastAsia="Calibri"/>
          <w:color w:val="auto"/>
        </w:rPr>
        <w:t>ervices</w:t>
      </w:r>
    </w:p>
    <w:p w14:paraId="70CC3766" w14:textId="3876CAC5" w:rsidR="0094012B" w:rsidRDefault="00A00902">
      <w:pPr>
        <w:rPr>
          <w:rFonts w:eastAsia="Calibri" w:cs="Calibri"/>
          <w:szCs w:val="26"/>
        </w:rPr>
      </w:pPr>
      <w:r>
        <w:rPr>
          <w:rFonts w:eastAsia="Calibri" w:cs="Calibri"/>
          <w:szCs w:val="26"/>
        </w:rPr>
        <w:t>Survey r</w:t>
      </w:r>
      <w:r w:rsidR="36244224" w:rsidRPr="00BF25A4">
        <w:rPr>
          <w:rFonts w:eastAsia="Calibri" w:cs="Calibri"/>
          <w:szCs w:val="26"/>
        </w:rPr>
        <w:t xml:space="preserve">espondents identified their approaches </w:t>
      </w:r>
      <w:r w:rsidR="0076711D">
        <w:rPr>
          <w:rFonts w:eastAsia="Calibri" w:cs="Calibri"/>
          <w:szCs w:val="26"/>
        </w:rPr>
        <w:t xml:space="preserve">to service provision </w:t>
      </w:r>
      <w:r w:rsidR="36244224" w:rsidRPr="00BF25A4">
        <w:rPr>
          <w:rFonts w:eastAsia="Calibri" w:cs="Calibri"/>
          <w:szCs w:val="26"/>
        </w:rPr>
        <w:t xml:space="preserve">under the headings </w:t>
      </w:r>
      <w:r>
        <w:rPr>
          <w:rFonts w:eastAsia="Calibri" w:cs="Calibri"/>
          <w:szCs w:val="26"/>
        </w:rPr>
        <w:t xml:space="preserve">which differed </w:t>
      </w:r>
      <w:r w:rsidR="36244224" w:rsidRPr="00BF25A4">
        <w:rPr>
          <w:rFonts w:eastAsia="Calibri" w:cs="Calibri"/>
          <w:szCs w:val="26"/>
        </w:rPr>
        <w:t>in name and number from those identified in the focus groups</w:t>
      </w:r>
      <w:r w:rsidR="0099573E">
        <w:rPr>
          <w:rFonts w:eastAsia="Calibri" w:cs="Calibri"/>
          <w:szCs w:val="26"/>
        </w:rPr>
        <w:t xml:space="preserve"> (</w:t>
      </w:r>
      <w:r w:rsidR="0099573E">
        <w:t xml:space="preserve">the </w:t>
      </w:r>
      <w:r w:rsidR="0099573E" w:rsidRPr="006C2866">
        <w:rPr>
          <w:i/>
          <w:iCs/>
        </w:rPr>
        <w:t>specialist service approach</w:t>
      </w:r>
      <w:r w:rsidR="0099573E">
        <w:t xml:space="preserve">, the </w:t>
      </w:r>
      <w:r w:rsidR="0099573E" w:rsidRPr="006C2866">
        <w:rPr>
          <w:i/>
          <w:iCs/>
        </w:rPr>
        <w:t>nurse-led approach</w:t>
      </w:r>
      <w:r w:rsidR="0099573E">
        <w:t xml:space="preserve"> and the </w:t>
      </w:r>
      <w:r w:rsidR="0099573E" w:rsidRPr="006C2866">
        <w:rPr>
          <w:i/>
          <w:iCs/>
        </w:rPr>
        <w:t>health and social care</w:t>
      </w:r>
      <w:r w:rsidR="0099573E">
        <w:t xml:space="preserve"> approach)</w:t>
      </w:r>
      <w:r w:rsidR="36244224" w:rsidRPr="00BF25A4">
        <w:rPr>
          <w:rFonts w:eastAsia="Calibri" w:cs="Calibri"/>
          <w:szCs w:val="26"/>
        </w:rPr>
        <w:t>,</w:t>
      </w:r>
      <w:r w:rsidR="0076711D">
        <w:rPr>
          <w:rFonts w:eastAsia="Calibri" w:cs="Calibri"/>
          <w:szCs w:val="26"/>
        </w:rPr>
        <w:t xml:space="preserve"> but </w:t>
      </w:r>
      <w:r w:rsidR="36244224" w:rsidRPr="00BF25A4">
        <w:rPr>
          <w:rFonts w:eastAsia="Calibri" w:cs="Calibri"/>
          <w:szCs w:val="26"/>
        </w:rPr>
        <w:t xml:space="preserve">the details from those discussions suggest that the </w:t>
      </w:r>
      <w:r w:rsidR="36244224" w:rsidRPr="00BF25A4">
        <w:rPr>
          <w:rFonts w:eastAsia="Calibri" w:cs="Calibri"/>
          <w:i/>
          <w:iCs/>
          <w:szCs w:val="26"/>
        </w:rPr>
        <w:t xml:space="preserve">medical </w:t>
      </w:r>
      <w:r w:rsidR="36244224" w:rsidRPr="00BF25A4">
        <w:rPr>
          <w:rFonts w:eastAsia="Calibri" w:cs="Calibri"/>
          <w:szCs w:val="26"/>
        </w:rPr>
        <w:t>and</w:t>
      </w:r>
      <w:r w:rsidR="36244224" w:rsidRPr="00BF25A4">
        <w:rPr>
          <w:rFonts w:eastAsia="Calibri" w:cs="Calibri"/>
          <w:i/>
          <w:iCs/>
          <w:szCs w:val="26"/>
        </w:rPr>
        <w:t xml:space="preserve"> biopsychosocial models</w:t>
      </w:r>
      <w:r w:rsidR="36244224" w:rsidRPr="00BF25A4">
        <w:rPr>
          <w:rFonts w:eastAsia="Calibri" w:cs="Calibri"/>
          <w:szCs w:val="26"/>
        </w:rPr>
        <w:t xml:space="preserve"> align with the </w:t>
      </w:r>
      <w:r w:rsidR="36244224" w:rsidRPr="00BF25A4">
        <w:rPr>
          <w:rFonts w:eastAsia="Calibri" w:cs="Calibri"/>
          <w:i/>
          <w:iCs/>
          <w:szCs w:val="26"/>
        </w:rPr>
        <w:t>nurse-led</w:t>
      </w:r>
      <w:r w:rsidR="36244224" w:rsidRPr="00BF25A4">
        <w:rPr>
          <w:rFonts w:eastAsia="Calibri" w:cs="Calibri"/>
          <w:szCs w:val="26"/>
        </w:rPr>
        <w:t xml:space="preserve"> and </w:t>
      </w:r>
      <w:r w:rsidR="36244224" w:rsidRPr="00BF25A4">
        <w:rPr>
          <w:rFonts w:eastAsia="Calibri" w:cs="Calibri"/>
          <w:i/>
          <w:iCs/>
          <w:szCs w:val="26"/>
        </w:rPr>
        <w:t>health and social care</w:t>
      </w:r>
      <w:r w:rsidR="36244224" w:rsidRPr="00BF25A4">
        <w:rPr>
          <w:rFonts w:eastAsia="Calibri" w:cs="Calibri"/>
          <w:szCs w:val="26"/>
        </w:rPr>
        <w:t xml:space="preserve"> approaches, respectively, with the </w:t>
      </w:r>
      <w:r w:rsidR="36244224" w:rsidRPr="00BF25A4">
        <w:rPr>
          <w:rFonts w:eastAsia="Calibri" w:cs="Calibri"/>
          <w:i/>
          <w:iCs/>
          <w:szCs w:val="26"/>
        </w:rPr>
        <w:t>Living Well with Dementia</w:t>
      </w:r>
      <w:r w:rsidR="36244224" w:rsidRPr="00BF25A4">
        <w:rPr>
          <w:rFonts w:eastAsia="Calibri" w:cs="Calibri"/>
          <w:szCs w:val="26"/>
        </w:rPr>
        <w:t xml:space="preserve"> aligning with the </w:t>
      </w:r>
      <w:r w:rsidR="36244224" w:rsidRPr="00BF25A4">
        <w:rPr>
          <w:rFonts w:eastAsia="Calibri" w:cs="Calibri"/>
          <w:i/>
          <w:iCs/>
          <w:szCs w:val="26"/>
        </w:rPr>
        <w:t>specialist service</w:t>
      </w:r>
      <w:r w:rsidR="36244224" w:rsidRPr="00BF25A4">
        <w:rPr>
          <w:rFonts w:eastAsia="Calibri" w:cs="Calibri"/>
          <w:szCs w:val="26"/>
        </w:rPr>
        <w:t xml:space="preserve"> approach. The medical and social models, which have been the focus of much discourse over the past decades have clearly influenced these three approaches</w:t>
      </w:r>
      <w:r w:rsidR="0094012B">
        <w:rPr>
          <w:rFonts w:eastAsia="Calibri" w:cs="Calibri"/>
          <w:szCs w:val="26"/>
        </w:rPr>
        <w:t>.</w:t>
      </w:r>
    </w:p>
    <w:p w14:paraId="4EEDAABB" w14:textId="1B50F448" w:rsidR="36244224" w:rsidRPr="00BF25A4" w:rsidRDefault="0094012B" w:rsidP="00812FE1">
      <w:pPr>
        <w:rPr>
          <w:rFonts w:eastAsia="Calibri" w:cs="Calibri"/>
          <w:color w:val="000000" w:themeColor="text1"/>
        </w:rPr>
      </w:pPr>
      <w:r w:rsidRPr="5573071A">
        <w:rPr>
          <w:rFonts w:eastAsia="Calibri" w:cs="Calibri"/>
        </w:rPr>
        <w:t xml:space="preserve">It is noticeable that, despite their alignment to </w:t>
      </w:r>
      <w:r w:rsidR="7432F35B" w:rsidRPr="5573071A">
        <w:rPr>
          <w:rFonts w:eastAsia="Calibri" w:cs="Calibri"/>
        </w:rPr>
        <w:t>particular</w:t>
      </w:r>
      <w:r w:rsidRPr="5573071A">
        <w:rPr>
          <w:rFonts w:eastAsia="Calibri" w:cs="Calibri"/>
        </w:rPr>
        <w:t xml:space="preserve"> service approaches, all services </w:t>
      </w:r>
      <w:r w:rsidR="00ED6508" w:rsidRPr="5573071A">
        <w:rPr>
          <w:rFonts w:eastAsia="Calibri" w:cs="Calibri"/>
        </w:rPr>
        <w:t xml:space="preserve">employed a </w:t>
      </w:r>
      <w:r w:rsidR="36244224" w:rsidRPr="5573071A">
        <w:rPr>
          <w:rFonts w:eastAsia="Calibri" w:cs="Calibri"/>
        </w:rPr>
        <w:t>mix of congregated settings</w:t>
      </w:r>
      <w:r w:rsidR="00ED6508" w:rsidRPr="5573071A">
        <w:rPr>
          <w:rFonts w:eastAsia="Calibri" w:cs="Calibri"/>
        </w:rPr>
        <w:t xml:space="preserve">, with </w:t>
      </w:r>
      <w:r w:rsidR="003F6CFB" w:rsidRPr="5573071A">
        <w:rPr>
          <w:rFonts w:eastAsia="Calibri" w:cs="Calibri"/>
        </w:rPr>
        <w:t xml:space="preserve">people living in </w:t>
      </w:r>
      <w:r w:rsidR="00ED6508" w:rsidRPr="5573071A">
        <w:rPr>
          <w:rFonts w:eastAsia="Calibri" w:cs="Calibri"/>
        </w:rPr>
        <w:t xml:space="preserve">individual homes in the community, </w:t>
      </w:r>
      <w:r w:rsidR="003F6CFB" w:rsidRPr="5573071A">
        <w:rPr>
          <w:rFonts w:eastAsia="Calibri" w:cs="Calibri"/>
        </w:rPr>
        <w:t>at home with families, in nursing homes</w:t>
      </w:r>
      <w:r w:rsidR="00812FE1" w:rsidRPr="5573071A">
        <w:rPr>
          <w:rFonts w:eastAsia="Calibri" w:cs="Calibri"/>
        </w:rPr>
        <w:t xml:space="preserve"> (intellectual disability and mainstream)</w:t>
      </w:r>
      <w:r w:rsidR="003F6CFB" w:rsidRPr="5573071A">
        <w:rPr>
          <w:rFonts w:eastAsia="Calibri" w:cs="Calibri"/>
        </w:rPr>
        <w:t xml:space="preserve"> and in specialised </w:t>
      </w:r>
      <w:r w:rsidR="00812FE1" w:rsidRPr="5573071A">
        <w:rPr>
          <w:rFonts w:eastAsia="Calibri" w:cs="Calibri"/>
        </w:rPr>
        <w:t>dementia accommodation.</w:t>
      </w:r>
      <w:r w:rsidR="36244224" w:rsidRPr="5573071A">
        <w:rPr>
          <w:rFonts w:eastAsia="Calibri" w:cs="Calibri"/>
        </w:rPr>
        <w:t xml:space="preserve"> </w:t>
      </w:r>
      <w:r w:rsidR="36244224" w:rsidRPr="5573071A">
        <w:rPr>
          <w:rFonts w:eastAsia="Calibri" w:cs="Calibri"/>
          <w:color w:val="000000" w:themeColor="text1"/>
        </w:rPr>
        <w:t>The first approach to service, the specialist approach, was described as one that is largely focused on meeting the needs of older individuals with intellectual disabilities with specific age-related complex concerns. Provision of specialist service was also seen to be something that was not location or unit-specific, but which could potentially be put in place, in the older person’s current living space</w:t>
      </w:r>
      <w:r w:rsidR="00812FE1" w:rsidRPr="5573071A">
        <w:rPr>
          <w:rFonts w:eastAsia="Calibri" w:cs="Calibri"/>
          <w:color w:val="000000" w:themeColor="text1"/>
        </w:rPr>
        <w:t xml:space="preserve">. </w:t>
      </w:r>
      <w:r w:rsidR="36244224" w:rsidRPr="5573071A">
        <w:rPr>
          <w:rFonts w:eastAsia="Calibri" w:cs="Calibri"/>
          <w:color w:val="000000" w:themeColor="text1"/>
        </w:rPr>
        <w:t>Nurse-led approaches prevailed in intellectual disability services for many decades but were questioned in the light of moves to community living, as the pendulum swung away from a medical model towards a social one. The health-related complexity now being seen early and late in the lives of older people with intellectual disabilit</w:t>
      </w:r>
      <w:r w:rsidR="00A000DA">
        <w:rPr>
          <w:rFonts w:eastAsia="Calibri" w:cs="Calibri"/>
          <w:color w:val="000000" w:themeColor="text1"/>
        </w:rPr>
        <w:t>ies</w:t>
      </w:r>
      <w:r w:rsidR="36244224" w:rsidRPr="5573071A">
        <w:rPr>
          <w:rFonts w:eastAsia="Calibri" w:cs="Calibri"/>
          <w:color w:val="000000" w:themeColor="text1"/>
        </w:rPr>
        <w:t xml:space="preserve"> have necessitated approaches combining health and social care.  Across all the service types, the social model was most frequently reported in the survey as one used to gu</w:t>
      </w:r>
      <w:r w:rsidR="009532B0">
        <w:rPr>
          <w:rFonts w:eastAsia="Calibri" w:cs="Calibri"/>
          <w:color w:val="000000" w:themeColor="text1"/>
        </w:rPr>
        <w:t>ide services (all: 75%, n=24; Specialist Services: 81.3%, n=13; Generic Services: 90%, n=9; Other</w:t>
      </w:r>
      <w:r w:rsidR="36244224" w:rsidRPr="5573071A">
        <w:rPr>
          <w:rFonts w:eastAsia="Calibri" w:cs="Calibri"/>
          <w:color w:val="000000" w:themeColor="text1"/>
        </w:rPr>
        <w:t xml:space="preserve">: 33.3%, n=2). </w:t>
      </w:r>
      <w:r w:rsidR="36244224" w:rsidRPr="5573071A">
        <w:rPr>
          <w:rFonts w:eastAsia="Calibri" w:cs="Calibri"/>
        </w:rPr>
        <w:t>Some focus group participants saw nursing as a manifestation of the ‘medical model’ and, in the case of one service, they made a decision to move away from a nurse-led approach towards one grounded in social care. In an appropriate environmental setting, some social care staff were confidently supporting service users with a myriad of complex conditions to ensure that service users could live in their homes for as long as possible.</w:t>
      </w:r>
      <w:r w:rsidR="36244224" w:rsidRPr="5573071A">
        <w:rPr>
          <w:rFonts w:eastAsia="Calibri" w:cs="Calibri"/>
          <w:color w:val="000000" w:themeColor="text1"/>
        </w:rPr>
        <w:t xml:space="preserve"> However, other services brought together a variety of components to create </w:t>
      </w:r>
      <w:r w:rsidR="00D265B8">
        <w:rPr>
          <w:rFonts w:eastAsia="Calibri" w:cs="Calibri"/>
          <w:color w:val="000000" w:themeColor="text1"/>
        </w:rPr>
        <w:t xml:space="preserve">an </w:t>
      </w:r>
      <w:r w:rsidR="36244224" w:rsidRPr="5573071A">
        <w:rPr>
          <w:rFonts w:eastAsia="Calibri" w:cs="Calibri"/>
          <w:color w:val="000000" w:themeColor="text1"/>
        </w:rPr>
        <w:t>eclectic approach to care. Despite the conceptualisation of services being categori</w:t>
      </w:r>
      <w:r w:rsidR="59D692E0" w:rsidRPr="5573071A">
        <w:rPr>
          <w:rFonts w:eastAsia="Calibri" w:cs="Calibri"/>
          <w:color w:val="000000" w:themeColor="text1"/>
        </w:rPr>
        <w:t>s</w:t>
      </w:r>
      <w:r w:rsidR="36244224" w:rsidRPr="5573071A">
        <w:rPr>
          <w:rFonts w:eastAsia="Calibri" w:cs="Calibri"/>
          <w:color w:val="000000" w:themeColor="text1"/>
        </w:rPr>
        <w:t>able under ‘ageing specific’ and ‘ageing non-specific’ labels, it was very apparent that most organisations actually met the needs of their ageing service users in a variety of settings: generic areas without a specific focus on age; homes in the community; campus settings; and specialist areas centred on service older people.</w:t>
      </w:r>
    </w:p>
    <w:p w14:paraId="01CED58B" w14:textId="7D0592BC" w:rsidR="36244224" w:rsidRPr="00BF25A4" w:rsidRDefault="41584F9E" w:rsidP="008E6B54">
      <w:pPr>
        <w:spacing w:line="257" w:lineRule="auto"/>
        <w:rPr>
          <w:rFonts w:eastAsia="Calibri" w:cs="Calibri"/>
          <w:color w:val="000000" w:themeColor="text1"/>
        </w:rPr>
      </w:pPr>
      <w:r w:rsidRPr="68A51868">
        <w:rPr>
          <w:rFonts w:eastAsia="Calibri" w:cs="Calibri"/>
          <w:color w:val="000000" w:themeColor="text1"/>
        </w:rPr>
        <w:t xml:space="preserve">Throughout the focus groups, interviews and </w:t>
      </w:r>
      <w:r w:rsidRPr="68A51868">
        <w:rPr>
          <w:rFonts w:eastAsia="Calibri" w:cs="Calibri"/>
        </w:rPr>
        <w:t>main survey, perspectives were obtained on the aspects of components of services that participants considered integral to providing services to older people with intellectual disabilities. In the survey, participants were asked to rank key aspects and it is notable that there was no dif</w:t>
      </w:r>
      <w:r w:rsidR="00D265B8">
        <w:rPr>
          <w:rFonts w:eastAsia="Calibri" w:cs="Calibri"/>
        </w:rPr>
        <w:t xml:space="preserve">ference in responses and views </w:t>
      </w:r>
      <w:r w:rsidRPr="68A51868">
        <w:rPr>
          <w:rFonts w:eastAsia="Calibri" w:cs="Calibri"/>
        </w:rPr>
        <w:t>across nominally specialist and non-specialist services.  All ranked person-centred support, ageing in place, responsivity to the person’s needs and proactive future planning highly. Less highly ranked components were having skilled staff, effective links to generic and specialist health services and family involvement. It is notable that very few ranked the physical environment at all</w:t>
      </w:r>
      <w:r w:rsidR="00097C66">
        <w:rPr>
          <w:rFonts w:eastAsia="Calibri" w:cs="Calibri"/>
        </w:rPr>
        <w:t>, which</w:t>
      </w:r>
      <w:r w:rsidRPr="68A51868">
        <w:rPr>
          <w:rFonts w:eastAsia="Calibri" w:cs="Calibri"/>
        </w:rPr>
        <w:t xml:space="preserve"> </w:t>
      </w:r>
      <w:r w:rsidR="2BB185E7" w:rsidRPr="68A51868">
        <w:rPr>
          <w:rFonts w:eastAsia="Calibri" w:cs="Calibri"/>
        </w:rPr>
        <w:t>is</w:t>
      </w:r>
      <w:r w:rsidRPr="68A51868">
        <w:rPr>
          <w:rFonts w:eastAsia="Calibri" w:cs="Calibri"/>
        </w:rPr>
        <w:t xml:space="preserve"> an interesting point as many focus group and interview participants considered this to be an important factor in meeting service needs.</w:t>
      </w:r>
      <w:r w:rsidRPr="68A51868">
        <w:rPr>
          <w:rFonts w:eastAsia="Calibri" w:cs="Calibri"/>
          <w:color w:val="000000" w:themeColor="text1"/>
        </w:rPr>
        <w:t xml:space="preserve"> </w:t>
      </w:r>
    </w:p>
    <w:p w14:paraId="7B5B788F" w14:textId="1BC9E7F7" w:rsidR="36244224" w:rsidRPr="00BF25A4" w:rsidRDefault="36244224" w:rsidP="008E6B54">
      <w:pPr>
        <w:spacing w:line="257" w:lineRule="auto"/>
        <w:rPr>
          <w:rFonts w:eastAsia="Calibri" w:cs="Calibri"/>
          <w:color w:val="000000" w:themeColor="text1"/>
          <w:szCs w:val="26"/>
        </w:rPr>
      </w:pPr>
      <w:r w:rsidRPr="00BF25A4">
        <w:rPr>
          <w:rFonts w:eastAsia="Calibri" w:cs="Calibri"/>
          <w:color w:val="000000" w:themeColor="text1"/>
          <w:szCs w:val="26"/>
        </w:rPr>
        <w:t>It was evident</w:t>
      </w:r>
      <w:r w:rsidRPr="00BF25A4">
        <w:rPr>
          <w:rFonts w:eastAsia="Calibri" w:cs="Calibri"/>
          <w:szCs w:val="26"/>
        </w:rPr>
        <w:t xml:space="preserve"> that there were no clear service types or approaches manifest in the services that took part in this study. Whilst some services may have had specific older person pathways, often linked to the development of health-related complexities such as dementia, they also had generic paths through which many older people will receive service. Similarly, the other services had some examples of specific older person services and a range of other more generic ones. Participants in all of these aspired to the key older person service principles of ageing in place and person-centred support but these were mediated through service approaches that were often an eclectic mix of health and social care. The ability to realise an individualised service that met the older person’s needs and desires was, however, seriously challenged by resource limitations and difficulties in accessing mainstream health and social care services. Despite this, all were committed to ensuring that they could provide the best quality service to meet these older individuals’ needs as they developed. </w:t>
      </w:r>
      <w:r w:rsidRPr="00BF25A4">
        <w:rPr>
          <w:rFonts w:eastAsia="Calibri" w:cs="Calibri"/>
          <w:color w:val="000000" w:themeColor="text1"/>
          <w:szCs w:val="26"/>
        </w:rPr>
        <w:t xml:space="preserve"> </w:t>
      </w:r>
    </w:p>
    <w:p w14:paraId="6CD3F805" w14:textId="0D6E442A" w:rsidR="36244224" w:rsidRPr="00FF2C2B" w:rsidRDefault="00FF2C2B" w:rsidP="00FF2C2B">
      <w:pPr>
        <w:pStyle w:val="Heading3"/>
        <w:rPr>
          <w:rFonts w:eastAsia="Calibri"/>
          <w:color w:val="auto"/>
        </w:rPr>
      </w:pPr>
      <w:r w:rsidRPr="00FF2C2B">
        <w:rPr>
          <w:rFonts w:eastAsia="Calibri"/>
          <w:color w:val="auto"/>
        </w:rPr>
        <w:t>Theme 2:</w:t>
      </w:r>
      <w:r w:rsidR="36244224" w:rsidRPr="00FF2C2B">
        <w:rPr>
          <w:rFonts w:eastAsia="Calibri"/>
          <w:color w:val="auto"/>
        </w:rPr>
        <w:t xml:space="preserve"> Providing services to meet older individuals’ needs.</w:t>
      </w:r>
    </w:p>
    <w:p w14:paraId="2902452D" w14:textId="3F921722" w:rsidR="36244224" w:rsidRPr="00BF25A4" w:rsidRDefault="41584F9E" w:rsidP="68A51868">
      <w:pPr>
        <w:rPr>
          <w:rFonts w:eastAsia="Calibri" w:cs="Calibri"/>
        </w:rPr>
      </w:pPr>
      <w:r w:rsidRPr="68A51868">
        <w:rPr>
          <w:rFonts w:eastAsia="Calibri" w:cs="Calibri"/>
        </w:rPr>
        <w:t>As people with intellectual disabilities live longer, organisations have had to respond by developing services to meet issues which may arise as a result of this. These may relate to ageing itself or to specific conditions that tend to become more prevalent in older age. The main areas of changing need that were identified in the focus groups and interviews related to dementia and end of life, but a number of others, including behaviour, mental health, frailty, multi-morbidity and polypharmacy were also briefly noted and some of these also arose in the surveys</w:t>
      </w:r>
      <w:r w:rsidR="66D1B111" w:rsidRPr="68A51868">
        <w:rPr>
          <w:rFonts w:eastAsia="Calibri" w:cs="Calibri"/>
        </w:rPr>
        <w:t xml:space="preserve">. </w:t>
      </w:r>
      <w:r w:rsidRPr="68A51868">
        <w:rPr>
          <w:rFonts w:eastAsia="Calibri" w:cs="Calibri"/>
        </w:rPr>
        <w:t>A majority of respondents noted</w:t>
      </w:r>
      <w:r w:rsidR="00491B50">
        <w:rPr>
          <w:rFonts w:eastAsia="Calibri" w:cs="Calibri"/>
        </w:rPr>
        <w:t xml:space="preserve"> </w:t>
      </w:r>
      <w:r w:rsidRPr="68A51868">
        <w:rPr>
          <w:rFonts w:eastAsia="Calibri" w:cs="Calibri"/>
        </w:rPr>
        <w:t xml:space="preserve">that </w:t>
      </w:r>
      <w:r w:rsidR="2A1E0AB2" w:rsidRPr="68A51868">
        <w:rPr>
          <w:rFonts w:eastAsia="Calibri" w:cs="Calibri"/>
        </w:rPr>
        <w:t>the</w:t>
      </w:r>
      <w:r w:rsidR="37479830" w:rsidRPr="68A51868">
        <w:rPr>
          <w:rFonts w:eastAsia="Calibri" w:cs="Calibri"/>
        </w:rPr>
        <w:t>re are</w:t>
      </w:r>
      <w:r w:rsidRPr="68A51868">
        <w:rPr>
          <w:rFonts w:eastAsia="Calibri" w:cs="Calibri"/>
        </w:rPr>
        <w:t xml:space="preserve"> pathways in place for dementia, mental health concerns and behavioural concerns, with a minority indicating that effective formal pathways </w:t>
      </w:r>
      <w:r w:rsidR="37479830" w:rsidRPr="68A51868">
        <w:rPr>
          <w:rFonts w:eastAsia="Calibri" w:cs="Calibri"/>
        </w:rPr>
        <w:t xml:space="preserve">are in place </w:t>
      </w:r>
      <w:r w:rsidRPr="68A51868">
        <w:rPr>
          <w:rFonts w:eastAsia="Calibri" w:cs="Calibri"/>
        </w:rPr>
        <w:t xml:space="preserve">to address obesity (22.6%; n=7), cancer (32.3%; n=10), multi-morbidity (32.3%; n=10), frailty (35.5%; n=11) and chronic illness (35.5%; n=11). </w:t>
      </w:r>
      <w:r w:rsidRPr="68A51868">
        <w:rPr>
          <w:rFonts w:eastAsia="Calibri" w:cs="Calibri"/>
          <w:color w:val="000000" w:themeColor="text1"/>
        </w:rPr>
        <w:t xml:space="preserve">One key area of particular concern was dementia. It was noted that, as the older person transitioned through different stages of the disease, their needs changed too. Participants highlighted the importance of support needs being tailored to meeting those developing needs. The multidisciplinary approach was considered to be of particular significance in addressing these, as it allowed different skillsets to be called on to respond in a coordinated and individualised manner. The main concerns appeared to be related to the effect on other people living in the house, the need to buy in health services and the presence of </w:t>
      </w:r>
      <w:r w:rsidRPr="68A51868">
        <w:rPr>
          <w:rFonts w:eastAsia="Calibri" w:cs="Calibri"/>
        </w:rPr>
        <w:t>non-regular staff in the house setting. This could be managed well, through proper planning. When this was present, the outcomes were reported as invariably positive.</w:t>
      </w:r>
    </w:p>
    <w:p w14:paraId="5A9FB4B0" w14:textId="0984D95A" w:rsidR="36244224" w:rsidRPr="00BF25A4" w:rsidRDefault="36244224" w:rsidP="0072089D">
      <w:pPr>
        <w:spacing w:line="257" w:lineRule="auto"/>
        <w:rPr>
          <w:rFonts w:eastAsia="Calibri" w:cs="Calibri"/>
          <w:szCs w:val="26"/>
        </w:rPr>
      </w:pPr>
      <w:r w:rsidRPr="00BF25A4">
        <w:rPr>
          <w:rFonts w:eastAsia="Calibri" w:cs="Calibri"/>
          <w:color w:val="000000" w:themeColor="text1"/>
          <w:szCs w:val="26"/>
        </w:rPr>
        <w:t>Whereas service managers largely focused on health and structural service issues, such as dementia, end</w:t>
      </w:r>
      <w:r w:rsidRPr="00BF25A4">
        <w:rPr>
          <w:rFonts w:eastAsia="Calibri" w:cs="Calibri"/>
          <w:szCs w:val="26"/>
        </w:rPr>
        <w:t xml:space="preserve"> of life care and advanced planning, direct care staff, family members and older people themselves also identified the importance of retirement in the lives of older people with intellectual disabilit</w:t>
      </w:r>
      <w:r w:rsidR="00A000DA">
        <w:rPr>
          <w:rFonts w:eastAsia="Calibri" w:cs="Calibri"/>
          <w:szCs w:val="26"/>
        </w:rPr>
        <w:t>ies</w:t>
      </w:r>
      <w:r w:rsidRPr="00BF25A4">
        <w:rPr>
          <w:rFonts w:eastAsia="Calibri" w:cs="Calibri"/>
          <w:szCs w:val="26"/>
        </w:rPr>
        <w:t>. It was noted that the traditional service structure meant that older people usually had to continue taking part in day services, requiring them to rise early in the morning.</w:t>
      </w:r>
    </w:p>
    <w:p w14:paraId="4026909A" w14:textId="440EFA58" w:rsidR="36244224" w:rsidRPr="00B26826" w:rsidRDefault="36244224" w:rsidP="00B26826">
      <w:pPr>
        <w:rPr>
          <w:szCs w:val="26"/>
        </w:rPr>
      </w:pPr>
      <w:r w:rsidRPr="00BF25A4">
        <w:rPr>
          <w:rFonts w:eastAsia="Calibri" w:cs="Calibri"/>
          <w:szCs w:val="26"/>
        </w:rPr>
        <w:t>Ageing, irrespective of longevity, leads inevitably towards death at some point, so it is not surprising that advanced planning and end</w:t>
      </w:r>
      <w:r w:rsidRPr="00BF25A4">
        <w:rPr>
          <w:szCs w:val="26"/>
        </w:rPr>
        <w:t xml:space="preserve"> of life support were identified as important in any discussion of service provision for older people with intellectual disabilit</w:t>
      </w:r>
      <w:r w:rsidR="00A000DA">
        <w:rPr>
          <w:szCs w:val="26"/>
        </w:rPr>
        <w:t>ies</w:t>
      </w:r>
      <w:r w:rsidRPr="00BF25A4">
        <w:rPr>
          <w:szCs w:val="26"/>
        </w:rPr>
        <w:t>. Most survey respondents (83.3%; n=25) reported that their services engaged in bereavement and end of life preparations, to some degree, with the family, friends and housemates of older people, as well as engaging in end of life (85.7%; n=24) and advanced care planning (78.5%; n=25) conversations with some or all older adults in their service.</w:t>
      </w:r>
      <w:r w:rsidRPr="00BF25A4">
        <w:rPr>
          <w:rFonts w:eastAsia="Calibri" w:cs="Calibri"/>
          <w:color w:val="000000" w:themeColor="text1"/>
          <w:szCs w:val="26"/>
        </w:rPr>
        <w:t xml:space="preserve"> </w:t>
      </w:r>
      <w:r w:rsidRPr="00BF25A4">
        <w:rPr>
          <w:rFonts w:eastAsia="Calibri" w:cs="Calibri"/>
          <w:szCs w:val="26"/>
        </w:rPr>
        <w:t>It was noted that there is a need for staff and others to be comfortable talking about death and decisions around end</w:t>
      </w:r>
      <w:r w:rsidRPr="00BF25A4">
        <w:rPr>
          <w:szCs w:val="26"/>
        </w:rPr>
        <w:t xml:space="preserve"> of life. </w:t>
      </w:r>
    </w:p>
    <w:p w14:paraId="572D1163" w14:textId="03B6DB90" w:rsidR="36244224" w:rsidRPr="00B26826" w:rsidRDefault="00B26826" w:rsidP="00B26826">
      <w:pPr>
        <w:pStyle w:val="Heading3"/>
        <w:rPr>
          <w:rFonts w:eastAsia="Calibri"/>
          <w:color w:val="auto"/>
        </w:rPr>
      </w:pPr>
      <w:r w:rsidRPr="00B26826">
        <w:rPr>
          <w:rFonts w:eastAsia="Calibri"/>
          <w:color w:val="auto"/>
        </w:rPr>
        <w:t>Theme 3</w:t>
      </w:r>
      <w:r w:rsidR="36244224" w:rsidRPr="00B26826">
        <w:rPr>
          <w:rFonts w:eastAsia="Calibri"/>
          <w:color w:val="auto"/>
        </w:rPr>
        <w:t>: Responding to individuals’ needs</w:t>
      </w:r>
    </w:p>
    <w:p w14:paraId="7A90BE47" w14:textId="217E20EF" w:rsidR="36244224" w:rsidRPr="00BF25A4" w:rsidRDefault="41584F9E" w:rsidP="68A51868">
      <w:pPr>
        <w:spacing w:line="257" w:lineRule="auto"/>
        <w:rPr>
          <w:rFonts w:eastAsia="Calibri" w:cs="Calibri"/>
          <w:color w:val="000000" w:themeColor="text1"/>
        </w:rPr>
      </w:pPr>
      <w:r w:rsidRPr="68A51868">
        <w:rPr>
          <w:rFonts w:eastAsia="Calibri" w:cs="Calibri"/>
          <w:color w:val="000000" w:themeColor="text1"/>
        </w:rPr>
        <w:t xml:space="preserve">Participants spoke of a number of key issues that impacted on their ability to enact an appropriate approach to service for older people with intellectual disabilities. </w:t>
      </w:r>
      <w:r w:rsidRPr="68A51868">
        <w:rPr>
          <w:rFonts w:eastAsia="Calibri" w:cs="Calibri"/>
        </w:rPr>
        <w:t>Adherence to a given service model was noted to be determined by a number of factors, including the environment, standards</w:t>
      </w:r>
      <w:r w:rsidR="6DA7101F" w:rsidRPr="68A51868">
        <w:rPr>
          <w:rFonts w:eastAsia="Calibri" w:cs="Calibri"/>
        </w:rPr>
        <w:t xml:space="preserve"> and </w:t>
      </w:r>
      <w:r w:rsidRPr="68A51868">
        <w:rPr>
          <w:rFonts w:eastAsia="Calibri" w:cs="Calibri"/>
        </w:rPr>
        <w:t xml:space="preserve">regulations and resources. As previously noted, services need to be agile if they are to be able to respond to the changing needs of the older person. This presented a challenge to identifying the care pathway for the individual and the location in which that service could be provided. Funding was central to these factors, and the rigid nature of funding models was particularly problematic. </w:t>
      </w:r>
      <w:r w:rsidRPr="68A51868">
        <w:rPr>
          <w:rFonts w:eastAsia="Calibri" w:cs="Calibri"/>
          <w:color w:val="000000" w:themeColor="text1"/>
        </w:rPr>
        <w:t>Capital funding was noted to be crucial as it determined whether the environment could be adapted to respond to both individuals’ needs and safety</w:t>
      </w:r>
      <w:r w:rsidR="0056A12A" w:rsidRPr="68A51868">
        <w:rPr>
          <w:rFonts w:eastAsia="Calibri" w:cs="Calibri"/>
          <w:color w:val="000000" w:themeColor="text1"/>
        </w:rPr>
        <w:t xml:space="preserve"> and</w:t>
      </w:r>
      <w:r w:rsidR="00491B50">
        <w:rPr>
          <w:rFonts w:eastAsia="Calibri" w:cs="Calibri"/>
          <w:color w:val="000000" w:themeColor="text1"/>
        </w:rPr>
        <w:t xml:space="preserve"> </w:t>
      </w:r>
      <w:r w:rsidRPr="68A51868">
        <w:rPr>
          <w:rFonts w:eastAsia="Calibri" w:cs="Calibri"/>
          <w:color w:val="000000" w:themeColor="text1"/>
        </w:rPr>
        <w:t>standards.</w:t>
      </w:r>
    </w:p>
    <w:p w14:paraId="5F798640" w14:textId="4C2A213E" w:rsidR="36244224" w:rsidRPr="00BF25A4" w:rsidRDefault="41584F9E" w:rsidP="68A51868">
      <w:pPr>
        <w:spacing w:line="257" w:lineRule="auto"/>
        <w:rPr>
          <w:rFonts w:eastAsia="Calibri" w:cs="Calibri"/>
          <w:color w:val="000000" w:themeColor="text1"/>
        </w:rPr>
      </w:pPr>
      <w:r w:rsidRPr="68A51868">
        <w:rPr>
          <w:rFonts w:eastAsia="Calibri" w:cs="Calibri"/>
          <w:color w:val="000000" w:themeColor="text1"/>
        </w:rPr>
        <w:t xml:space="preserve">It </w:t>
      </w:r>
      <w:r w:rsidR="223643DD" w:rsidRPr="68A51868">
        <w:rPr>
          <w:rFonts w:eastAsia="Calibri" w:cs="Calibri"/>
          <w:color w:val="000000" w:themeColor="text1"/>
        </w:rPr>
        <w:t>w</w:t>
      </w:r>
      <w:r w:rsidRPr="68A51868">
        <w:rPr>
          <w:rFonts w:eastAsia="Calibri" w:cs="Calibri"/>
          <w:color w:val="000000" w:themeColor="text1"/>
        </w:rPr>
        <w:t>as clear that, in planning for the journey through old age, associated illness and onwards towards death, participants placed a significant emphasis on listening to the voices of the older people and of those around them. Their input was considered crucial to building a service that responded, not just to need but also to personal wishes.</w:t>
      </w:r>
    </w:p>
    <w:p w14:paraId="24CAB8FB" w14:textId="521DFF27" w:rsidR="36244224" w:rsidRPr="00BF25A4" w:rsidRDefault="41584F9E" w:rsidP="68A51868">
      <w:pPr>
        <w:spacing w:line="257" w:lineRule="auto"/>
        <w:rPr>
          <w:rFonts w:eastAsia="Calibri" w:cs="Calibri"/>
          <w:color w:val="000000" w:themeColor="text1"/>
        </w:rPr>
      </w:pPr>
      <w:r w:rsidRPr="68A51868">
        <w:rPr>
          <w:rFonts w:eastAsia="Calibri" w:cs="Calibri"/>
          <w:color w:val="000000" w:themeColor="text1"/>
        </w:rPr>
        <w:t xml:space="preserve">The service environment was reported as particularly important when seeking to meet the changing needs of older people with intellectual disabilities and </w:t>
      </w:r>
      <w:r w:rsidR="00BA44E6">
        <w:rPr>
          <w:rFonts w:eastAsia="Calibri" w:cs="Calibri"/>
          <w:color w:val="000000" w:themeColor="text1"/>
        </w:rPr>
        <w:t xml:space="preserve">with a requirement </w:t>
      </w:r>
      <w:r w:rsidRPr="68A51868">
        <w:rPr>
          <w:rFonts w:eastAsia="Calibri" w:cs="Calibri"/>
          <w:color w:val="000000" w:themeColor="text1"/>
        </w:rPr>
        <w:t xml:space="preserve">to be modifiable </w:t>
      </w:r>
      <w:r w:rsidRPr="68A51868">
        <w:rPr>
          <w:rFonts w:eastAsia="Calibri" w:cs="Calibri"/>
        </w:rPr>
        <w:t xml:space="preserve">in order to be able to adequately support the individual needs of the older person. This raised questions regarding the potential for reasonable modifications or retrofitting to be carried out. </w:t>
      </w:r>
      <w:r w:rsidRPr="68A51868">
        <w:rPr>
          <w:rFonts w:eastAsia="Calibri" w:cs="Calibri"/>
          <w:color w:val="000000" w:themeColor="text1"/>
        </w:rPr>
        <w:t>Thus, the pragmatic and financial realities of the service environment may be a determinant in where the older person may be accommodated. It is clear that, while ageing in place is the ‘gold standard’, it may not be achievable, and service may sometimes have to be provided in a non-optimal environment.</w:t>
      </w:r>
    </w:p>
    <w:p w14:paraId="065F4F06" w14:textId="776B5597" w:rsidR="36244224" w:rsidRPr="00BF25A4" w:rsidRDefault="36244224" w:rsidP="0072089D">
      <w:pPr>
        <w:spacing w:line="257" w:lineRule="auto"/>
        <w:rPr>
          <w:rFonts w:eastAsia="Calibri" w:cs="Calibri"/>
          <w:szCs w:val="26"/>
        </w:rPr>
      </w:pPr>
      <w:r w:rsidRPr="00BF25A4">
        <w:rPr>
          <w:rFonts w:eastAsia="Calibri" w:cs="Calibri"/>
          <w:color w:val="000000" w:themeColor="text1"/>
          <w:szCs w:val="26"/>
        </w:rPr>
        <w:t xml:space="preserve">It was noted that funding is provided at a defined and static level which does not take account of changing complexity, new compliance needs, or individuals’ wishes. The cost of providing a service for those older people living in a particular environment is met by </w:t>
      </w:r>
      <w:r w:rsidRPr="00BF25A4">
        <w:rPr>
          <w:rFonts w:eastAsia="Calibri" w:cs="Calibri"/>
          <w:i/>
          <w:iCs/>
          <w:szCs w:val="26"/>
        </w:rPr>
        <w:t>congregating</w:t>
      </w:r>
      <w:r w:rsidRPr="00BF25A4">
        <w:rPr>
          <w:rFonts w:eastAsia="Calibri" w:cs="Calibri"/>
          <w:szCs w:val="26"/>
        </w:rPr>
        <w:t xml:space="preserve"> the monies provided for those people’s service. This seriously limited the possibility of individualised services responses.</w:t>
      </w:r>
    </w:p>
    <w:p w14:paraId="6BB3DE2B" w14:textId="0533114D" w:rsidR="36244224" w:rsidRPr="00BF25A4" w:rsidRDefault="36244224" w:rsidP="0072089D">
      <w:pPr>
        <w:spacing w:line="257" w:lineRule="auto"/>
        <w:rPr>
          <w:rFonts w:eastAsia="Calibri" w:cs="Calibri"/>
          <w:color w:val="000000" w:themeColor="text1"/>
          <w:szCs w:val="26"/>
        </w:rPr>
      </w:pPr>
      <w:r w:rsidRPr="00BF25A4">
        <w:rPr>
          <w:rFonts w:eastAsia="Calibri" w:cs="Calibri"/>
          <w:color w:val="000000" w:themeColor="text1"/>
          <w:szCs w:val="26"/>
        </w:rPr>
        <w:t>Although participants were positive about the move to community living over recent decades,</w:t>
      </w:r>
      <w:r w:rsidRPr="00BF25A4">
        <w:rPr>
          <w:rStyle w:val="normaltextrun"/>
          <w:rFonts w:eastAsia="Calibri" w:cs="Calibri"/>
          <w:szCs w:val="26"/>
        </w:rPr>
        <w:t xml:space="preserve"> it was noted that the closure of larger or campus-based accommodation has reduced the options available to services as their service users age with complex needs. Some considered that the ultimate answer for some people may need to be in some form of congregated setting and some considered these to be more modifiable than community house settings. </w:t>
      </w:r>
      <w:r w:rsidRPr="00BF25A4">
        <w:rPr>
          <w:rFonts w:eastAsia="Calibri" w:cs="Calibri"/>
          <w:color w:val="000000" w:themeColor="text1"/>
          <w:szCs w:val="26"/>
        </w:rPr>
        <w:t>The uncertainty surrounding accommodation and service locations may contribute to increasing the number of transitions that older people with intellectual disabilit</w:t>
      </w:r>
      <w:r w:rsidR="00A000DA">
        <w:rPr>
          <w:rFonts w:eastAsia="Calibri" w:cs="Calibri"/>
          <w:color w:val="000000" w:themeColor="text1"/>
          <w:szCs w:val="26"/>
        </w:rPr>
        <w:t>ies</w:t>
      </w:r>
      <w:r w:rsidRPr="00BF25A4">
        <w:rPr>
          <w:rFonts w:eastAsia="Calibri" w:cs="Calibri"/>
          <w:color w:val="000000" w:themeColor="text1"/>
          <w:szCs w:val="26"/>
        </w:rPr>
        <w:t xml:space="preserve"> experience.</w:t>
      </w:r>
    </w:p>
    <w:p w14:paraId="72E2B5B8" w14:textId="41220E24" w:rsidR="36244224" w:rsidRPr="00BF25A4" w:rsidRDefault="36244224" w:rsidP="0072089D">
      <w:pPr>
        <w:spacing w:line="257" w:lineRule="auto"/>
        <w:rPr>
          <w:rFonts w:eastAsia="Calibri" w:cs="Calibri"/>
          <w:szCs w:val="26"/>
        </w:rPr>
      </w:pPr>
      <w:r w:rsidRPr="00BF25A4">
        <w:rPr>
          <w:rFonts w:eastAsia="Calibri" w:cs="Calibri"/>
          <w:color w:val="000000" w:themeColor="text1"/>
          <w:szCs w:val="26"/>
        </w:rPr>
        <w:t>The development of national standards for disability services, overseen by the Health Information and Quality Authority (HIQA) in 2013</w:t>
      </w:r>
      <w:r w:rsidRPr="00BF25A4">
        <w:rPr>
          <w:rFonts w:eastAsia="Calibri" w:cs="Calibri"/>
          <w:szCs w:val="26"/>
        </w:rPr>
        <w:t xml:space="preserve">, was an important milestone in service provision and these standards have had a significant influence on the lives of people with intellectual disabilities. The requirement to meet standards has resulted in environmental modifications being mandated by HIQA though these have not always been completed as the funding required for those modifications was significant. The result was that in such cases, the older people had to leave their homes. </w:t>
      </w:r>
      <w:r w:rsidRPr="00BF25A4">
        <w:rPr>
          <w:rFonts w:eastAsia="Calibri" w:cs="Calibri"/>
          <w:color w:val="000000" w:themeColor="text1"/>
          <w:szCs w:val="26"/>
        </w:rPr>
        <w:t>In the absence of extra funding to meet these needs, there is often a ‘balancing game’ between meeting regulatory standards-related requirements and funding-driven policy requirements</w:t>
      </w:r>
      <w:r w:rsidRPr="00BF25A4">
        <w:rPr>
          <w:rFonts w:eastAsia="Calibri" w:cs="Calibri"/>
          <w:szCs w:val="26"/>
        </w:rPr>
        <w:t>.</w:t>
      </w:r>
    </w:p>
    <w:p w14:paraId="4AEB46A5" w14:textId="1E725FDC" w:rsidR="36244224" w:rsidRPr="00BF25A4" w:rsidRDefault="36244224" w:rsidP="0072089D">
      <w:pPr>
        <w:spacing w:line="257" w:lineRule="auto"/>
        <w:rPr>
          <w:rFonts w:eastAsia="Calibri" w:cs="Calibri"/>
          <w:color w:val="000000" w:themeColor="text1"/>
          <w:szCs w:val="26"/>
        </w:rPr>
      </w:pPr>
      <w:r w:rsidRPr="00BF25A4">
        <w:rPr>
          <w:rFonts w:eastAsia="Calibri" w:cs="Calibri"/>
          <w:color w:val="000000" w:themeColor="text1"/>
          <w:szCs w:val="26"/>
        </w:rPr>
        <w:t>Throughout this study, respondents and participants repeatedly referred to the difficulties of achieving individually determined, person-focused supports for people with intellectual disabilit</w:t>
      </w:r>
      <w:r w:rsidR="00A000DA">
        <w:rPr>
          <w:rFonts w:eastAsia="Calibri" w:cs="Calibri"/>
          <w:color w:val="000000" w:themeColor="text1"/>
          <w:szCs w:val="26"/>
        </w:rPr>
        <w:t>ies</w:t>
      </w:r>
      <w:r w:rsidRPr="00BF25A4">
        <w:rPr>
          <w:rFonts w:eastAsia="Calibri" w:cs="Calibri"/>
          <w:color w:val="000000" w:themeColor="text1"/>
          <w:szCs w:val="26"/>
        </w:rPr>
        <w:t xml:space="preserve"> as they aged, and needs became more complex. Whilst the fundamental issue was often identified as being one of funding, particularly the challenge of accessing responsive funding from the Health Service Executive, this was usually manifested in the availability of the practical resources required to run a service, particularly accommodation, </w:t>
      </w:r>
      <w:r w:rsidR="00D265B8">
        <w:rPr>
          <w:rFonts w:eastAsia="Calibri" w:cs="Calibri"/>
          <w:color w:val="000000" w:themeColor="text1"/>
          <w:szCs w:val="26"/>
        </w:rPr>
        <w:t xml:space="preserve">staffing, healthcare and health or </w:t>
      </w:r>
      <w:r w:rsidRPr="00BF25A4">
        <w:rPr>
          <w:rFonts w:eastAsia="Calibri" w:cs="Calibri"/>
          <w:color w:val="000000" w:themeColor="text1"/>
          <w:szCs w:val="26"/>
        </w:rPr>
        <w:t>supportive equipment.</w:t>
      </w:r>
      <w:r w:rsidRPr="00BF25A4">
        <w:rPr>
          <w:rFonts w:eastAsia="Calibri" w:cs="Calibri"/>
          <w:szCs w:val="26"/>
        </w:rPr>
        <w:t xml:space="preserve"> </w:t>
      </w:r>
      <w:r w:rsidRPr="00BF25A4">
        <w:rPr>
          <w:rFonts w:eastAsia="Calibri" w:cs="Calibri"/>
          <w:color w:val="000000" w:themeColor="text1"/>
          <w:szCs w:val="26"/>
        </w:rPr>
        <w:t>A consequence of inadequate staffing may be that a person cannot continue to be cared for in their own home and may need to be transferred to other generic locations, such as nursing homes.</w:t>
      </w:r>
    </w:p>
    <w:p w14:paraId="0E7E7AE1" w14:textId="3789B366" w:rsidR="36244224" w:rsidRPr="00BF25A4" w:rsidRDefault="36244224" w:rsidP="0072089D">
      <w:pPr>
        <w:spacing w:line="257" w:lineRule="auto"/>
        <w:rPr>
          <w:rFonts w:eastAsia="Calibri" w:cs="Calibri"/>
          <w:szCs w:val="26"/>
        </w:rPr>
      </w:pPr>
      <w:r w:rsidRPr="00BF25A4">
        <w:rPr>
          <w:rFonts w:eastAsia="Calibri" w:cs="Calibri"/>
          <w:color w:val="000000" w:themeColor="text1"/>
          <w:szCs w:val="26"/>
        </w:rPr>
        <w:t xml:space="preserve">Just over 70% (70.4%, n=19) of survey respondents reported that they had encountered examples of not having the staffing skill mix in place appropriate to meet a person’s need. Whereas there is a need for an appropriate </w:t>
      </w:r>
      <w:r w:rsidRPr="00BF25A4">
        <w:rPr>
          <w:rFonts w:eastAsia="Calibri" w:cs="Calibri"/>
          <w:szCs w:val="26"/>
        </w:rPr>
        <w:t>configuration of staff and staff skill mix to support the person as they age, the associated cost of such resources was a concern for some participants. Education and upskilling opportunities for all staff was seen as being essential.</w:t>
      </w:r>
    </w:p>
    <w:p w14:paraId="4B3F027A" w14:textId="0B43F5C3" w:rsidR="36244224" w:rsidRPr="00BF25A4" w:rsidRDefault="36244224" w:rsidP="0072089D">
      <w:pPr>
        <w:spacing w:line="257" w:lineRule="auto"/>
        <w:rPr>
          <w:rFonts w:eastAsia="Calibri" w:cs="Calibri"/>
          <w:szCs w:val="26"/>
        </w:rPr>
      </w:pPr>
      <w:r w:rsidRPr="00BF25A4">
        <w:rPr>
          <w:rFonts w:eastAsia="Calibri" w:cs="Calibri"/>
          <w:color w:val="000000" w:themeColor="text1"/>
          <w:szCs w:val="26"/>
          <w:lang w:val="en-GB"/>
        </w:rPr>
        <w:t>The issue of quality, as an outcome of care, arose in a number of the sibling interviews. These family members repeatedly spoke of the relationship between certain factors and quality of care, namely, staffing levels, staff knowledge and skills in respect of intellectual disability and the stability and continuity of the workforce in living environments</w:t>
      </w:r>
      <w:r w:rsidRPr="00BF25A4">
        <w:rPr>
          <w:rFonts w:eastAsia="Calibri" w:cs="Calibri"/>
          <w:szCs w:val="26"/>
        </w:rPr>
        <w:t xml:space="preserve">. </w:t>
      </w:r>
      <w:r w:rsidRPr="00BF25A4">
        <w:rPr>
          <w:rFonts w:eastAsia="Calibri" w:cs="Calibri"/>
          <w:color w:val="000000" w:themeColor="text1"/>
          <w:szCs w:val="26"/>
        </w:rPr>
        <w:t xml:space="preserve">Family members, more generally, wanted the service given to their family member to reflect the changes which they may experience as they age including attendance at day service and participation in activities. Likewise, the </w:t>
      </w:r>
      <w:r w:rsidRPr="00BF25A4">
        <w:rPr>
          <w:rFonts w:eastAsia="Calibri" w:cs="Calibri"/>
          <w:szCs w:val="26"/>
        </w:rPr>
        <w:t xml:space="preserve">vast majority (93.1%; n=27) of respondents reported that quality of life (QOL) outcomes change as older people with intellectual disabilities and complex age-related needs develop. Such changes, it was said, should be seen as a normal part of ageing. </w:t>
      </w:r>
    </w:p>
    <w:p w14:paraId="09F5F3B6" w14:textId="52006AE7" w:rsidR="36244224" w:rsidRPr="00BF25A4" w:rsidRDefault="36244224" w:rsidP="002A3596">
      <w:pPr>
        <w:pStyle w:val="Heading2"/>
        <w:rPr>
          <w:rFonts w:eastAsia="Calibri"/>
        </w:rPr>
      </w:pPr>
      <w:bookmarkStart w:id="28" w:name="_Toc121830595"/>
      <w:r w:rsidRPr="00BF25A4">
        <w:rPr>
          <w:rFonts w:eastAsia="Calibri"/>
        </w:rPr>
        <w:t>Discussion</w:t>
      </w:r>
      <w:bookmarkEnd w:id="28"/>
    </w:p>
    <w:p w14:paraId="030AA8DC" w14:textId="0B00A85A" w:rsidR="004973B4" w:rsidRDefault="36244224" w:rsidP="0072089D">
      <w:pPr>
        <w:spacing w:line="257" w:lineRule="auto"/>
        <w:rPr>
          <w:rFonts w:eastAsia="Calibri" w:cs="Calibri"/>
          <w:szCs w:val="26"/>
        </w:rPr>
      </w:pPr>
      <w:r w:rsidRPr="00BF25A4">
        <w:rPr>
          <w:rFonts w:eastAsia="Calibri" w:cs="Calibri"/>
          <w:color w:val="000000" w:themeColor="text1"/>
          <w:szCs w:val="26"/>
        </w:rPr>
        <w:t>The proportion of older people in the services is increasing</w:t>
      </w:r>
      <w:r w:rsidRPr="00BF25A4">
        <w:rPr>
          <w:rFonts w:eastAsia="Calibri" w:cs="Calibri"/>
          <w:szCs w:val="26"/>
        </w:rPr>
        <w:t>, with the older age cohort already presenting as the dominant one in 28% of services surveyed</w:t>
      </w:r>
      <w:r w:rsidR="004973B4">
        <w:rPr>
          <w:rFonts w:eastAsia="Calibri" w:cs="Calibri"/>
          <w:szCs w:val="26"/>
        </w:rPr>
        <w:t xml:space="preserve"> </w:t>
      </w:r>
      <w:r w:rsidR="004973B4" w:rsidRPr="11C55A92">
        <w:rPr>
          <w:rFonts w:eastAsia="Calibri" w:cs="Calibri"/>
        </w:rPr>
        <w:t xml:space="preserve">or </w:t>
      </w:r>
      <w:r w:rsidR="00327F6A">
        <w:rPr>
          <w:rFonts w:eastAsia="Calibri" w:cs="Calibri"/>
        </w:rPr>
        <w:t>being expected to</w:t>
      </w:r>
      <w:r w:rsidR="004973B4" w:rsidRPr="11C55A92">
        <w:rPr>
          <w:rFonts w:eastAsia="Calibri" w:cs="Calibri"/>
        </w:rPr>
        <w:t xml:space="preserve"> be so within the next 5 years</w:t>
      </w:r>
      <w:r w:rsidRPr="00BF25A4">
        <w:rPr>
          <w:rFonts w:eastAsia="Calibri" w:cs="Calibri"/>
          <w:szCs w:val="26"/>
        </w:rPr>
        <w:t xml:space="preserve">. The expectation is that it will rise rapidly over the next five years in other services too. </w:t>
      </w:r>
      <w:r w:rsidR="00327F6A" w:rsidRPr="11C55A92">
        <w:rPr>
          <w:rFonts w:eastAsia="Calibri" w:cs="Calibri"/>
        </w:rPr>
        <w:t>Furthermore, almost 40% indicated that they expected that the share of service users in this age group will rise rapidly within the next 5 years and, although just over half the services were reported to have the resources “to some extent” to meet the needs of older people with intellectual disabilities as they age, less than 10% reported being able to fully meet these needs. R</w:t>
      </w:r>
      <w:r w:rsidR="00327F6A">
        <w:t>espondents</w:t>
      </w:r>
      <w:r w:rsidR="00327F6A" w:rsidRPr="11C55A92">
        <w:rPr>
          <w:rFonts w:eastAsia="Calibri" w:cs="Calibri"/>
          <w:lang w:val="en-US"/>
        </w:rPr>
        <w:t xml:space="preserve"> overwhelmingly reported (93.3%, n=28) that complex age-related issues have implications for provision of service to older people with intellectual disabilit</w:t>
      </w:r>
      <w:r w:rsidR="00A000DA">
        <w:rPr>
          <w:rFonts w:eastAsia="Calibri" w:cs="Calibri"/>
          <w:lang w:val="en-US"/>
        </w:rPr>
        <w:t>ies</w:t>
      </w:r>
      <w:r w:rsidR="00327F6A" w:rsidRPr="11C55A92">
        <w:rPr>
          <w:rFonts w:eastAsia="Calibri" w:cs="Calibri"/>
          <w:lang w:val="en-US"/>
        </w:rPr>
        <w:t xml:space="preserve"> in their service</w:t>
      </w:r>
    </w:p>
    <w:p w14:paraId="785A7977" w14:textId="71311F3F" w:rsidR="36244224" w:rsidRPr="00BF25A4" w:rsidRDefault="41584F9E" w:rsidP="68A51868">
      <w:pPr>
        <w:spacing w:line="257" w:lineRule="auto"/>
        <w:rPr>
          <w:rFonts w:eastAsia="Calibri" w:cs="Calibri"/>
          <w:color w:val="000000" w:themeColor="text1"/>
        </w:rPr>
      </w:pPr>
      <w:r w:rsidRPr="68A51868">
        <w:rPr>
          <w:rFonts w:eastAsia="Calibri" w:cs="Calibri"/>
        </w:rPr>
        <w:t>It is, therefore, not surprising that respondents highlighted the relevance of age-related issues to services. Th</w:t>
      </w:r>
      <w:r w:rsidR="00BA44E6">
        <w:rPr>
          <w:rFonts w:eastAsia="Calibri" w:cs="Calibri"/>
        </w:rPr>
        <w:t>e</w:t>
      </w:r>
      <w:r w:rsidRPr="68A51868">
        <w:rPr>
          <w:rFonts w:eastAsia="Calibri" w:cs="Calibri"/>
        </w:rPr>
        <w:t xml:space="preserve"> increase in life expectancy has brought a new focus on transitions in later life </w:t>
      </w:r>
      <w:r w:rsidR="36244224" w:rsidRPr="68A51868">
        <w:rPr>
          <w:rFonts w:eastAsia="Gill Sans" w:cs="Gill Sans"/>
        </w:rPr>
        <w:fldChar w:fldCharType="begin"/>
      </w:r>
      <w:r w:rsidR="36244224" w:rsidRPr="68A51868">
        <w:rPr>
          <w:rFonts w:eastAsia="Gill Sans" w:cs="Gill Sans"/>
        </w:rPr>
        <w:instrText xml:space="preserve"> ADDIN EN.CITE &lt;EndNote&gt;&lt;Cite&gt;&lt;Author&gt;Egan&lt;/Author&gt;&lt;Year&gt;2022&lt;/Year&gt;&lt;RecNum&gt;339&lt;/RecNum&gt;&lt;DisplayText&gt;(Egan et al., 2022)&lt;/DisplayText&gt;&lt;record&gt;&lt;rec-number&gt;339&lt;/rec-number&gt;&lt;foreign-keys&gt;&lt;key app="EN" db-id="xtwfdzde5ttr0zevxrh5sf0c2wfzw5zf2vra" timestamp="1643290955" guid="478640a9-ada5-4ce8-8d71-5570ffce4a90"&gt;339&lt;/key&gt;&lt;/foreign-keys&gt;&lt;ref-type name="Journal Article"&gt;17&lt;/ref-type&gt;&lt;contributors&gt;&lt;authors&gt;&lt;author&gt;Egan, Caroline&lt;/author&gt;&lt;author&gt;Mulcahy, Helen&lt;/author&gt;&lt;author&gt;Naughton, Corina&lt;/author&gt;&lt;/authors&gt;&lt;/contributors&gt;&lt;titles&gt;&lt;title&gt;Transitioning to long-term care for older adults with intellectual disabilities: A concept analysis&lt;/title&gt;&lt;secondary-title&gt;Journal of Intellectual Disabilities&lt;/secondary-title&gt;&lt;short-title&gt;Transitioning to long-term care for older adults with intellectual disabilities: A concept analysis&lt;/short-title&gt;&lt;/titles&gt;&lt;periodical&gt;&lt;full-title&gt;Journal of Intellectual Disabilities&lt;/full-title&gt;&lt;/periodical&gt;&lt;pages&gt;1015-1032&lt;/pages&gt;&lt;volume&gt;26&lt;/volume&gt;&lt;number&gt;4&lt;/number&gt;&lt;dates&gt;&lt;year&gt;2022&lt;/year&gt;&lt;/dates&gt;&lt;urls&gt;&lt;/urls&gt;&lt;electronic-resource-num&gt;10.1177/17446295211041839&lt;/electronic-resource-num&gt;&lt;/record&gt;&lt;/Cite&gt;&lt;/EndNote&gt;</w:instrText>
      </w:r>
      <w:r w:rsidR="36244224" w:rsidRPr="68A51868">
        <w:rPr>
          <w:rFonts w:eastAsia="Gill Sans" w:cs="Gill Sans"/>
        </w:rPr>
        <w:fldChar w:fldCharType="separate"/>
      </w:r>
      <w:r w:rsidR="409C9146" w:rsidRPr="68A51868">
        <w:rPr>
          <w:rFonts w:eastAsia="Gill Sans" w:cs="Gill Sans"/>
          <w:noProof/>
        </w:rPr>
        <w:t>(Egan et al., 2022)</w:t>
      </w:r>
      <w:r w:rsidR="36244224" w:rsidRPr="68A51868">
        <w:rPr>
          <w:rFonts w:eastAsia="Gill Sans" w:cs="Gill Sans"/>
        </w:rPr>
        <w:fldChar w:fldCharType="end"/>
      </w:r>
      <w:r w:rsidR="00D265B8">
        <w:rPr>
          <w:rFonts w:eastAsia="Gill Sans" w:cs="Gill Sans"/>
        </w:rPr>
        <w:t xml:space="preserve"> and </w:t>
      </w:r>
      <w:r w:rsidR="409C9146" w:rsidRPr="68A51868">
        <w:rPr>
          <w:rFonts w:eastAsia="Gill Sans" w:cs="Gill Sans"/>
        </w:rPr>
        <w:t xml:space="preserve">the need for services to be reconfigured accordingly. The National Positive Ageing Strategy </w:t>
      </w:r>
      <w:r w:rsidR="36244224" w:rsidRPr="68A51868">
        <w:rPr>
          <w:rFonts w:eastAsia="Gill Sans" w:cs="Gill Sans"/>
        </w:rPr>
        <w:fldChar w:fldCharType="begin"/>
      </w:r>
      <w:r w:rsidR="36244224" w:rsidRPr="68A51868">
        <w:rPr>
          <w:rFonts w:eastAsia="Gill Sans" w:cs="Gill Sans"/>
        </w:rPr>
        <w:instrText xml:space="preserve"> ADDIN EN.CITE &lt;EndNote&gt;&lt;Cite&gt;&lt;Author&gt;Department of Health&lt;/Author&gt;&lt;Year&gt;2013&lt;/Year&gt;&lt;RecNum&gt;724&lt;/RecNum&gt;&lt;DisplayText&gt;(Department of Health, 2013)&lt;/DisplayText&gt;&lt;record&gt;&lt;rec-number&gt;724&lt;/rec-number&gt;&lt;foreign-keys&gt;&lt;key app="EN" db-id="xtwfdzde5ttr0zevxrh5sf0c2wfzw5zf2vra" timestamp="1667386285" guid="8691d89c-687d-472d-8967-f3cbdfff83d2"&gt;724&lt;/key&gt;&lt;/foreign-keys&gt;&lt;ref-type name="Report"&gt;27&lt;/ref-type&gt;&lt;contributors&gt;&lt;authors&gt;&lt;author&gt;Department of Health,&lt;/author&gt;&lt;/authors&gt;&lt;/contributors&gt;&lt;titles&gt;&lt;title&gt;The National Positive Ageing Strategy&lt;/title&gt;&lt;/titles&gt;&lt;dates&gt;&lt;year&gt;2013&lt;/year&gt;&lt;/dates&gt;&lt;pub-location&gt;Dublin&lt;/pub-location&gt;&lt;publisher&gt;Department of Health&lt;/publisher&gt;&lt;urls&gt;&lt;/urls&gt;&lt;/record&gt;&lt;/Cite&gt;&lt;/EndNote&gt;</w:instrText>
      </w:r>
      <w:r w:rsidR="36244224" w:rsidRPr="68A51868">
        <w:rPr>
          <w:rFonts w:eastAsia="Gill Sans" w:cs="Gill Sans"/>
        </w:rPr>
        <w:fldChar w:fldCharType="separate"/>
      </w:r>
      <w:r w:rsidR="409C9146" w:rsidRPr="68A51868">
        <w:rPr>
          <w:rFonts w:eastAsia="Gill Sans" w:cs="Gill Sans"/>
          <w:noProof/>
        </w:rPr>
        <w:t>(Department of Health, 2013)</w:t>
      </w:r>
      <w:r w:rsidR="36244224" w:rsidRPr="68A51868">
        <w:rPr>
          <w:rFonts w:eastAsia="Gill Sans" w:cs="Gill Sans"/>
        </w:rPr>
        <w:fldChar w:fldCharType="end"/>
      </w:r>
      <w:r w:rsidR="45B1D71E" w:rsidRPr="68A51868">
        <w:rPr>
          <w:rFonts w:eastAsia="Gill Sans" w:cs="Gill Sans"/>
        </w:rPr>
        <w:t xml:space="preserve"> </w:t>
      </w:r>
      <w:r w:rsidRPr="68A51868">
        <w:rPr>
          <w:rFonts w:eastAsia="Calibri" w:cs="Calibri"/>
          <w:color w:val="000000" w:themeColor="text1"/>
        </w:rPr>
        <w:t xml:space="preserve">provided a framework for addressing age-related policy and service at a national level, but the impact of this in the lives of older people with intellectual disabilities has progressed more slowly. </w:t>
      </w:r>
      <w:r w:rsidR="2FBA700E" w:rsidRPr="68A51868">
        <w:rPr>
          <w:rFonts w:eastAsia="Gill Sans" w:cs="Gill Sans"/>
        </w:rPr>
        <w:t xml:space="preserve">The Intellectual Disability Supplement to the Irish Longitudinal Study on Ageing </w:t>
      </w:r>
      <w:r w:rsidR="36244224" w:rsidRPr="68A51868">
        <w:rPr>
          <w:rFonts w:eastAsia="Gill Sans" w:cs="Gill Sans"/>
        </w:rPr>
        <w:fldChar w:fldCharType="begin"/>
      </w:r>
      <w:r w:rsidR="36244224" w:rsidRPr="68A51868">
        <w:rPr>
          <w:rFonts w:eastAsia="Gill Sans" w:cs="Gill Sans"/>
        </w:rPr>
        <w:instrText xml:space="preserve"> ADDIN EN.CITE &lt;EndNote&gt;&lt;Cite&gt;&lt;Author&gt;McCarron&lt;/Author&gt;&lt;Year&gt;2017&lt;/Year&gt;&lt;RecNum&gt;459&lt;/RecNum&gt;&lt;DisplayText&gt;(McCarron et al., 2017b)&lt;/DisplayText&gt;&lt;record&gt;&lt;rec-number&gt;459&lt;/rec-number&gt;&lt;foreign-keys&gt;&lt;key app="EN" db-id="xtwfdzde5ttr0zevxrh5sf0c2wfzw5zf2vra" timestamp="1646131747" guid="a375753f-315a-46ab-abce-35f19b39f85c"&gt;459&lt;/key&gt;&lt;/foreign-keys&gt;&lt;ref-type name="Report"&gt;27&lt;/ref-type&gt;&lt;contributors&gt;&lt;authors&gt;&lt;author&gt;McCarron, Mary&lt;/author&gt;&lt;author&gt;Haigh, Margaret&lt;/author&gt;&lt;author&gt;McCallion, Philip&lt;/author&gt;&lt;author&gt;McCallion, Philip&lt;/author&gt;&lt;author&gt;Carroll, Rachael&lt;/author&gt;&lt;author&gt;Burke, Eilish&lt;/author&gt;&lt;author&gt;McGlinchey, Eimear&lt;/author&gt;&lt;author&gt;O’Donovan, Mary-Ann&lt;/author&gt;&lt;author&gt;McCausland, Darren&lt;/author&gt;&lt;author&gt;Sheerin, Fintan&lt;/author&gt;&lt;/authors&gt;&lt;/contributors&gt;&lt;titles&gt;&lt;title&gt;Health, wellbeing and social inclusion: Ageing with an intellectual disability in Ireland: Evidence from the first ten years of The Intellectual Disability Supplement to The Irish Longitudinal Study on Ageing (IDS-TILDA)&lt;/title&gt;&lt;/titles&gt;&lt;dates&gt;&lt;year&gt;2017&lt;/year&gt;&lt;/dates&gt;&lt;pub-location&gt;Dublin&lt;/pub-location&gt;&lt;publisher&gt;Trinity College Dublin&lt;/publisher&gt;&lt;urls&gt;&lt;/urls&gt;&lt;/record&gt;&lt;/Cite&gt;&lt;/EndNote&gt;</w:instrText>
      </w:r>
      <w:r w:rsidR="36244224" w:rsidRPr="68A51868">
        <w:rPr>
          <w:rFonts w:eastAsia="Gill Sans" w:cs="Gill Sans"/>
        </w:rPr>
        <w:fldChar w:fldCharType="separate"/>
      </w:r>
      <w:r w:rsidR="2FBA700E" w:rsidRPr="68A51868">
        <w:rPr>
          <w:rFonts w:eastAsia="Gill Sans" w:cs="Gill Sans"/>
        </w:rPr>
        <w:t>(McCarron et al., 2017b)</w:t>
      </w:r>
      <w:r w:rsidR="36244224" w:rsidRPr="68A51868">
        <w:rPr>
          <w:rFonts w:eastAsia="Gill Sans" w:cs="Gill Sans"/>
        </w:rPr>
        <w:fldChar w:fldCharType="end"/>
      </w:r>
      <w:r w:rsidR="3AC635F2" w:rsidRPr="68A51868">
        <w:rPr>
          <w:rFonts w:eastAsia="Gill Sans" w:cs="Gill Sans"/>
        </w:rPr>
        <w:t xml:space="preserve"> </w:t>
      </w:r>
      <w:r w:rsidR="2FBA700E" w:rsidRPr="68A51868">
        <w:rPr>
          <w:rFonts w:eastAsia="Gill Sans" w:cs="Gill Sans"/>
        </w:rPr>
        <w:t xml:space="preserve">and the identification of Positive Ageing Indicators for people with intellectual disabilities </w:t>
      </w:r>
      <w:r w:rsidR="36244224" w:rsidRPr="68A51868">
        <w:rPr>
          <w:rFonts w:eastAsia="Gill Sans" w:cs="Gill Sans"/>
        </w:rPr>
        <w:fldChar w:fldCharType="begin"/>
      </w:r>
      <w:r w:rsidR="36244224" w:rsidRPr="68A51868">
        <w:rPr>
          <w:rFonts w:eastAsia="Gill Sans" w:cs="Gill Sans"/>
        </w:rPr>
        <w:instrText xml:space="preserve"> ADDIN EN.CITE &lt;EndNote&gt;&lt;Cite&gt;&lt;Author&gt;Healthy and Positive Ageing Initiative&lt;/Author&gt;&lt;Year&gt;2018&lt;/Year&gt;&lt;RecNum&gt;725&lt;/RecNum&gt;&lt;DisplayText&gt;(Healthy and Positive Ageing Initiative, 2018)&lt;/DisplayText&gt;&lt;record&gt;&lt;rec-number&gt;725&lt;/rec-number&gt;&lt;foreign-keys&gt;&lt;key app="EN" db-id="xtwfdzde5ttr0zevxrh5sf0c2wfzw5zf2vra" timestamp="1667386541" guid="b9965d3f-ff28-4476-a22c-8701d2b63400"&gt;725&lt;/key&gt;&lt;/foreign-keys&gt;&lt;ref-type name="Report"&gt;27&lt;/ref-type&gt;&lt;contributors&gt;&lt;authors&gt;&lt;author&gt;Healthy and Positive Ageing Initiative, &lt;/author&gt;&lt;/authors&gt;&lt;/contributors&gt;&lt;titles&gt;&lt;title&gt;Positive Ageing Indicators&lt;/title&gt;&lt;/titles&gt;&lt;dates&gt;&lt;year&gt;2018&lt;/year&gt;&lt;/dates&gt;&lt;pub-location&gt;Dublin&lt;/pub-location&gt;&lt;publisher&gt;Department of Health&lt;/publisher&gt;&lt;urls&gt;&lt;/urls&gt;&lt;/record&gt;&lt;/Cite&gt;&lt;/EndNote&gt;</w:instrText>
      </w:r>
      <w:r w:rsidR="36244224" w:rsidRPr="68A51868">
        <w:rPr>
          <w:rFonts w:eastAsia="Gill Sans" w:cs="Gill Sans"/>
        </w:rPr>
        <w:fldChar w:fldCharType="separate"/>
      </w:r>
      <w:r w:rsidR="2FBA700E" w:rsidRPr="68A51868">
        <w:rPr>
          <w:rFonts w:eastAsia="Gill Sans" w:cs="Gill Sans"/>
          <w:noProof/>
        </w:rPr>
        <w:t>(Healthy and Positive Ageing Initiative, 2018)</w:t>
      </w:r>
      <w:r w:rsidR="36244224" w:rsidRPr="68A51868">
        <w:rPr>
          <w:rFonts w:eastAsia="Gill Sans" w:cs="Gill Sans"/>
        </w:rPr>
        <w:fldChar w:fldCharType="end"/>
      </w:r>
      <w:r w:rsidR="2FBA700E" w:rsidRPr="68A51868">
        <w:rPr>
          <w:rFonts w:eastAsia="Gill Sans" w:cs="Gill Sans"/>
        </w:rPr>
        <w:t xml:space="preserve"> have been important milestones in redressing this. </w:t>
      </w:r>
      <w:r w:rsidR="08486A79" w:rsidRPr="68A51868">
        <w:rPr>
          <w:rFonts w:eastAsia="Gill Sans" w:cs="Gill Sans"/>
        </w:rPr>
        <w:t xml:space="preserve">Furthermore, the recent Disability Capacity Review to 2032 </w:t>
      </w:r>
      <w:r w:rsidR="36244224" w:rsidRPr="68A51868">
        <w:rPr>
          <w:rFonts w:eastAsia="Gill Sans" w:cs="Gill Sans"/>
        </w:rPr>
        <w:fldChar w:fldCharType="begin"/>
      </w:r>
      <w:r w:rsidR="36244224" w:rsidRPr="68A51868">
        <w:rPr>
          <w:rFonts w:eastAsia="Gill Sans" w:cs="Gill Sans"/>
        </w:rPr>
        <w:instrText xml:space="preserve"> ADDIN EN.CITE &lt;EndNote&gt;&lt;Cite&gt;&lt;Author&gt;Department of Health&lt;/Author&gt;&lt;Year&gt;2021&lt;/Year&gt;&lt;RecNum&gt;646&lt;/RecNum&gt;&lt;DisplayText&gt;(Department of Health, 2021a)&lt;/DisplayText&gt;&lt;record&gt;&lt;rec-number&gt;646&lt;/rec-number&gt;&lt;foreign-keys&gt;&lt;key app="EN" db-id="xtwfdzde5ttr0zevxrh5sf0c2wfzw5zf2vra" timestamp="1656687744" guid="53f05810-e44d-4a8a-92c5-482827b73d80"&gt;646&lt;/key&gt;&lt;/foreign-keys&gt;&lt;ref-type name="Report"&gt;27&lt;/ref-type&gt;&lt;contributors&gt;&lt;authors&gt;&lt;author&gt;Department of Health,&lt;/author&gt;&lt;/authors&gt;&lt;/contributors&gt;&lt;titles&gt;&lt;title&gt;Disability Capacity Review to 2032 - A Review of Social Care Demand and Capacity Requirements to 2032&lt;/title&gt;&lt;/titles&gt;&lt;dates&gt;&lt;year&gt;2021&lt;/year&gt;&lt;pub-dates&gt;&lt;date&gt;July&lt;/date&gt;&lt;/pub-dates&gt;&lt;/dates&gt;&lt;pub-location&gt;Dublin&lt;/pub-location&gt;&lt;publisher&gt;Department of Health&lt;/publisher&gt;&lt;urls&gt;&lt;/urls&gt;&lt;/record&gt;&lt;/Cite&gt;&lt;/EndNote&gt;</w:instrText>
      </w:r>
      <w:r w:rsidR="36244224" w:rsidRPr="68A51868">
        <w:rPr>
          <w:rFonts w:eastAsia="Gill Sans" w:cs="Gill Sans"/>
        </w:rPr>
        <w:fldChar w:fldCharType="separate"/>
      </w:r>
      <w:r w:rsidR="08486A79" w:rsidRPr="68A51868">
        <w:rPr>
          <w:rFonts w:eastAsia="Gill Sans" w:cs="Gill Sans"/>
          <w:noProof/>
        </w:rPr>
        <w:t>(Department of Health, 2021a)</w:t>
      </w:r>
      <w:r w:rsidR="36244224" w:rsidRPr="68A51868">
        <w:rPr>
          <w:rFonts w:eastAsia="Gill Sans" w:cs="Gill Sans"/>
        </w:rPr>
        <w:fldChar w:fldCharType="end"/>
      </w:r>
      <w:r w:rsidR="3320EAAC" w:rsidRPr="68A51868">
        <w:rPr>
          <w:rFonts w:eastAsia="Gill Sans" w:cs="Gill Sans"/>
        </w:rPr>
        <w:t xml:space="preserve">, </w:t>
      </w:r>
      <w:r w:rsidRPr="68A51868">
        <w:rPr>
          <w:rFonts w:eastAsia="Calibri" w:cs="Calibri"/>
          <w:color w:val="000000" w:themeColor="text1"/>
        </w:rPr>
        <w:t xml:space="preserve">may provide an important platform for the resourcing service supports for people with intellectual </w:t>
      </w:r>
      <w:r w:rsidR="36244224" w:rsidRPr="68A51868">
        <w:rPr>
          <w:rFonts w:eastAsia="Calibri" w:cs="Calibri"/>
          <w:color w:val="000000" w:themeColor="text1"/>
        </w:rPr>
        <w:t>disabilit</w:t>
      </w:r>
      <w:r w:rsidR="00A000DA">
        <w:rPr>
          <w:rFonts w:eastAsia="Calibri" w:cs="Calibri"/>
          <w:color w:val="000000" w:themeColor="text1"/>
        </w:rPr>
        <w:t>ies</w:t>
      </w:r>
      <w:r w:rsidRPr="68A51868">
        <w:rPr>
          <w:rFonts w:eastAsia="Calibri" w:cs="Calibri"/>
          <w:color w:val="000000" w:themeColor="text1"/>
        </w:rPr>
        <w:t xml:space="preserve"> as they age. Such developments have increased awareness of the need to support healthy ageing for people with intellectual disabilities, and to embed the principles of positive ageing in intellectual disability services. It is not surprising, therefore, that key concepts such as ageing in place, person-centred support, responsivity to older persons’ needs and proactive future planning were highlighted by participants in this study. There was also widespread consensus that quality of life outcomes change as people with intellectual </w:t>
      </w:r>
      <w:r w:rsidR="36244224" w:rsidRPr="68A51868">
        <w:rPr>
          <w:rFonts w:eastAsia="Calibri" w:cs="Calibri"/>
          <w:color w:val="000000" w:themeColor="text1"/>
        </w:rPr>
        <w:t>disabilit</w:t>
      </w:r>
      <w:r w:rsidR="00A000DA">
        <w:rPr>
          <w:rFonts w:eastAsia="Calibri" w:cs="Calibri"/>
          <w:color w:val="000000" w:themeColor="text1"/>
        </w:rPr>
        <w:t>ies</w:t>
      </w:r>
      <w:r w:rsidRPr="68A51868">
        <w:rPr>
          <w:rFonts w:eastAsia="Calibri" w:cs="Calibri"/>
          <w:color w:val="000000" w:themeColor="text1"/>
        </w:rPr>
        <w:t xml:space="preserve"> age, just as they do for those in the general population, and these require a level of agility on the part of services to facilitate individually-determined responses, such as having a slower pace of life and daytime activities that differ from the day centre model that has been the cornerstone of service provision for adults with intellectual </w:t>
      </w:r>
      <w:r w:rsidR="36244224" w:rsidRPr="68A51868">
        <w:rPr>
          <w:rFonts w:eastAsia="Calibri" w:cs="Calibri"/>
          <w:color w:val="000000" w:themeColor="text1"/>
        </w:rPr>
        <w:t>disabilit</w:t>
      </w:r>
      <w:r w:rsidR="00A000DA">
        <w:rPr>
          <w:rFonts w:eastAsia="Calibri" w:cs="Calibri"/>
          <w:color w:val="000000" w:themeColor="text1"/>
        </w:rPr>
        <w:t>ies</w:t>
      </w:r>
      <w:r w:rsidRPr="68A51868">
        <w:rPr>
          <w:rFonts w:eastAsia="Calibri" w:cs="Calibri"/>
          <w:color w:val="000000" w:themeColor="text1"/>
        </w:rPr>
        <w:t xml:space="preserve">. </w:t>
      </w:r>
      <w:r w:rsidR="086B9C72" w:rsidRPr="68A51868">
        <w:rPr>
          <w:rFonts w:eastAsia="Daytona" w:cstheme="minorBidi"/>
        </w:rPr>
        <w:t xml:space="preserve">Whereas social engagement is considered to be a mainstay of of service provision under </w:t>
      </w:r>
      <w:r w:rsidR="49B3B15A" w:rsidRPr="68A51868">
        <w:rPr>
          <w:rFonts w:eastAsia="Daytona" w:cstheme="minorBidi"/>
        </w:rPr>
        <w:t xml:space="preserve">New Directions </w:t>
      </w:r>
      <w:r w:rsidR="36244224" w:rsidRPr="68A51868">
        <w:rPr>
          <w:rFonts w:eastAsia="Daytona" w:cstheme="minorBidi"/>
        </w:rPr>
        <w:fldChar w:fldCharType="begin"/>
      </w:r>
      <w:r w:rsidR="36244224" w:rsidRPr="68A51868">
        <w:rPr>
          <w:rFonts w:eastAsia="Daytona" w:cstheme="minorBidi"/>
        </w:rPr>
        <w:instrText xml:space="preserve"> ADDIN EN.CITE &lt;EndNote&gt;&lt;Cite&gt;&lt;Author&gt;HSE&lt;/Author&gt;&lt;Year&gt;2015&lt;/Year&gt;&lt;RecNum&gt;581&lt;/RecNum&gt;&lt;DisplayText&gt;(HSE, 2015)&lt;/DisplayText&gt;&lt;record&gt;&lt;rec-number&gt;581&lt;/rec-number&gt;&lt;foreign-keys&gt;&lt;key app="EN" db-id="xtwfdzde5ttr0zevxrh5sf0c2wfzw5zf2vra" timestamp="1650468486" guid="07f4a103-df62-4ae5-9c61-5542ecb3d80a"&gt;581&lt;/key&gt;&lt;/foreign-keys&gt;&lt;ref-type name="Report"&gt;27&lt;/ref-type&gt;&lt;contributors&gt;&lt;authors&gt;&lt;author&gt;HSE,&lt;/author&gt;&lt;/authors&gt;&lt;/contributors&gt;&lt;titles&gt;&lt;title&gt;New Directions. Interim Standards for New Directions, Services and Supports for Adults with Disabilities&lt;/title&gt;&lt;/titles&gt;&lt;dates&gt;&lt;year&gt;2015&lt;/year&gt;&lt;pub-dates&gt;&lt;date&gt;November&lt;/date&gt;&lt;/pub-dates&gt;&lt;/dates&gt;&lt;pub-location&gt;Dublin&lt;/pub-location&gt;&lt;publisher&gt;Health Service Executive&lt;/publisher&gt;&lt;urls&gt;&lt;/urls&gt;&lt;/record&gt;&lt;/Cite&gt;&lt;/EndNote&gt;</w:instrText>
      </w:r>
      <w:r w:rsidR="36244224" w:rsidRPr="68A51868">
        <w:rPr>
          <w:rFonts w:eastAsia="Daytona" w:cstheme="minorBidi"/>
        </w:rPr>
        <w:fldChar w:fldCharType="separate"/>
      </w:r>
      <w:r w:rsidR="5CBEAC3D" w:rsidRPr="68A51868">
        <w:rPr>
          <w:rFonts w:eastAsia="Daytona" w:cstheme="minorBidi"/>
          <w:noProof/>
        </w:rPr>
        <w:t>(HSE, 2015)</w:t>
      </w:r>
      <w:r w:rsidR="36244224" w:rsidRPr="68A51868">
        <w:rPr>
          <w:rFonts w:eastAsia="Daytona" w:cstheme="minorBidi"/>
        </w:rPr>
        <w:fldChar w:fldCharType="end"/>
      </w:r>
      <w:r w:rsidR="49B3B15A" w:rsidRPr="68A51868">
        <w:rPr>
          <w:rFonts w:eastAsia="Daytona" w:cstheme="minorBidi"/>
        </w:rPr>
        <w:t>, i</w:t>
      </w:r>
      <w:r w:rsidR="18D323D4" w:rsidRPr="68A51868">
        <w:rPr>
          <w:rFonts w:eastAsia="Daytona" w:cstheme="minorBidi"/>
        </w:rPr>
        <w:t>t should be noted</w:t>
      </w:r>
      <w:r w:rsidR="49B3B15A" w:rsidRPr="68A51868">
        <w:rPr>
          <w:rFonts w:eastAsia="Daytona" w:cstheme="minorBidi"/>
        </w:rPr>
        <w:t xml:space="preserve"> </w:t>
      </w:r>
      <w:r w:rsidR="18D323D4" w:rsidRPr="68A51868">
        <w:rPr>
          <w:rFonts w:eastAsia="Daytona" w:cstheme="minorBidi"/>
        </w:rPr>
        <w:t xml:space="preserve">that quality of life for some people, as they age, may </w:t>
      </w:r>
      <w:r w:rsidR="49B3B15A" w:rsidRPr="68A51868">
        <w:rPr>
          <w:rFonts w:eastAsia="Daytona" w:cstheme="minorBidi"/>
        </w:rPr>
        <w:t xml:space="preserve">actually </w:t>
      </w:r>
      <w:r w:rsidR="18D323D4" w:rsidRPr="68A51868">
        <w:rPr>
          <w:rFonts w:eastAsia="Daytona" w:cstheme="minorBidi"/>
        </w:rPr>
        <w:t xml:space="preserve">involve a narrower range of community engagement </w:t>
      </w:r>
      <w:r w:rsidR="49B3B15A" w:rsidRPr="68A51868">
        <w:rPr>
          <w:rFonts w:eastAsia="Daytona" w:cstheme="minorBidi"/>
        </w:rPr>
        <w:t>and that this</w:t>
      </w:r>
      <w:r w:rsidR="18D323D4" w:rsidRPr="68A51868">
        <w:rPr>
          <w:rFonts w:eastAsia="Daytona" w:cstheme="minorBidi"/>
        </w:rPr>
        <w:t xml:space="preserve"> may, in turn, require more supports</w:t>
      </w:r>
      <w:r w:rsidR="49B3B15A" w:rsidRPr="68A51868">
        <w:rPr>
          <w:rFonts w:eastAsia="Daytona" w:cstheme="minorBidi"/>
        </w:rPr>
        <w:t>.</w:t>
      </w:r>
    </w:p>
    <w:p w14:paraId="4E4154B8" w14:textId="255058A2" w:rsidR="36244224" w:rsidRPr="00BF25A4" w:rsidRDefault="36244224" w:rsidP="0072089D">
      <w:pPr>
        <w:spacing w:line="257" w:lineRule="auto"/>
        <w:rPr>
          <w:rFonts w:eastAsia="Calibri" w:cs="Calibri"/>
          <w:color w:val="000000" w:themeColor="text1"/>
          <w:szCs w:val="26"/>
        </w:rPr>
      </w:pPr>
      <w:r w:rsidRPr="00BF25A4">
        <w:rPr>
          <w:rFonts w:eastAsia="Calibri" w:cs="Calibri"/>
          <w:color w:val="000000" w:themeColor="text1"/>
          <w:szCs w:val="26"/>
        </w:rPr>
        <w:t>Whereas a commitment to the provision of an individualised service to meet the needs of people as they age was evident,</w:t>
      </w:r>
      <w:r w:rsidRPr="00BF25A4">
        <w:rPr>
          <w:rFonts w:eastAsia="Calibri" w:cs="Calibri"/>
          <w:szCs w:val="26"/>
        </w:rPr>
        <w:t xml:space="preserve"> service managers, direct care staff and family members emphasised the considerable challenges to actually achieving this for those in receipt of service. Central to this is absence of a formal model of service pertaining to ageing and the scarcity of key resources, particularly funding. This hampered the agile response that is often needed to appropriately respond to needs that may change very rapidly. Aspects of staffing were also identified as a constraining challenge, particularly as pertaining to the recruitment and retainment of skilled personnel. </w:t>
      </w:r>
      <w:r w:rsidRPr="00BF25A4">
        <w:rPr>
          <w:rFonts w:eastAsia="Calibri" w:cs="Calibri"/>
          <w:color w:val="000000" w:themeColor="text1"/>
          <w:szCs w:val="26"/>
        </w:rPr>
        <w:t xml:space="preserve"> </w:t>
      </w:r>
    </w:p>
    <w:p w14:paraId="3BE0E51C" w14:textId="31F38C3C" w:rsidR="36244224" w:rsidRPr="00BF25A4" w:rsidRDefault="36244224" w:rsidP="0072089D">
      <w:pPr>
        <w:spacing w:line="257" w:lineRule="auto"/>
        <w:rPr>
          <w:rFonts w:eastAsia="Calibri" w:cs="Calibri"/>
          <w:szCs w:val="26"/>
        </w:rPr>
      </w:pPr>
      <w:r w:rsidRPr="00BF25A4">
        <w:rPr>
          <w:rFonts w:eastAsia="Calibri" w:cs="Calibri"/>
          <w:color w:val="000000" w:themeColor="text1"/>
          <w:szCs w:val="26"/>
        </w:rPr>
        <w:t>The traditional distinction between the medical and the social model</w:t>
      </w:r>
      <w:r w:rsidRPr="00BF25A4">
        <w:rPr>
          <w:rFonts w:eastAsia="Calibri" w:cs="Calibri"/>
          <w:szCs w:val="26"/>
        </w:rPr>
        <w:t xml:space="preserve">, discussed by the participants, may reflect an emphasis that has not served people with intellectual disabilities well. This emphasis focuses on the professions rather than on the individuals themselves and the people (staff and family) who support the lives of people with intellectual disabilities and on the values that underpin their support, namely person-centredness, ageing in place and self-determination. This has also diverted attention away from what has not yet been achieved in respect of decongregation, namely the challenges of accessing quality healthcare for people with intellectual disabilities as they age, on the same basis as the general population.  </w:t>
      </w:r>
    </w:p>
    <w:p w14:paraId="367E7FED" w14:textId="472013BE" w:rsidR="36244224" w:rsidRPr="00BF25A4" w:rsidRDefault="36244224" w:rsidP="0072089D">
      <w:pPr>
        <w:spacing w:line="257" w:lineRule="auto"/>
        <w:rPr>
          <w:rFonts w:eastAsia="Calibri" w:cs="Calibri"/>
          <w:color w:val="000000" w:themeColor="text1"/>
          <w:szCs w:val="26"/>
        </w:rPr>
      </w:pPr>
      <w:r w:rsidRPr="00BF25A4">
        <w:rPr>
          <w:rFonts w:eastAsia="Calibri" w:cs="Calibri"/>
          <w:color w:val="000000" w:themeColor="text1"/>
          <w:szCs w:val="26"/>
        </w:rPr>
        <w:t xml:space="preserve">It </w:t>
      </w:r>
      <w:r w:rsidRPr="00BF25A4">
        <w:rPr>
          <w:rFonts w:eastAsia="Calibri" w:cs="Calibri"/>
          <w:szCs w:val="26"/>
        </w:rPr>
        <w:t>must be acknowledged that, despite the challenges outlined above, participants in this study, concurred that, in line with Article 19 of the UNCRPD</w:t>
      </w:r>
      <w:r w:rsidR="00B12A5D">
        <w:rPr>
          <w:rFonts w:eastAsia="Calibri" w:cs="Calibri"/>
          <w:szCs w:val="26"/>
        </w:rPr>
        <w:t xml:space="preserve"> </w:t>
      </w:r>
      <w:r w:rsidR="00B12A5D">
        <w:rPr>
          <w:rFonts w:eastAsia="Calibri" w:cs="Calibri"/>
          <w:szCs w:val="26"/>
        </w:rPr>
        <w:fldChar w:fldCharType="begin"/>
      </w:r>
      <w:r w:rsidR="00B6749B">
        <w:rPr>
          <w:rFonts w:eastAsia="Calibri" w:cs="Calibri"/>
          <w:szCs w:val="26"/>
        </w:rPr>
        <w:instrText xml:space="preserve"> ADDIN EN.CITE &lt;EndNote&gt;&lt;Cite&gt;&lt;Author&gt;United Nations&lt;/Author&gt;&lt;Year&gt;2006&lt;/Year&gt;&lt;RecNum&gt;778&lt;/RecNum&gt;&lt;DisplayText&gt;(United Nations, 2006)&lt;/DisplayText&gt;&lt;record&gt;&lt;rec-number&gt;778&lt;/rec-number&gt;&lt;foreign-keys&gt;&lt;key app="EN" db-id="xtwfdzde5ttr0zevxrh5sf0c2wfzw5zf2vra" timestamp="1669637350" guid="edfea352-7132-42a9-88a6-2c47e3dbf84f"&gt;778&lt;/key&gt;&lt;/foreign-keys&gt;&lt;ref-type name="Report"&gt;27&lt;/ref-type&gt;&lt;contributors&gt;&lt;authors&gt;&lt;author&gt;United Nations, &lt;/author&gt;&lt;/authors&gt;&lt;/contributors&gt;&lt;titles&gt;&lt;title&gt;United Nations Convention on the Rights of Persons with Disabilities. &lt;/title&gt;&lt;/titles&gt;&lt;dates&gt;&lt;year&gt;2006&lt;/year&gt;&lt;/dates&gt;&lt;pub-location&gt;Geneva&lt;/pub-location&gt;&lt;publisher&gt;United Nations&lt;/publisher&gt;&lt;urls&gt;&lt;/urls&gt;&lt;/record&gt;&lt;/Cite&gt;&lt;/EndNote&gt;</w:instrText>
      </w:r>
      <w:r w:rsidR="00B12A5D">
        <w:rPr>
          <w:rFonts w:eastAsia="Calibri" w:cs="Calibri"/>
          <w:szCs w:val="26"/>
        </w:rPr>
        <w:fldChar w:fldCharType="separate"/>
      </w:r>
      <w:r w:rsidR="00B12A5D">
        <w:rPr>
          <w:rFonts w:eastAsia="Calibri" w:cs="Calibri"/>
          <w:noProof/>
          <w:szCs w:val="26"/>
        </w:rPr>
        <w:t>(United Nations, 2006)</w:t>
      </w:r>
      <w:r w:rsidR="00B12A5D">
        <w:rPr>
          <w:rFonts w:eastAsia="Calibri" w:cs="Calibri"/>
          <w:szCs w:val="26"/>
        </w:rPr>
        <w:fldChar w:fldCharType="end"/>
      </w:r>
      <w:r w:rsidRPr="00BF25A4">
        <w:rPr>
          <w:rFonts w:eastAsia="Calibri" w:cs="Calibri"/>
          <w:szCs w:val="26"/>
        </w:rPr>
        <w:t xml:space="preserve">, </w:t>
      </w:r>
      <w:r w:rsidRPr="1386485D">
        <w:rPr>
          <w:rFonts w:eastAsia="Gill Sans" w:cs="Gill Sans"/>
        </w:rPr>
        <w:t xml:space="preserve">older people with intellectual disabilities should have person-centred support, provided preferably, in their own homes </w:t>
      </w:r>
      <w:r w:rsidR="003C29EF" w:rsidRPr="1386485D">
        <w:rPr>
          <w:rFonts w:eastAsia="Gill Sans" w:cs="Gill Sans"/>
        </w:rPr>
        <w:fldChar w:fldCharType="begin">
          <w:fldData xml:space="preserve">PEVuZE5vdGU+PENpdGU+PEF1dGhvcj5EZXBhcnRtZW50IG9mIEhlYWx0aDwvQXV0aG9yPjxZZWFy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</w:fldData>
        </w:fldChar>
      </w:r>
      <w:r w:rsidR="00B26CBF">
        <w:rPr>
          <w:rFonts w:eastAsia="Gill Sans" w:cs="Gill Sans"/>
        </w:rPr>
        <w:instrText xml:space="preserve"> ADDIN EN.CITE </w:instrText>
      </w:r>
      <w:r w:rsidR="00B26CBF">
        <w:rPr>
          <w:rFonts w:eastAsia="Gill Sans" w:cs="Gill Sans"/>
        </w:rPr>
        <w:fldChar w:fldCharType="begin">
          <w:fldData xml:space="preserve">PEVuZE5vdGU+PENpdGU+PEF1dGhvcj5EZXBhcnRtZW50IG9mIEhlYWx0aDwvQXV0aG9yPjxZZWFy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</w:fldData>
        </w:fldChar>
      </w:r>
      <w:r w:rsidR="00B26CBF">
        <w:rPr>
          <w:rFonts w:eastAsia="Gill Sans" w:cs="Gill Sans"/>
        </w:rPr>
        <w:instrText xml:space="preserve"> ADDIN EN.CITE.DATA </w:instrText>
      </w:r>
      <w:r w:rsidR="00B26CBF">
        <w:rPr>
          <w:rFonts w:eastAsia="Gill Sans" w:cs="Gill Sans"/>
        </w:rPr>
      </w:r>
      <w:r w:rsidR="00B26CBF">
        <w:rPr>
          <w:rFonts w:eastAsia="Gill Sans" w:cs="Gill Sans"/>
        </w:rPr>
        <w:fldChar w:fldCharType="end"/>
      </w:r>
      <w:r w:rsidR="003C29EF" w:rsidRPr="1386485D">
        <w:rPr>
          <w:rFonts w:eastAsia="Gill Sans" w:cs="Gill Sans"/>
        </w:rPr>
      </w:r>
      <w:r w:rsidR="003C29EF" w:rsidRPr="1386485D">
        <w:rPr>
          <w:rFonts w:eastAsia="Gill Sans" w:cs="Gill Sans"/>
        </w:rPr>
        <w:fldChar w:fldCharType="separate"/>
      </w:r>
      <w:r w:rsidR="00B26CBF">
        <w:rPr>
          <w:rFonts w:eastAsia="Gill Sans" w:cs="Gill Sans"/>
          <w:noProof/>
        </w:rPr>
        <w:t>(Department of Health, 2020b; Chapman et al., 2018; Patti et al., 2010)</w:t>
      </w:r>
      <w:r w:rsidR="003C29EF" w:rsidRPr="1386485D">
        <w:rPr>
          <w:rFonts w:eastAsia="Gill Sans" w:cs="Gill Sans"/>
        </w:rPr>
        <w:fldChar w:fldCharType="end"/>
      </w:r>
      <w:r w:rsidR="003C29EF">
        <w:rPr>
          <w:rFonts w:eastAsia="Gill Sans" w:cs="Gill Sans"/>
        </w:rPr>
        <w:t>.</w:t>
      </w:r>
      <w:r>
        <w:rPr>
          <w:rFonts w:eastAsia="Gill Sans" w:cs="Gill Sans"/>
        </w:rPr>
        <w:t xml:space="preserve"> </w:t>
      </w:r>
      <w:r w:rsidRPr="1386485D">
        <w:rPr>
          <w:rFonts w:eastAsia="Gill Sans" w:cs="Gill Sans"/>
        </w:rPr>
        <w:t xml:space="preserve">Participants also agreed that such support should be dynamic in nature, and responsive to emerging age-related complexity </w:t>
      </w:r>
      <w:r w:rsidR="003C29EF">
        <w:rPr>
          <w:lang w:eastAsia="en-IE"/>
        </w:rPr>
        <w:fldChar w:fldCharType="begin">
          <w:fldData xml:space="preserve">PEVuZE5vdGU+PENpdGU+PEF1dGhvcj5NY0NhcnJvbjwvQXV0aG9yPjxZZWFyPjIwMTA8L1llYXI+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</w:fldData>
        </w:fldChar>
      </w:r>
      <w:r w:rsidR="00B26CBF">
        <w:rPr>
          <w:lang w:eastAsia="en-IE"/>
        </w:rPr>
        <w:instrText xml:space="preserve"> ADDIN EN.CITE </w:instrText>
      </w:r>
      <w:r w:rsidR="00B26CBF">
        <w:rPr>
          <w:lang w:eastAsia="en-IE"/>
        </w:rPr>
        <w:fldChar w:fldCharType="begin">
          <w:fldData xml:space="preserve">PEVuZE5vdGU+PENpdGU+PEF1dGhvcj5NY0NhcnJvbjwvQXV0aG9yPjxZZWFyPjIwMTA8L1llYXI+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</w:fldData>
        </w:fldChar>
      </w:r>
      <w:r w:rsidR="00B26CBF">
        <w:rPr>
          <w:lang w:eastAsia="en-IE"/>
        </w:rPr>
        <w:instrText xml:space="preserve"> ADDIN EN.CITE.DATA </w:instrText>
      </w:r>
      <w:r w:rsidR="00B26CBF">
        <w:rPr>
          <w:lang w:eastAsia="en-IE"/>
        </w:rPr>
      </w:r>
      <w:r w:rsidR="00B26CBF">
        <w:rPr>
          <w:lang w:eastAsia="en-IE"/>
        </w:rPr>
        <w:fldChar w:fldCharType="end"/>
      </w:r>
      <w:r w:rsidR="003C29EF">
        <w:rPr>
          <w:lang w:eastAsia="en-IE"/>
        </w:rPr>
      </w:r>
      <w:r w:rsidR="003C29EF">
        <w:rPr>
          <w:lang w:eastAsia="en-IE"/>
        </w:rPr>
        <w:fldChar w:fldCharType="separate"/>
      </w:r>
      <w:r w:rsidR="00B26CBF">
        <w:rPr>
          <w:noProof/>
          <w:lang w:eastAsia="en-IE"/>
        </w:rPr>
        <w:t>(HSE, 2021; Schepens et al., 2019; New South Wales Ministry of Health, 2012; McCarron et al., 2010a)</w:t>
      </w:r>
      <w:r w:rsidR="003C29EF">
        <w:rPr>
          <w:lang w:eastAsia="en-IE"/>
        </w:rPr>
        <w:fldChar w:fldCharType="end"/>
      </w:r>
      <w:r w:rsidR="003C29EF">
        <w:rPr>
          <w:rFonts w:eastAsia="Gill Sans" w:cs="Gill Sans"/>
        </w:rPr>
        <w:t>.</w:t>
      </w:r>
      <w:r w:rsidRPr="1386485D">
        <w:rPr>
          <w:rFonts w:eastAsia="Gill Sans" w:cs="Gill Sans"/>
        </w:rPr>
        <w:t xml:space="preserve"> </w:t>
      </w:r>
      <w:r w:rsidRPr="00BF25A4">
        <w:rPr>
          <w:rFonts w:eastAsia="Calibri" w:cs="Calibri"/>
          <w:color w:val="000000" w:themeColor="text1"/>
          <w:szCs w:val="26"/>
        </w:rPr>
        <w:t>Increasing age may add to the complexity of the transitions experienced by older people with intellectual disabilit</w:t>
      </w:r>
      <w:r w:rsidR="00A000DA">
        <w:rPr>
          <w:rFonts w:eastAsia="Calibri" w:cs="Calibri"/>
          <w:color w:val="000000" w:themeColor="text1"/>
          <w:szCs w:val="26"/>
        </w:rPr>
        <w:t>ies</w:t>
      </w:r>
      <w:r w:rsidRPr="00BF25A4">
        <w:rPr>
          <w:rFonts w:eastAsia="Calibri" w:cs="Calibri"/>
          <w:color w:val="000000" w:themeColor="text1"/>
          <w:szCs w:val="26"/>
        </w:rPr>
        <w:t xml:space="preserve"> and person-centred future planning can support and prepare older people with intellectual disabilit</w:t>
      </w:r>
      <w:r w:rsidR="00A000DA">
        <w:rPr>
          <w:rFonts w:eastAsia="Calibri" w:cs="Calibri"/>
          <w:color w:val="000000" w:themeColor="text1"/>
          <w:szCs w:val="26"/>
        </w:rPr>
        <w:t>ies</w:t>
      </w:r>
      <w:r w:rsidRPr="00BF25A4">
        <w:rPr>
          <w:rFonts w:eastAsia="Calibri" w:cs="Calibri"/>
          <w:color w:val="000000" w:themeColor="text1"/>
          <w:szCs w:val="26"/>
        </w:rPr>
        <w:t xml:space="preserve"> for transitions that reflect and respect the preferences of the individual </w:t>
      </w:r>
      <w:r w:rsidR="000430CA" w:rsidRPr="30E0B128">
        <w:rPr>
          <w:rFonts w:eastAsia="Segoe UI"/>
        </w:rPr>
        <w:fldChar w:fldCharType="begin"/>
      </w:r>
      <w:r w:rsidR="000430CA" w:rsidRPr="30E0B128">
        <w:rPr>
          <w:rFonts w:eastAsia="Segoe UI"/>
        </w:rPr>
        <w:instrText xml:space="preserve"> ADDIN EN.CITE &lt;EndNote&gt;&lt;Cite&gt;&lt;Author&gt;Strnadová&lt;/Author&gt;&lt;Year&gt;2019&lt;/Year&gt;&lt;RecNum&gt;766&lt;/RecNum&gt;&lt;DisplayText&gt;(Strnadová, 2019)&lt;/DisplayText&gt;&lt;record&gt;&lt;rec-number&gt;766&lt;/rec-number&gt;&lt;foreign-keys&gt;&lt;key app="EN" db-id="xtwfdzde5ttr0zevxrh5sf0c2wfzw5zf2vra" timestamp="1667647342" guid="029e5732-8f0e-45c0-970f-f059d949b01d"&gt;766&lt;/key&gt;&lt;/foreign-keys&gt;&lt;ref-type name="Journal Article"&gt;17&lt;/ref-type&gt;&lt;contributors&gt;&lt;authors&gt;&lt;author&gt;Strnadová, Iva&lt;/author&gt;&lt;/authors&gt;&lt;/contributors&gt;&lt;titles&gt;&lt;title&gt;Transitions in the lives of older adults with intellectual disabilities:“Having a sense of dignity and independence”&lt;/title&gt;&lt;secondary-title&gt;Journal of Policy and Practice in Intellectual Disabilities&lt;/secondary-title&gt;&lt;/titles&gt;&lt;periodical&gt;&lt;full-title&gt;Journal of Policy and Practice in Intellectual Disabilities&lt;/full-title&gt;&lt;/periodical&gt;&lt;pages&gt;58-66&lt;/pages&gt;&lt;volume&gt;16&lt;/volume&gt;&lt;number&gt;1&lt;/number&gt;&lt;dates&gt;&lt;year&gt;2019&lt;/year&gt;&lt;/dates&gt;&lt;isbn&gt;1741-1122&lt;/isbn&gt;&lt;urls&gt;&lt;/urls&gt;&lt;/record&gt;&lt;/Cite&gt;&lt;/EndNote&gt;</w:instrText>
      </w:r>
      <w:r w:rsidR="000430CA" w:rsidRPr="30E0B128">
        <w:rPr>
          <w:rFonts w:eastAsia="Segoe UI"/>
        </w:rPr>
        <w:fldChar w:fldCharType="separate"/>
      </w:r>
      <w:r w:rsidR="000430CA" w:rsidRPr="30E0B128">
        <w:rPr>
          <w:rFonts w:eastAsia="Segoe UI"/>
        </w:rPr>
        <w:t>(Strnadová, 2019)</w:t>
      </w:r>
      <w:r w:rsidR="000430CA" w:rsidRPr="30E0B128">
        <w:rPr>
          <w:rFonts w:eastAsia="Segoe UI"/>
        </w:rPr>
        <w:fldChar w:fldCharType="end"/>
      </w:r>
      <w:r w:rsidR="00B0304D">
        <w:rPr>
          <w:rFonts w:eastAsia="Segoe UI"/>
        </w:rPr>
        <w:t xml:space="preserve">. </w:t>
      </w:r>
      <w:r w:rsidRPr="00BF25A4">
        <w:rPr>
          <w:rFonts w:eastAsia="Calibri" w:cs="Calibri"/>
          <w:color w:val="000000" w:themeColor="text1"/>
          <w:szCs w:val="26"/>
        </w:rPr>
        <w:t>Instead, many such transitions are reactive, made in response to a crisis and without the benefit of proactive planning</w:t>
      </w:r>
      <w:r w:rsidR="00B0304D">
        <w:rPr>
          <w:rFonts w:eastAsia="Calibri" w:cs="Calibri"/>
          <w:color w:val="000000" w:themeColor="text1"/>
          <w:szCs w:val="26"/>
        </w:rPr>
        <w:t xml:space="preserve"> </w:t>
      </w:r>
      <w:r w:rsidR="00B0304D" w:rsidRPr="30E0B128">
        <w:rPr>
          <w:rFonts w:eastAsia="Segoe UI"/>
        </w:rPr>
        <w:fldChar w:fldCharType="begin"/>
      </w:r>
      <w:r w:rsidR="00B0304D" w:rsidRPr="30E0B128">
        <w:rPr>
          <w:rFonts w:eastAsia="Segoe UI"/>
        </w:rPr>
        <w:instrText xml:space="preserve"> ADDIN EN.CITE &lt;EndNote&gt;&lt;Cite&gt;&lt;Author&gt;Strnadová&lt;/Author&gt;&lt;Year&gt;2019&lt;/Year&gt;&lt;RecNum&gt;766&lt;/RecNum&gt;&lt;DisplayText&gt;(Strnadová, 2019)&lt;/DisplayText&gt;&lt;record&gt;&lt;rec-number&gt;766&lt;/rec-number&gt;&lt;foreign-keys&gt;&lt;key app="EN" db-id="xtwfdzde5ttr0zevxrh5sf0c2wfzw5zf2vra" timestamp="1667647342" guid="029e5732-8f0e-45c0-970f-f059d949b01d"&gt;766&lt;/key&gt;&lt;/foreign-keys&gt;&lt;ref-type name="Journal Article"&gt;17&lt;/ref-type&gt;&lt;contributors&gt;&lt;authors&gt;&lt;author&gt;Strnadová, Iva&lt;/author&gt;&lt;/authors&gt;&lt;/contributors&gt;&lt;titles&gt;&lt;title&gt;Transitions in the lives of older adults with intellectual disabilities:“Having a sense of dignity and independence”&lt;/title&gt;&lt;secondary-title&gt;Journal of Policy and Practice in Intellectual Disabilities&lt;/secondary-title&gt;&lt;/titles&gt;&lt;periodical&gt;&lt;full-title&gt;Journal of Policy and Practice in Intellectual Disabilities&lt;/full-title&gt;&lt;/periodical&gt;&lt;pages&gt;58-66&lt;/pages&gt;&lt;volume&gt;16&lt;/volume&gt;&lt;number&gt;1&lt;/number&gt;&lt;dates&gt;&lt;year&gt;2019&lt;/year&gt;&lt;/dates&gt;&lt;isbn&gt;1741-1122&lt;/isbn&gt;&lt;urls&gt;&lt;/urls&gt;&lt;/record&gt;&lt;/Cite&gt;&lt;/EndNote&gt;</w:instrText>
      </w:r>
      <w:r w:rsidR="00B0304D" w:rsidRPr="30E0B128">
        <w:rPr>
          <w:rFonts w:eastAsia="Segoe UI"/>
        </w:rPr>
        <w:fldChar w:fldCharType="separate"/>
      </w:r>
      <w:r w:rsidR="00B0304D" w:rsidRPr="30E0B128">
        <w:rPr>
          <w:rFonts w:eastAsia="Segoe UI"/>
        </w:rPr>
        <w:t>(Strnadová, 2019)</w:t>
      </w:r>
      <w:r w:rsidR="00B0304D" w:rsidRPr="30E0B128">
        <w:rPr>
          <w:rFonts w:eastAsia="Segoe UI"/>
        </w:rPr>
        <w:fldChar w:fldCharType="end"/>
      </w:r>
      <w:r w:rsidRPr="00BF25A4">
        <w:rPr>
          <w:rFonts w:eastAsia="Calibri" w:cs="Calibri"/>
          <w:color w:val="000000" w:themeColor="text1"/>
          <w:szCs w:val="26"/>
        </w:rPr>
        <w:t>.</w:t>
      </w:r>
      <w:r w:rsidRPr="00BF25A4">
        <w:rPr>
          <w:rFonts w:eastAsia="Calibri" w:cs="Calibri"/>
          <w:szCs w:val="26"/>
        </w:rPr>
        <w:t xml:space="preserve"> I</w:t>
      </w:r>
      <w:r w:rsidRPr="00BF25A4">
        <w:rPr>
          <w:rFonts w:eastAsia="Calibri" w:cs="Calibri"/>
          <w:color w:val="000000" w:themeColor="text1"/>
          <w:szCs w:val="26"/>
        </w:rPr>
        <w:t xml:space="preserve">t was abundantly clear that there is a need for a more properly structured service model, focused on healthy ageing among people with intellectual disabilities, and with dedicated funding. </w:t>
      </w:r>
    </w:p>
    <w:p w14:paraId="4AB961E3" w14:textId="4ABB0755" w:rsidR="36244224" w:rsidRPr="00BF25A4" w:rsidRDefault="36244224" w:rsidP="0072089D">
      <w:pPr>
        <w:spacing w:line="257" w:lineRule="auto"/>
        <w:rPr>
          <w:rFonts w:eastAsia="Calibri" w:cs="Calibri"/>
        </w:rPr>
      </w:pPr>
      <w:r w:rsidRPr="5573071A">
        <w:rPr>
          <w:rFonts w:eastAsia="Calibri" w:cs="Calibri"/>
          <w:color w:val="000000" w:themeColor="text1"/>
        </w:rPr>
        <w:t>A</w:t>
      </w:r>
      <w:r w:rsidRPr="5573071A">
        <w:rPr>
          <w:rFonts w:eastAsia="Calibri" w:cs="Calibri"/>
        </w:rPr>
        <w:t xml:space="preserve"> majority of survey respondents identified dementia as the most significant challenge to meeting the needs of older adults with intellectual disabilit</w:t>
      </w:r>
      <w:r w:rsidR="00A000DA">
        <w:rPr>
          <w:rFonts w:eastAsia="Calibri" w:cs="Calibri"/>
        </w:rPr>
        <w:t>ies</w:t>
      </w:r>
      <w:r w:rsidRPr="5573071A">
        <w:rPr>
          <w:rFonts w:eastAsia="Calibri" w:cs="Calibri"/>
        </w:rPr>
        <w:t xml:space="preserve"> in their service. </w:t>
      </w:r>
      <w:r w:rsidRPr="5573071A">
        <w:rPr>
          <w:rFonts w:eastAsia="Calibri" w:cs="Calibri"/>
          <w:color w:val="000000" w:themeColor="text1"/>
        </w:rPr>
        <w:t xml:space="preserve"> </w:t>
      </w:r>
      <w:r w:rsidR="6C322C53" w:rsidRPr="5573071A">
        <w:rPr>
          <w:rFonts w:eastAsia="Calibri" w:cs="Calibri"/>
          <w:color w:val="000000" w:themeColor="text1"/>
        </w:rPr>
        <w:t>S</w:t>
      </w:r>
      <w:r w:rsidRPr="5573071A">
        <w:rPr>
          <w:rFonts w:eastAsia="Calibri" w:cs="Calibri"/>
          <w:color w:val="000000" w:themeColor="text1"/>
        </w:rPr>
        <w:t xml:space="preserve">imilar issues were raised by participants and respondents in respect of end of life care. There was unanimity in the view that older people should be supported to die at home whenever possible, but that this could only be achieved with proper planning and flexible resources </w:t>
      </w:r>
      <w:r w:rsidR="00FA5C35" w:rsidRPr="006E338B">
        <w:fldChar w:fldCharType="begin"/>
      </w:r>
      <w:r w:rsidR="005F4080">
        <w:instrText xml:space="preserve"> ADDIN EN.CITE &lt;EndNote&gt;&lt;Cite&gt;&lt;Author&gt;Todd&lt;/Author&gt;&lt;Year&gt;2020&lt;/Year&gt;&lt;RecNum&gt;726&lt;/RecNum&gt;&lt;DisplayText&gt;(Todd et al., 2020)&lt;/DisplayText&gt;&lt;record&gt;&lt;rec-number&gt;726&lt;/rec-number&gt;&lt;foreign-keys&gt;&lt;key app="EN" db-id="xtwfdzde5ttr0zevxrh5sf0c2wfzw5zf2vra" timestamp="1667386694" guid="a5cdb226-3275-4b13-8556-01f94426c08b"&gt;726&lt;/key&gt;&lt;/foreign-keys&gt;&lt;ref-type name="Journal Article"&gt;17&lt;/ref-type&gt;&lt;contributors&gt;&lt;authors&gt;&lt;author&gt;Todd, Stuart&lt;/author&gt;&lt;author&gt;Bernal, Jane&lt;/author&gt;&lt;author&gt;Shearn, Julia&lt;/author&gt;&lt;author&gt;Worth, Rhian&lt;/author&gt;&lt;author&gt;Jones, Edwin&lt;/author&gt;&lt;author&gt;Lowe, Kathy&lt;/author&gt;&lt;author&gt;Madden, Phil&lt;/author&gt;&lt;author&gt;Barr, Owen&lt;/author&gt;&lt;author&gt;Forrester Jones, Rachel&lt;/author&gt;&lt;author&gt;Jarvis, Paul&lt;/author&gt;&lt;/authors&gt;&lt;/contributors&gt;&lt;titles&gt;&lt;title&gt;Last months of life of people with intellectual disabilities: A UK population</w:instrText>
      </w:r>
      <w:r w:rsidR="005F4080">
        <w:rPr>
          <w:rFonts w:ascii="Cambria Math" w:hAnsi="Cambria Math" w:cs="Cambria Math"/>
        </w:rPr>
        <w:instrText>‐</w:instrText>
      </w:r>
      <w:r w:rsidR="005F4080">
        <w:instrText>based study of death and dying in intellectual disability community services&lt;/title&gt;&lt;secondary-title&gt;Journal of Applied Research in Intellectual Disabilities&lt;/secondary-title&gt;&lt;/titles&gt;&lt;periodical&gt;&lt;full-title&gt;Journal of Applied Research in Intellectual Disabilities&lt;/full-title&gt;&lt;/periodical&gt;&lt;pages&gt;1245-1258&lt;/pages&gt;&lt;volume&gt;33&lt;/volume&gt;&lt;number&gt;6&lt;/number&gt;&lt;dates&gt;&lt;year&gt;2020&lt;/year&gt;&lt;/dates&gt;&lt;isbn&gt;1360-2322&lt;/isbn&gt;&lt;urls&gt;&lt;/urls&gt;&lt;/record&gt;&lt;/Cite&gt;&lt;/EndNote&gt;</w:instrText>
      </w:r>
      <w:r w:rsidR="00FA5C35" w:rsidRPr="006E338B">
        <w:fldChar w:fldCharType="separate"/>
      </w:r>
      <w:r w:rsidR="005F4080">
        <w:rPr>
          <w:noProof/>
        </w:rPr>
        <w:t>(Todd et al., 2020)</w:t>
      </w:r>
      <w:r w:rsidR="00FA5C35" w:rsidRPr="006E338B">
        <w:fldChar w:fldCharType="end"/>
      </w:r>
      <w:r w:rsidRPr="5573071A">
        <w:rPr>
          <w:rFonts w:eastAsia="Calibri" w:cs="Calibri"/>
          <w:color w:val="000000" w:themeColor="text1"/>
        </w:rPr>
        <w:t>. The findings of this study, though, provide examples of extraordinary efforts on the part of individual teams and staff members, to support those in their care to die at home. There were also exemplars of the individual being involved in end of life care decisions and planning. Whilst it is noted that family were involved and supported, a number of family members did not feel supported during times of bereavement. Another</w:t>
      </w:r>
      <w:r w:rsidRPr="5573071A">
        <w:rPr>
          <w:rFonts w:eastAsia="Calibri" w:cs="Calibri"/>
        </w:rPr>
        <w:t xml:space="preserve"> area of need that was raised in this study was not one related to health or illness, but focused instead on the patterns of life for older people with intellectual disabilities, particularly their need or desire to step back from day services or intensive activities.</w:t>
      </w:r>
    </w:p>
    <w:p w14:paraId="1F9D9389" w14:textId="4177B68D" w:rsidR="00282B10" w:rsidRDefault="36244224" w:rsidP="00282B10">
      <w:pPr>
        <w:spacing w:line="257" w:lineRule="auto"/>
        <w:rPr>
          <w:rFonts w:eastAsia="Calibri" w:cs="Calibri"/>
          <w:szCs w:val="26"/>
        </w:rPr>
      </w:pPr>
      <w:r w:rsidRPr="00BF25A4">
        <w:rPr>
          <w:rFonts w:eastAsia="Calibri" w:cs="Calibri"/>
          <w:color w:val="000000" w:themeColor="text1"/>
          <w:szCs w:val="26"/>
        </w:rPr>
        <w:t xml:space="preserve">The </w:t>
      </w:r>
      <w:r w:rsidRPr="00BF25A4">
        <w:rPr>
          <w:rFonts w:eastAsia="Calibri" w:cs="Calibri"/>
          <w:szCs w:val="26"/>
        </w:rPr>
        <w:t xml:space="preserve">issue of resources is a repeating theme in the findings and underpins so many aspects of service provision, with key healthy ageing principles largely unachievable in the absence of responsive funding, flexible staffing models, suitable accommodation and access to equipment and other resources. The findings reflect </w:t>
      </w:r>
      <w:r w:rsidR="00796675" w:rsidRPr="65C249F8">
        <w:rPr>
          <w:rFonts w:eastAsia="Gill Sans MT" w:cs="Gill Sans MT"/>
        </w:rPr>
        <w:fldChar w:fldCharType="begin"/>
      </w:r>
      <w:r w:rsidR="00796675" w:rsidRPr="65C249F8">
        <w:rPr>
          <w:rFonts w:eastAsia="Gill Sans MT" w:cs="Gill Sans MT"/>
        </w:rPr>
        <w:instrText xml:space="preserve"> ADDIN EN.CITE &lt;EndNote&gt;&lt;Cite AuthorYear="1"&gt;&lt;Author&gt;Northway&lt;/Author&gt;&lt;Year&gt;2017&lt;/Year&gt;&lt;RecNum&gt;405&lt;/RecNum&gt;&lt;DisplayText&gt;Northway et al. (2017)&lt;/DisplayText&gt;&lt;record&gt;&lt;rec-number&gt;405&lt;/rec-number&gt;&lt;foreign-keys&gt;&lt;key app="EN" db-id="xtwfdzde5ttr0zevxrh5sf0c2wfzw5zf2vra" timestamp="1643290955" guid="ad64addc-7afe-4377-a604-e51fddd84f0b"&gt;405&lt;/key&gt;&lt;/foreign-keys&gt;&lt;ref-type name="Journal Article"&gt;17&lt;/ref-type&gt;&lt;contributors&gt;&lt;authors&gt;&lt;author&gt;Northway, Ruth&lt;/author&gt;&lt;author&gt;Holland-Hart, Daniella&lt;/author&gt;&lt;author&gt;Jenkins, Robert&lt;/author&gt;&lt;/authors&gt;&lt;/contributors&gt;&lt;titles&gt;&lt;title&gt;Meeting the health needs of older people with intellectual disabilities: exploring the experiences of residential social care staff&lt;/title&gt;&lt;secondary-title&gt;Health and Social Care in the Community&lt;/secondary-title&gt;&lt;short-title&gt;Meeting the health needs of older people with intellectual disabilities: exploring the experiences of residential social care staff&lt;/short-title&gt;&lt;/titles&gt;&lt;periodical&gt;&lt;full-title&gt;Health and Social Care in the Community&lt;/full-title&gt;&lt;/periodical&gt;&lt;pages&gt;923-931&lt;/pages&gt;&lt;volume&gt;25&lt;/volume&gt;&lt;number&gt;3&lt;/number&gt;&lt;dates&gt;&lt;year&gt;2017&lt;/year&gt;&lt;/dates&gt;&lt;urls&gt;&lt;related-urls&gt;&lt;url&gt;https://onlinelibrary.wiley.com/doi/10.1111/hsc.12380&lt;/url&gt;&lt;/related-urls&gt;&lt;/urls&gt;&lt;electronic-resource-num&gt;10.1111/hsc.12380&lt;/electronic-resource-num&gt;&lt;/record&gt;&lt;/Cite&gt;&lt;/EndNote&gt;</w:instrText>
      </w:r>
      <w:r w:rsidR="00796675" w:rsidRPr="65C249F8">
        <w:rPr>
          <w:rFonts w:eastAsia="Gill Sans MT" w:cs="Gill Sans MT"/>
        </w:rPr>
        <w:fldChar w:fldCharType="separate"/>
      </w:r>
      <w:r w:rsidR="00796675" w:rsidRPr="65C249F8">
        <w:rPr>
          <w:rFonts w:eastAsia="Gill Sans MT" w:cs="Gill Sans MT"/>
        </w:rPr>
        <w:t>Northway et al. (2017)</w:t>
      </w:r>
      <w:r w:rsidR="00796675" w:rsidRPr="65C249F8">
        <w:rPr>
          <w:rFonts w:eastAsia="Gill Sans MT" w:cs="Gill Sans MT"/>
        </w:rPr>
        <w:fldChar w:fldCharType="end"/>
      </w:r>
      <w:r w:rsidRPr="65C249F8">
        <w:rPr>
          <w:rFonts w:eastAsia="Gill Sans MT" w:cs="Gill Sans MT"/>
        </w:rPr>
        <w:t xml:space="preserve">’s </w:t>
      </w:r>
      <w:r w:rsidRPr="00BF25A4">
        <w:rPr>
          <w:rFonts w:eastAsia="Calibri" w:cs="Calibri"/>
          <w:color w:val="000000" w:themeColor="text1"/>
          <w:szCs w:val="26"/>
        </w:rPr>
        <w:t>assertion that a strong body of evidence exists to indicate that the key determinants of whether people with intellectual disabilities can age in place are environmental issues and staff training.</w:t>
      </w:r>
      <w:r w:rsidRPr="00BF25A4">
        <w:rPr>
          <w:rFonts w:eastAsia="Calibri" w:cs="Calibri"/>
          <w:szCs w:val="26"/>
        </w:rPr>
        <w:t xml:space="preserve"> </w:t>
      </w:r>
      <w:r w:rsidRPr="00BF25A4">
        <w:rPr>
          <w:rFonts w:eastAsia="Calibri" w:cs="Calibri"/>
          <w:color w:val="000000" w:themeColor="text1"/>
          <w:szCs w:val="26"/>
        </w:rPr>
        <w:t>If de</w:t>
      </w:r>
      <w:r w:rsidRPr="00BF25A4">
        <w:rPr>
          <w:rFonts w:eastAsia="Calibri" w:cs="Calibri"/>
          <w:szCs w:val="26"/>
        </w:rPr>
        <w:t>cisions regarding support for people with intellectual disabilities are to be person-centred, then they must be guided by the person’s needs and wishes and framed within the rights conferred by the UNCRPD. Such decisions must also take into account the fact that needs will change over time and not always in accordance to a predictable pattern. Forward planning is therefore vital if the person is to experience consistency, responsivity and seamlessness in the service they receive and is best achieved through the use of a structured service model which can facilitate timely funding and resource responses.</w:t>
      </w:r>
      <w:r w:rsidR="00282B10">
        <w:rPr>
          <w:rFonts w:eastAsia="Calibri" w:cs="Calibri"/>
          <w:szCs w:val="26"/>
        </w:rPr>
        <w:t xml:space="preserve"> </w:t>
      </w:r>
    </w:p>
    <w:p w14:paraId="06A8801E" w14:textId="7D47BF08" w:rsidR="36244224" w:rsidRPr="00BF25A4" w:rsidRDefault="00282B10" w:rsidP="0072089D">
      <w:pPr>
        <w:spacing w:line="257" w:lineRule="auto"/>
        <w:rPr>
          <w:rFonts w:eastAsia="Calibri" w:cs="Calibri"/>
          <w:color w:val="000000" w:themeColor="text1"/>
          <w:szCs w:val="26"/>
        </w:rPr>
      </w:pPr>
      <w:r>
        <w:rPr>
          <w:rFonts w:eastAsia="Calibri" w:cs="Calibri"/>
          <w:szCs w:val="26"/>
        </w:rPr>
        <w:t xml:space="preserve">If </w:t>
      </w:r>
      <w:r w:rsidR="00632EF2" w:rsidRPr="009B1C81">
        <w:rPr>
          <w:rFonts w:cstheme="minorBidi"/>
          <w:lang w:eastAsia="en-IE"/>
        </w:rPr>
        <w:t xml:space="preserve">person-centred supports </w:t>
      </w:r>
      <w:r w:rsidR="00632EF2">
        <w:rPr>
          <w:rFonts w:cstheme="minorBidi"/>
          <w:lang w:eastAsia="en-IE"/>
        </w:rPr>
        <w:t xml:space="preserve">are to be provided for </w:t>
      </w:r>
      <w:r w:rsidRPr="009B1C81">
        <w:rPr>
          <w:rFonts w:cstheme="minorBidi"/>
          <w:lang w:eastAsia="en-IE"/>
        </w:rPr>
        <w:t>older people with intellectual disabilit</w:t>
      </w:r>
      <w:r w:rsidR="00A000DA">
        <w:rPr>
          <w:rFonts w:cstheme="minorBidi"/>
          <w:lang w:eastAsia="en-IE"/>
        </w:rPr>
        <w:t>ies</w:t>
      </w:r>
      <w:r w:rsidR="00632EF2">
        <w:rPr>
          <w:rFonts w:cstheme="minorBidi"/>
          <w:lang w:eastAsia="en-IE"/>
        </w:rPr>
        <w:t>, it is imperative that adequate resources are made available</w:t>
      </w:r>
      <w:r w:rsidRPr="009B1C81">
        <w:rPr>
          <w:rFonts w:cstheme="minorBidi"/>
          <w:lang w:eastAsia="en-IE"/>
        </w:rPr>
        <w:t>. Staffing levels, staff mix</w:t>
      </w:r>
      <w:r>
        <w:rPr>
          <w:rFonts w:cstheme="minorBidi"/>
          <w:lang w:eastAsia="en-IE"/>
        </w:rPr>
        <w:t>,</w:t>
      </w:r>
      <w:r w:rsidRPr="009B1C81">
        <w:rPr>
          <w:rFonts w:cstheme="minorBidi"/>
          <w:lang w:eastAsia="en-IE"/>
        </w:rPr>
        <w:t xml:space="preserve"> and the timely provision of equipment were all reported to impact on the ability of services to respond to the changing and, often complex, needs of people with intellectual disabilit</w:t>
      </w:r>
      <w:r w:rsidR="00A000DA">
        <w:rPr>
          <w:rFonts w:cstheme="minorBidi"/>
          <w:lang w:eastAsia="en-IE"/>
        </w:rPr>
        <w:t>ies</w:t>
      </w:r>
      <w:r w:rsidRPr="009B1C81">
        <w:rPr>
          <w:rFonts w:cstheme="minorBidi"/>
          <w:lang w:eastAsia="en-IE"/>
        </w:rPr>
        <w:t xml:space="preserve"> as they age. Many of the challenges are underpinned by inadequate funding</w:t>
      </w:r>
      <w:r w:rsidRPr="7E1ABCE3">
        <w:rPr>
          <w:rFonts w:cstheme="minorBidi"/>
          <w:lang w:eastAsia="en-IE"/>
        </w:rPr>
        <w:t xml:space="preserve"> </w:t>
      </w:r>
      <w:r w:rsidRPr="13F4234D">
        <w:rPr>
          <w:rFonts w:cstheme="minorBidi"/>
          <w:lang w:eastAsia="en-IE"/>
        </w:rPr>
        <w:t xml:space="preserve">and a funding model </w:t>
      </w:r>
      <w:r w:rsidRPr="7A18FCB1">
        <w:rPr>
          <w:rFonts w:cstheme="minorBidi"/>
          <w:lang w:eastAsia="en-IE"/>
        </w:rPr>
        <w:t xml:space="preserve">that is not </w:t>
      </w:r>
      <w:r w:rsidRPr="5EBBF85B">
        <w:rPr>
          <w:rFonts w:cstheme="minorBidi"/>
          <w:lang w:eastAsia="en-IE"/>
        </w:rPr>
        <w:t xml:space="preserve">sensitive to </w:t>
      </w:r>
      <w:r w:rsidRPr="535AC082">
        <w:rPr>
          <w:rFonts w:cstheme="minorBidi"/>
          <w:lang w:eastAsia="en-IE"/>
        </w:rPr>
        <w:t xml:space="preserve">increased need at the level of the </w:t>
      </w:r>
      <w:r w:rsidRPr="10C372F7">
        <w:rPr>
          <w:rFonts w:cstheme="minorBidi"/>
          <w:lang w:eastAsia="en-IE"/>
        </w:rPr>
        <w:t xml:space="preserve">individual. </w:t>
      </w:r>
      <w:r w:rsidR="36244224" w:rsidRPr="00BF25A4">
        <w:rPr>
          <w:rFonts w:eastAsia="Calibri" w:cs="Calibri"/>
          <w:szCs w:val="26"/>
        </w:rPr>
        <w:t>Staffing levels, skill mix and staff willingness (or otherwise) to take on roles that are traditionally beyond one’s boundaries may</w:t>
      </w:r>
      <w:r w:rsidR="36244224" w:rsidRPr="00BF25A4">
        <w:rPr>
          <w:rFonts w:eastAsia="Calibri" w:cs="Calibri"/>
          <w:color w:val="FF0000"/>
          <w:szCs w:val="26"/>
        </w:rPr>
        <w:t xml:space="preserve"> </w:t>
      </w:r>
      <w:r w:rsidR="00805EFF" w:rsidRPr="00805EFF">
        <w:rPr>
          <w:rFonts w:eastAsia="Calibri" w:cs="Calibri"/>
          <w:szCs w:val="26"/>
        </w:rPr>
        <w:t xml:space="preserve">also </w:t>
      </w:r>
      <w:r w:rsidR="36244224" w:rsidRPr="00BF25A4">
        <w:rPr>
          <w:rFonts w:eastAsia="Calibri" w:cs="Calibri"/>
          <w:szCs w:val="26"/>
        </w:rPr>
        <w:t xml:space="preserve">be a significant barrier to meeting older persons’ needs. </w:t>
      </w:r>
      <w:r w:rsidR="36244224" w:rsidRPr="00BF25A4">
        <w:rPr>
          <w:rFonts w:eastAsia="Calibri" w:cs="Calibri"/>
          <w:color w:val="000000" w:themeColor="text1"/>
          <w:szCs w:val="26"/>
        </w:rPr>
        <w:t>One solution to recruitment challenges is the upskilling of other staff, such that they will be able to undertake some health-related activities.</w:t>
      </w:r>
    </w:p>
    <w:p w14:paraId="4A1DDFF9" w14:textId="15896A57" w:rsidR="36244224" w:rsidRPr="00BF25A4" w:rsidRDefault="36244224" w:rsidP="0072089D">
      <w:pPr>
        <w:spacing w:line="257" w:lineRule="auto"/>
        <w:rPr>
          <w:rFonts w:eastAsia="Calibri" w:cs="Calibri"/>
          <w:szCs w:val="26"/>
        </w:rPr>
      </w:pPr>
      <w:r w:rsidRPr="00BF25A4">
        <w:rPr>
          <w:rFonts w:eastAsia="Calibri" w:cs="Calibri"/>
          <w:color w:val="000000" w:themeColor="text1"/>
          <w:szCs w:val="26"/>
        </w:rPr>
        <w:t>A variety of service approaches have been reported in this study</w:t>
      </w:r>
      <w:r w:rsidRPr="00BF25A4">
        <w:rPr>
          <w:rFonts w:eastAsia="Calibri" w:cs="Calibri"/>
          <w:szCs w:val="26"/>
        </w:rPr>
        <w:t>, spanning the health-social continuum. The absence of any consistent approach to supporting healthy ageing across or within services suggests that the experience of the older person with intellectual disabilities is predicated, with a certain level of chance, upon the region in which they are located and, consequently, on the service with which they are registered. There is clearly no national model or strategic approach to providing older age intellectual disability service to those who receive service.</w:t>
      </w:r>
      <w:r w:rsidR="00805EFF">
        <w:rPr>
          <w:rFonts w:eastAsia="Calibri" w:cs="Calibri"/>
          <w:szCs w:val="26"/>
        </w:rPr>
        <w:t xml:space="preserve"> </w:t>
      </w:r>
      <w:r w:rsidR="00534814">
        <w:rPr>
          <w:rFonts w:eastAsia="Calibri" w:cs="Calibri"/>
          <w:szCs w:val="26"/>
        </w:rPr>
        <w:t xml:space="preserve">Despite the </w:t>
      </w:r>
      <w:r w:rsidR="00E17094" w:rsidRPr="00E17094">
        <w:rPr>
          <w:rFonts w:eastAsia="Calibri" w:cs="Calibri"/>
          <w:i/>
          <w:iCs/>
          <w:szCs w:val="26"/>
        </w:rPr>
        <w:t>t</w:t>
      </w:r>
      <w:r w:rsidR="00534814">
        <w:rPr>
          <w:rFonts w:eastAsia="Calibri" w:cs="Calibri"/>
          <w:i/>
          <w:iCs/>
          <w:szCs w:val="26"/>
        </w:rPr>
        <w:t>rojan</w:t>
      </w:r>
      <w:r w:rsidR="00534814">
        <w:rPr>
          <w:rFonts w:eastAsia="Calibri" w:cs="Calibri"/>
          <w:szCs w:val="26"/>
        </w:rPr>
        <w:t xml:space="preserve"> efforts of services, services staff and families, </w:t>
      </w:r>
      <w:r w:rsidR="00E17094">
        <w:rPr>
          <w:rFonts w:eastAsia="Calibri" w:cs="Calibri"/>
          <w:szCs w:val="26"/>
        </w:rPr>
        <w:t xml:space="preserve">a quality responsive service cannot be achieved </w:t>
      </w:r>
      <w:r w:rsidR="00805EFF" w:rsidRPr="11C55A92">
        <w:rPr>
          <w:rFonts w:eastAsia="Gill Sans" w:cs="Gill Sans"/>
        </w:rPr>
        <w:t xml:space="preserve">in the absence of </w:t>
      </w:r>
      <w:r w:rsidR="00E17094">
        <w:rPr>
          <w:rFonts w:eastAsia="Gill Sans" w:cs="Gill Sans"/>
        </w:rPr>
        <w:t>a</w:t>
      </w:r>
      <w:r w:rsidR="00805EFF" w:rsidRPr="11C55A92">
        <w:rPr>
          <w:rFonts w:eastAsia="Gill Sans" w:cs="Gill Sans"/>
        </w:rPr>
        <w:t xml:space="preserve"> national plan and in the context of an inflexible funding model</w:t>
      </w:r>
      <w:r w:rsidR="00E17094">
        <w:rPr>
          <w:rFonts w:eastAsia="Gill Sans" w:cs="Gill Sans"/>
        </w:rPr>
        <w:t xml:space="preserve"> </w:t>
      </w:r>
      <w:r w:rsidR="00805EFF" w:rsidRPr="11C55A92">
        <w:rPr>
          <w:rFonts w:eastAsia="Gill Sans" w:cs="Gill Sans"/>
        </w:rPr>
        <w:t xml:space="preserve">that </w:t>
      </w:r>
      <w:r w:rsidR="00E17094">
        <w:rPr>
          <w:rFonts w:eastAsia="Gill Sans" w:cs="Gill Sans"/>
        </w:rPr>
        <w:t xml:space="preserve">did not have its </w:t>
      </w:r>
      <w:r w:rsidR="00FC6F1A">
        <w:rPr>
          <w:rFonts w:eastAsia="Gill Sans" w:cs="Gill Sans"/>
        </w:rPr>
        <w:t xml:space="preserve">foundation </w:t>
      </w:r>
      <w:r w:rsidR="00805EFF" w:rsidRPr="11C55A92">
        <w:rPr>
          <w:rFonts w:eastAsia="Gill Sans" w:cs="Gill Sans"/>
        </w:rPr>
        <w:t>in person-centeredness.</w:t>
      </w:r>
    </w:p>
    <w:p w14:paraId="7D34F411" w14:textId="082F606C" w:rsidR="36244224" w:rsidRPr="00BF25A4" w:rsidRDefault="41584F9E" w:rsidP="68A51868">
      <w:pPr>
        <w:spacing w:line="257" w:lineRule="auto"/>
        <w:rPr>
          <w:rFonts w:eastAsia="Calibri" w:cs="Calibri"/>
          <w:color w:val="000000" w:themeColor="text1"/>
        </w:rPr>
      </w:pPr>
      <w:r w:rsidRPr="68A51868">
        <w:rPr>
          <w:rFonts w:eastAsia="Calibri" w:cs="Calibri"/>
          <w:color w:val="000000" w:themeColor="text1"/>
        </w:rPr>
        <w:t>The services systems, the workforce and the funding mechanisms currently available for people who are ag</w:t>
      </w:r>
      <w:r w:rsidRPr="68A51868">
        <w:rPr>
          <w:rFonts w:eastAsia="Calibri" w:cs="Calibri"/>
        </w:rPr>
        <w:t>eing with intellectual disabilities were all developed at a different time and to achieve different goals. It is important to remember that living to old age for people with intellectual disabilities is still a relatively new phenomenon, and that when community-based options were developed, they were largely focused on moving young adults out of institutions and campuses and into jobs, community engagement and use of public transportation. The view of health and healthcare was grounded in a desire to break away from medical models and to celebrate opportunities to be healthy rather than focused on illness and health needs. Much of this is still true as people age but plans are not in place to resource ageing needs, work and day programming options have not been preparing for retirement and there is little reali</w:t>
      </w:r>
      <w:r w:rsidR="257AFB99" w:rsidRPr="68A51868">
        <w:rPr>
          <w:rFonts w:eastAsia="Calibri" w:cs="Calibri"/>
        </w:rPr>
        <w:t>s</w:t>
      </w:r>
      <w:r w:rsidRPr="68A51868">
        <w:rPr>
          <w:rFonts w:eastAsia="Calibri" w:cs="Calibri"/>
        </w:rPr>
        <w:t>ation that older age is often associated with increasing chronic conditions, some of which may be more varied for people with intellectual disabilities and needing at least some speciali</w:t>
      </w:r>
      <w:r w:rsidR="6EFF6202" w:rsidRPr="68A51868">
        <w:rPr>
          <w:rFonts w:eastAsia="Calibri" w:cs="Calibri"/>
        </w:rPr>
        <w:t>s</w:t>
      </w:r>
      <w:r w:rsidRPr="68A51868">
        <w:rPr>
          <w:rFonts w:eastAsia="Calibri" w:cs="Calibri"/>
        </w:rPr>
        <w:t xml:space="preserve">ed supports </w:t>
      </w:r>
      <w:r w:rsidR="36244224">
        <w:fldChar w:fldCharType="begin"/>
      </w:r>
      <w:r w:rsidR="36244224">
        <w:instrText xml:space="preserve"> ADDIN EN.CITE &lt;EndNote&gt;&lt;Cite&gt;&lt;Author&gt;Janicki&lt;/Author&gt;&lt;Year&gt;2005&lt;/Year&gt;&lt;RecNum&gt;607&lt;/RecNum&gt;&lt;DisplayText&gt;(McCallion &amp;amp; Jokinen, 2017; Janicki et al., 2005)&lt;/DisplayText&gt;&lt;record&gt;&lt;rec-number&gt;607&lt;/rec-number&gt;&lt;foreign-keys&gt;&lt;key app="EN" db-id="xtwfdzde5ttr0zevxrh5sf0c2wfzw5zf2vra" timestamp="1652802374" guid="aabad66b-d5ef-4a95-8620-87ab4f86e3b0"&gt;607&lt;/key&gt;&lt;/foreign-keys&gt;&lt;ref-type name="Journal Article"&gt;17&lt;/ref-type&gt;&lt;contributors&gt;&lt;authors&gt;&lt;author&gt;Janicki, Matthew P&lt;/author&gt;&lt;author&gt;Dalton, Arthur J&lt;/author&gt;&lt;author&gt;McCallion, Philip&lt;/author&gt;&lt;author&gt;Baxley, Diann Davies&lt;/author&gt;&lt;author&gt;Zendell, Anna&lt;/author&gt;&lt;/authors&gt;&lt;/contributors&gt;&lt;titles&gt;&lt;title&gt;Group home care for adults with intellectual disabilities and Alzheimer’s disease&lt;/title&gt;&lt;secondary-title&gt;Dementia&lt;/secondary-title&gt;&lt;/titles&gt;&lt;periodical&gt;&lt;full-title&gt;Dementia&lt;/full-title&gt;&lt;/periodical&gt;&lt;pages&gt;361-385&lt;/pages&gt;&lt;volume&gt;4&lt;/volume&gt;&lt;number&gt;3&lt;/number&gt;&lt;dates&gt;&lt;year&gt;2005&lt;/year&gt;&lt;/dates&gt;&lt;isbn&gt;1471-3012&lt;/isbn&gt;&lt;urls&gt;&lt;/urls&gt;&lt;/record&gt;&lt;/Cite&gt;&lt;Cite&gt;&lt;Author&gt;McCallion&lt;/Author&gt;&lt;Year&gt;2017&lt;/Year&gt;&lt;RecNum&gt;770&lt;/RecNum&gt;&lt;record&gt;&lt;rec-number&gt;770&lt;/rec-number&gt;&lt;foreign-keys&gt;&lt;key app="EN" db-id="xtwfdzde5ttr0zevxrh5sf0c2wfzw5zf2vra" timestamp="1667686286" guid="78f40c39-de20-4fcf-b157-a7cee3c3bc57"&gt;770&lt;/key&gt;&lt;/foreign-keys&gt;&lt;ref-type name="Book Section"&gt;5&lt;/ref-type&gt;&lt;contributors&gt;&lt;authors&gt;&lt;author&gt;McCallion, P&lt;/author&gt;&lt;author&gt;Jokinen, Nancy&lt;/author&gt;&lt;/authors&gt;&lt;secondary-authors&gt;&lt;author&gt;Wehmeyer, M.L&lt;/author&gt;&lt;author&gt;Brown, I&lt;/author&gt;&lt;author&gt;Percey, M&lt;/author&gt;&lt;author&gt;Shogren, KA&lt;/author&gt;&lt;author&gt;Fung, M.  &lt;/author&gt;&lt;/secondary-authors&gt;&lt;/contributors&gt;&lt;titles&gt;&lt;title&gt;Aging&lt;/title&gt;&lt;secondary-title&gt;A Comprehensive Guide to Intellectual and Developmental Disabilities&lt;/secondary-title&gt;&lt;/titles&gt;&lt;pages&gt;639-654&lt;/pages&gt;&lt;dates&gt;&lt;year&gt;2017&lt;/year&gt;&lt;/dates&gt;&lt;pub-location&gt;Baltimore, MD&lt;/pub-location&gt;&lt;publisher&gt;Paul Brookes Press&lt;/publisher&gt;&lt;urls&gt;&lt;/urls&gt;&lt;/record&gt;&lt;/Cite&gt;&lt;/EndNote&gt;</w:instrText>
      </w:r>
      <w:r w:rsidR="36244224">
        <w:fldChar w:fldCharType="separate"/>
      </w:r>
      <w:r w:rsidR="0B299C1B" w:rsidRPr="68A51868">
        <w:rPr>
          <w:noProof/>
        </w:rPr>
        <w:t>(McCallion &amp; Jokinen, 2017; Janicki et al., 2005)</w:t>
      </w:r>
      <w:r w:rsidR="36244224">
        <w:fldChar w:fldCharType="end"/>
      </w:r>
      <w:r w:rsidR="0B299C1B">
        <w:t>.</w:t>
      </w:r>
    </w:p>
    <w:p w14:paraId="5DD9EA0B" w14:textId="40440FAA" w:rsidR="36244224" w:rsidRPr="00BF25A4" w:rsidRDefault="36244224" w:rsidP="0072089D">
      <w:pPr>
        <w:spacing w:line="257" w:lineRule="auto"/>
        <w:rPr>
          <w:rFonts w:eastAsia="Calibri" w:cs="Calibri"/>
          <w:color w:val="000000" w:themeColor="text1"/>
          <w:szCs w:val="26"/>
        </w:rPr>
      </w:pPr>
      <w:r w:rsidRPr="00BF25A4">
        <w:rPr>
          <w:rFonts w:eastAsia="Calibri" w:cs="Calibri"/>
          <w:color w:val="000000" w:themeColor="text1"/>
          <w:szCs w:val="26"/>
        </w:rPr>
        <w:t xml:space="preserve">This study set out to </w:t>
      </w:r>
      <w:r w:rsidRPr="00BF25A4">
        <w:rPr>
          <w:rFonts w:eastAsia="Calibri" w:cs="Calibri"/>
          <w:szCs w:val="26"/>
        </w:rPr>
        <w:t xml:space="preserve">examine the care/service options for older adults with intellectual disabilities and complex age-related needs. A variety of approaches to providing service were identified, but few of these could be considered to be ‘structured or planned approaches. Moreover, none were underpinned by an ageing ‘service model’ but, rather, represented modifications of individual intellectual disability providers’ services, drawing on the standard funding allocation received from the HSE. There was, however, no dedicated funding to support services’ responses to the changing needs of their older service recipients. These changing needs, which relate to people with intellectual disabilities living into older age, and the anticipated costs of providing service to meet these were identified by the Irish State as far back as 2012 in the Value for Money and Policy Review of Disability Services </w:t>
      </w:r>
      <w:r w:rsidR="00443D77">
        <w:rPr>
          <w:rFonts w:eastAsia="Calibri" w:cs="Calibri"/>
          <w:szCs w:val="26"/>
        </w:rPr>
        <w:fldChar w:fldCharType="begin"/>
      </w:r>
      <w:r w:rsidR="00443D77">
        <w:rPr>
          <w:rFonts w:eastAsia="Calibri" w:cs="Calibri"/>
          <w:szCs w:val="26"/>
        </w:rPr>
        <w:instrText xml:space="preserve"> ADDIN EN.CITE &lt;EndNote&gt;&lt;Cite&gt;&lt;Author&gt;Department of Health&lt;/Author&gt;&lt;Year&gt;2012&lt;/Year&gt;&lt;RecNum&gt;730&lt;/RecNum&gt;&lt;DisplayText&gt;(Department of Health, 2012)&lt;/DisplayText&gt;&lt;record&gt;&lt;rec-number&gt;730&lt;/rec-number&gt;&lt;foreign-keys&gt;&lt;key app="EN" db-id="xtwfdzde5ttr0zevxrh5sf0c2wfzw5zf2vra" timestamp="1667404918" guid="17cb0503-84eb-4e2a-a91d-39cad9c72726"&gt;730&lt;/key&gt;&lt;/foreign-keys&gt;&lt;ref-type name="Report"&gt;27&lt;/ref-type&gt;&lt;contributors&gt;&lt;authors&gt;&lt;author&gt;Department of Health, &lt;/author&gt;&lt;/authors&gt;&lt;/contributors&gt;&lt;titles&gt;&lt;title&gt;Value for Money and Policy Review of Disability Services in Ireland &lt;/title&gt;&lt;/titles&gt;&lt;dates&gt;&lt;year&gt;2012&lt;/year&gt;&lt;/dates&gt;&lt;pub-location&gt;Dublin&lt;/pub-location&gt;&lt;publisher&gt;Department of Health&lt;/publisher&gt;&lt;urls&gt;&lt;/urls&gt;&lt;/record&gt;&lt;/Cite&gt;&lt;/EndNote&gt;</w:instrText>
      </w:r>
      <w:r w:rsidR="00443D77">
        <w:rPr>
          <w:rFonts w:eastAsia="Calibri" w:cs="Calibri"/>
          <w:szCs w:val="26"/>
        </w:rPr>
        <w:fldChar w:fldCharType="separate"/>
      </w:r>
      <w:r w:rsidR="00443D77">
        <w:rPr>
          <w:rFonts w:eastAsia="Calibri" w:cs="Calibri"/>
          <w:noProof/>
          <w:szCs w:val="26"/>
        </w:rPr>
        <w:t>(Department of Health, 2012)</w:t>
      </w:r>
      <w:r w:rsidR="00443D77">
        <w:rPr>
          <w:rFonts w:eastAsia="Calibri" w:cs="Calibri"/>
          <w:szCs w:val="26"/>
        </w:rPr>
        <w:fldChar w:fldCharType="end"/>
      </w:r>
      <w:r w:rsidRPr="00BF25A4">
        <w:rPr>
          <w:rFonts w:eastAsia="Calibri" w:cs="Calibri"/>
          <w:color w:val="000000" w:themeColor="text1"/>
          <w:szCs w:val="26"/>
        </w:rPr>
        <w:t xml:space="preserve">, but this does not appear to have resulted in significant change, with the inadequacy of the current funding model strongly criticised by the National Federation of Voluntary Bodies (NFVB) seven years later </w:t>
      </w:r>
      <w:r w:rsidR="006B6F31" w:rsidRPr="11C55A92">
        <w:rPr>
          <w:rFonts w:eastAsia="Gill Sans MT" w:cs="Gill Sans MT"/>
        </w:rPr>
        <w:fldChar w:fldCharType="begin"/>
      </w:r>
      <w:r w:rsidR="006B6F31" w:rsidRPr="11C55A92">
        <w:rPr>
          <w:rFonts w:eastAsia="Gill Sans MT" w:cs="Gill Sans MT"/>
        </w:rPr>
        <w:instrText xml:space="preserve"> ADDIN EN.CITE &lt;EndNote&gt;&lt;Cite ExcludeAuth="1"&gt;&lt;Author&gt;National Federation of Voluntary Bodies&lt;/Author&gt;&lt;Year&gt;2019&lt;/Year&gt;&lt;RecNum&gt;775&lt;/RecNum&gt;&lt;Prefix&gt;NFVB`, &lt;/Prefix&gt;&lt;DisplayText&gt;(NFVB, 2019)&lt;/DisplayText&gt;&lt;record&gt;&lt;rec-number&gt;775&lt;/rec-number&gt;&lt;foreign-keys&gt;&lt;key app="EN" db-id="xtwfdzde5ttr0zevxrh5sf0c2wfzw5zf2vra" timestamp="1667690708" guid="82be3de9-6734-47aa-a3a8-8ccafa065c9f"&gt;775&lt;/key&gt;&lt;/foreign-keys&gt;&lt;ref-type name="Web Page"&gt;12&lt;/ref-type&gt;&lt;contributors&gt;&lt;authors&gt;&lt;author&gt;National Federation of Voluntary Bodies,&lt;/author&gt;&lt;/authors&gt;&lt;/contributors&gt;&lt;titles&gt;&lt;title&gt;Funding Crisis in Disability Services&lt;/title&gt;&lt;/titles&gt;&lt;volume&gt;2022&lt;/volume&gt;&lt;number&gt;04/11/2022&lt;/number&gt;&lt;dates&gt;&lt;year&gt;2019&lt;/year&gt;&lt;/dates&gt;&lt;urls&gt;&lt;related-urls&gt;&lt;url&gt;http://www.fedvol.ie/_fileupload/Publications/NFVSP%20Drivers%20and%20Deficits%20in%20ID%20Services%20June_2019.pdf&lt;/url&gt;&lt;/related-urls&gt;&lt;/urls&gt;&lt;/record&gt;&lt;/Cite&gt;&lt;/EndNote&gt;</w:instrText>
      </w:r>
      <w:r w:rsidR="006B6F31" w:rsidRPr="11C55A92">
        <w:rPr>
          <w:rFonts w:eastAsia="Gill Sans MT" w:cs="Gill Sans MT"/>
        </w:rPr>
        <w:fldChar w:fldCharType="separate"/>
      </w:r>
      <w:r w:rsidR="006B6F31" w:rsidRPr="11C55A92">
        <w:rPr>
          <w:rFonts w:eastAsia="Gill Sans MT" w:cs="Gill Sans MT"/>
          <w:noProof/>
        </w:rPr>
        <w:t>(NFVB, 2019)</w:t>
      </w:r>
      <w:r w:rsidR="006B6F31" w:rsidRPr="11C55A92">
        <w:rPr>
          <w:rFonts w:eastAsia="Gill Sans MT" w:cs="Gill Sans MT"/>
        </w:rPr>
        <w:fldChar w:fldCharType="end"/>
      </w:r>
      <w:r w:rsidRPr="00BF25A4">
        <w:rPr>
          <w:rFonts w:eastAsia="Calibri" w:cs="Calibri"/>
          <w:color w:val="000000" w:themeColor="text1"/>
          <w:szCs w:val="26"/>
        </w:rPr>
        <w:t xml:space="preserve">. The outcomes of this study support these concerns. That so many positive outcomes are being achieved for many older people is a credit to the services, their staff and family carers. This is, however, a wholly unsustainable approach to meeting the needs of older Irish people with intellectual disabilities.  </w:t>
      </w:r>
    </w:p>
    <w:p w14:paraId="7A99A3DB" w14:textId="4D99301D" w:rsidR="353B097A" w:rsidRDefault="00FC6F1A" w:rsidP="00FC6F1A">
      <w:pPr>
        <w:pStyle w:val="Heading2"/>
      </w:pPr>
      <w:bookmarkStart w:id="29" w:name="_Toc121830596"/>
      <w:r>
        <w:t>Recommendations</w:t>
      </w:r>
      <w:bookmarkEnd w:id="29"/>
    </w:p>
    <w:p w14:paraId="308CC4ED" w14:textId="77777777" w:rsidR="005774EF" w:rsidRPr="00FC45BD" w:rsidRDefault="005774EF" w:rsidP="005774EF">
      <w:pPr>
        <w:rPr>
          <w:rFonts w:eastAsia="Gill Sans"/>
        </w:rPr>
      </w:pPr>
      <w:r w:rsidRPr="11C55A92">
        <w:rPr>
          <w:rFonts w:eastAsia="Gill Sans"/>
        </w:rPr>
        <w:t>Based on the findings of this research, and bearing in mind recommendations made by participants and the limitations outlined above, four main strategies are recommended for achieving positive outcomes for older people with intellectual disabilities</w:t>
      </w:r>
      <w:r>
        <w:rPr>
          <w:rFonts w:eastAsia="Gill Sans"/>
        </w:rPr>
        <w:t xml:space="preserve">. These are underpinned by the principles and articles of the UNCRPD. When </w:t>
      </w:r>
      <w:r>
        <w:t>Ireland ratified the UNCRPD in 2018, the State undertook to ensure the full realisation of the human rights and fundamental freedoms of people with disabilities. This can only be achieved if service outcomes are closely aligned to the commitments made on ratification of the Convention.</w:t>
      </w:r>
    </w:p>
    <w:p w14:paraId="236B8C3F" w14:textId="77777777" w:rsidR="005774EF" w:rsidRPr="004F6EAB" w:rsidRDefault="005774EF" w:rsidP="005774EF">
      <w:pPr>
        <w:pStyle w:val="Heading3"/>
        <w:rPr>
          <w:rFonts w:eastAsia="Gill Sans"/>
          <w:color w:val="auto"/>
        </w:rPr>
      </w:pPr>
      <w:r w:rsidRPr="004F6EAB">
        <w:rPr>
          <w:rFonts w:eastAsia="Gill Sans"/>
          <w:color w:val="auto"/>
        </w:rPr>
        <w:t xml:space="preserve">Develop a national model of service for healthy ageing among people with intellectual disabilities  </w:t>
      </w:r>
    </w:p>
    <w:p w14:paraId="6FEFFFAF" w14:textId="77777777" w:rsidR="005774EF" w:rsidRPr="000D349C" w:rsidRDefault="005774EF" w:rsidP="005774EF">
      <w:pPr>
        <w:rPr>
          <w:rFonts w:eastAsia="Gill Sans" w:cs="Gill Sans"/>
        </w:rPr>
      </w:pPr>
      <w:r>
        <w:rPr>
          <w:rFonts w:eastAsia="Gill Sans" w:cs="Gill Sans"/>
        </w:rPr>
        <w:t xml:space="preserve">Healthy and positive ageing has been a central principle of Irish government policy for the past decade, and has been progressed in mainstream society through the Healthy Ireland initiative. Its realisation has not been seen on an equal basis among older people with intellectual disabilities, as called for in Article 25 of the Convention, primarily due to the absence of a national model of healthy ageing for this cohort of the population. </w:t>
      </w:r>
    </w:p>
    <w:p w14:paraId="6530E29E" w14:textId="77777777" w:rsidR="005774EF" w:rsidRDefault="005774EF" w:rsidP="005774EF">
      <w:pPr>
        <w:pStyle w:val="ListParagraph"/>
        <w:numPr>
          <w:ilvl w:val="0"/>
          <w:numId w:val="39"/>
        </w:numPr>
        <w:contextualSpacing w:val="0"/>
        <w:rPr>
          <w:rFonts w:eastAsia="Gill Sans" w:cs="Gill Sans"/>
        </w:rPr>
      </w:pPr>
      <w:r w:rsidRPr="7F45FF05">
        <w:rPr>
          <w:rFonts w:eastAsia="Gill Sans" w:cs="Gill Sans"/>
        </w:rPr>
        <w:t xml:space="preserve">Intellectual disability policy </w:t>
      </w:r>
      <w:r>
        <w:rPr>
          <w:rFonts w:eastAsia="Gill Sans" w:cs="Gill Sans"/>
        </w:rPr>
        <w:t>should</w:t>
      </w:r>
      <w:r w:rsidRPr="7F45FF05">
        <w:rPr>
          <w:rFonts w:eastAsia="Gill Sans" w:cs="Gill Sans"/>
        </w:rPr>
        <w:t xml:space="preserve"> give full consideration to the needs </w:t>
      </w:r>
      <w:r>
        <w:rPr>
          <w:rFonts w:eastAsia="Gill Sans" w:cs="Gill Sans"/>
        </w:rPr>
        <w:t xml:space="preserve">and desires </w:t>
      </w:r>
      <w:r w:rsidRPr="7F45FF05">
        <w:rPr>
          <w:rFonts w:eastAsia="Gill Sans" w:cs="Gill Sans"/>
        </w:rPr>
        <w:t xml:space="preserve">of people with intellectual disabilities as they age. This is particularly pertinent as we are likely to see increasing numbers of people living into old age and this will bring with it greater demands </w:t>
      </w:r>
      <w:r>
        <w:rPr>
          <w:rFonts w:eastAsia="Gill Sans" w:cs="Gill Sans"/>
        </w:rPr>
        <w:t>on</w:t>
      </w:r>
      <w:r w:rsidRPr="7F45FF05">
        <w:rPr>
          <w:rFonts w:eastAsia="Gill Sans" w:cs="Gill Sans"/>
        </w:rPr>
        <w:t xml:space="preserve"> services that are unable to meet current need.</w:t>
      </w:r>
    </w:p>
    <w:p w14:paraId="1F72C5F4" w14:textId="77777777" w:rsidR="005774EF" w:rsidRDefault="005774EF" w:rsidP="005774EF">
      <w:pPr>
        <w:pStyle w:val="ListParagraph"/>
        <w:numPr>
          <w:ilvl w:val="0"/>
          <w:numId w:val="39"/>
        </w:numPr>
        <w:contextualSpacing w:val="0"/>
        <w:rPr>
          <w:rFonts w:eastAsia="Gill Sans" w:cs="Gill Sans"/>
        </w:rPr>
      </w:pPr>
      <w:r w:rsidRPr="2B0B0D9B">
        <w:rPr>
          <w:rFonts w:eastAsia="Gill Sans" w:cs="Gill Sans"/>
        </w:rPr>
        <w:t xml:space="preserve">Any new model of service should be enacted consistently across the Irish state such that older people with intellectual disabilities will receive quality services irrespective of location or affiliation to specific service agencies. To be effective, the model of service will require investment and </w:t>
      </w:r>
      <w:r w:rsidRPr="008D6E5E">
        <w:rPr>
          <w:rFonts w:eastAsia="Gill Sans" w:cs="Gill Sans"/>
        </w:rPr>
        <w:t>defined funding lines, separate to those which currently are in place.</w:t>
      </w:r>
      <w:r w:rsidRPr="7F45FF05">
        <w:rPr>
          <w:rFonts w:eastAsia="Gill Sans" w:cs="Gill Sans"/>
        </w:rPr>
        <w:t xml:space="preserve"> </w:t>
      </w:r>
      <w:r>
        <w:rPr>
          <w:rFonts w:eastAsia="Gill Sans" w:cs="Gill Sans"/>
        </w:rPr>
        <w:t>It is recommended that the HSE set up a national steering group to oversee the development of the new model and enactment of this new model of service.</w:t>
      </w:r>
    </w:p>
    <w:p w14:paraId="35C97BD9" w14:textId="53CBD8BA" w:rsidR="00501A2F" w:rsidRDefault="005774EF" w:rsidP="00501A2F">
      <w:pPr>
        <w:pStyle w:val="ListParagraph"/>
        <w:numPr>
          <w:ilvl w:val="0"/>
          <w:numId w:val="39"/>
        </w:numPr>
        <w:contextualSpacing w:val="0"/>
        <w:rPr>
          <w:rFonts w:eastAsia="Gill Sans" w:cs="Gill Sans"/>
          <w:szCs w:val="26"/>
        </w:rPr>
      </w:pPr>
      <w:r>
        <w:rPr>
          <w:rFonts w:eastAsia="Gill Sans" w:cs="Gill Sans"/>
          <w:szCs w:val="26"/>
        </w:rPr>
        <w:t xml:space="preserve">In keeping with the HSE policy of decongregation that has seen many positive changes in the living situations of people with intellectual disabilities, the new service model should </w:t>
      </w:r>
      <w:r w:rsidRPr="00BA7099">
        <w:rPr>
          <w:rFonts w:eastAsia="Gill Sans" w:cs="Gill Sans"/>
          <w:szCs w:val="26"/>
        </w:rPr>
        <w:t xml:space="preserve">address the historical </w:t>
      </w:r>
      <w:r>
        <w:rPr>
          <w:rFonts w:eastAsia="Gill Sans" w:cs="Gill Sans"/>
          <w:szCs w:val="26"/>
        </w:rPr>
        <w:t>gap</w:t>
      </w:r>
      <w:r w:rsidRPr="00BA7099">
        <w:rPr>
          <w:rFonts w:eastAsia="Gill Sans" w:cs="Gill Sans"/>
          <w:szCs w:val="26"/>
        </w:rPr>
        <w:t xml:space="preserve"> that has developed between intellectual disability agencies and mainstream health</w:t>
      </w:r>
      <w:r>
        <w:rPr>
          <w:rFonts w:eastAsia="Gill Sans" w:cs="Gill Sans"/>
          <w:szCs w:val="26"/>
        </w:rPr>
        <w:t xml:space="preserve"> and </w:t>
      </w:r>
      <w:r w:rsidRPr="00BA7099">
        <w:rPr>
          <w:rFonts w:eastAsia="Gill Sans" w:cs="Gill Sans"/>
          <w:szCs w:val="26"/>
        </w:rPr>
        <w:t xml:space="preserve">social care providers, </w:t>
      </w:r>
      <w:r>
        <w:rPr>
          <w:rFonts w:eastAsia="Gill Sans" w:cs="Gill Sans"/>
          <w:szCs w:val="26"/>
        </w:rPr>
        <w:t>to ensure</w:t>
      </w:r>
      <w:r w:rsidRPr="00BA7099">
        <w:rPr>
          <w:rFonts w:eastAsia="Gill Sans" w:cs="Gill Sans"/>
          <w:szCs w:val="26"/>
        </w:rPr>
        <w:t xml:space="preserve"> that mainstream services </w:t>
      </w:r>
      <w:r>
        <w:rPr>
          <w:rFonts w:eastAsia="Gill Sans" w:cs="Gill Sans"/>
          <w:szCs w:val="26"/>
        </w:rPr>
        <w:t>ar</w:t>
      </w:r>
      <w:r w:rsidRPr="00BA7099">
        <w:rPr>
          <w:rFonts w:eastAsia="Gill Sans" w:cs="Gill Sans"/>
          <w:szCs w:val="26"/>
        </w:rPr>
        <w:t>e accessible to older people with intellectual disabilit</w:t>
      </w:r>
      <w:r w:rsidR="00A000DA">
        <w:rPr>
          <w:rFonts w:eastAsia="Gill Sans" w:cs="Gill Sans"/>
          <w:szCs w:val="26"/>
        </w:rPr>
        <w:t>ies</w:t>
      </w:r>
      <w:r w:rsidRPr="00BA7099">
        <w:rPr>
          <w:rFonts w:eastAsia="Gill Sans" w:cs="Gill Sans"/>
          <w:szCs w:val="26"/>
        </w:rPr>
        <w:t xml:space="preserve"> on an equal basis to others in society.</w:t>
      </w:r>
      <w:r>
        <w:rPr>
          <w:rFonts w:eastAsia="Gill Sans" w:cs="Gill Sans"/>
          <w:szCs w:val="26"/>
        </w:rPr>
        <w:t xml:space="preserve"> </w:t>
      </w:r>
    </w:p>
    <w:p w14:paraId="3828DD32" w14:textId="2C362F83" w:rsidR="005774EF" w:rsidRPr="00501A2F" w:rsidRDefault="7EFB2646" w:rsidP="00501A2F">
      <w:pPr>
        <w:pStyle w:val="ListParagraph"/>
        <w:numPr>
          <w:ilvl w:val="0"/>
          <w:numId w:val="39"/>
        </w:numPr>
        <w:contextualSpacing w:val="0"/>
        <w:rPr>
          <w:rFonts w:eastAsia="Gill Sans" w:cs="Gill Sans"/>
          <w:szCs w:val="26"/>
        </w:rPr>
      </w:pPr>
      <w:r w:rsidRPr="00501A2F">
        <w:rPr>
          <w:rFonts w:eastAsia="Gill Sans" w:cs="Gill Sans"/>
        </w:rPr>
        <w:t>The South Australian model, referred to in text, notes the importance of intersectoral collaboration between mainstream ageing and intellectual disability sectors. The new model of service for older people with intellectual disabilities should ensure that there are clear pathways of care and support for older people with intellectual disabilities, with integration and networking acro</w:t>
      </w:r>
      <w:r w:rsidR="762E3417" w:rsidRPr="00501A2F">
        <w:rPr>
          <w:rFonts w:eastAsia="Gill Sans" w:cs="Gill Sans"/>
        </w:rPr>
        <w:t>ss</w:t>
      </w:r>
      <w:r w:rsidRPr="00501A2F">
        <w:rPr>
          <w:rFonts w:eastAsia="Gill Sans" w:cs="Gill Sans"/>
        </w:rPr>
        <w:t xml:space="preserve"> all relevant sectors.</w:t>
      </w:r>
    </w:p>
    <w:p w14:paraId="12BA8D26" w14:textId="77777777" w:rsidR="005774EF" w:rsidRPr="007B7BCB" w:rsidRDefault="005774EF" w:rsidP="005774EF">
      <w:pPr>
        <w:pStyle w:val="ListParagraph"/>
        <w:numPr>
          <w:ilvl w:val="0"/>
          <w:numId w:val="39"/>
        </w:numPr>
        <w:contextualSpacing w:val="0"/>
        <w:rPr>
          <w:rFonts w:eastAsia="Gill Sans" w:cs="Gill Sans"/>
          <w:szCs w:val="26"/>
        </w:rPr>
      </w:pPr>
      <w:r>
        <w:rPr>
          <w:rFonts w:eastAsia="Gill Sans" w:cs="Gill Sans"/>
        </w:rPr>
        <w:t>If a new national model of service for healthy ageing is to be developed, it is imperative that there be a rethinking and restructuring of the current funding model.</w:t>
      </w:r>
    </w:p>
    <w:p w14:paraId="19C5B74F" w14:textId="77777777" w:rsidR="005774EF" w:rsidRPr="007B7BCB" w:rsidRDefault="005774EF" w:rsidP="005774EF">
      <w:pPr>
        <w:pStyle w:val="Heading3"/>
        <w:rPr>
          <w:rFonts w:eastAsia="Gill Sans"/>
          <w:color w:val="auto"/>
        </w:rPr>
      </w:pPr>
      <w:r w:rsidRPr="007B7BCB">
        <w:rPr>
          <w:rFonts w:eastAsia="Gill Sans"/>
          <w:color w:val="auto"/>
        </w:rPr>
        <w:t>Reconfigure intellectual disability services to meet age-related needs</w:t>
      </w:r>
    </w:p>
    <w:p w14:paraId="511616A2" w14:textId="68C7F9D1" w:rsidR="005774EF" w:rsidRPr="006A5943" w:rsidRDefault="7EFB2646" w:rsidP="68A51868">
      <w:pPr>
        <w:rPr>
          <w:rFonts w:eastAsia="Gill Sans" w:cs="Gill Sans"/>
        </w:rPr>
      </w:pPr>
      <w:r w:rsidRPr="68A51868">
        <w:rPr>
          <w:rFonts w:eastAsia="Gill Sans" w:cs="Gill Sans"/>
        </w:rPr>
        <w:t>The development of services for people with intellectual disabilities in Ireland has been somewhat fragmented, with the State only becoming directly involved in service provision at a late stage. Thus, voluntary and other services progressed along a generic structure which had residential, day service and some other activational components; HSE</w:t>
      </w:r>
      <w:r w:rsidR="6EAE8C98" w:rsidRPr="68A51868">
        <w:rPr>
          <w:rFonts w:eastAsia="Gill Sans" w:cs="Gill Sans"/>
        </w:rPr>
        <w:t>-</w:t>
      </w:r>
      <w:r w:rsidRPr="68A51868">
        <w:rPr>
          <w:rFonts w:eastAsia="Gill Sans" w:cs="Gill Sans"/>
        </w:rPr>
        <w:t xml:space="preserve">led intellectual disability services adopted this structure too. The funding model that underpinned these services reflected their congregated nature and the fact that most people with intellectual disabilities were not expected to live into older age. Whilst services have responded to the fact that people are living longer lives and have been innovative in trying to respond to the needs and desires of older people with intellectual disabilities, they have often been stymied by the unavailability of resources. </w:t>
      </w:r>
    </w:p>
    <w:p w14:paraId="576F22E3" w14:textId="77777777" w:rsidR="005774EF" w:rsidRPr="00A05266" w:rsidRDefault="005774EF" w:rsidP="005774EF">
      <w:pPr>
        <w:pStyle w:val="ListParagraph"/>
        <w:numPr>
          <w:ilvl w:val="0"/>
          <w:numId w:val="38"/>
        </w:numPr>
        <w:contextualSpacing w:val="0"/>
        <w:rPr>
          <w:rFonts w:eastAsia="Gill Sans" w:cs="Gill Sans"/>
          <w:iCs/>
          <w:szCs w:val="26"/>
        </w:rPr>
      </w:pPr>
      <w:r>
        <w:rPr>
          <w:rFonts w:eastAsia="Gill Sans" w:cs="Gill Sans"/>
          <w:iCs/>
          <w:szCs w:val="26"/>
        </w:rPr>
        <w:t>Given that some service approaches to meeting older persons’ needs have evolved in a piece-meal manner, with no clearly planned approach, efforts are needed to identify and enact evidence-based responses that can optimise positive outcomes.</w:t>
      </w:r>
    </w:p>
    <w:p w14:paraId="44679E8C" w14:textId="77777777" w:rsidR="000663AA" w:rsidRDefault="005774EF" w:rsidP="000663AA">
      <w:pPr>
        <w:pStyle w:val="ListParagraph"/>
        <w:numPr>
          <w:ilvl w:val="0"/>
          <w:numId w:val="38"/>
        </w:numPr>
        <w:contextualSpacing w:val="0"/>
        <w:rPr>
          <w:rFonts w:cs="Calibri"/>
          <w:iCs/>
          <w:szCs w:val="26"/>
          <w:lang w:eastAsia="en-IE"/>
        </w:rPr>
      </w:pPr>
      <w:r>
        <w:rPr>
          <w:rFonts w:cs="Calibri"/>
          <w:iCs/>
          <w:szCs w:val="26"/>
          <w:lang w:eastAsia="en-IE"/>
        </w:rPr>
        <w:t>Specialist ageing service pathways will need to be developed to support the needs of older people whose complex needs cannot be met in their own home. Pathways should be prospective to ensure that there is advanced planning. Examples of successful pathways have been introduced in some intellectual disability services for people who, for example, need palliative support.</w:t>
      </w:r>
    </w:p>
    <w:p w14:paraId="306DE183" w14:textId="77777777" w:rsidR="000663AA" w:rsidRPr="000663AA" w:rsidRDefault="7EFB2646" w:rsidP="000663AA">
      <w:pPr>
        <w:pStyle w:val="ListParagraph"/>
        <w:numPr>
          <w:ilvl w:val="0"/>
          <w:numId w:val="38"/>
        </w:numPr>
        <w:contextualSpacing w:val="0"/>
        <w:rPr>
          <w:rFonts w:cs="Calibri"/>
          <w:iCs/>
          <w:szCs w:val="26"/>
          <w:lang w:eastAsia="en-IE"/>
        </w:rPr>
      </w:pPr>
      <w:r>
        <w:t>Resources will need to be invested in supporting retirement opportunities, meeting more speciali</w:t>
      </w:r>
      <w:r w:rsidR="6D3E9008">
        <w:t>s</w:t>
      </w:r>
      <w:r>
        <w:t xml:space="preserve">ed health needs, environmental modifications and new staffing patterns to sustain ageing in place opportunities to live one’s last days as one wishes </w:t>
      </w:r>
      <w:r w:rsidR="005774EF">
        <w:fldChar w:fldCharType="begin"/>
      </w:r>
      <w:r w:rsidR="005774EF">
        <w:instrText xml:space="preserve"> ADDIN EN.CITE &lt;EndNote&gt;&lt;Cite&gt;&lt;Author&gt;Ferretti&lt;/Author&gt;&lt;Year&gt;2022&lt;/Year&gt;&lt;RecNum&gt;774&lt;/RecNum&gt;&lt;DisplayText&gt;(Ferretti et al., 2022)&lt;/DisplayText&gt;&lt;record&gt;&lt;rec-number&gt;774&lt;/rec-number&gt;&lt;foreign-keys&gt;&lt;key app="EN" db-id="xtwfdzde5ttr0zevxrh5sf0c2wfzw5zf2vra" timestamp="1667689839" guid="6fbf559b-1236-4c39-89da-b0ce31f75056"&gt;774&lt;/key&gt;&lt;/foreign-keys&gt;&lt;ref-type name="Book Section"&gt;5&lt;/ref-type&gt;&lt;contributors&gt;&lt;authors&gt;&lt;author&gt;Ferretti, L&lt;/author&gt;&lt;author&gt;McCarron, M&lt;/author&gt;&lt;author&gt;McCallion, P&lt;/author&gt;&lt;/authors&gt;&lt;secondary-authors&gt;&lt;author&gt;Stancliffe, R. J.&lt;/author&gt;&lt;author&gt;Wiese, M.&lt;/author&gt;&lt;author&gt;McCallion, P&lt;/author&gt;&lt;author&gt;McCarron, M&lt;/author&gt;&lt;/secondary-authors&gt;&lt;/contributors&gt;&lt;titles&gt;&lt;title&gt;Building Shared End-of-Life Supports and Cross-Training for Hospice/Palliative and Intellectual Disability Services Providers&lt;/title&gt;&lt;secondary-title&gt;End of Life and People with Intellectual and Developmental Disability&lt;/secondary-title&gt;&lt;/titles&gt;&lt;pages&gt;211-233&lt;/pages&gt;&lt;dates&gt;&lt;year&gt;2022&lt;/year&gt;&lt;/dates&gt;&lt;pub-location&gt;Switzerland&lt;/pub-location&gt;&lt;publisher&gt;Springer&lt;/publisher&gt;&lt;urls&gt;&lt;/urls&gt;&lt;/record&gt;&lt;/Cite&gt;&lt;/EndNote&gt;</w:instrText>
      </w:r>
      <w:r w:rsidR="005774EF">
        <w:fldChar w:fldCharType="separate"/>
      </w:r>
      <w:r w:rsidRPr="68A51868">
        <w:rPr>
          <w:noProof/>
        </w:rPr>
        <w:t>(Ferretti et al., 2022)</w:t>
      </w:r>
      <w:r w:rsidR="005774EF">
        <w:fldChar w:fldCharType="end"/>
      </w:r>
      <w:r>
        <w:t>.</w:t>
      </w:r>
    </w:p>
    <w:p w14:paraId="2BE7A86A" w14:textId="6846705B" w:rsidR="005774EF" w:rsidRPr="000663AA" w:rsidRDefault="005774EF" w:rsidP="000663AA">
      <w:pPr>
        <w:pStyle w:val="ListParagraph"/>
        <w:numPr>
          <w:ilvl w:val="0"/>
          <w:numId w:val="38"/>
        </w:numPr>
        <w:contextualSpacing w:val="0"/>
        <w:rPr>
          <w:rFonts w:cs="Calibri"/>
          <w:iCs/>
          <w:szCs w:val="26"/>
          <w:lang w:eastAsia="en-IE"/>
        </w:rPr>
      </w:pPr>
      <w:r w:rsidRPr="000663AA">
        <w:rPr>
          <w:szCs w:val="26"/>
        </w:rPr>
        <w:t xml:space="preserve">Whilst the policy of decongregation has been a positive one which has resulted in quality outcomes for many people with intellectual disabilities, there is a need to consider the potential for developing specialist services for people with complex age-related needs which cannot be met in the person’s own home. Thus, a forum should be set up to explore how </w:t>
      </w:r>
      <w:r w:rsidR="00DB66E4">
        <w:rPr>
          <w:szCs w:val="26"/>
        </w:rPr>
        <w:t xml:space="preserve">the </w:t>
      </w:r>
      <w:r w:rsidRPr="000663AA">
        <w:rPr>
          <w:szCs w:val="26"/>
        </w:rPr>
        <w:t>foundational principles of Time to Move on from Congregated Settings can be applied to re-congregated service structures such as specialist dementia facilities o</w:t>
      </w:r>
      <w:r w:rsidR="00A13604">
        <w:rPr>
          <w:szCs w:val="26"/>
        </w:rPr>
        <w:t>r</w:t>
      </w:r>
      <w:r w:rsidRPr="000663AA">
        <w:rPr>
          <w:szCs w:val="26"/>
        </w:rPr>
        <w:t xml:space="preserve"> generic nursing homes.</w:t>
      </w:r>
    </w:p>
    <w:p w14:paraId="7134B0DD" w14:textId="59558EEA" w:rsidR="005774EF" w:rsidRPr="00485E2D" w:rsidRDefault="005774EF" w:rsidP="005774EF">
      <w:pPr>
        <w:pStyle w:val="ListParagraph"/>
        <w:numPr>
          <w:ilvl w:val="0"/>
          <w:numId w:val="38"/>
        </w:numPr>
        <w:contextualSpacing w:val="0"/>
        <w:rPr>
          <w:rFonts w:cs="Calibri"/>
          <w:iCs/>
          <w:szCs w:val="26"/>
          <w:lang w:eastAsia="en-IE"/>
        </w:rPr>
      </w:pPr>
      <w:r w:rsidRPr="00485E2D">
        <w:rPr>
          <w:lang w:val="en-US"/>
        </w:rPr>
        <w:t>Nursing homes were considered to be a final option by many participants in this study. If, however, nursing homes are to be used, there is a need to resource new models of collaboration between nursing homes, intellectual disability service providers and families to preserve the lives desired by people with intellectual disabilities as they age. Such developments should be supported and informed by further research both on the experiences of nursing homes in caring for people with intellectual disabilit</w:t>
      </w:r>
      <w:r w:rsidR="00A000DA">
        <w:rPr>
          <w:lang w:val="en-US"/>
        </w:rPr>
        <w:t>ies</w:t>
      </w:r>
      <w:r w:rsidRPr="00485E2D">
        <w:rPr>
          <w:lang w:val="en-US"/>
        </w:rPr>
        <w:t xml:space="preserve"> and the experiences of older people with intellectual disabilit</w:t>
      </w:r>
      <w:r w:rsidR="00A000DA">
        <w:rPr>
          <w:lang w:val="en-US"/>
        </w:rPr>
        <w:t>ies</w:t>
      </w:r>
      <w:r w:rsidRPr="00485E2D">
        <w:rPr>
          <w:lang w:val="en-US"/>
        </w:rPr>
        <w:t xml:space="preserve"> and their family members of nursing home care.</w:t>
      </w:r>
    </w:p>
    <w:p w14:paraId="6B43C77F" w14:textId="77777777" w:rsidR="005774EF" w:rsidRPr="00B0537A" w:rsidRDefault="005774EF" w:rsidP="005774EF">
      <w:pPr>
        <w:pStyle w:val="Heading3"/>
        <w:rPr>
          <w:rFonts w:eastAsia="Gill Sans" w:cs="Gill Sans"/>
          <w:i w:val="0"/>
          <w:color w:val="auto"/>
          <w:szCs w:val="26"/>
        </w:rPr>
      </w:pPr>
      <w:r w:rsidRPr="00B0537A">
        <w:rPr>
          <w:rFonts w:eastAsia="Gill Sans"/>
          <w:color w:val="auto"/>
        </w:rPr>
        <w:t>Develop clear resource models that can respond in a timely manner to the changing needs of older people with intellectual disabilities</w:t>
      </w:r>
    </w:p>
    <w:p w14:paraId="22494F5F" w14:textId="54C83B3D" w:rsidR="005774EF" w:rsidRDefault="7EFB2646" w:rsidP="68A51868">
      <w:pPr>
        <w:rPr>
          <w:rFonts w:eastAsia="Gill Sans MT" w:cs="Gill Sans MT"/>
        </w:rPr>
      </w:pPr>
      <w:r w:rsidRPr="68A51868">
        <w:rPr>
          <w:rFonts w:eastAsia="Gill Sans MT" w:cs="Gill Sans MT"/>
        </w:rPr>
        <w:t xml:space="preserve">Participants and respondents in this study highlighted how important it is to have a resource model that can respond to the changing needs of people with intellectual disabilities as they age. These changes may result in a requirement for </w:t>
      </w:r>
      <w:r w:rsidR="00D265B8">
        <w:rPr>
          <w:rFonts w:eastAsia="Gill Sans MT" w:cs="Gill Sans MT"/>
        </w:rPr>
        <w:t>modifications to the built</w:t>
      </w:r>
      <w:r w:rsidRPr="68A51868">
        <w:rPr>
          <w:rFonts w:eastAsia="Gill Sans MT" w:cs="Gill Sans MT"/>
        </w:rPr>
        <w:t xml:space="preserve"> environment and specialised </w:t>
      </w:r>
      <w:r w:rsidR="2B2A5A48" w:rsidRPr="68A51868">
        <w:rPr>
          <w:rFonts w:eastAsia="Gill Sans MT" w:cs="Gill Sans MT"/>
        </w:rPr>
        <w:t>equipment.</w:t>
      </w:r>
      <w:r w:rsidRPr="68A51868">
        <w:rPr>
          <w:rFonts w:eastAsia="Gill Sans MT" w:cs="Gill Sans MT"/>
        </w:rPr>
        <w:t xml:space="preserve"> The move to community living, whilst positive, has seen services renting or purchasing accommodation that may not be modifiable as the needs of the occupants change. The inability to retrofit or change the living space, due to rental agreements or lack of funding, was a key factor in deciding whether a person with intellectual disabilities could age in place.</w:t>
      </w:r>
    </w:p>
    <w:p w14:paraId="7176A947" w14:textId="77777777" w:rsidR="005774EF" w:rsidRPr="007648C0" w:rsidRDefault="005774EF" w:rsidP="005774EF">
      <w:pPr>
        <w:pStyle w:val="ListParagraph"/>
        <w:numPr>
          <w:ilvl w:val="0"/>
          <w:numId w:val="40"/>
        </w:numPr>
        <w:contextualSpacing w:val="0"/>
        <w:rPr>
          <w:rFonts w:cs="Calibri"/>
          <w:iCs/>
          <w:szCs w:val="26"/>
          <w:lang w:eastAsia="en-IE"/>
        </w:rPr>
      </w:pPr>
      <w:r>
        <w:rPr>
          <w:rFonts w:cs="Calibri"/>
          <w:iCs/>
          <w:szCs w:val="26"/>
          <w:lang w:eastAsia="en-IE"/>
        </w:rPr>
        <w:t>There is a requirement for new funding models that will allow for resources to be made available to older persons, when needed, to provide individualised and person-centred support. Processes should be put in place to ensure that such funding can be built into the person’s ageing plan and be accessed when needed.</w:t>
      </w:r>
      <w:r w:rsidRPr="00064F30">
        <w:rPr>
          <w:rFonts w:eastAsia="Gill Sans" w:cs="Gill Sans"/>
        </w:rPr>
        <w:t xml:space="preserve"> </w:t>
      </w:r>
      <w:r>
        <w:t xml:space="preserve">Consideration should also be given to the inclusion of an oversight process that could monitor value for money, </w:t>
      </w:r>
      <w:r>
        <w:rPr>
          <w:i/>
          <w:iCs/>
        </w:rPr>
        <w:t>vis à vis</w:t>
      </w:r>
      <w:r>
        <w:t>, meaningful outcomes for the older person.</w:t>
      </w:r>
    </w:p>
    <w:p w14:paraId="70490AB7" w14:textId="77777777" w:rsidR="005774EF" w:rsidRDefault="005774EF" w:rsidP="005774EF">
      <w:pPr>
        <w:pStyle w:val="ListParagraph"/>
        <w:numPr>
          <w:ilvl w:val="0"/>
          <w:numId w:val="40"/>
        </w:numPr>
        <w:contextualSpacing w:val="0"/>
        <w:rPr>
          <w:rFonts w:cs="Calibri"/>
          <w:iCs/>
          <w:szCs w:val="26"/>
          <w:lang w:eastAsia="en-IE"/>
        </w:rPr>
      </w:pPr>
      <w:r>
        <w:rPr>
          <w:rFonts w:eastAsia="Gill Sans" w:cs="Gill Sans"/>
        </w:rPr>
        <w:t xml:space="preserve">More rapid introduction of </w:t>
      </w:r>
      <w:r w:rsidRPr="00EB085B">
        <w:rPr>
          <w:rFonts w:eastAsia="Gill Sans" w:cs="Gill Sans"/>
        </w:rPr>
        <w:t>personalised budgets,</w:t>
      </w:r>
      <w:r>
        <w:rPr>
          <w:rFonts w:eastAsia="Gill Sans" w:cs="Gill Sans"/>
        </w:rPr>
        <w:t xml:space="preserve"> with a broad purchasing scope could support the configuration of </w:t>
      </w:r>
      <w:r w:rsidRPr="00EB085B">
        <w:rPr>
          <w:rFonts w:eastAsia="Gill Sans" w:cs="Gill Sans"/>
        </w:rPr>
        <w:t>individualised services around older persons</w:t>
      </w:r>
      <w:r>
        <w:rPr>
          <w:rFonts w:eastAsia="Gill Sans" w:cs="Gill Sans"/>
        </w:rPr>
        <w:t>’</w:t>
      </w:r>
      <w:r w:rsidRPr="00EB085B">
        <w:rPr>
          <w:rFonts w:eastAsia="Gill Sans" w:cs="Gill Sans"/>
        </w:rPr>
        <w:t xml:space="preserve"> needs and wishes</w:t>
      </w:r>
      <w:r>
        <w:rPr>
          <w:rFonts w:eastAsia="Gill Sans" w:cs="Gill Sans"/>
        </w:rPr>
        <w:t xml:space="preserve"> </w:t>
      </w:r>
      <w:r>
        <w:rPr>
          <w:rFonts w:eastAsia="Gill Sans" w:cs="Gill Sans"/>
        </w:rPr>
        <w:fldChar w:fldCharType="begin"/>
      </w:r>
      <w:r>
        <w:rPr>
          <w:rFonts w:eastAsia="Gill Sans" w:cs="Gill Sans"/>
        </w:rPr>
        <w:instrText xml:space="preserve"> ADDIN EN.CITE &lt;EndNote&gt;&lt;Cite&gt;&lt;Author&gt;Benoot&lt;/Author&gt;&lt;Year&gt;2022&lt;/Year&gt;&lt;RecNum&gt;777&lt;/RecNum&gt;&lt;DisplayText&gt;(Benoot et al., 2022)&lt;/DisplayText&gt;&lt;record&gt;&lt;rec-number&gt;777&lt;/rec-number&gt;&lt;foreign-keys&gt;&lt;key app="EN" db-id="xtwfdzde5ttr0zevxrh5sf0c2wfzw5zf2vra" timestamp="1667694022" guid="217ba795-afad-4c3a-83b0-987b9249caf0"&gt;777&lt;/key&gt;&lt;/foreign-keys&gt;&lt;ref-type name="Journal Article"&gt;17&lt;/ref-type&gt;&lt;contributors&gt;&lt;authors&gt;&lt;author&gt;Benoot, Toon&lt;/author&gt;&lt;author&gt;Roose, Rudi&lt;/author&gt;&lt;author&gt;Dursin, Wouter&lt;/author&gt;&lt;author&gt;Verschuere, Bram&lt;/author&gt;&lt;author&gt;McKenzie, Judith&lt;/author&gt;&lt;/authors&gt;&lt;/contributors&gt;&lt;titles&gt;&lt;title&gt;Aspirations of People With Intellectual Disabilities Living in a Care Organization&lt;/title&gt;&lt;secondary-title&gt;Journal of Social Work&lt;/secondary-title&gt;&lt;/titles&gt;&lt;periodical&gt;&lt;full-title&gt;Journal of Social Work&lt;/full-title&gt;&lt;/periodical&gt;&lt;pages&gt;1105-1122&lt;/pages&gt;&lt;volume&gt;22&lt;/volume&gt;&lt;number&gt;4&lt;/number&gt;&lt;dates&gt;&lt;year&gt;2022&lt;/year&gt;&lt;/dates&gt;&lt;isbn&gt;1468-0173&lt;/isbn&gt;&lt;urls&gt;&lt;/urls&gt;&lt;/record&gt;&lt;/Cite&gt;&lt;/EndNote&gt;</w:instrText>
      </w:r>
      <w:r>
        <w:rPr>
          <w:rFonts w:eastAsia="Gill Sans" w:cs="Gill Sans"/>
        </w:rPr>
        <w:fldChar w:fldCharType="separate"/>
      </w:r>
      <w:r>
        <w:rPr>
          <w:rFonts w:eastAsia="Gill Sans" w:cs="Gill Sans"/>
          <w:noProof/>
        </w:rPr>
        <w:t>(Benoot et al., 2022)</w:t>
      </w:r>
      <w:r>
        <w:rPr>
          <w:rFonts w:eastAsia="Gill Sans" w:cs="Gill Sans"/>
        </w:rPr>
        <w:fldChar w:fldCharType="end"/>
      </w:r>
      <w:r>
        <w:rPr>
          <w:rFonts w:eastAsia="Gill Sans" w:cs="Gill Sans"/>
        </w:rPr>
        <w:t xml:space="preserve">. </w:t>
      </w:r>
    </w:p>
    <w:p w14:paraId="3D2D0D7C" w14:textId="77777777" w:rsidR="005774EF" w:rsidRPr="006D7CAB" w:rsidRDefault="005774EF" w:rsidP="005774EF">
      <w:pPr>
        <w:pStyle w:val="ListParagraph"/>
        <w:numPr>
          <w:ilvl w:val="0"/>
          <w:numId w:val="40"/>
        </w:numPr>
        <w:contextualSpacing w:val="0"/>
        <w:rPr>
          <w:rFonts w:eastAsia="Gill Sans" w:cs="Gill Sans"/>
          <w:iCs/>
          <w:szCs w:val="26"/>
        </w:rPr>
      </w:pPr>
      <w:r>
        <w:rPr>
          <w:rFonts w:eastAsia="Gill Sans" w:cs="Gill Sans"/>
          <w:iCs/>
          <w:szCs w:val="26"/>
        </w:rPr>
        <w:t>In line with recommendations regarding housing and built environment, it is vital that the purchase of community-based accommodation for people with intellectual disabilities should be underpinned by the UNCRPD principle of universal design (United Nations, 2006) and the guidelines provided in the recent NDA (2022b) report on residential care settings. Whilst this</w:t>
      </w:r>
      <w:r w:rsidRPr="11C55A92">
        <w:rPr>
          <w:rFonts w:eastAsia="Gill Sans"/>
          <w:lang w:eastAsia="en-IE"/>
        </w:rPr>
        <w:t xml:space="preserve"> </w:t>
      </w:r>
      <w:r w:rsidRPr="11C55A92">
        <w:rPr>
          <w:lang w:eastAsia="en-IE"/>
        </w:rPr>
        <w:t xml:space="preserve">will improve the quality of housing, </w:t>
      </w:r>
      <w:r>
        <w:rPr>
          <w:lang w:eastAsia="en-IE"/>
        </w:rPr>
        <w:t>remove</w:t>
      </w:r>
      <w:r w:rsidRPr="11C55A92">
        <w:rPr>
          <w:lang w:eastAsia="en-IE"/>
        </w:rPr>
        <w:t xml:space="preserve"> the need for relocation and increase opportunities for ageing in place</w:t>
      </w:r>
      <w:r>
        <w:rPr>
          <w:lang w:eastAsia="en-IE"/>
        </w:rPr>
        <w:t>, it will not be achievable in the absence of targeted resources.</w:t>
      </w:r>
    </w:p>
    <w:p w14:paraId="046B2365" w14:textId="40583F39" w:rsidR="005774EF" w:rsidRPr="005B48C7" w:rsidRDefault="7EFB2646" w:rsidP="005774EF">
      <w:pPr>
        <w:pStyle w:val="ListParagraph"/>
        <w:numPr>
          <w:ilvl w:val="0"/>
          <w:numId w:val="40"/>
        </w:numPr>
        <w:rPr>
          <w:lang w:eastAsia="en-IE"/>
        </w:rPr>
      </w:pPr>
      <w:r>
        <w:t xml:space="preserve">The </w:t>
      </w:r>
      <w:r w:rsidR="3A1B5171">
        <w:t>realisation</w:t>
      </w:r>
      <w:r>
        <w:t xml:space="preserve"> of the above will require a planned and structured approach. A working group should be set up to make recommendations on new models for resource planning in respect of housing and the built environment. Further research is also required to fully inform the associated policy implications.</w:t>
      </w:r>
    </w:p>
    <w:p w14:paraId="1D3988E6" w14:textId="77777777" w:rsidR="005774EF" w:rsidRDefault="005774EF" w:rsidP="005774EF">
      <w:pPr>
        <w:pStyle w:val="Heading3"/>
        <w:rPr>
          <w:color w:val="auto"/>
          <w:lang w:eastAsia="en-IE"/>
        </w:rPr>
      </w:pPr>
      <w:r w:rsidRPr="005B48C7">
        <w:rPr>
          <w:color w:val="auto"/>
          <w:lang w:eastAsia="en-IE"/>
        </w:rPr>
        <w:t>Build the knowledge and skills of professionals, formal and informal carers</w:t>
      </w:r>
    </w:p>
    <w:p w14:paraId="4345A3AA" w14:textId="77777777" w:rsidR="005774EF" w:rsidRPr="00F24A4D" w:rsidRDefault="005774EF" w:rsidP="005774EF">
      <w:pPr>
        <w:rPr>
          <w:lang w:eastAsia="en-IE"/>
        </w:rPr>
      </w:pPr>
      <w:r>
        <w:rPr>
          <w:lang w:eastAsia="en-IE"/>
        </w:rPr>
        <w:t>The provision of a responsive service to meet changing needs is predicated on the availability of knowledgeable and skilled professionals, and caregivers. This study highlights the commitment of staff to achieving the best possible outcomes for older people with intellectual disabilities. This was attested to by many family participants. Deficiencies were identified, however, in respect of the staffing models and the availability of required skills. Particular mention was made to the difficulty in recruiting specialist staff, particularly intellectual disability nurses, to meet complex health-related needs.</w:t>
      </w:r>
    </w:p>
    <w:p w14:paraId="61A48EDE" w14:textId="77777777" w:rsidR="005774EF" w:rsidRDefault="005774EF" w:rsidP="005774EF">
      <w:pPr>
        <w:pStyle w:val="ListParagraph"/>
        <w:numPr>
          <w:ilvl w:val="0"/>
          <w:numId w:val="41"/>
        </w:numPr>
        <w:contextualSpacing w:val="0"/>
        <w:rPr>
          <w:lang w:eastAsia="en-IE"/>
        </w:rPr>
      </w:pPr>
      <w:r>
        <w:rPr>
          <w:rFonts w:eastAsia="Gill Sans MT" w:cs="Gill Sans MT"/>
          <w:szCs w:val="26"/>
        </w:rPr>
        <w:t xml:space="preserve">The rostering of staff in intellectual disability settings has traditionally been structured around periods of greatest activity. Thus, greater numbers of staff were assigned to weekdays and less to nights and weekends. Such approaches may have served a pattern of living that was typical in intellectual disability services for younger cohorts of people. Ageing brings different needs and different patterns of living. Complexity, such as dementia, also leads to the need for alternative ways of rostering staff. Consideration should, therefore, be given to the enactment of dynamic staff rostering that can respond to changing needs. This will have a cost implication and will need to be configured within any new model of service for healthy ageing.  </w:t>
      </w:r>
    </w:p>
    <w:p w14:paraId="0109B9E3" w14:textId="77777777" w:rsidR="005774EF" w:rsidRDefault="005774EF" w:rsidP="005774EF">
      <w:pPr>
        <w:pStyle w:val="ListParagraph"/>
        <w:numPr>
          <w:ilvl w:val="0"/>
          <w:numId w:val="41"/>
        </w:numPr>
        <w:contextualSpacing w:val="0"/>
        <w:rPr>
          <w:lang w:eastAsia="en-IE"/>
        </w:rPr>
      </w:pPr>
      <w:r>
        <w:rPr>
          <w:lang w:eastAsia="en-IE"/>
        </w:rPr>
        <w:t xml:space="preserve">Staffing and skill-mix were identified as challenges to implementing aged care. New staffing models or workforce redesign should be explored, guided by the commitment to meet the needs and wishes of older people. This will likely require reconsideration of the roles of professionals and other formal carers as well as introduction of financially viable patterns of working which ensure the availability of appropriate support when required. This may also be informed by the use of resource allocation modelling. </w:t>
      </w:r>
    </w:p>
    <w:p w14:paraId="6D2CE7C5" w14:textId="77777777" w:rsidR="005774EF" w:rsidRDefault="005774EF" w:rsidP="005774EF">
      <w:pPr>
        <w:pStyle w:val="ListParagraph"/>
        <w:numPr>
          <w:ilvl w:val="0"/>
          <w:numId w:val="41"/>
        </w:numPr>
        <w:contextualSpacing w:val="0"/>
        <w:rPr>
          <w:lang w:eastAsia="en-IE"/>
        </w:rPr>
      </w:pPr>
      <w:r>
        <w:rPr>
          <w:lang w:eastAsia="en-IE"/>
        </w:rPr>
        <w:t>The relatively recent increase in the expected lifespan of people with intellectual disabilities has brought with it new and emerging complexity and other issues. There is an urgent need to provide professionals, carers and families with education and training how to best support older people with intellectual disabilities. There is also a need for such education and training to be provided to those who provide services to older people in mainstream health and social care settings. Education and training should include the following content:</w:t>
      </w:r>
    </w:p>
    <w:p w14:paraId="6EC45425" w14:textId="77777777" w:rsidR="005774EF" w:rsidRDefault="005774EF" w:rsidP="005774EF">
      <w:pPr>
        <w:pStyle w:val="ListParagraph"/>
        <w:numPr>
          <w:ilvl w:val="1"/>
          <w:numId w:val="41"/>
        </w:numPr>
        <w:contextualSpacing w:val="0"/>
        <w:rPr>
          <w:lang w:eastAsia="en-IE"/>
        </w:rPr>
      </w:pPr>
      <w:r>
        <w:rPr>
          <w:lang w:eastAsia="en-IE"/>
        </w:rPr>
        <w:t>Person-centred support approaches</w:t>
      </w:r>
    </w:p>
    <w:p w14:paraId="7CDD0440" w14:textId="77777777" w:rsidR="005774EF" w:rsidRDefault="005774EF" w:rsidP="005774EF">
      <w:pPr>
        <w:pStyle w:val="ListParagraph"/>
        <w:numPr>
          <w:ilvl w:val="1"/>
          <w:numId w:val="41"/>
        </w:numPr>
        <w:contextualSpacing w:val="0"/>
        <w:rPr>
          <w:lang w:eastAsia="en-IE"/>
        </w:rPr>
      </w:pPr>
      <w:r>
        <w:rPr>
          <w:lang w:eastAsia="en-IE"/>
        </w:rPr>
        <w:t>Health ageing in the context of intellectual disabilities</w:t>
      </w:r>
    </w:p>
    <w:p w14:paraId="45F91258" w14:textId="77777777" w:rsidR="005774EF" w:rsidRDefault="005774EF" w:rsidP="005774EF">
      <w:pPr>
        <w:pStyle w:val="ListParagraph"/>
        <w:numPr>
          <w:ilvl w:val="1"/>
          <w:numId w:val="41"/>
        </w:numPr>
        <w:contextualSpacing w:val="0"/>
        <w:rPr>
          <w:lang w:eastAsia="en-IE"/>
        </w:rPr>
      </w:pPr>
      <w:r>
        <w:rPr>
          <w:lang w:eastAsia="en-IE"/>
        </w:rPr>
        <w:t>Age-related complexity and evidence-based interventions</w:t>
      </w:r>
    </w:p>
    <w:p w14:paraId="7F41A6FC" w14:textId="77777777" w:rsidR="005774EF" w:rsidRDefault="005774EF" w:rsidP="005774EF">
      <w:pPr>
        <w:pStyle w:val="ListParagraph"/>
        <w:numPr>
          <w:ilvl w:val="1"/>
          <w:numId w:val="41"/>
        </w:numPr>
        <w:contextualSpacing w:val="0"/>
        <w:rPr>
          <w:lang w:eastAsia="en-IE"/>
        </w:rPr>
      </w:pPr>
      <w:r>
        <w:rPr>
          <w:lang w:eastAsia="en-IE"/>
        </w:rPr>
        <w:t>Health interventions pertinent to prevalent conditions, including dementia, palliative care, mental health, pain, chronic illness, osteoporosis and polypharmacy</w:t>
      </w:r>
    </w:p>
    <w:p w14:paraId="14B01CC4" w14:textId="77777777" w:rsidR="005774EF" w:rsidRDefault="005774EF" w:rsidP="005774EF">
      <w:pPr>
        <w:pStyle w:val="ListParagraph"/>
        <w:numPr>
          <w:ilvl w:val="1"/>
          <w:numId w:val="41"/>
        </w:numPr>
        <w:contextualSpacing w:val="0"/>
        <w:rPr>
          <w:lang w:eastAsia="en-IE"/>
        </w:rPr>
      </w:pPr>
      <w:r>
        <w:rPr>
          <w:lang w:eastAsia="en-IE"/>
        </w:rPr>
        <w:t>Advanced planning and end of life care:</w:t>
      </w:r>
      <w:r>
        <w:t xml:space="preserve"> understanding the wishes of the older person for their last days, the suitability of extraordinary measures (for example, enteral feeds and ventilators); management of the person’s last days and death, including grieving and bereavement</w:t>
      </w:r>
    </w:p>
    <w:p w14:paraId="10666722" w14:textId="6DD134E8" w:rsidR="00B919D9" w:rsidRPr="005774EF" w:rsidRDefault="005774EF" w:rsidP="00B919D9">
      <w:pPr>
        <w:pStyle w:val="ListParagraph"/>
        <w:numPr>
          <w:ilvl w:val="0"/>
          <w:numId w:val="41"/>
        </w:numPr>
        <w:spacing w:line="257" w:lineRule="auto"/>
        <w:rPr>
          <w:rFonts w:eastAsia="Gill Sans" w:cs="Gill Sans"/>
          <w:szCs w:val="26"/>
        </w:rPr>
      </w:pPr>
      <w:r>
        <w:rPr>
          <w:rFonts w:eastAsia="Gill Sans" w:cs="Gill Sans"/>
          <w:szCs w:val="26"/>
        </w:rPr>
        <w:t xml:space="preserve">It is clear that many people with intellectual disabilities will continue to avail of disability services as they age. This study has highlighted that, with increasing numbers of older people, there will, for some people, need to be a focus on related health needs. The role of the </w:t>
      </w:r>
      <w:r w:rsidRPr="00D1061D">
        <w:rPr>
          <w:rFonts w:eastAsia="Gill Sans" w:cs="Gill Sans"/>
          <w:szCs w:val="26"/>
        </w:rPr>
        <w:t>RNID</w:t>
      </w:r>
      <w:r>
        <w:rPr>
          <w:rFonts w:eastAsia="Gill Sans" w:cs="Gill Sans"/>
          <w:szCs w:val="26"/>
        </w:rPr>
        <w:t xml:space="preserve"> was identified as being important in this regard, but challenges in recruiting such nurses were highlighted. Workforce planning should be undertaken to identify prospected staffing needs and strategies should be enacted to increase the number of RNIDs being educated for the Irish intellectual disability services.</w:t>
      </w:r>
    </w:p>
    <w:p w14:paraId="5E94BB9D" w14:textId="77777777" w:rsidR="00FA2C24" w:rsidRDefault="00FA2C24" w:rsidP="00EE15B2">
      <w:pPr>
        <w:rPr>
          <w:rFonts w:eastAsia="Gill Sans" w:cs="Gill Sans"/>
        </w:rPr>
      </w:pPr>
    </w:p>
    <w:p w14:paraId="3EA4EFB2" w14:textId="77777777" w:rsidR="00FA2C24" w:rsidRDefault="00FA2C24" w:rsidP="00EE15B2">
      <w:pPr>
        <w:rPr>
          <w:rFonts w:eastAsia="Gill Sans" w:cs="Gill Sans"/>
        </w:rPr>
      </w:pPr>
    </w:p>
    <w:p w14:paraId="76C27048" w14:textId="77777777" w:rsidR="00FA2C24" w:rsidRDefault="00FA2C24" w:rsidP="00EE15B2">
      <w:pPr>
        <w:rPr>
          <w:rFonts w:eastAsia="Gill Sans" w:cs="Gill Sans"/>
        </w:rPr>
      </w:pPr>
    </w:p>
    <w:p w14:paraId="53E74642" w14:textId="77777777" w:rsidR="00FA2C24" w:rsidRDefault="00FA2C24" w:rsidP="00EE15B2">
      <w:pPr>
        <w:rPr>
          <w:rFonts w:eastAsia="Gill Sans" w:cs="Gill Sans"/>
        </w:rPr>
      </w:pPr>
    </w:p>
    <w:p w14:paraId="2BCF21F4" w14:textId="77777777" w:rsidR="00FA2C24" w:rsidRPr="00C26679" w:rsidRDefault="00FA2C24" w:rsidP="00EE15B2">
      <w:pPr>
        <w:rPr>
          <w:rFonts w:eastAsia="Calibri" w:cs="Calibri"/>
        </w:rPr>
      </w:pPr>
    </w:p>
    <w:p w14:paraId="7A6B1A37" w14:textId="1DCE15F7" w:rsidR="00745519" w:rsidRDefault="00745519">
      <w:pPr>
        <w:spacing w:after="0"/>
      </w:pPr>
      <w:r>
        <w:br w:type="page"/>
      </w:r>
    </w:p>
    <w:p w14:paraId="4D631B24" w14:textId="0BE275A6" w:rsidR="006235A1" w:rsidRDefault="000F625E" w:rsidP="00F80CB9">
      <w:pPr>
        <w:pStyle w:val="Heading1"/>
      </w:pPr>
      <w:bookmarkStart w:id="30" w:name="_Toc118555184"/>
      <w:bookmarkStart w:id="31" w:name="_Toc118558244"/>
      <w:bookmarkStart w:id="32" w:name="_Toc118558342"/>
      <w:bookmarkStart w:id="33" w:name="_Toc121830597"/>
      <w:r>
        <w:t>Introduction</w:t>
      </w:r>
      <w:bookmarkEnd w:id="30"/>
      <w:bookmarkEnd w:id="31"/>
      <w:bookmarkEnd w:id="32"/>
      <w:bookmarkEnd w:id="33"/>
    </w:p>
    <w:p w14:paraId="4163E087" w14:textId="558AB3E9" w:rsidR="00FC3D24" w:rsidRDefault="00FC3D24" w:rsidP="00FC3D24">
      <w:r>
        <w:t xml:space="preserve">In 2019, the National Disability Authority commissioned the Trinity Centre for Ageing and Intellectual Disability (TCAID) to carry out research on the care of older adults with complex age-related conditions. </w:t>
      </w:r>
    </w:p>
    <w:p w14:paraId="2FA96B11" w14:textId="77777777" w:rsidR="00FC3D24" w:rsidRDefault="00FC3D24" w:rsidP="00647FED">
      <w:pPr>
        <w:pStyle w:val="Heading2"/>
      </w:pPr>
      <w:bookmarkStart w:id="34" w:name="_Toc118555185"/>
      <w:bookmarkStart w:id="35" w:name="_Toc118558245"/>
      <w:bookmarkStart w:id="36" w:name="_Toc118558343"/>
      <w:bookmarkStart w:id="37" w:name="_Toc121830598"/>
      <w:r w:rsidRPr="00647FED">
        <w:t>Project</w:t>
      </w:r>
      <w:r>
        <w:t xml:space="preserve"> aims</w:t>
      </w:r>
      <w:bookmarkEnd w:id="34"/>
      <w:bookmarkEnd w:id="35"/>
      <w:bookmarkEnd w:id="36"/>
      <w:bookmarkEnd w:id="37"/>
    </w:p>
    <w:p w14:paraId="117D44B8" w14:textId="70600694" w:rsidR="00FC3D24" w:rsidRPr="00B931F7" w:rsidRDefault="00FC3D24" w:rsidP="00567192">
      <w:r>
        <w:t>This research aims to examine the care</w:t>
      </w:r>
      <w:r w:rsidR="05751E78">
        <w:t xml:space="preserve"> and </w:t>
      </w:r>
      <w:r>
        <w:t xml:space="preserve">service options for older adults </w:t>
      </w:r>
      <w:r w:rsidR="007B4A0C">
        <w:t>with intellectual disabilities</w:t>
      </w:r>
      <w:r>
        <w:t xml:space="preserve"> and complex age-related conditions.</w:t>
      </w:r>
    </w:p>
    <w:p w14:paraId="0DC1FCA5" w14:textId="77777777" w:rsidR="00FC3D24" w:rsidRDefault="00FC3D24" w:rsidP="00FC3D24">
      <w:pPr>
        <w:pStyle w:val="Heading2"/>
      </w:pPr>
      <w:bookmarkStart w:id="38" w:name="_Toc118555186"/>
      <w:bookmarkStart w:id="39" w:name="_Toc118558246"/>
      <w:bookmarkStart w:id="40" w:name="_Toc118558344"/>
      <w:bookmarkStart w:id="41" w:name="_Toc121830599"/>
      <w:r>
        <w:t>Objectives</w:t>
      </w:r>
      <w:bookmarkEnd w:id="38"/>
      <w:bookmarkEnd w:id="39"/>
      <w:bookmarkEnd w:id="40"/>
      <w:bookmarkEnd w:id="41"/>
    </w:p>
    <w:p w14:paraId="556802A5" w14:textId="77777777" w:rsidR="00567192" w:rsidRDefault="00FC3D24" w:rsidP="00DC0CA1">
      <w:pPr>
        <w:pStyle w:val="ListParagraph"/>
        <w:numPr>
          <w:ilvl w:val="0"/>
          <w:numId w:val="7"/>
        </w:numPr>
        <w:spacing w:after="120"/>
        <w:ind w:left="714" w:hanging="357"/>
        <w:contextualSpacing w:val="0"/>
      </w:pPr>
      <w:r>
        <w:t>To review the existing evidence base regarding the care of older adults with complex age-related conditions</w:t>
      </w:r>
    </w:p>
    <w:p w14:paraId="13891BE9" w14:textId="77777777" w:rsidR="00567192" w:rsidRDefault="00FC3D24" w:rsidP="00DC0CA1">
      <w:pPr>
        <w:pStyle w:val="ListParagraph"/>
        <w:numPr>
          <w:ilvl w:val="0"/>
          <w:numId w:val="7"/>
        </w:numPr>
        <w:spacing w:after="120"/>
        <w:ind w:left="714" w:hanging="357"/>
        <w:contextualSpacing w:val="0"/>
      </w:pPr>
      <w:r>
        <w:t>Generate additional evidence regarding current models of care</w:t>
      </w:r>
    </w:p>
    <w:p w14:paraId="71DAD15E" w14:textId="77777777" w:rsidR="00567192" w:rsidRDefault="00FC3D24" w:rsidP="00DC0CA1">
      <w:pPr>
        <w:pStyle w:val="ListParagraph"/>
        <w:numPr>
          <w:ilvl w:val="0"/>
          <w:numId w:val="7"/>
        </w:numPr>
        <w:spacing w:after="120"/>
        <w:ind w:left="714" w:hanging="357"/>
        <w:contextualSpacing w:val="0"/>
      </w:pPr>
      <w:r>
        <w:t xml:space="preserve">Generate additional evidence regarding expected future needs </w:t>
      </w:r>
    </w:p>
    <w:p w14:paraId="5822BE15" w14:textId="7EC1F4D7" w:rsidR="00FC3D24" w:rsidRDefault="00FC3D24" w:rsidP="00DC0CA1">
      <w:pPr>
        <w:pStyle w:val="ListParagraph"/>
        <w:numPr>
          <w:ilvl w:val="0"/>
          <w:numId w:val="7"/>
        </w:numPr>
        <w:ind w:left="714" w:hanging="357"/>
        <w:contextualSpacing w:val="0"/>
      </w:pPr>
      <w:r>
        <w:t>Compare outcomes and quality of life in different care settings</w:t>
      </w:r>
    </w:p>
    <w:p w14:paraId="47E30505" w14:textId="6270C819" w:rsidR="00FC3D24" w:rsidRDefault="00FC3D24" w:rsidP="00567192">
      <w:r>
        <w:t xml:space="preserve">The findings will guide policymakers and service providers in relation to various models of service and supports, including in particular the </w:t>
      </w:r>
      <w:r w:rsidR="25B3E335">
        <w:t xml:space="preserve">HSE, </w:t>
      </w:r>
      <w:r>
        <w:t xml:space="preserve">the Department of Health and the Department of Public Expenditure and Reform (DPER). </w:t>
      </w:r>
    </w:p>
    <w:p w14:paraId="6B445F0A" w14:textId="77777777" w:rsidR="00FC3D24" w:rsidRDefault="00FC3D24" w:rsidP="00FC3D24">
      <w:pPr>
        <w:pStyle w:val="Heading2"/>
      </w:pPr>
      <w:bookmarkStart w:id="42" w:name="_Toc118555187"/>
      <w:bookmarkStart w:id="43" w:name="_Toc118558247"/>
      <w:bookmarkStart w:id="44" w:name="_Toc118558345"/>
      <w:bookmarkStart w:id="45" w:name="_Toc121830600"/>
      <w:r>
        <w:t>Background</w:t>
      </w:r>
      <w:bookmarkEnd w:id="42"/>
      <w:bookmarkEnd w:id="43"/>
      <w:bookmarkEnd w:id="44"/>
      <w:bookmarkEnd w:id="45"/>
    </w:p>
    <w:p w14:paraId="38FEF4C0" w14:textId="2C6A3653" w:rsidR="00FC3D24" w:rsidRDefault="00FC3D24" w:rsidP="00D90118">
      <w:pPr>
        <w:rPr>
          <w:rStyle w:val="normaltextrun"/>
          <w:rFonts w:ascii="Calibri" w:hAnsi="Calibri" w:cs="Calibri"/>
          <w:color w:val="000000" w:themeColor="text1"/>
        </w:rPr>
      </w:pPr>
      <w:r w:rsidRPr="00567192">
        <w:t>The number of adults with intellectual disabilit</w:t>
      </w:r>
      <w:r w:rsidR="007B4A0C">
        <w:t>ies</w:t>
      </w:r>
      <w:r w:rsidRPr="00567192">
        <w:t xml:space="preserve"> reaching older age has increased in recent decades </w:t>
      </w:r>
      <w:r w:rsidRPr="00567192">
        <w:fldChar w:fldCharType="begin"/>
      </w:r>
      <w:r w:rsidR="0069764E">
        <w:instrText xml:space="preserve"> ADDIN EN.CITE &lt;EndNote&gt;&lt;Cite&gt;&lt;Author&gt;Dolan&lt;/Author&gt;&lt;Year&gt;2021&lt;/Year&gt;&lt;RecNum&gt;620&lt;/RecNum&gt;&lt;DisplayText&gt;(Dolan et al., 2021)&lt;/DisplayText&gt;&lt;record&gt;&lt;rec-number&gt;620&lt;/rec-number&gt;&lt;foreign-keys&gt;&lt;key app="EN" db-id="xtwfdzde5ttr0zevxrh5sf0c2wfzw5zf2vra" timestamp="1654612221" guid="7dd30228-31ae-4007-983c-01f3bda43772"&gt;620&lt;/key&gt;&lt;/foreign-keys&gt;&lt;ref-type name="Journal Article"&gt;17&lt;/ref-type&gt;&lt;contributors&gt;&lt;authors&gt;&lt;author&gt;Dolan, E&lt;/author&gt;&lt;author&gt;Lane, J&lt;/author&gt;&lt;author&gt;Hillis, G&lt;/author&gt;&lt;author&gt;Delanty, Norman&lt;/author&gt;&lt;/authors&gt;&lt;/contributors&gt;&lt;titles&gt;&lt;title&gt;Changing trends in life expectancy in intellectual disability over time&lt;/title&gt;&lt;secondary-title&gt;Irish Medical Journal&lt;/secondary-title&gt;&lt;/titles&gt;&lt;periodical&gt;&lt;full-title&gt;Irish Medical Journal&lt;/full-title&gt;&lt;/periodical&gt;&lt;pages&gt;1006&lt;/pages&gt;&lt;volume&gt;112&lt;/volume&gt;&lt;number&gt;9&lt;/number&gt;&lt;dates&gt;&lt;year&gt;2021&lt;/year&gt;&lt;/dates&gt;&lt;urls&gt;&lt;/urls&gt;&lt;/record&gt;&lt;/Cite&gt;&lt;/EndNote&gt;</w:instrText>
      </w:r>
      <w:r w:rsidRPr="00567192">
        <w:fldChar w:fldCharType="separate"/>
      </w:r>
      <w:r w:rsidRPr="00567192">
        <w:rPr>
          <w:noProof/>
        </w:rPr>
        <w:t>(Dolan et al., 2021)</w:t>
      </w:r>
      <w:r w:rsidRPr="00567192">
        <w:fldChar w:fldCharType="end"/>
      </w:r>
      <w:r w:rsidRPr="00567192">
        <w:t xml:space="preserve"> as health and social conditions continue to improve </w:t>
      </w:r>
      <w:r w:rsidRPr="00567192">
        <w:fldChar w:fldCharType="begin"/>
      </w:r>
      <w:r w:rsidR="00FF5F49">
        <w:instrText xml:space="preserve"> ADDIN EN.CITE &lt;EndNote&gt;&lt;Cite&gt;&lt;Author&gt;Bigby&lt;/Author&gt;&lt;Year&gt;2010&lt;/Year&gt;&lt;RecNum&gt;623&lt;/RecNum&gt;&lt;DisplayText&gt;(Bigby &amp;amp; Haveman, 2010)&lt;/DisplayText&gt;&lt;record&gt;&lt;rec-number&gt;623&lt;/rec-number&gt;&lt;foreign-keys&gt;&lt;key app="EN" db-id="xtwfdzde5ttr0zevxrh5sf0c2wfzw5zf2vra" timestamp="1654612621" guid="f854a5f9-8639-4975-9fa8-28da9a56593e"&gt;623&lt;/key&gt;&lt;/foreign-keys&gt;&lt;ref-type name="Journal Article"&gt;17&lt;/ref-type&gt;&lt;contributors&gt;&lt;authors&gt;&lt;author&gt;Bigby, C.&lt;/author&gt;&lt;author&gt;Haveman, Meindert&lt;/author&gt;&lt;/authors&gt;&lt;/contributors&gt;&lt;titles&gt;&lt;title&gt;Aging. A Continuing Challenge&lt;/title&gt;&lt;secondary-title&gt;Journal of Policy and Practice in Intellectual Disabilities&lt;/secondary-title&gt;&lt;/titles&gt;&lt;periodical&gt;&lt;full-title&gt;Journal of Policy and Practice in Intellectual Disabilities&lt;/full-title&gt;&lt;/periodical&gt;&lt;pages&gt;1-2&lt;/pages&gt;&lt;volume&gt;7&lt;/volume&gt;&lt;number&gt;1&lt;/number&gt;&lt;dates&gt;&lt;year&gt;2010&lt;/year&gt;&lt;/dates&gt;&lt;publisher&gt;Wiley&lt;/publisher&gt;&lt;isbn&gt;1741-1122&lt;/isbn&gt;&lt;urls&gt;&lt;related-urls&gt;&lt;url&gt;https://dx.doi.org/10.1111/j.1741-1130.2010.00241.x&lt;/url&gt;&lt;/related-urls&gt;&lt;/urls&gt;&lt;electronic-resource-num&gt;10.1111/j.1741-1130.2010.00241.x&lt;/electronic-resource-num&gt;&lt;/record&gt;&lt;/Cite&gt;&lt;/EndNote&gt;</w:instrText>
      </w:r>
      <w:r w:rsidRPr="00567192">
        <w:fldChar w:fldCharType="separate"/>
      </w:r>
      <w:r w:rsidR="00FF5F49">
        <w:rPr>
          <w:noProof/>
        </w:rPr>
        <w:t>(Bigby &amp; Haveman, 2010)</w:t>
      </w:r>
      <w:r w:rsidRPr="00567192">
        <w:fldChar w:fldCharType="end"/>
      </w:r>
      <w:r w:rsidRPr="00567192">
        <w:t xml:space="preserve">. However, despite improvements in </w:t>
      </w:r>
      <w:r w:rsidR="009645ED">
        <w:t xml:space="preserve">the </w:t>
      </w:r>
      <w:r w:rsidRPr="00567192">
        <w:t xml:space="preserve">life expectancy </w:t>
      </w:r>
      <w:r w:rsidR="009645ED">
        <w:t>of</w:t>
      </w:r>
      <w:r w:rsidRPr="00567192">
        <w:t xml:space="preserve"> people </w:t>
      </w:r>
      <w:r w:rsidR="007B4A0C">
        <w:t>with intellectual disabilities</w:t>
      </w:r>
      <w:r w:rsidRPr="00567192">
        <w:t>, mortality rates remain higher for this population compared to</w:t>
      </w:r>
      <w:r w:rsidR="44739E78" w:rsidRPr="00567192">
        <w:t xml:space="preserve"> persons without intellectual disabilit</w:t>
      </w:r>
      <w:r w:rsidR="00A000DA">
        <w:t>ies</w:t>
      </w:r>
      <w:r w:rsidRPr="00567192">
        <w:t xml:space="preserve"> </w:t>
      </w:r>
      <w:r w:rsidR="00EC611D" w:rsidRPr="00567192">
        <w:fldChar w:fldCharType="begin">
          <w:fldData xml:space="preserve">PEVuZE5vdGU+PENpdGU+PEF1dGhvcj5Eb2xhbjwvQXV0aG9yPjxZZWFyPjIwMjE8L1llYXI+PFJl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</w:fldData>
        </w:fldChar>
      </w:r>
      <w:r w:rsidR="00B26CBF">
        <w:instrText xml:space="preserve"> ADDIN EN.CITE </w:instrText>
      </w:r>
      <w:r w:rsidR="00B26CBF">
        <w:fldChar w:fldCharType="begin">
          <w:fldData xml:space="preserve">PEVuZE5vdGU+PENpdGU+PEF1dGhvcj5Eb2xhbjwvQXV0aG9yPjxZZWFyPjIwMjE8L1llYXI+PFJl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</w:fldData>
        </w:fldChar>
      </w:r>
      <w:r w:rsidR="00B26CBF">
        <w:instrText xml:space="preserve"> ADDIN EN.CITE.DATA </w:instrText>
      </w:r>
      <w:r w:rsidR="00B26CBF">
        <w:fldChar w:fldCharType="end"/>
      </w:r>
      <w:r w:rsidR="00EC611D" w:rsidRPr="00567192">
        <w:fldChar w:fldCharType="separate"/>
      </w:r>
      <w:r w:rsidR="00B26CBF">
        <w:rPr>
          <w:noProof/>
        </w:rPr>
        <w:t>(Dolan et al., 2021; McCarron et al., 2015; Lauer &amp; McCallion, 2015)</w:t>
      </w:r>
      <w:r w:rsidR="00EC611D" w:rsidRPr="00567192">
        <w:fldChar w:fldCharType="end"/>
      </w:r>
      <w:r w:rsidRPr="00567192">
        <w:t xml:space="preserve">. Ageing </w:t>
      </w:r>
      <w:r w:rsidR="007B4A0C">
        <w:t>with intellectual disabilities</w:t>
      </w:r>
      <w:r w:rsidRPr="00567192">
        <w:t xml:space="preserve"> is often associated with premature ageing and an increased risk of age-related health conditions </w:t>
      </w:r>
      <w:r w:rsidRPr="00567192">
        <w:fldChar w:fldCharType="begin">
          <w:fldData xml:space="preserve">PEVuZE5vdGU+PENpdGU+PEF1dGhvcj5BbGZ0YmVyZzwvQXV0aG9yPjxZZWFyPjIwMjE8L1llYXI+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</w:fldData>
        </w:fldChar>
      </w:r>
      <w:r w:rsidR="00B26CBF">
        <w:instrText xml:space="preserve"> ADDIN EN.CITE </w:instrText>
      </w:r>
      <w:r w:rsidR="00B26CBF">
        <w:fldChar w:fldCharType="begin">
          <w:fldData xml:space="preserve">PEVuZE5vdGU+PENpdGU+PEF1dGhvcj5BbGZ0YmVyZzwvQXV0aG9yPjxZZWFyPjIwMjE8L1llYXI+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</w:fldData>
        </w:fldChar>
      </w:r>
      <w:r w:rsidR="00B26CBF">
        <w:instrText xml:space="preserve"> ADDIN EN.CITE.DATA </w:instrText>
      </w:r>
      <w:r w:rsidR="00B26CBF">
        <w:fldChar w:fldCharType="end"/>
      </w:r>
      <w:r w:rsidRPr="00567192">
        <w:fldChar w:fldCharType="separate"/>
      </w:r>
      <w:r w:rsidR="00B26CBF">
        <w:rPr>
          <w:noProof/>
        </w:rPr>
        <w:t>(Alftberg et al., 2021; Haveman et al., 2010; Hatzidimitriadou &amp; Milne, 2005)</w:t>
      </w:r>
      <w:r w:rsidRPr="00567192">
        <w:fldChar w:fldCharType="end"/>
      </w:r>
      <w:r w:rsidRPr="00567192">
        <w:t xml:space="preserve">. People with Down Syndrome, for example, have an increased risk of developing Alzheimer’s disease at younger ages due to premature ageing </w:t>
      </w:r>
      <w:r w:rsidRPr="00567192">
        <w:fldChar w:fldCharType="begin"/>
      </w:r>
      <w:r w:rsidR="00FF5F49">
        <w:instrText xml:space="preserve"> ADDIN EN.CITE &lt;EndNote&gt;&lt;Cite&gt;&lt;Author&gt;Bigby&lt;/Author&gt;&lt;Year&gt;2008&lt;/Year&gt;&lt;RecNum&gt;309&lt;/RecNum&gt;&lt;DisplayText&gt;(Bigby, 2008a; Janicki &amp;amp; Dalton, 2000)&lt;/DisplayText&gt;&lt;record&gt;&lt;rec-number&gt;309&lt;/rec-number&gt;&lt;foreign-keys&gt;&lt;key app="EN" db-id="xtwfdzde5ttr0zevxrh5sf0c2wfzw5zf2vra" timestamp="1643290955" guid="c74652d4-0794-4c1a-8dbf-fe832738f6ec"&gt;309&lt;/key&gt;&lt;/foreign-keys&gt;&lt;ref-type name="Journal Article"&gt;17&lt;/ref-type&gt;&lt;contributors&gt;&lt;authors&gt;&lt;author&gt;Bigby, Christine&lt;/author&gt;&lt;/authors&gt;&lt;/contributors&gt;&lt;titles&gt;&lt;title&gt;Beset by obstacles: A review of Australian policy development to support ageing in place for people with intellectual disability&lt;/title&gt;&lt;secondary-title&gt;Journal of Intellectual and Developmental Disability&lt;/secondary-title&gt;&lt;short-title&gt;Beset by obstacles: A review of Australian policy development to support ageing in place for people with intellectual disability&lt;/short-title&gt;&lt;/titles&gt;&lt;periodical&gt;&lt;full-title&gt;Journal of Intellectual and Developmental Disability&lt;/full-title&gt;&lt;/periodical&gt;&lt;volume&gt;33&lt;/volume&gt;&lt;dates&gt;&lt;year&gt;2008&lt;/year&gt;&lt;/dates&gt;&lt;urls&gt;&lt;/urls&gt;&lt;electronic-resource-num&gt;10.1080/13668250701852433&lt;/electronic-resource-num&gt;&lt;/record&gt;&lt;/Cite&gt;&lt;Cite&gt;&lt;Author&gt;Janicki&lt;/Author&gt;&lt;Year&gt;2000&lt;/Year&gt;&lt;RecNum&gt;493&lt;/RecNum&gt;&lt;record&gt;&lt;rec-number&gt;493&lt;/rec-number&gt;&lt;foreign-keys&gt;&lt;key app="EN" db-id="xtwfdzde5ttr0zevxrh5sf0c2wfzw5zf2vra" timestamp="1648122926" guid="3b6909d8-ddf0-4bd4-a63c-9e6ca7e5e712"&gt;493&lt;/key&gt;&lt;/foreign-keys&gt;&lt;ref-type name="Journal Article"&gt;17&lt;/ref-type&gt;&lt;contributors&gt;&lt;authors&gt;&lt;author&gt;Janicki, Matthew P&lt;/author&gt;&lt;author&gt;Dalton, Arthur J&lt;/author&gt;&lt;/authors&gt;&lt;/contributors&gt;&lt;titles&gt;&lt;title&gt;Prevalence of dementia and impact on intellectual disability services&lt;/title&gt;&lt;secondary-title&gt;Mental retardation&lt;/secondary-title&gt;&lt;/titles&gt;&lt;periodical&gt;&lt;full-title&gt;Mental retardation&lt;/full-title&gt;&lt;/periodical&gt;&lt;pages&gt;276-288&lt;/pages&gt;&lt;volume&gt;38&lt;/volume&gt;&lt;number&gt;3&lt;/number&gt;&lt;dates&gt;&lt;year&gt;2000&lt;/year&gt;&lt;/dates&gt;&lt;isbn&gt;0047-6765&lt;/isbn&gt;&lt;urls&gt;&lt;/urls&gt;&lt;/record&gt;&lt;/Cite&gt;&lt;/EndNote&gt;</w:instrText>
      </w:r>
      <w:r w:rsidRPr="00567192">
        <w:fldChar w:fldCharType="separate"/>
      </w:r>
      <w:r w:rsidR="00FF5F49">
        <w:rPr>
          <w:noProof/>
        </w:rPr>
        <w:t>(Bigby, 2008a; Janicki &amp; Dalton, 2000)</w:t>
      </w:r>
      <w:r w:rsidRPr="00567192">
        <w:fldChar w:fldCharType="end"/>
      </w:r>
      <w:r w:rsidRPr="00567192">
        <w:t>. The literature suggests that health and social care systems are</w:t>
      </w:r>
      <w:r w:rsidR="006C3F6A">
        <w:t xml:space="preserve"> largely</w:t>
      </w:r>
      <w:r w:rsidRPr="00567192">
        <w:t xml:space="preserve"> ill-equipped to meet the complex age-</w:t>
      </w:r>
      <w:r w:rsidRPr="008F7FF2">
        <w:t xml:space="preserve">related needs of older adults </w:t>
      </w:r>
      <w:r w:rsidR="007B4A0C">
        <w:t>with intellectual disabilities</w:t>
      </w:r>
      <w:r w:rsidRPr="008F7FF2">
        <w:t xml:space="preserve"> </w:t>
      </w:r>
      <w:r w:rsidRPr="008F7FF2">
        <w:fldChar w:fldCharType="begin">
          <w:fldData xml:space="preserve">PEVuZE5vdGU+PENpdGU+PEF1dGhvcj5CdXJrZTwvQXV0aG9yPjxZZWFyPjIwMTk8L1llYXI+PFJl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</w:fldData>
        </w:fldChar>
      </w:r>
      <w:r w:rsidR="00B26CBF">
        <w:instrText xml:space="preserve"> ADDIN EN.CITE </w:instrText>
      </w:r>
      <w:r w:rsidR="00B26CBF">
        <w:fldChar w:fldCharType="begin">
          <w:fldData xml:space="preserve">PEVuZE5vdGU+PENpdGU+PEF1dGhvcj5CdXJrZTwvQXV0aG9yPjxZZWFyPjIwMTk8L1llYXI+PFJl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</w:fldData>
        </w:fldChar>
      </w:r>
      <w:r w:rsidR="00B26CBF">
        <w:instrText xml:space="preserve"> ADDIN EN.CITE.DATA </w:instrText>
      </w:r>
      <w:r w:rsidR="00B26CBF">
        <w:fldChar w:fldCharType="end"/>
      </w:r>
      <w:r w:rsidRPr="008F7FF2">
        <w:fldChar w:fldCharType="separate"/>
      </w:r>
      <w:r w:rsidR="00B26CBF">
        <w:rPr>
          <w:noProof/>
        </w:rPr>
        <w:t>(García-Domínguez et al., 2020; Burke et al., 2019; McCarron et al., 2018a; McCallion et al., 2013b; Haveman et al., 2011)</w:t>
      </w:r>
      <w:r w:rsidRPr="008F7FF2">
        <w:fldChar w:fldCharType="end"/>
      </w:r>
      <w:r w:rsidRPr="008F7FF2">
        <w:t xml:space="preserve"> and as a result, this population face a range of unmet health and social care needs </w:t>
      </w:r>
      <w:r w:rsidRPr="008F7FF2">
        <w:fldChar w:fldCharType="begin"/>
      </w:r>
      <w:r w:rsidRPr="008F7FF2">
        <w:instrText xml:space="preserve"> ADDIN EN.CITE &lt;EndNote&gt;&lt;Cite&gt;&lt;Author&gt;Bigby&lt;/Author&gt;&lt;Year&gt;2014&lt;/Year&gt;&lt;RecNum&gt;453&lt;/RecNum&gt;&lt;DisplayText&gt;(Bigby, 2014)&lt;/DisplayText&gt;&lt;record&gt;&lt;rec-number&gt;453&lt;/rec-number&gt;&lt;foreign-keys&gt;&lt;key app="EN" db-id="xtwfdzde5ttr0zevxrh5sf0c2wfzw5zf2vra" timestamp="1644252299" guid="37debba2-a3f8-4627-9852-0e10d6075c22"&gt;453&lt;/key&gt;&lt;/foreign-keys&gt;&lt;ref-type name="Book Section"&gt;5&lt;/ref-type&gt;&lt;contributors&gt;&lt;authors&gt;&lt;author&gt;Bigby, C., McCallion, P., McCarron, M.&lt;/author&gt;&lt;/authors&gt;&lt;secondary-authors&gt;&lt;author&gt;Agran, M., Brown, F., Hughes, C., Quirk, C., Ryndak, D.&lt;/author&gt;&lt;/secondary-authors&gt;&lt;/contributors&gt;&lt;titles&gt;&lt;title&gt;Serving an Elderly Population&lt;/title&gt;&lt;secondary-title&gt;Equality &amp;amp; Full Participation for Individuals with Severe Disabilities: A Vision for the Future&lt;/secondary-title&gt;&lt;/titles&gt;&lt;pages&gt;319-348&lt;/pages&gt;&lt;section&gt;Serving an Elderly Population&lt;/section&gt;&lt;dates&gt;&lt;year&gt;2014&lt;/year&gt;&lt;/dates&gt;&lt;publisher&gt;Paul H. Brookes&lt;/publisher&gt;&lt;urls&gt;&lt;/urls&gt;&lt;/record&gt;&lt;/Cite&gt;&lt;/EndNote&gt;</w:instrText>
      </w:r>
      <w:r w:rsidRPr="008F7FF2">
        <w:fldChar w:fldCharType="separate"/>
      </w:r>
      <w:r w:rsidRPr="008F7FF2">
        <w:t>(Bigby, 2014)</w:t>
      </w:r>
      <w:r w:rsidRPr="008F7FF2">
        <w:fldChar w:fldCharType="end"/>
      </w:r>
      <w:r w:rsidRPr="008F7FF2">
        <w:t xml:space="preserve">. This highlights the need for community-based integrated care for people </w:t>
      </w:r>
      <w:r w:rsidR="007B4A0C">
        <w:t>with intellectual disabilities</w:t>
      </w:r>
      <w:r w:rsidRPr="008F7FF2">
        <w:t xml:space="preserve"> and for greater coordination between </w:t>
      </w:r>
      <w:r w:rsidR="002E6BC0">
        <w:t>age, disability, and healthcare services</w:t>
      </w:r>
      <w:r w:rsidRPr="008F7FF2">
        <w:t xml:space="preserve">. While </w:t>
      </w:r>
      <w:r w:rsidR="00CC3445">
        <w:t>a</w:t>
      </w:r>
      <w:r w:rsidRPr="008F7FF2">
        <w:t xml:space="preserve">geing in </w:t>
      </w:r>
      <w:r w:rsidR="00CC3445">
        <w:t>p</w:t>
      </w:r>
      <w:r w:rsidRPr="008F7FF2">
        <w:t>lace is one of the key principles underpinning care for this population and is the preference for most</w:t>
      </w:r>
      <w:r>
        <w:rPr>
          <w:rStyle w:val="normaltextrun"/>
          <w:rFonts w:ascii="Calibri" w:hAnsi="Calibri" w:cs="Calibri"/>
          <w:color w:val="000000"/>
          <w:bdr w:val="none" w:sz="0" w:space="0" w:color="auto" w:frame="1"/>
        </w:rPr>
        <w:t xml:space="preserve"> </w:t>
      </w:r>
      <w:r w:rsidRPr="008F7FF2">
        <w:t xml:space="preserve">people </w:t>
      </w:r>
      <w:r w:rsidR="007B4A0C">
        <w:t>with intellectual disabilities</w:t>
      </w:r>
      <w:r w:rsidRPr="008F7FF2">
        <w:t xml:space="preserve"> </w:t>
      </w:r>
      <w:r w:rsidRPr="008F7FF2">
        <w:fldChar w:fldCharType="begin"/>
      </w:r>
      <w:r w:rsidR="00FF5F49">
        <w:instrText xml:space="preserve"> ADDIN EN.CITE &lt;EndNote&gt;&lt;Cite&gt;&lt;Author&gt;Chapman&lt;/Author&gt;&lt;Year&gt;2018&lt;/Year&gt;&lt;RecNum&gt;526&lt;/RecNum&gt;&lt;DisplayText&gt;(Chapman et al., 2018; Patti et al., 2010)&lt;/DisplayText&gt;&lt;record&gt;&lt;rec-number&gt;526&lt;/rec-number&gt;&lt;foreign-keys&gt;&lt;key app="EN" db-id="xtwfdzde5ttr0zevxrh5sf0c2wfzw5zf2vra" timestamp="1649171476" guid="9dc4056b-489c-4ade-ba3a-610ac2716723"&gt;526&lt;/key&gt;&lt;/foreign-keys&gt;&lt;ref-type name="Journal Article"&gt;17&lt;/ref-type&gt;&lt;contributors&gt;&lt;authors&gt;&lt;author&gt;Chapman, Melanie&lt;/author&gt;&lt;author&gt;Lacey, Huma&lt;/author&gt;&lt;author&gt;Jervis, Nicola&lt;/author&gt;&lt;/authors&gt;&lt;/contributors&gt;&lt;titles&gt;&lt;title&gt;Improving services for people with learning disabilities and dementia: Findings from a service evaluation exploring the perspectives of health and social care professionals&lt;/title&gt;&lt;secondary-title&gt;British Journal of Learning Disabilities&lt;/secondary-title&gt;&lt;/titles&gt;&lt;periodical&gt;&lt;full-title&gt;British Journal of Learning Disabilities&lt;/full-title&gt;&lt;/periodical&gt;&lt;pages&gt;33-44&lt;/pages&gt;&lt;volume&gt;46&lt;/volume&gt;&lt;number&gt;1&lt;/number&gt;&lt;dates&gt;&lt;year&gt;2018&lt;/year&gt;&lt;/dates&gt;&lt;isbn&gt;1354-4187&lt;/isbn&gt;&lt;urls&gt;&lt;/urls&gt;&lt;/record&gt;&lt;/Cite&gt;&lt;Cite&gt;&lt;Author&gt;Patti&lt;/Author&gt;&lt;Year&gt;2010&lt;/Year&gt;&lt;RecNum&gt;525&lt;/RecNum&gt;&lt;record&gt;&lt;rec-number&gt;525&lt;/rec-number&gt;&lt;foreign-keys&gt;&lt;key app="EN" db-id="xtwfdzde5ttr0zevxrh5sf0c2wfzw5zf2vra" timestamp="1649171442" guid="66471bac-96fb-436e-b284-973ced24b0c8"&gt;525&lt;/key&gt;&lt;/foreign-keys&gt;&lt;ref-type name="Journal Article"&gt;17&lt;/ref-type&gt;&lt;contributors&gt;&lt;authors&gt;&lt;author&gt;Patti, P&lt;/author&gt;&lt;author&gt;Amble, K&lt;/author&gt;&lt;author&gt;Flory, M&lt;/author&gt;&lt;/authors&gt;&lt;/contributors&gt;&lt;titles&gt;&lt;title&gt;Placement, relocation and end of life issues in aging adults with and without Down&amp;apos;s syndrome: a retrospective study&lt;/title&gt;&lt;secondary-title&gt;Journal of Intellectual Disability Research&lt;/secondary-title&gt;&lt;/titles&gt;&lt;periodical&gt;&lt;full-title&gt;Journal of Intellectual Disability Research&lt;/full-title&gt;&lt;/periodical&gt;&lt;pages&gt;538-546&lt;/pages&gt;&lt;volume&gt;54&lt;/volume&gt;&lt;number&gt;6&lt;/number&gt;&lt;dates&gt;&lt;year&gt;2010&lt;/year&gt;&lt;/dates&gt;&lt;isbn&gt;0964-2633&lt;/isbn&gt;&lt;urls&gt;&lt;/urls&gt;&lt;/record&gt;&lt;/Cite&gt;&lt;/EndNote&gt;</w:instrText>
      </w:r>
      <w:r w:rsidRPr="008F7FF2">
        <w:fldChar w:fldCharType="separate"/>
      </w:r>
      <w:r w:rsidR="00FF5F49">
        <w:rPr>
          <w:noProof/>
        </w:rPr>
        <w:t>(Chapman et al., 2018; Patti et al., 2010)</w:t>
      </w:r>
      <w:r w:rsidRPr="008F7FF2">
        <w:fldChar w:fldCharType="end"/>
      </w:r>
      <w:r w:rsidRPr="008F7FF2">
        <w:t xml:space="preserve">, it is not always possible to achieve. When age-related conditions become increasingly complex, informal, or formal care in the home may no longer be appropriate in meeting their complex needs, leading to transitions into community residential settings, specialist units within disability services or nursing homes. The aim of this research is to examine these care options and whether they meet the needs of older people </w:t>
      </w:r>
      <w:r w:rsidR="007B4A0C">
        <w:t>with intellectual disabilities</w:t>
      </w:r>
      <w:r w:rsidRPr="008F7FF2">
        <w:t xml:space="preserve"> in Ireland.</w:t>
      </w:r>
      <w:r>
        <w:rPr>
          <w:rStyle w:val="normaltextrun"/>
          <w:rFonts w:ascii="Calibri" w:hAnsi="Calibri" w:cs="Calibri"/>
          <w:color w:val="000000"/>
          <w:bdr w:val="none" w:sz="0" w:space="0" w:color="auto" w:frame="1"/>
        </w:rPr>
        <w:t xml:space="preserve"> </w:t>
      </w:r>
    </w:p>
    <w:p w14:paraId="7D4AC465" w14:textId="16E20417" w:rsidR="00217591" w:rsidRPr="00A73B57" w:rsidRDefault="00543F8F" w:rsidP="0010478F">
      <w:pPr>
        <w:spacing w:after="0"/>
        <w:rPr>
          <w:rFonts w:cs="Arial"/>
          <w:b/>
          <w:kern w:val="32"/>
          <w:sz w:val="32"/>
          <w:szCs w:val="32"/>
        </w:rPr>
      </w:pPr>
      <w:r>
        <w:t xml:space="preserve">This report </w:t>
      </w:r>
      <w:r w:rsidR="00AC54C6">
        <w:t xml:space="preserve">is </w:t>
      </w:r>
      <w:r w:rsidR="00C95165">
        <w:t>divided</w:t>
      </w:r>
      <w:r w:rsidR="00AC54C6">
        <w:t xml:space="preserve"> in</w:t>
      </w:r>
      <w:r w:rsidR="00C95165">
        <w:t>to</w:t>
      </w:r>
      <w:r w:rsidR="00AC54C6">
        <w:t xml:space="preserve"> </w:t>
      </w:r>
      <w:r w:rsidR="00216DE4">
        <w:t>six chapters</w:t>
      </w:r>
      <w:r w:rsidR="009F5680">
        <w:t>; the first</w:t>
      </w:r>
      <w:r w:rsidR="004F44DA">
        <w:t xml:space="preserve"> sets the context by presenting the key literature on the care of older adults with intellectual disabilities and complex age-related needs</w:t>
      </w:r>
      <w:r w:rsidR="00C95165">
        <w:t xml:space="preserve"> and the second</w:t>
      </w:r>
      <w:r w:rsidR="004F44DA">
        <w:t xml:space="preserve"> </w:t>
      </w:r>
      <w:r w:rsidR="0636B45B">
        <w:t>details t</w:t>
      </w:r>
      <w:r w:rsidR="004F44DA">
        <w:t xml:space="preserve">he </w:t>
      </w:r>
      <w:r w:rsidR="00EA58F5">
        <w:t>method</w:t>
      </w:r>
      <w:r w:rsidR="00C95165">
        <w:t>ology</w:t>
      </w:r>
      <w:r w:rsidR="008256A1">
        <w:t xml:space="preserve"> and profile of participants</w:t>
      </w:r>
      <w:r w:rsidR="3569066C">
        <w:t>.</w:t>
      </w:r>
      <w:r w:rsidR="00634368">
        <w:t xml:space="preserve"> The following three chapters</w:t>
      </w:r>
      <w:r w:rsidR="0069643F">
        <w:t xml:space="preserve"> </w:t>
      </w:r>
      <w:r w:rsidR="00283255">
        <w:t>each examine a particular theme</w:t>
      </w:r>
      <w:r w:rsidR="00AD70CD">
        <w:t xml:space="preserve"> derived from</w:t>
      </w:r>
      <w:r w:rsidR="00F239F7">
        <w:t xml:space="preserve"> topics addressed across the various </w:t>
      </w:r>
      <w:r w:rsidR="00682558">
        <w:t>datasets</w:t>
      </w:r>
      <w:r w:rsidR="0092700A">
        <w:t xml:space="preserve"> whilst the final chapter</w:t>
      </w:r>
      <w:r w:rsidR="2AA89955">
        <w:t xml:space="preserve"> </w:t>
      </w:r>
      <w:r w:rsidR="15BE5B84">
        <w:t>discusses</w:t>
      </w:r>
      <w:r w:rsidR="70D73D19">
        <w:t xml:space="preserve"> the findings in relation to existing liter</w:t>
      </w:r>
      <w:r w:rsidR="47E10B53">
        <w:t>a</w:t>
      </w:r>
      <w:r w:rsidR="70D73D19">
        <w:t>ture</w:t>
      </w:r>
      <w:r w:rsidR="0092700A">
        <w:t xml:space="preserve">, </w:t>
      </w:r>
      <w:r w:rsidR="128B6602">
        <w:t>mak</w:t>
      </w:r>
      <w:r w:rsidR="0092700A">
        <w:t>ing</w:t>
      </w:r>
      <w:r w:rsidR="128B6602">
        <w:t xml:space="preserve"> recommendations</w:t>
      </w:r>
      <w:r w:rsidR="35C85F40">
        <w:t xml:space="preserve"> based on th</w:t>
      </w:r>
      <w:r w:rsidR="3C5625F6">
        <w:t>ese</w:t>
      </w:r>
      <w:r w:rsidR="35C85F40">
        <w:t xml:space="preserve"> findings. </w:t>
      </w:r>
    </w:p>
    <w:p w14:paraId="0BDE964F" w14:textId="77777777" w:rsidR="00CE56AC" w:rsidRDefault="00CE56AC" w:rsidP="00CE56AC">
      <w:pPr>
        <w:spacing w:after="0"/>
      </w:pPr>
    </w:p>
    <w:p w14:paraId="3AB12372" w14:textId="2A97C3F8" w:rsidR="005A2C43" w:rsidRPr="00DC7BF1" w:rsidRDefault="00CE56AC" w:rsidP="00DC7BF1">
      <w:pPr>
        <w:spacing w:after="0"/>
        <w:rPr>
          <w:rFonts w:cs="Arial"/>
          <w:b/>
          <w:kern w:val="32"/>
          <w:sz w:val="32"/>
          <w:szCs w:val="32"/>
        </w:rPr>
      </w:pPr>
      <w:r>
        <w:br w:type="page"/>
      </w:r>
    </w:p>
    <w:p w14:paraId="310535D1" w14:textId="7D4BDA6D" w:rsidR="005A2C43" w:rsidRPr="00906B8B" w:rsidRDefault="0029508C" w:rsidP="005A2C43">
      <w:pPr>
        <w:pStyle w:val="Heading1"/>
      </w:pPr>
      <w:bookmarkStart w:id="46" w:name="_Toc118555188"/>
      <w:bookmarkStart w:id="47" w:name="_Toc118558248"/>
      <w:bookmarkStart w:id="48" w:name="_Toc118558346"/>
      <w:bookmarkStart w:id="49" w:name="_Toc121830601"/>
      <w:r w:rsidRPr="00906B8B">
        <w:t xml:space="preserve">Chapter 1: </w:t>
      </w:r>
      <w:r w:rsidR="00881C0B" w:rsidRPr="00906B8B">
        <w:t xml:space="preserve">Current </w:t>
      </w:r>
      <w:r w:rsidR="137E8930" w:rsidRPr="00906B8B">
        <w:t>S</w:t>
      </w:r>
      <w:r w:rsidR="7578E116" w:rsidRPr="00906B8B">
        <w:t>tate</w:t>
      </w:r>
      <w:r w:rsidR="000039E5" w:rsidRPr="00906B8B">
        <w:t xml:space="preserve"> of Evidence</w:t>
      </w:r>
      <w:bookmarkEnd w:id="46"/>
      <w:bookmarkEnd w:id="47"/>
      <w:bookmarkEnd w:id="48"/>
      <w:bookmarkEnd w:id="49"/>
    </w:p>
    <w:p w14:paraId="7EA6544C" w14:textId="15D05FC9" w:rsidR="00433A93" w:rsidRDefault="4B5AF243" w:rsidP="00433A93">
      <w:r>
        <w:t xml:space="preserve">A </w:t>
      </w:r>
      <w:r w:rsidR="61E84517">
        <w:t>Scopus</w:t>
      </w:r>
      <w:r>
        <w:t xml:space="preserve"> database search was carried out</w:t>
      </w:r>
      <w:r w:rsidR="3F752DAD">
        <w:t xml:space="preserve"> using key search terms</w:t>
      </w:r>
      <w:r>
        <w:t xml:space="preserve"> to</w:t>
      </w:r>
      <w:r w:rsidR="00433A93">
        <w:t xml:space="preserve"> </w:t>
      </w:r>
      <w:r w:rsidR="59F2A8B3">
        <w:t>identify</w:t>
      </w:r>
      <w:r w:rsidR="00433A93">
        <w:t xml:space="preserve"> literature </w:t>
      </w:r>
      <w:r w:rsidR="026C76F6">
        <w:t>related</w:t>
      </w:r>
      <w:r w:rsidR="00433A93">
        <w:t xml:space="preserve"> to the care of older adults </w:t>
      </w:r>
      <w:r w:rsidR="007B4A0C">
        <w:t>with intellectual disabilities</w:t>
      </w:r>
      <w:r w:rsidR="00433A93">
        <w:t xml:space="preserve"> and complex age-related conditions.</w:t>
      </w:r>
    </w:p>
    <w:p w14:paraId="35463DEC" w14:textId="59E87A11" w:rsidR="00433A93" w:rsidRDefault="00433A93" w:rsidP="00433A93">
      <w:r>
        <w:t xml:space="preserve">The literature review begins with a description of the key principles and components underpinning a model of care for people ageing </w:t>
      </w:r>
      <w:r w:rsidR="007B4A0C">
        <w:t>with intellectual disabilities</w:t>
      </w:r>
      <w:r>
        <w:t xml:space="preserve">. This is followed by an overview of the main issues which affect adults </w:t>
      </w:r>
      <w:r w:rsidR="007B4A0C">
        <w:t>with intellectual disabilities</w:t>
      </w:r>
      <w:r>
        <w:t xml:space="preserve">, including physical, mental, and social needs, and the complexity that may accompany them. </w:t>
      </w:r>
      <w:r w:rsidR="00515E70">
        <w:t>An overview of outcome measurement will then be</w:t>
      </w:r>
      <w:r w:rsidR="008B0E11">
        <w:t xml:space="preserve"> presented</w:t>
      </w:r>
      <w:r w:rsidR="00051507">
        <w:t xml:space="preserve">, including </w:t>
      </w:r>
      <w:r w:rsidR="008F5556">
        <w:t>its purpose</w:t>
      </w:r>
      <w:r w:rsidR="00BF6275">
        <w:t xml:space="preserve">, </w:t>
      </w:r>
      <w:r w:rsidR="00666D91">
        <w:t>the tools current</w:t>
      </w:r>
      <w:r w:rsidR="008F5556">
        <w:t>l</w:t>
      </w:r>
      <w:r w:rsidR="00666D91">
        <w:t xml:space="preserve">y used </w:t>
      </w:r>
      <w:r w:rsidR="00DF2D6B">
        <w:t xml:space="preserve">for </w:t>
      </w:r>
      <w:r w:rsidR="00C26E80">
        <w:t xml:space="preserve">measuring outcomes </w:t>
      </w:r>
      <w:r w:rsidR="00666D91">
        <w:t xml:space="preserve">and the </w:t>
      </w:r>
      <w:r w:rsidR="56501597">
        <w:t>challenges</w:t>
      </w:r>
      <w:r w:rsidR="00666D91">
        <w:t xml:space="preserve"> </w:t>
      </w:r>
      <w:r w:rsidR="00206963">
        <w:t>associated with measurem</w:t>
      </w:r>
      <w:r w:rsidR="008F5556">
        <w:t xml:space="preserve">ent. </w:t>
      </w:r>
      <w:r w:rsidR="00CB70C5">
        <w:t>Finally,</w:t>
      </w:r>
      <w:r>
        <w:t xml:space="preserve"> the care and support available to older people </w:t>
      </w:r>
      <w:r w:rsidR="007B4A0C">
        <w:t>with intellectual disabilities</w:t>
      </w:r>
      <w:r w:rsidR="00CB70C5">
        <w:t xml:space="preserve"> will be addressed</w:t>
      </w:r>
      <w:r>
        <w:t>, with consideration given to the provision of care services in Ireland</w:t>
      </w:r>
      <w:r w:rsidR="00CB70C5">
        <w:t>,</w:t>
      </w:r>
      <w:r>
        <w:t xml:space="preserve"> and the barriers to accessing services. </w:t>
      </w:r>
    </w:p>
    <w:p w14:paraId="776D5B37" w14:textId="20EDE30C" w:rsidR="00433A93" w:rsidRPr="00906B8B" w:rsidRDefault="00433A93" w:rsidP="00433A93">
      <w:pPr>
        <w:pStyle w:val="Heading2"/>
      </w:pPr>
      <w:bookmarkStart w:id="50" w:name="_Toc116045672"/>
      <w:bookmarkStart w:id="51" w:name="_Toc118555189"/>
      <w:bookmarkStart w:id="52" w:name="_Toc118558249"/>
      <w:bookmarkStart w:id="53" w:name="_Toc118558347"/>
      <w:bookmarkStart w:id="54" w:name="_Toc121830602"/>
      <w:r w:rsidRPr="00906B8B">
        <w:t xml:space="preserve">Models of </w:t>
      </w:r>
      <w:bookmarkEnd w:id="50"/>
      <w:r w:rsidR="002015C3" w:rsidRPr="00906B8B">
        <w:t>c</w:t>
      </w:r>
      <w:r w:rsidRPr="00906B8B">
        <w:t>are</w:t>
      </w:r>
      <w:bookmarkEnd w:id="51"/>
      <w:bookmarkEnd w:id="52"/>
      <w:bookmarkEnd w:id="53"/>
      <w:bookmarkEnd w:id="54"/>
    </w:p>
    <w:p w14:paraId="3951343B" w14:textId="4D656A2F" w:rsidR="00433A93" w:rsidRPr="00B10401" w:rsidRDefault="00433A93" w:rsidP="00433A93">
      <w:pPr>
        <w:rPr>
          <w:rFonts w:cstheme="minorBidi"/>
        </w:rPr>
      </w:pPr>
      <w:r>
        <w:t xml:space="preserve">A model of care defines the way health services are organised </w:t>
      </w:r>
      <w:r w:rsidR="00647D67">
        <w:t>and</w:t>
      </w:r>
      <w:r>
        <w:t xml:space="preserve"> provides guidance on how to deliver best</w:t>
      </w:r>
      <w:r w:rsidR="00CD3BFE">
        <w:t>-</w:t>
      </w:r>
      <w:r>
        <w:t>practice care and services for a person or population as they move through the stages of a condition, injury, or event</w:t>
      </w:r>
      <w:r w:rsidR="00B702CB">
        <w:t xml:space="preserve"> </w:t>
      </w:r>
      <w:r>
        <w:fldChar w:fldCharType="begin"/>
      </w:r>
      <w:r>
        <w:instrText xml:space="preserve"> ADDIN EN.CITE &lt;EndNote&gt;&lt;Cite&gt;&lt;Author&gt;New South Wales Agency for Clinical Innovation&lt;/Author&gt;&lt;Year&gt;2013&lt;/Year&gt;&lt;RecNum&gt;668&lt;/RecNum&gt;&lt;DisplayText&gt;(New South Wales Agency for Clinical Innovation, 2013)&lt;/DisplayText&gt;&lt;record&gt;&lt;rec-number&gt;668&lt;/rec-number&gt;&lt;foreign-keys&gt;&lt;key app="EN" db-id="xtwfdzde5ttr0zevxrh5sf0c2wfzw5zf2vra" timestamp="1657640198" guid="8a52726a-8504-4a7b-9507-9abab131e782"&gt;668&lt;/key&gt;&lt;/foreign-keys&gt;&lt;ref-type name="Report"&gt;27&lt;/ref-type&gt;&lt;contributors&gt;&lt;authors&gt;&lt;author&gt;New South Wales Agency for Clinical Innovation, &lt;/author&gt;&lt;/authors&gt;&lt;/contributors&gt;&lt;titles&gt;&lt;title&gt;Understanding the process to develop a Model of Care An ACI Framework&lt;/title&gt;&lt;/titles&gt;&lt;dates&gt;&lt;year&gt;2013&lt;/year&gt;&lt;pub-dates&gt;&lt;date&gt;May&lt;/date&gt;&lt;/pub-dates&gt;&lt;/dates&gt;&lt;pub-location&gt;New South Wales&lt;/pub-location&gt;&lt;publisher&gt;NSW Agency for Clinical Innovation&lt;/publisher&gt;&lt;urls&gt;&lt;related-urls&gt;&lt;url&gt;https://aci.health.nsw.gov.au/__data/assets/pdf_file/0009/181935/HS13-034_Framework-DevelopMoC_D7.pdf&lt;/url&gt;&lt;/related-urls&gt;&lt;/urls&gt;&lt;/record&gt;&lt;/Cite&gt;&lt;/EndNote&gt;</w:instrText>
      </w:r>
      <w:r>
        <w:fldChar w:fldCharType="separate"/>
      </w:r>
      <w:r w:rsidR="001A2C2E" w:rsidRPr="11C55A92">
        <w:rPr>
          <w:noProof/>
        </w:rPr>
        <w:t>(New South Wales Agency for Clinical Innovation, 2013)</w:t>
      </w:r>
      <w:r>
        <w:fldChar w:fldCharType="end"/>
      </w:r>
      <w:r w:rsidR="00B702CB">
        <w:t xml:space="preserve">. </w:t>
      </w:r>
      <w:r>
        <w:t>It aims to ensure that people receive the “right care, at the right time, by the right team and in the right place”</w:t>
      </w:r>
      <w:r w:rsidR="451B6F23">
        <w:t xml:space="preserve"> (Ibid, p.3)</w:t>
      </w:r>
      <w:r>
        <w:t xml:space="preserve"> </w:t>
      </w:r>
      <w:r>
        <w:fldChar w:fldCharType="begin"/>
      </w:r>
      <w:r>
        <w:instrText xml:space="preserve"> ADDIN EN.CITE &lt;EndNote&gt;&lt;Cite&gt;&lt;Author&gt;New South Wales Agency for Clinical Innovation&lt;/Author&gt;&lt;Year&gt;2013&lt;/Year&gt;&lt;RecNum&gt;668&lt;/RecNum&gt;&lt;Pages&gt;3&lt;/Pages&gt;&lt;DisplayText&gt;(New South Wales Agency for Clinical Innovation, 2013, p. 3)&lt;/DisplayText&gt;&lt;record&gt;&lt;rec-number&gt;668&lt;/rec-number&gt;&lt;foreign-keys&gt;&lt;key app="EN" db-id="xtwfdzde5ttr0zevxrh5sf0c2wfzw5zf2vra" timestamp="1657640198" guid="8a52726a-8504-4a7b-9507-9abab131e782"&gt;668&lt;/key&gt;&lt;/foreign-keys&gt;&lt;ref-type name="Report"&gt;27&lt;/ref-type&gt;&lt;contributors&gt;&lt;authors&gt;&lt;author&gt;New South Wales Agency for Clinical Innovation, &lt;/author&gt;&lt;/authors&gt;&lt;/contributors&gt;&lt;titles&gt;&lt;title&gt;Understanding the process to develop a Model of Care An ACI Framework&lt;/title&gt;&lt;/titles&gt;&lt;dates&gt;&lt;year&gt;2013&lt;/year&gt;&lt;pub-dates&gt;&lt;date&gt;May&lt;/date&gt;&lt;/pub-dates&gt;&lt;/dates&gt;&lt;pub-location&gt;New South Wales&lt;/pub-location&gt;&lt;publisher&gt;NSW Agency for Clinical Innovation&lt;/publisher&gt;&lt;urls&gt;&lt;related-urls&gt;&lt;url&gt;https://aci.health.nsw.gov.au/__data/assets/pdf_file/0009/181935/HS13-034_Framework-DevelopMoC_D7.pdf&lt;/url&gt;&lt;/related-urls&gt;&lt;/urls&gt;&lt;/record&gt;&lt;/Cite&gt;&lt;/EndNote&gt;</w:instrText>
      </w:r>
      <w:r>
        <w:fldChar w:fldCharType="separate"/>
      </w:r>
      <w:r w:rsidR="00573F7E">
        <w:rPr>
          <w:noProof/>
        </w:rPr>
        <w:t>(New South Wales Agency for Clinical Innovation, 2013, p. 3)</w:t>
      </w:r>
      <w:r>
        <w:fldChar w:fldCharType="end"/>
      </w:r>
      <w:r w:rsidR="00B12A5D">
        <w:t xml:space="preserve"> </w:t>
      </w:r>
      <w:r>
        <w:t xml:space="preserve">and is guided by core components and principles that sit within a structured framework which guides the implementation and evaluation of care </w:t>
      </w:r>
      <w:r>
        <w:fldChar w:fldCharType="begin"/>
      </w:r>
      <w:r>
        <w:instrText xml:space="preserve"> ADDIN EN.CITE &lt;EndNote&gt;&lt;Cite&gt;&lt;Author&gt;palliAGED&lt;/Author&gt;&lt;Year&gt;2021&lt;/Year&gt;&lt;RecNum&gt;669&lt;/RecNum&gt;&lt;DisplayText&gt;(palliAGED, 2021)&lt;/DisplayText&gt;&lt;record&gt;&lt;rec-number&gt;669&lt;/rec-number&gt;&lt;foreign-keys&gt;&lt;key app="EN" db-id="xtwfdzde5ttr0zevxrh5sf0c2wfzw5zf2vra" timestamp="1657720371" guid="de0057fa-0746-4b83-83fa-5ed8a268edc5"&gt;669&lt;/key&gt;&lt;/foreign-keys&gt;&lt;ref-type name="Web Page"&gt;12&lt;/ref-type&gt;&lt;contributors&gt;&lt;authors&gt;&lt;author&gt;palliAGED, &lt;/author&gt;&lt;/authors&gt;&lt;/contributors&gt;&lt;titles&gt;&lt;title&gt;Models of Care&lt;/title&gt;&lt;/titles&gt;&lt;volume&gt;2022&lt;/volume&gt;&lt;number&gt;13/07/2022&lt;/number&gt;&lt;dates&gt;&lt;year&gt;2021&lt;/year&gt;&lt;pub-dates&gt;&lt;date&gt;30 June 2021&lt;/date&gt;&lt;/pub-dates&gt;&lt;/dates&gt;&lt;urls&gt;&lt;related-urls&gt;&lt;url&gt;https://www.palliaged.com.au/tabid/4501/Default.aspx&lt;/url&gt;&lt;/related-urls&gt;&lt;/urls&gt;&lt;/record&gt;&lt;/Cite&gt;&lt;/EndNote&gt;</w:instrText>
      </w:r>
      <w:r>
        <w:fldChar w:fldCharType="separate"/>
      </w:r>
      <w:r w:rsidRPr="11C55A92">
        <w:rPr>
          <w:noProof/>
        </w:rPr>
        <w:t>(palliAGED, 2021)</w:t>
      </w:r>
      <w:r>
        <w:fldChar w:fldCharType="end"/>
      </w:r>
      <w:r>
        <w:t>.</w:t>
      </w:r>
      <w:r w:rsidRPr="11C55A92">
        <w:rPr>
          <w:rFonts w:cstheme="minorBidi"/>
        </w:rPr>
        <w:t xml:space="preserve"> </w:t>
      </w:r>
      <w:r w:rsidR="767C8420" w:rsidRPr="7F45FF05">
        <w:rPr>
          <w:rFonts w:cstheme="minorBidi"/>
        </w:rPr>
        <w:t xml:space="preserve">Any such model of care should also be cognisant </w:t>
      </w:r>
      <w:r w:rsidR="00672E66" w:rsidRPr="7F45FF05">
        <w:rPr>
          <w:rFonts w:cstheme="minorBidi"/>
        </w:rPr>
        <w:t>of the obligations imposed by</w:t>
      </w:r>
      <w:r w:rsidR="002C0414">
        <w:rPr>
          <w:rFonts w:cstheme="minorBidi"/>
        </w:rPr>
        <w:t xml:space="preserve"> the United Nations</w:t>
      </w:r>
      <w:r w:rsidR="00672E66" w:rsidRPr="7F45FF05">
        <w:rPr>
          <w:rFonts w:cstheme="minorBidi"/>
        </w:rPr>
        <w:t xml:space="preserve"> </w:t>
      </w:r>
      <w:r w:rsidR="002C0414">
        <w:rPr>
          <w:rFonts w:cstheme="minorBidi"/>
        </w:rPr>
        <w:fldChar w:fldCharType="begin"/>
      </w:r>
      <w:r w:rsidR="00B6749B">
        <w:rPr>
          <w:rFonts w:cstheme="minorBidi"/>
        </w:rPr>
        <w:instrText xml:space="preserve"> ADDIN EN.CITE &lt;EndNote&gt;&lt;Cite ExcludeAuth="1"&gt;&lt;Author&gt;United Nations&lt;/Author&gt;&lt;Year&gt;2006&lt;/Year&gt;&lt;RecNum&gt;778&lt;/RecNum&gt;&lt;DisplayText&gt;(2006)&lt;/DisplayText&gt;&lt;record&gt;&lt;rec-number&gt;778&lt;/rec-number&gt;&lt;foreign-keys&gt;&lt;key app="EN" db-id="xtwfdzde5ttr0zevxrh5sf0c2wfzw5zf2vra" timestamp="1669637350" guid="edfea352-7132-42a9-88a6-2c47e3dbf84f"&gt;778&lt;/key&gt;&lt;/foreign-keys&gt;&lt;ref-type name="Report"&gt;27&lt;/ref-type&gt;&lt;contributors&gt;&lt;authors&gt;&lt;author&gt;United Nations, &lt;/author&gt;&lt;/authors&gt;&lt;/contributors&gt;&lt;titles&gt;&lt;title&gt;United Nations Convention on the Rights of Persons with Disabilities. &lt;/title&gt;&lt;/titles&gt;&lt;dates&gt;&lt;year&gt;2006&lt;/year&gt;&lt;/dates&gt;&lt;pub-location&gt;Geneva&lt;/pub-location&gt;&lt;publisher&gt;United Nations&lt;/publisher&gt;&lt;urls&gt;&lt;/urls&gt;&lt;/record&gt;&lt;/Cite&gt;&lt;/EndNote&gt;</w:instrText>
      </w:r>
      <w:r w:rsidR="002C0414">
        <w:rPr>
          <w:rFonts w:cstheme="minorBidi"/>
        </w:rPr>
        <w:fldChar w:fldCharType="separate"/>
      </w:r>
      <w:r w:rsidR="002C0414">
        <w:rPr>
          <w:rFonts w:cstheme="minorBidi"/>
          <w:noProof/>
        </w:rPr>
        <w:t>(2006)</w:t>
      </w:r>
      <w:r w:rsidR="002C0414">
        <w:rPr>
          <w:rFonts w:cstheme="minorBidi"/>
        </w:rPr>
        <w:fldChar w:fldCharType="end"/>
      </w:r>
      <w:r w:rsidR="00672E66" w:rsidRPr="7F45FF05">
        <w:rPr>
          <w:rFonts w:cstheme="minorBidi"/>
        </w:rPr>
        <w:t xml:space="preserve"> Convention on the Rights of Persons with Disabilities (UNCRPD)</w:t>
      </w:r>
      <w:r w:rsidR="00D9531C">
        <w:rPr>
          <w:rFonts w:cstheme="minorBidi"/>
        </w:rPr>
        <w:t xml:space="preserve"> </w:t>
      </w:r>
      <w:r w:rsidR="106429D3" w:rsidRPr="7F45FF05">
        <w:rPr>
          <w:rFonts w:cstheme="minorBidi"/>
        </w:rPr>
        <w:t>to ensure that all people with disabilities are treated as people with rights</w:t>
      </w:r>
      <w:r w:rsidR="54C56AE8" w:rsidRPr="7F45FF05">
        <w:rPr>
          <w:rFonts w:cstheme="minorBidi"/>
        </w:rPr>
        <w:t xml:space="preserve">, </w:t>
      </w:r>
      <w:r w:rsidR="288D4D08" w:rsidRPr="7F45FF05">
        <w:rPr>
          <w:rFonts w:cstheme="minorBidi"/>
        </w:rPr>
        <w:t xml:space="preserve">with </w:t>
      </w:r>
      <w:r w:rsidR="106429D3" w:rsidRPr="7F45FF05">
        <w:rPr>
          <w:rFonts w:cstheme="minorBidi"/>
        </w:rPr>
        <w:t xml:space="preserve">the </w:t>
      </w:r>
      <w:r w:rsidR="4B16D736" w:rsidRPr="7F45FF05">
        <w:rPr>
          <w:rFonts w:cstheme="minorBidi"/>
        </w:rPr>
        <w:t>capacity to claim those rights</w:t>
      </w:r>
      <w:r w:rsidR="6DB18016" w:rsidRPr="7F45FF05">
        <w:rPr>
          <w:rFonts w:cstheme="minorBidi"/>
        </w:rPr>
        <w:t xml:space="preserve">, </w:t>
      </w:r>
      <w:r w:rsidR="591029CD" w:rsidRPr="7F45FF05">
        <w:rPr>
          <w:rFonts w:cstheme="minorBidi"/>
        </w:rPr>
        <w:t>make</w:t>
      </w:r>
      <w:r w:rsidR="6DB18016" w:rsidRPr="7F45FF05">
        <w:rPr>
          <w:rFonts w:cstheme="minorBidi"/>
        </w:rPr>
        <w:t xml:space="preserve"> decisions for themselves and participate as active members of society. </w:t>
      </w:r>
      <w:r w:rsidRPr="11C55A92">
        <w:rPr>
          <w:rFonts w:cstheme="minorBidi"/>
        </w:rPr>
        <w:t xml:space="preserve">However, to date, </w:t>
      </w:r>
      <w:r>
        <w:t xml:space="preserve">there is no universally agreed-upon model of care for older people </w:t>
      </w:r>
      <w:r w:rsidR="007B4A0C">
        <w:t>with intellectual disabilities</w:t>
      </w:r>
      <w:r>
        <w:t xml:space="preserve"> and complex age-related conditions, and the literature highlights that there is a need for such a model to address the gaps in service provision and the level of fragmented care that is experienced.</w:t>
      </w:r>
    </w:p>
    <w:p w14:paraId="428A8CD7" w14:textId="49E0BF66" w:rsidR="008435FD" w:rsidRDefault="00433A93" w:rsidP="11C55A92">
      <w:pPr>
        <w:rPr>
          <w:rFonts w:cstheme="minorBidi"/>
        </w:rPr>
      </w:pPr>
      <w:r w:rsidRPr="11C55A92">
        <w:rPr>
          <w:rFonts w:cstheme="minorBidi"/>
        </w:rPr>
        <w:t xml:space="preserve">The key components and underpinning principles of a model of care for older adults </w:t>
      </w:r>
      <w:r w:rsidR="007B4A0C" w:rsidRPr="11C55A92">
        <w:rPr>
          <w:rFonts w:cstheme="minorBidi"/>
        </w:rPr>
        <w:t>with intellectual disabilities</w:t>
      </w:r>
      <w:r w:rsidRPr="11C55A92">
        <w:rPr>
          <w:rFonts w:cstheme="minorBidi"/>
        </w:rPr>
        <w:t xml:space="preserve"> and complex age-related conditions are described in a systematic review by </w:t>
      </w:r>
      <w:r w:rsidRPr="11C55A92">
        <w:rPr>
          <w:rFonts w:cstheme="minorBidi"/>
        </w:rPr>
        <w:fldChar w:fldCharType="begin"/>
      </w:r>
      <w:r w:rsidRPr="11C55A92">
        <w:rPr>
          <w:rFonts w:cstheme="minorBidi"/>
        </w:rPr>
        <w:instrText xml:space="preserve"> ADDIN EN.CITE &lt;EndNote&gt;&lt;Cite AuthorYear="1"&gt;&lt;Author&gt;Sheerin&lt;/Author&gt;&lt;Year&gt;2021&lt;/Year&gt;&lt;RecNum&gt;658&lt;/RecNum&gt;&lt;DisplayText&gt;Sheerin et al. (2021a)&lt;/DisplayText&gt;&lt;record&gt;&lt;rec-number&gt;658&lt;/rec-number&gt;&lt;foreign-keys&gt;&lt;key app="EN" db-id="xtwfdzde5ttr0zevxrh5sf0c2wfzw5zf2vra" timestamp="1657546608" guid="83298505-6f88-4222-b415-1a7ec538af8e"&gt;658&lt;/key&gt;&lt;/foreign-keys&gt;&lt;ref-type name="Unpublished Work"&gt;34&lt;/ref-type&gt;&lt;contributors&gt;&lt;authors&gt;&lt;author&gt;Sheerin, Fintan&lt;/author&gt;&lt;author&gt;Fleming, Sandra&lt;/author&gt;&lt;author&gt;Naseer, Amara&lt;/author&gt;&lt;author&gt;Foden, Eadaoin &lt;/author&gt;&lt;author&gt;McCallion, Philip&lt;/author&gt;&lt;author&gt;McCarron, Mary&lt;/author&gt;&lt;/authors&gt;&lt;/contributors&gt;&lt;titles&gt;&lt;title&gt;Care of Older Adults with Intellectual Disabilities and Complex Age-Related Conditions: A Systematic Review Final Report [Unpublished Manuscript]&lt;/title&gt;&lt;/titles&gt;&lt;dates&gt;&lt;year&gt;2021&lt;/year&gt;&lt;pub-dates&gt;&lt;date&gt;July&lt;/date&gt;&lt;/pub-dates&gt;&lt;/dates&gt;&lt;pub-location&gt;Dublin&lt;/pub-location&gt;&lt;publisher&gt;Trinity Centre for Ageing and Intellectual Disability&lt;/publisher&gt;&lt;urls&gt;&lt;/urls&gt;&lt;/record&gt;&lt;/Cite&gt;&lt;/EndNote&gt;</w:instrText>
      </w:r>
      <w:r w:rsidRPr="11C55A92">
        <w:rPr>
          <w:rFonts w:cstheme="minorBidi"/>
        </w:rPr>
        <w:fldChar w:fldCharType="separate"/>
      </w:r>
      <w:r w:rsidR="00E03FFB" w:rsidRPr="11C55A92">
        <w:rPr>
          <w:rFonts w:cstheme="minorBidi"/>
          <w:noProof/>
        </w:rPr>
        <w:t>Sheerin et al. (2021a)</w:t>
      </w:r>
      <w:r w:rsidRPr="11C55A92">
        <w:rPr>
          <w:rFonts w:cstheme="minorBidi"/>
        </w:rPr>
        <w:fldChar w:fldCharType="end"/>
      </w:r>
      <w:r w:rsidRPr="11C55A92">
        <w:rPr>
          <w:rFonts w:cstheme="minorBidi"/>
        </w:rPr>
        <w:t xml:space="preserve">. While the review did not identify a specific model of care, several recurrent concepts seen as central to the provision of service and care for older people </w:t>
      </w:r>
      <w:r w:rsidR="007B4A0C" w:rsidRPr="11C55A92">
        <w:rPr>
          <w:rFonts w:cstheme="minorBidi"/>
        </w:rPr>
        <w:t>with intellectual disabilities</w:t>
      </w:r>
      <w:r w:rsidRPr="11C55A92">
        <w:rPr>
          <w:rFonts w:cstheme="minorBidi"/>
        </w:rPr>
        <w:t xml:space="preserve"> were identified. These key components include integration, planning, workforce, and networking</w:t>
      </w:r>
      <w:r w:rsidR="00783926">
        <w:rPr>
          <w:rFonts w:cstheme="minorBidi"/>
        </w:rPr>
        <w:t xml:space="preserve"> (Figure 1)</w:t>
      </w:r>
      <w:r w:rsidRPr="11C55A92">
        <w:rPr>
          <w:rFonts w:cstheme="minorBidi"/>
        </w:rPr>
        <w:t>.</w:t>
      </w:r>
    </w:p>
    <w:p w14:paraId="713586A7" w14:textId="042CB78F" w:rsidR="005B791C" w:rsidRDefault="005B791C" w:rsidP="11C55A92">
      <w:pPr>
        <w:rPr>
          <w:rFonts w:cstheme="minorBidi"/>
        </w:rPr>
        <w:sectPr w:rsidR="005B791C" w:rsidSect="00B5382A">
          <w:pgSz w:w="12240" w:h="15840"/>
          <w:pgMar w:top="1135" w:right="1701" w:bottom="1418" w:left="1701" w:header="709" w:footer="709" w:gutter="0"/>
          <w:pgNumType w:start="1"/>
          <w:cols w:space="708"/>
          <w:docGrid w:linePitch="360"/>
        </w:sectPr>
      </w:pPr>
    </w:p>
    <w:p w14:paraId="7D4A3853" w14:textId="736B8BDE" w:rsidR="00433A93" w:rsidRPr="00906B8B" w:rsidRDefault="002E7C65" w:rsidP="00C663AC">
      <w:pPr>
        <w:pStyle w:val="Caption"/>
        <w:rPr>
          <w:rFonts w:cstheme="minorHAnsi"/>
        </w:rPr>
      </w:pPr>
      <w:bookmarkStart w:id="55" w:name="_Toc118455449"/>
      <w:bookmarkStart w:id="56" w:name="_Toc121830564"/>
      <w:r w:rsidRPr="00906B8B">
        <w:t xml:space="preserve">Figure </w:t>
      </w:r>
      <w:r w:rsidRPr="00906B8B">
        <w:fldChar w:fldCharType="begin"/>
      </w:r>
      <w:r w:rsidRPr="00906B8B">
        <w:instrText>SEQ Figure \* ARABIC</w:instrText>
      </w:r>
      <w:r w:rsidRPr="00906B8B">
        <w:fldChar w:fldCharType="separate"/>
      </w:r>
      <w:r w:rsidR="004B09C8" w:rsidRPr="00906B8B">
        <w:rPr>
          <w:noProof/>
        </w:rPr>
        <w:t>1</w:t>
      </w:r>
      <w:r w:rsidRPr="00906B8B">
        <w:fldChar w:fldCharType="end"/>
      </w:r>
      <w:r w:rsidRPr="00906B8B">
        <w:t>: Components of a model of care for older people with intellectual disabilities and age-related complex needs</w:t>
      </w:r>
      <w:bookmarkEnd w:id="55"/>
      <w:bookmarkEnd w:id="56"/>
    </w:p>
    <w:p w14:paraId="1431E038" w14:textId="09AD32A1" w:rsidR="008D34BA" w:rsidRDefault="008D34BA">
      <w:pPr>
        <w:spacing w:after="0"/>
        <w:rPr>
          <w:rFonts w:cstheme="minorBidi"/>
        </w:rPr>
      </w:pPr>
    </w:p>
    <w:p w14:paraId="2F5A2413" w14:textId="77777777" w:rsidR="000038DF" w:rsidRDefault="000038DF">
      <w:pPr>
        <w:spacing w:after="0"/>
        <w:rPr>
          <w:b/>
          <w:bCs/>
          <w:sz w:val="20"/>
          <w:szCs w:val="20"/>
        </w:rPr>
      </w:pPr>
    </w:p>
    <w:p w14:paraId="543A4D18" w14:textId="7AB607B8" w:rsidR="005B791C" w:rsidRDefault="005B791C">
      <w:pPr>
        <w:spacing w:after="0"/>
        <w:rPr>
          <w:b/>
          <w:bCs/>
          <w:sz w:val="20"/>
          <w:szCs w:val="20"/>
        </w:rPr>
      </w:pPr>
      <w:r>
        <w:rPr>
          <w:noProof/>
          <w:lang w:eastAsia="en-IE"/>
        </w:rPr>
        <w:drawing>
          <wp:anchor distT="0" distB="0" distL="114300" distR="114300" simplePos="0" relativeHeight="251658245" behindDoc="0" locked="0" layoutInCell="1" allowOverlap="1" wp14:anchorId="36D21364" wp14:editId="1A433D7F">
            <wp:simplePos x="0" y="0"/>
            <wp:positionH relativeFrom="page">
              <wp:posOffset>2171700</wp:posOffset>
            </wp:positionH>
            <wp:positionV relativeFrom="margin">
              <wp:posOffset>805815</wp:posOffset>
            </wp:positionV>
            <wp:extent cx="6267600" cy="4204800"/>
            <wp:effectExtent l="0" t="0" r="0" b="5715"/>
            <wp:wrapSquare wrapText="bothSides"/>
            <wp:docPr id="3" name="Picture 3" descr="Components of a model of care for older people with intellectual disabilities and age-related complex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mponents of a model of care for older people with intellectual disabilities and age-related complex nee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7600" cy="42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142E33" w14:textId="01FA4F04" w:rsidR="005B791C" w:rsidRDefault="005B791C">
      <w:pPr>
        <w:spacing w:after="0"/>
        <w:rPr>
          <w:b/>
          <w:bCs/>
          <w:sz w:val="20"/>
          <w:szCs w:val="20"/>
        </w:rPr>
      </w:pPr>
    </w:p>
    <w:p w14:paraId="524BD725" w14:textId="77777777" w:rsidR="005B791C" w:rsidRDefault="005B791C">
      <w:pPr>
        <w:spacing w:after="0"/>
        <w:rPr>
          <w:b/>
          <w:bCs/>
          <w:sz w:val="20"/>
          <w:szCs w:val="20"/>
        </w:rPr>
      </w:pPr>
    </w:p>
    <w:p w14:paraId="335835CF" w14:textId="77777777" w:rsidR="005B791C" w:rsidRDefault="005B791C">
      <w:pPr>
        <w:spacing w:after="0"/>
        <w:rPr>
          <w:b/>
          <w:bCs/>
          <w:sz w:val="20"/>
          <w:szCs w:val="20"/>
        </w:rPr>
      </w:pPr>
    </w:p>
    <w:p w14:paraId="7411189E" w14:textId="77777777" w:rsidR="005B791C" w:rsidRDefault="005B791C">
      <w:pPr>
        <w:spacing w:after="0"/>
        <w:rPr>
          <w:b/>
          <w:bCs/>
          <w:sz w:val="20"/>
          <w:szCs w:val="20"/>
        </w:rPr>
      </w:pPr>
    </w:p>
    <w:p w14:paraId="0F3D6E3C" w14:textId="77777777" w:rsidR="005B791C" w:rsidRDefault="005B791C">
      <w:pPr>
        <w:spacing w:after="0"/>
        <w:rPr>
          <w:b/>
          <w:bCs/>
          <w:sz w:val="20"/>
          <w:szCs w:val="20"/>
        </w:rPr>
      </w:pPr>
    </w:p>
    <w:p w14:paraId="0C14EC99" w14:textId="77777777" w:rsidR="005B791C" w:rsidRDefault="005B791C">
      <w:pPr>
        <w:spacing w:after="0"/>
        <w:rPr>
          <w:b/>
          <w:bCs/>
          <w:sz w:val="20"/>
          <w:szCs w:val="20"/>
        </w:rPr>
      </w:pPr>
    </w:p>
    <w:p w14:paraId="459262F9" w14:textId="77777777" w:rsidR="005B791C" w:rsidRDefault="005B791C">
      <w:pPr>
        <w:spacing w:after="0"/>
        <w:rPr>
          <w:b/>
          <w:bCs/>
          <w:sz w:val="20"/>
          <w:szCs w:val="20"/>
        </w:rPr>
      </w:pPr>
    </w:p>
    <w:p w14:paraId="3D74D930" w14:textId="77777777" w:rsidR="005B791C" w:rsidRDefault="005B791C">
      <w:pPr>
        <w:spacing w:after="0"/>
        <w:rPr>
          <w:b/>
          <w:bCs/>
          <w:sz w:val="20"/>
          <w:szCs w:val="20"/>
        </w:rPr>
      </w:pPr>
    </w:p>
    <w:p w14:paraId="581CE825" w14:textId="77777777" w:rsidR="005B791C" w:rsidRDefault="005B791C">
      <w:pPr>
        <w:spacing w:after="0"/>
        <w:rPr>
          <w:b/>
          <w:bCs/>
          <w:sz w:val="20"/>
          <w:szCs w:val="20"/>
        </w:rPr>
      </w:pPr>
    </w:p>
    <w:p w14:paraId="494E59DF" w14:textId="77777777" w:rsidR="005B791C" w:rsidRDefault="005B791C">
      <w:pPr>
        <w:spacing w:after="0"/>
        <w:rPr>
          <w:b/>
          <w:bCs/>
          <w:sz w:val="20"/>
          <w:szCs w:val="20"/>
        </w:rPr>
      </w:pPr>
    </w:p>
    <w:p w14:paraId="2752A61A" w14:textId="77777777" w:rsidR="005B791C" w:rsidRDefault="005B791C">
      <w:pPr>
        <w:spacing w:after="0"/>
        <w:rPr>
          <w:b/>
          <w:bCs/>
          <w:sz w:val="20"/>
          <w:szCs w:val="20"/>
        </w:rPr>
      </w:pPr>
    </w:p>
    <w:p w14:paraId="26730F50" w14:textId="77777777" w:rsidR="005B791C" w:rsidRDefault="005B791C">
      <w:pPr>
        <w:spacing w:after="0"/>
        <w:rPr>
          <w:b/>
          <w:bCs/>
          <w:sz w:val="20"/>
          <w:szCs w:val="20"/>
        </w:rPr>
      </w:pPr>
    </w:p>
    <w:p w14:paraId="723E444F" w14:textId="77777777" w:rsidR="005B791C" w:rsidRDefault="005B791C">
      <w:pPr>
        <w:spacing w:after="0"/>
        <w:rPr>
          <w:b/>
          <w:bCs/>
          <w:sz w:val="20"/>
          <w:szCs w:val="20"/>
        </w:rPr>
      </w:pPr>
    </w:p>
    <w:p w14:paraId="07EB8A4B" w14:textId="77777777" w:rsidR="005B791C" w:rsidRDefault="005B791C">
      <w:pPr>
        <w:spacing w:after="0"/>
        <w:rPr>
          <w:b/>
          <w:bCs/>
          <w:sz w:val="20"/>
          <w:szCs w:val="20"/>
        </w:rPr>
      </w:pPr>
    </w:p>
    <w:p w14:paraId="16349363" w14:textId="77777777" w:rsidR="005B791C" w:rsidRDefault="005B791C">
      <w:pPr>
        <w:spacing w:after="0"/>
        <w:rPr>
          <w:b/>
          <w:bCs/>
          <w:sz w:val="20"/>
          <w:szCs w:val="20"/>
        </w:rPr>
      </w:pPr>
    </w:p>
    <w:p w14:paraId="783A2599" w14:textId="77777777" w:rsidR="005B791C" w:rsidRDefault="005B791C">
      <w:pPr>
        <w:spacing w:after="0"/>
        <w:rPr>
          <w:b/>
          <w:bCs/>
          <w:sz w:val="20"/>
          <w:szCs w:val="20"/>
        </w:rPr>
      </w:pPr>
    </w:p>
    <w:p w14:paraId="38EE2752" w14:textId="77777777" w:rsidR="005B791C" w:rsidRDefault="005B791C">
      <w:pPr>
        <w:spacing w:after="0"/>
        <w:rPr>
          <w:b/>
          <w:bCs/>
          <w:sz w:val="20"/>
          <w:szCs w:val="20"/>
        </w:rPr>
      </w:pPr>
    </w:p>
    <w:p w14:paraId="4CCA6D76" w14:textId="77777777" w:rsidR="005B791C" w:rsidRDefault="005B791C">
      <w:pPr>
        <w:spacing w:after="0"/>
        <w:rPr>
          <w:b/>
          <w:bCs/>
          <w:sz w:val="20"/>
          <w:szCs w:val="20"/>
        </w:rPr>
      </w:pPr>
    </w:p>
    <w:p w14:paraId="1019B46F" w14:textId="77777777" w:rsidR="005B791C" w:rsidRDefault="005B791C">
      <w:pPr>
        <w:spacing w:after="0"/>
        <w:rPr>
          <w:b/>
          <w:bCs/>
          <w:sz w:val="20"/>
          <w:szCs w:val="20"/>
        </w:rPr>
      </w:pPr>
    </w:p>
    <w:p w14:paraId="3BCB44E4" w14:textId="77777777" w:rsidR="005B791C" w:rsidRDefault="005B791C">
      <w:pPr>
        <w:spacing w:after="0"/>
        <w:rPr>
          <w:b/>
          <w:bCs/>
          <w:sz w:val="20"/>
          <w:szCs w:val="20"/>
        </w:rPr>
      </w:pPr>
    </w:p>
    <w:p w14:paraId="36AA9DC4" w14:textId="77777777" w:rsidR="005B791C" w:rsidRDefault="005B791C">
      <w:pPr>
        <w:spacing w:after="0"/>
        <w:rPr>
          <w:b/>
          <w:bCs/>
          <w:sz w:val="20"/>
          <w:szCs w:val="20"/>
        </w:rPr>
      </w:pPr>
    </w:p>
    <w:p w14:paraId="42B6A02F" w14:textId="1172893B" w:rsidR="005B791C" w:rsidRDefault="005B791C">
      <w:pPr>
        <w:spacing w:after="0"/>
        <w:rPr>
          <w:b/>
          <w:bCs/>
          <w:sz w:val="20"/>
          <w:szCs w:val="20"/>
        </w:rPr>
      </w:pPr>
    </w:p>
    <w:p w14:paraId="7A9A389E" w14:textId="720763D6" w:rsidR="005B791C" w:rsidRDefault="000F448E">
      <w:pPr>
        <w:spacing w:after="0"/>
        <w:rPr>
          <w:b/>
          <w:bCs/>
          <w:sz w:val="20"/>
          <w:szCs w:val="20"/>
        </w:rPr>
      </w:pPr>
      <w:r>
        <w:rPr>
          <w:noProof/>
          <w:lang w:eastAsia="en-IE"/>
        </w:rPr>
        <mc:AlternateContent>
          <mc:Choice Requires="wps">
            <w:drawing>
              <wp:anchor distT="0" distB="0" distL="114300" distR="114300" simplePos="0" relativeHeight="251658246" behindDoc="0" locked="0" layoutInCell="1" allowOverlap="1" wp14:anchorId="04E484B0" wp14:editId="271D9FAD">
                <wp:simplePos x="0" y="0"/>
                <wp:positionH relativeFrom="column">
                  <wp:posOffset>575945</wp:posOffset>
                </wp:positionH>
                <wp:positionV relativeFrom="paragraph">
                  <wp:posOffset>11430</wp:posOffset>
                </wp:positionV>
                <wp:extent cx="2628900" cy="600075"/>
                <wp:effectExtent l="0" t="0" r="19050" b="28575"/>
                <wp:wrapNone/>
                <wp:docPr id="6" name="Rectangle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2628900" cy="600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848109" id="Rectangle 6" o:spid="_x0000_s1026" alt="&quot;&quot;" style="position:absolute;margin-left:45.35pt;margin-top:.9pt;width:207pt;height:47.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" fillcolor="white [3212]" strokecolor="white [3212]" strokeweight="1pt"/>
            </w:pict>
          </mc:Fallback>
        </mc:AlternateContent>
      </w:r>
    </w:p>
    <w:p w14:paraId="4D485113" w14:textId="4D025223" w:rsidR="005B791C" w:rsidRDefault="005B791C">
      <w:pPr>
        <w:spacing w:after="0"/>
        <w:rPr>
          <w:b/>
          <w:bCs/>
          <w:sz w:val="20"/>
          <w:szCs w:val="20"/>
        </w:rPr>
      </w:pPr>
    </w:p>
    <w:p w14:paraId="45592822" w14:textId="77777777" w:rsidR="005B791C" w:rsidRDefault="005B791C">
      <w:pPr>
        <w:spacing w:after="0"/>
        <w:rPr>
          <w:b/>
          <w:bCs/>
          <w:sz w:val="20"/>
          <w:szCs w:val="20"/>
        </w:rPr>
      </w:pPr>
    </w:p>
    <w:p w14:paraId="3A2CC308" w14:textId="77777777" w:rsidR="005B791C" w:rsidRDefault="005B791C">
      <w:pPr>
        <w:spacing w:after="0"/>
        <w:rPr>
          <w:b/>
          <w:bCs/>
          <w:sz w:val="20"/>
          <w:szCs w:val="20"/>
        </w:rPr>
      </w:pPr>
    </w:p>
    <w:p w14:paraId="39591CE1" w14:textId="77777777" w:rsidR="005B791C" w:rsidRDefault="005B791C">
      <w:pPr>
        <w:spacing w:after="0"/>
        <w:rPr>
          <w:b/>
          <w:bCs/>
          <w:sz w:val="20"/>
          <w:szCs w:val="20"/>
        </w:rPr>
      </w:pPr>
    </w:p>
    <w:p w14:paraId="1AD775B0" w14:textId="77777777" w:rsidR="005B791C" w:rsidRDefault="005B791C">
      <w:pPr>
        <w:spacing w:after="0"/>
        <w:rPr>
          <w:b/>
          <w:bCs/>
          <w:sz w:val="20"/>
          <w:szCs w:val="20"/>
        </w:rPr>
      </w:pPr>
    </w:p>
    <w:p w14:paraId="25EA34D4" w14:textId="424F032C" w:rsidR="005B791C" w:rsidRDefault="002E7C65" w:rsidP="009D2406">
      <w:pPr>
        <w:pStyle w:val="Caption"/>
        <w:spacing w:before="120" w:after="240"/>
        <w:rPr>
          <w:rFonts w:cstheme="minorBidi"/>
          <w:b w:val="0"/>
          <w:sz w:val="22"/>
          <w:szCs w:val="22"/>
        </w:rPr>
        <w:sectPr w:rsidR="005B791C" w:rsidSect="005B791C">
          <w:pgSz w:w="15840" w:h="12240" w:orient="landscape"/>
          <w:pgMar w:top="1701" w:right="1135" w:bottom="1701" w:left="1418" w:header="709" w:footer="709" w:gutter="0"/>
          <w:cols w:space="708"/>
          <w:docGrid w:linePitch="360"/>
        </w:sectPr>
      </w:pPr>
      <w:r w:rsidRPr="00575440">
        <w:rPr>
          <w:b w:val="0"/>
          <w:sz w:val="22"/>
          <w:szCs w:val="22"/>
        </w:rPr>
        <w:t>Source:</w:t>
      </w:r>
      <w:r w:rsidR="00B1384D" w:rsidRPr="00575440">
        <w:rPr>
          <w:b w:val="0"/>
          <w:sz w:val="22"/>
          <w:szCs w:val="22"/>
        </w:rPr>
        <w:t xml:space="preserve"> </w:t>
      </w:r>
      <w:r w:rsidR="0075587D" w:rsidRPr="00575440">
        <w:rPr>
          <w:rFonts w:cstheme="minorBidi"/>
          <w:b w:val="0"/>
          <w:sz w:val="22"/>
          <w:szCs w:val="22"/>
        </w:rPr>
        <w:fldChar w:fldCharType="begin">
          <w:fldData xml:space="preserve">PEVuZE5vdGU+PENpdGU+PEF1dGhvcj5IU0U8L0F1dGhvcj48WWVhcj4yMDE2PC9ZZWFyPjxSZWNO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</w:fldData>
        </w:fldChar>
      </w:r>
      <w:r w:rsidR="00B26CBF">
        <w:rPr>
          <w:rFonts w:cstheme="minorBidi"/>
          <w:b w:val="0"/>
          <w:sz w:val="22"/>
          <w:szCs w:val="22"/>
        </w:rPr>
        <w:instrText xml:space="preserve"> ADDIN EN.CITE </w:instrText>
      </w:r>
      <w:r w:rsidR="00B26CBF">
        <w:rPr>
          <w:rFonts w:cstheme="minorBidi"/>
          <w:b w:val="0"/>
          <w:sz w:val="22"/>
          <w:szCs w:val="22"/>
        </w:rPr>
        <w:fldChar w:fldCharType="begin">
          <w:fldData xml:space="preserve">PEVuZE5vdGU+PENpdGU+PEF1dGhvcj5IU0U8L0F1dGhvcj48WWVhcj4yMDE2PC9ZZWFyPjxSZWNO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</w:fldData>
        </w:fldChar>
      </w:r>
      <w:r w:rsidR="00B26CBF">
        <w:rPr>
          <w:rFonts w:cstheme="minorBidi"/>
          <w:b w:val="0"/>
          <w:sz w:val="22"/>
          <w:szCs w:val="22"/>
        </w:rPr>
        <w:instrText xml:space="preserve"> ADDIN EN.CITE.DATA </w:instrText>
      </w:r>
      <w:r w:rsidR="00B26CBF">
        <w:rPr>
          <w:rFonts w:cstheme="minorBidi"/>
          <w:b w:val="0"/>
          <w:sz w:val="22"/>
          <w:szCs w:val="22"/>
        </w:rPr>
      </w:r>
      <w:r w:rsidR="00B26CBF">
        <w:rPr>
          <w:rFonts w:cstheme="minorBidi"/>
          <w:b w:val="0"/>
          <w:sz w:val="22"/>
          <w:szCs w:val="22"/>
        </w:rPr>
        <w:fldChar w:fldCharType="end"/>
      </w:r>
      <w:r w:rsidR="0075587D" w:rsidRPr="00575440">
        <w:rPr>
          <w:rFonts w:cstheme="minorBidi"/>
          <w:b w:val="0"/>
          <w:sz w:val="22"/>
          <w:szCs w:val="22"/>
        </w:rPr>
      </w:r>
      <w:r w:rsidR="0075587D" w:rsidRPr="00575440">
        <w:rPr>
          <w:rFonts w:cstheme="minorBidi"/>
          <w:b w:val="0"/>
          <w:sz w:val="22"/>
          <w:szCs w:val="22"/>
        </w:rPr>
        <w:fldChar w:fldCharType="separate"/>
      </w:r>
      <w:r w:rsidR="00B26CBF">
        <w:rPr>
          <w:rFonts w:cstheme="minorBidi"/>
          <w:b w:val="0"/>
          <w:noProof/>
          <w:sz w:val="22"/>
          <w:szCs w:val="22"/>
        </w:rPr>
        <w:t>(Sheerin 2021, based on HSE, 2016; Genio, 2016)</w:t>
      </w:r>
      <w:r w:rsidR="0075587D" w:rsidRPr="00575440">
        <w:rPr>
          <w:rFonts w:cstheme="minorBidi"/>
          <w:b w:val="0"/>
          <w:sz w:val="22"/>
          <w:szCs w:val="22"/>
        </w:rPr>
        <w:fldChar w:fldCharType="end"/>
      </w:r>
    </w:p>
    <w:p w14:paraId="1A01267C" w14:textId="691E1243" w:rsidR="00717893" w:rsidRDefault="00717893" w:rsidP="00717893">
      <w:bookmarkStart w:id="57" w:name="_Toc116045673"/>
      <w:bookmarkStart w:id="58" w:name="_Toc118558250"/>
      <w:r w:rsidRPr="11C55A92">
        <w:rPr>
          <w:rFonts w:cstheme="minorBidi"/>
        </w:rPr>
        <w:t xml:space="preserve">Furthermore, the authors stated that such a model of care should be underpinned by the principles of ageing in place and person-centred planning (PCP). These key </w:t>
      </w:r>
      <w:r>
        <w:rPr>
          <w:rFonts w:cstheme="minorBidi"/>
        </w:rPr>
        <w:t>pr</w:t>
      </w:r>
      <w:r w:rsidRPr="00B150A9">
        <w:rPr>
          <w:rFonts w:cstheme="minorBidi"/>
          <w:bCs/>
        </w:rPr>
        <w:t>inciples are described below, followed by a description of the key components of a model of care.</w:t>
      </w:r>
    </w:p>
    <w:p w14:paraId="5A85911E" w14:textId="77777777" w:rsidR="00F80CB9" w:rsidRPr="00906B8B" w:rsidRDefault="00F80CB9" w:rsidP="00647FED">
      <w:pPr>
        <w:pStyle w:val="Heading3"/>
        <w:rPr>
          <w:color w:val="auto"/>
        </w:rPr>
      </w:pPr>
      <w:r w:rsidRPr="00906B8B">
        <w:rPr>
          <w:color w:val="auto"/>
        </w:rPr>
        <w:t>Key principles underpinning a model of care</w:t>
      </w:r>
      <w:bookmarkEnd w:id="57"/>
      <w:bookmarkEnd w:id="58"/>
    </w:p>
    <w:p w14:paraId="511D04C3" w14:textId="77777777" w:rsidR="00F80CB9" w:rsidRPr="00906B8B" w:rsidRDefault="00F80CB9" w:rsidP="11C55A92">
      <w:pPr>
        <w:pStyle w:val="Heading4"/>
        <w:rPr>
          <w:color w:val="auto"/>
        </w:rPr>
      </w:pPr>
      <w:bookmarkStart w:id="59" w:name="_Toc116045674"/>
      <w:r w:rsidRPr="00906B8B">
        <w:rPr>
          <w:color w:val="auto"/>
        </w:rPr>
        <w:t>Ageing in place</w:t>
      </w:r>
      <w:bookmarkEnd w:id="59"/>
      <w:r w:rsidRPr="00906B8B">
        <w:rPr>
          <w:color w:val="auto"/>
        </w:rPr>
        <w:t xml:space="preserve"> </w:t>
      </w:r>
    </w:p>
    <w:p w14:paraId="614C9703" w14:textId="7E97AC29" w:rsidR="00F80CB9" w:rsidRDefault="00F80CB9" w:rsidP="00F80CB9">
      <w:r>
        <w:t xml:space="preserve">Ageing in place is a key underpinning principle of care for older people with intellectual disabilities </w:t>
      </w:r>
      <w:r w:rsidR="003A6BF8">
        <w:t>in Ireland</w:t>
      </w:r>
      <w:r w:rsidR="004E2E0E">
        <w:t xml:space="preserve"> </w:t>
      </w:r>
      <w:r>
        <w:fldChar w:fldCharType="begin"/>
      </w:r>
      <w:r w:rsidR="00D101B5">
        <w:instrText xml:space="preserve"> ADDIN EN.CITE &lt;EndNote&gt;&lt;Cite&gt;&lt;Author&gt;Department of Health&lt;/Author&gt;&lt;Year&gt;2020&lt;/Year&gt;&lt;RecNum&gt;687&lt;/RecNum&gt;&lt;DisplayText&gt;(Department of Health, 2020b)&lt;/DisplayText&gt;&lt;record&gt;&lt;rec-number&gt;687&lt;/rec-number&gt;&lt;foreign-keys&gt;&lt;key app="EN" db-id="xtwfdzde5ttr0zevxrh5sf0c2wfzw5zf2vra" timestamp="1663776241" guid="a9bd99a7-c3b4-473c-8a42-d01ceaa7fdb9"&gt;687&lt;/key&gt;&lt;/foreign-keys&gt;&lt;ref-type name="Report"&gt;27&lt;/ref-type&gt;&lt;contributors&gt;&lt;authors&gt;&lt;author&gt;Department of Health,&lt;/author&gt;&lt;/authors&gt;&lt;/contributors&gt;&lt;titles&gt;&lt;title&gt;Housing Options for Our Ageing Population Policy Statement&lt;/title&gt;&lt;/titles&gt;&lt;dates&gt;&lt;year&gt;2020&lt;/year&gt;&lt;/dates&gt;&lt;pub-location&gt;Dublin&lt;/pub-location&gt;&lt;publisher&gt;Department of Health&lt;/publisher&gt;&lt;urls&gt;&lt;related-urls&gt;&lt;url&gt;https://assets.gov.ie/9398/ca553fa753b64f14b20e4a8dcf9a46ab.pdf&lt;/url&gt;&lt;/related-urls&gt;&lt;/urls&gt;&lt;/record&gt;&lt;/Cite&gt;&lt;/EndNote&gt;</w:instrText>
      </w:r>
      <w:r>
        <w:fldChar w:fldCharType="separate"/>
      </w:r>
      <w:r>
        <w:rPr>
          <w:noProof/>
        </w:rPr>
        <w:t>(Department of Health, 2020b)</w:t>
      </w:r>
      <w:r>
        <w:fldChar w:fldCharType="end"/>
      </w:r>
      <w:r>
        <w:t xml:space="preserve"> and internationally </w:t>
      </w:r>
      <w:r>
        <w:fldChar w:fldCharType="begin"/>
      </w:r>
      <w:r w:rsidR="00FF5F49">
        <w:instrText xml:space="preserve"> ADDIN EN.CITE &lt;EndNote&gt;&lt;Cite&gt;&lt;Author&gt;Chapman&lt;/Author&gt;&lt;Year&gt;2018&lt;/Year&gt;&lt;RecNum&gt;526&lt;/RecNum&gt;&lt;DisplayText&gt;(Chapman et al., 2018; Patti et al., 2010)&lt;/DisplayText&gt;&lt;record&gt;&lt;rec-number&gt;526&lt;/rec-number&gt;&lt;foreign-keys&gt;&lt;key app="EN" db-id="xtwfdzde5ttr0zevxrh5sf0c2wfzw5zf2vra" timestamp="1649171476" guid="9dc4056b-489c-4ade-ba3a-610ac2716723"&gt;526&lt;/key&gt;&lt;/foreign-keys&gt;&lt;ref-type name="Journal Article"&gt;17&lt;/ref-type&gt;&lt;contributors&gt;&lt;authors&gt;&lt;author&gt;Chapman, Melanie&lt;/author&gt;&lt;author&gt;Lacey, Huma&lt;/author&gt;&lt;author&gt;Jervis, Nicola&lt;/author&gt;&lt;/authors&gt;&lt;/contributors&gt;&lt;titles&gt;&lt;title&gt;Improving services for people with learning disabilities and dementia: Findings from a service evaluation exploring the perspectives of health and social care professionals&lt;/title&gt;&lt;secondary-title&gt;British Journal of Learning Disabilities&lt;/secondary-title&gt;&lt;/titles&gt;&lt;periodical&gt;&lt;full-title&gt;British Journal of Learning Disabilities&lt;/full-title&gt;&lt;/periodical&gt;&lt;pages&gt;33-44&lt;/pages&gt;&lt;volume&gt;46&lt;/volume&gt;&lt;number&gt;1&lt;/number&gt;&lt;dates&gt;&lt;year&gt;2018&lt;/year&gt;&lt;/dates&gt;&lt;isbn&gt;1354-4187&lt;/isbn&gt;&lt;urls&gt;&lt;/urls&gt;&lt;/record&gt;&lt;/Cite&gt;&lt;Cite&gt;&lt;Author&gt;Patti&lt;/Author&gt;&lt;Year&gt;2010&lt;/Year&gt;&lt;RecNum&gt;525&lt;/RecNum&gt;&lt;record&gt;&lt;rec-number&gt;525&lt;/rec-number&gt;&lt;foreign-keys&gt;&lt;key app="EN" db-id="xtwfdzde5ttr0zevxrh5sf0c2wfzw5zf2vra" timestamp="1649171442" guid="66471bac-96fb-436e-b284-973ced24b0c8"&gt;525&lt;/key&gt;&lt;/foreign-keys&gt;&lt;ref-type name="Journal Article"&gt;17&lt;/ref-type&gt;&lt;contributors&gt;&lt;authors&gt;&lt;author&gt;Patti, P&lt;/author&gt;&lt;author&gt;Amble, K&lt;/author&gt;&lt;author&gt;Flory, M&lt;/author&gt;&lt;/authors&gt;&lt;/contributors&gt;&lt;titles&gt;&lt;title&gt;Placement, relocation and end of life issues in aging adults with and without Down&amp;apos;s syndrome: a retrospective study&lt;/title&gt;&lt;secondary-title&gt;Journal of Intellectual Disability Research&lt;/secondary-title&gt;&lt;/titles&gt;&lt;periodical&gt;&lt;full-title&gt;Journal of Intellectual Disability Research&lt;/full-title&gt;&lt;/periodical&gt;&lt;pages&gt;538-546&lt;/pages&gt;&lt;volume&gt;54&lt;/volume&gt;&lt;number&gt;6&lt;/number&gt;&lt;dates&gt;&lt;year&gt;2010&lt;/year&gt;&lt;/dates&gt;&lt;isbn&gt;0964-2633&lt;/isbn&gt;&lt;urls&gt;&lt;/urls&gt;&lt;/record&gt;&lt;/Cite&gt;&lt;/EndNote&gt;</w:instrText>
      </w:r>
      <w:r>
        <w:fldChar w:fldCharType="separate"/>
      </w:r>
      <w:r w:rsidR="00FF5F49">
        <w:rPr>
          <w:noProof/>
        </w:rPr>
        <w:t>(Chapman et al., 2018; Patti et al., 2010)</w:t>
      </w:r>
      <w:r>
        <w:fldChar w:fldCharType="end"/>
      </w:r>
      <w:r>
        <w:t xml:space="preserve">. It </w:t>
      </w:r>
      <w:r w:rsidRPr="17EA9C13">
        <w:rPr>
          <w:color w:val="212121"/>
        </w:rPr>
        <w:t xml:space="preserve">refers </w:t>
      </w:r>
      <w:r w:rsidRPr="1AF53555">
        <w:rPr>
          <w:shd w:val="clear" w:color="auto" w:fill="FFFFFF"/>
        </w:rPr>
        <w:t>to “the ability to live in one’s own home and community safely, independently and comfortably, regardless of age, income or ability level</w:t>
      </w:r>
      <w:r w:rsidR="00820995">
        <w:rPr>
          <w:shd w:val="clear" w:color="auto" w:fill="FFFFFF"/>
        </w:rPr>
        <w:t xml:space="preserve">” </w:t>
      </w:r>
      <w:r>
        <w:rPr>
          <w:shd w:val="clear" w:color="auto" w:fill="FFFFFF"/>
        </w:rPr>
        <w:fldChar w:fldCharType="begin"/>
      </w:r>
      <w:r w:rsidR="00FF5F49">
        <w:rPr>
          <w:shd w:val="clear" w:color="auto" w:fill="FFFFFF"/>
        </w:rPr>
        <w:instrText xml:space="preserve"> ADDIN EN.CITE &lt;EndNote&gt;&lt;Cite&gt;&lt;Author&gt;Center for Disease Control and Prevention&lt;/Author&gt;&lt;Year&gt;2009&lt;/Year&gt;&lt;RecNum&gt;527&lt;/RecNum&gt;&lt;Pages&gt;1&lt;/Pages&gt;&lt;DisplayText&gt;(Center for Disease Control and Prevention, 2009, p. 1)&lt;/DisplayText&gt;&lt;record&gt;&lt;rec-number&gt;527&lt;/rec-number&gt;&lt;foreign-keys&gt;&lt;key app="EN" db-id="xtwfdzde5ttr0zevxrh5sf0c2wfzw5zf2vra" timestamp="1649171702" guid="93f74641-13ea-4ef3-a29d-1a3a234d52be"&gt;527&lt;/key&gt;&lt;/foreign-keys&gt;&lt;ref-type name="Web Page"&gt;12&lt;/ref-type&gt;&lt;contributors&gt;&lt;authors&gt;&lt;author&gt;Center for Disease Control and Prevention, &lt;/author&gt;&lt;/authors&gt;&lt;/contributors&gt;&lt;titles&gt;&lt;title&gt;Healthy Places Terminology&lt;/title&gt;&lt;/titles&gt;&lt;volume&gt;2022&lt;/volume&gt;&lt;number&gt;18/02/2022&lt;/number&gt;&lt;dates&gt;&lt;year&gt;2009&lt;/year&gt;&lt;/dates&gt;&lt;urls&gt;&lt;related-urls&gt;&lt;url&gt;https://www.cdc.gov/healthyplaces/terminology.htm&lt;/url&gt;&lt;/related-urls&gt;&lt;/urls&gt;&lt;/record&gt;&lt;/Cite&gt;&lt;/EndNote&gt;</w:instrText>
      </w:r>
      <w:r>
        <w:rPr>
          <w:shd w:val="clear" w:color="auto" w:fill="FFFFFF"/>
        </w:rPr>
        <w:fldChar w:fldCharType="separate"/>
      </w:r>
      <w:r w:rsidR="00FF5F49">
        <w:rPr>
          <w:noProof/>
          <w:shd w:val="clear" w:color="auto" w:fill="FFFFFF"/>
        </w:rPr>
        <w:t>(Center for Disease Control and Prevention, 2009, p. 1)</w:t>
      </w:r>
      <w:r>
        <w:rPr>
          <w:shd w:val="clear" w:color="auto" w:fill="FFFFFF"/>
        </w:rPr>
        <w:fldChar w:fldCharType="end"/>
      </w:r>
      <w:r>
        <w:rPr>
          <w:shd w:val="clear" w:color="auto" w:fill="FFFFFF"/>
        </w:rPr>
        <w:t>.</w:t>
      </w:r>
      <w:r w:rsidR="00DD7E9B">
        <w:rPr>
          <w:shd w:val="clear" w:color="auto" w:fill="FFFFFF"/>
        </w:rPr>
        <w:t xml:space="preserve"> </w:t>
      </w:r>
      <w:r w:rsidRPr="001E2107">
        <w:t xml:space="preserve">Ageing in place encompasses people ageing </w:t>
      </w:r>
      <w:r w:rsidRPr="001A3FAF">
        <w:t>in a variety of settings, including in</w:t>
      </w:r>
      <w:r w:rsidRPr="001E2107">
        <w:t xml:space="preserve"> </w:t>
      </w:r>
      <w:r w:rsidRPr="001A3FAF">
        <w:t>a family home</w:t>
      </w:r>
      <w:r w:rsidRPr="001E2107">
        <w:t>,</w:t>
      </w:r>
      <w:r w:rsidRPr="001A3FAF">
        <w:t xml:space="preserve"> in an independent home in the community (supported living), in a community group home, and in a larger </w:t>
      </w:r>
      <w:r w:rsidRPr="001E2107">
        <w:t>disability-specific residential</w:t>
      </w:r>
      <w:r w:rsidRPr="001A3FAF">
        <w:t xml:space="preserve"> facility </w:t>
      </w:r>
      <w:r w:rsidRPr="00644D0B">
        <w:fldChar w:fldCharType="begin">
          <w:fldData xml:space="preserve">PEVuZE5vdGU+PENpdGU+PEF1dGhvcj5IdXNzYWluPC9BdXRob3I+PFllYXI+MjAxMzwvWWVhcj48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</w:fldData>
        </w:fldChar>
      </w:r>
      <w:r w:rsidR="00B26CBF">
        <w:instrText xml:space="preserve"> ADDIN EN.CITE </w:instrText>
      </w:r>
      <w:r w:rsidR="00B26CBF">
        <w:fldChar w:fldCharType="begin">
          <w:fldData xml:space="preserve">PEVuZE5vdGU+PENpdGU+PEF1dGhvcj5IdXNzYWluPC9BdXRob3I+PFllYXI+MjAxMzwvWWVhcj48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</w:fldData>
        </w:fldChar>
      </w:r>
      <w:r w:rsidR="00B26CBF">
        <w:instrText xml:space="preserve"> ADDIN EN.CITE.DATA </w:instrText>
      </w:r>
      <w:r w:rsidR="00B26CBF">
        <w:fldChar w:fldCharType="end"/>
      </w:r>
      <w:r w:rsidRPr="00644D0B">
        <w:fldChar w:fldCharType="separate"/>
      </w:r>
      <w:r w:rsidR="00B26CBF">
        <w:rPr>
          <w:noProof/>
        </w:rPr>
        <w:t>(Hussain et al., 2013; Webber et al., 2010; NDA, 2006)</w:t>
      </w:r>
      <w:r w:rsidRPr="00644D0B">
        <w:fldChar w:fldCharType="end"/>
      </w:r>
      <w:r w:rsidR="00636E4B">
        <w:t>. As</w:t>
      </w:r>
      <w:r>
        <w:t xml:space="preserve"> such, Hussain et al. </w:t>
      </w:r>
      <w:r>
        <w:fldChar w:fldCharType="begin"/>
      </w:r>
      <w:r w:rsidR="006A378C">
        <w:instrText xml:space="preserve"> ADDIN EN.CITE &lt;EndNote&gt;&lt;Cite ExcludeAuth="1"&gt;&lt;Author&gt;Hussain&lt;/Author&gt;&lt;Year&gt;2013&lt;/Year&gt;&lt;RecNum&gt;515&lt;/RecNum&gt;&lt;DisplayText&gt;(2013)&lt;/DisplayText&gt;&lt;record&gt;&lt;rec-number&gt;515&lt;/rec-number&gt;&lt;foreign-keys&gt;&lt;key app="EN" db-id="xtwfdzde5ttr0zevxrh5sf0c2wfzw5zf2vra" timestamp="1648826554" guid="3cda4403-8d8c-44c8-bf6a-fde44ee5f6ad"&gt;515&lt;/key&gt;&lt;/foreign-keys&gt;&lt;ref-type name="Report"&gt;27&lt;/ref-type&gt;&lt;contributors&gt;&lt;authors&gt;&lt;author&gt;Hussain, Rafat&lt;/author&gt;&lt;author&gt;Parmenter, Trevor&lt;/author&gt;&lt;author&gt;Knox, Marie&lt;/author&gt;&lt;author&gt;Janicki, Matthew&lt;/author&gt;&lt;author&gt;Wark, Stuart&lt;/author&gt;&lt;/authors&gt;&lt;/contributors&gt;&lt;titles&gt;&lt;title&gt;Keeping my place in the community: Achieving successful ageing-in-place for people with intellectual disabilities&lt;/title&gt;&lt;/titles&gt;&lt;dates&gt;&lt;year&gt;2013&lt;/year&gt;&lt;/dates&gt;&lt;pub-location&gt;Australia&lt;/pub-location&gt;&lt;publisher&gt;Australian Research Council (ARC) Linkage Project&lt;/publisher&gt;&lt;urls&gt;&lt;/urls&gt;&lt;/record&gt;&lt;/Cite&gt;&lt;/EndNote&gt;</w:instrText>
      </w:r>
      <w:r>
        <w:fldChar w:fldCharType="separate"/>
      </w:r>
      <w:r>
        <w:rPr>
          <w:noProof/>
        </w:rPr>
        <w:t>(2013)</w:t>
      </w:r>
      <w:r>
        <w:fldChar w:fldCharType="end"/>
      </w:r>
      <w:r>
        <w:t xml:space="preserve"> recommend using the term ‘Ag</w:t>
      </w:r>
      <w:r w:rsidR="54C009B1">
        <w:t>e</w:t>
      </w:r>
      <w:r>
        <w:t xml:space="preserve">ing in My Chosen Place’ as it captures the variety of living experiences desired by people </w:t>
      </w:r>
      <w:r w:rsidR="007B4A0C">
        <w:t>with intellectual disabilities</w:t>
      </w:r>
      <w:r>
        <w:t xml:space="preserve">. </w:t>
      </w:r>
    </w:p>
    <w:p w14:paraId="524A36B0" w14:textId="44603360" w:rsidR="00F80CB9" w:rsidRPr="00906B8B" w:rsidRDefault="00F80CB9" w:rsidP="11C55A92">
      <w:pPr>
        <w:pStyle w:val="Heading4"/>
        <w:rPr>
          <w:i/>
          <w:iCs/>
          <w:color w:val="auto"/>
        </w:rPr>
      </w:pPr>
      <w:r w:rsidRPr="00906B8B">
        <w:rPr>
          <w:i/>
          <w:iCs/>
          <w:color w:val="auto"/>
        </w:rPr>
        <w:t xml:space="preserve">Supporting ageing in place </w:t>
      </w:r>
    </w:p>
    <w:p w14:paraId="0420EDA9" w14:textId="1ABDC142" w:rsidR="00F80CB9" w:rsidRDefault="00F80CB9" w:rsidP="00F80CB9">
      <w:r>
        <w:t xml:space="preserve">While ageing in place is the preference for most people </w:t>
      </w:r>
      <w:r w:rsidR="007B4A0C">
        <w:t>with intellectual disabilities</w:t>
      </w:r>
      <w:r>
        <w:t xml:space="preserve">, as well as their family members and support staff, there are a range of factors that impact the ability of people to age in place. An analysis by Bigby </w:t>
      </w:r>
      <w:r>
        <w:fldChar w:fldCharType="begin"/>
      </w:r>
      <w:r>
        <w:instrText xml:space="preserve"> ADDIN EN.CITE &lt;EndNote&gt;&lt;Cite ExcludeAuth="1"&gt;&lt;Author&gt;Bigby&lt;/Author&gt;&lt;Year&gt;2002&lt;/Year&gt;&lt;RecNum&gt;308&lt;/RecNum&gt;&lt;DisplayText&gt;(2002)&lt;/DisplayText&gt;&lt;record&gt;&lt;rec-number&gt;308&lt;/rec-number&gt;&lt;foreign-keys&gt;&lt;key app="EN" db-id="xtwfdzde5ttr0zevxrh5sf0c2wfzw5zf2vra" timestamp="1643290955" guid="d28f15c4-ae62-4e3c-ae19-7070d92d2234"&gt;308&lt;/key&gt;&lt;/foreign-keys&gt;&lt;ref-type name="Journal Article"&gt;17&lt;/ref-type&gt;&lt;contributors&gt;&lt;authors&gt;&lt;author&gt;Bigby, Christine&lt;/author&gt;&lt;/authors&gt;&lt;/contributors&gt;&lt;titles&gt;&lt;title&gt;Ageing people with a lifelong disability: Challenges for the aged care and disability sectors&lt;/title&gt;&lt;secondary-title&gt;Journal of Intellectual and Developmental Disability&lt;/secondary-title&gt;&lt;short-title&gt;Ageing people with a lifelong disability: Challenges for the aged care and disability sectors&lt;/short-title&gt;&lt;/titles&gt;&lt;periodical&gt;&lt;full-title&gt;Journal of Intellectual and Developmental Disability&lt;/full-title&gt;&lt;/periodical&gt;&lt;volume&gt;27&lt;/volume&gt;&lt;number&gt;4&lt;/number&gt;&lt;dates&gt;&lt;year&gt;2002&lt;/year&gt;&lt;/dates&gt;&lt;urls&gt;&lt;/urls&gt;&lt;electronic-resource-num&gt;10.1080/1366825021000029294&lt;/electronic-resource-num&gt;&lt;/record&gt;&lt;/Cite&gt;&lt;/EndNote&gt;</w:instrText>
      </w:r>
      <w:r>
        <w:fldChar w:fldCharType="separate"/>
      </w:r>
      <w:r>
        <w:t>(2002)</w:t>
      </w:r>
      <w:r>
        <w:fldChar w:fldCharType="end"/>
      </w:r>
      <w:r>
        <w:t xml:space="preserve"> on ageing and disability services identified three common overarching issues in relation to supporting ageing in place. These include a lack </w:t>
      </w:r>
      <w:r w:rsidR="00834E5C">
        <w:t xml:space="preserve">of </w:t>
      </w:r>
      <w:r>
        <w:t>available appropriate services, problems with quality and access to services, and programmatic</w:t>
      </w:r>
      <w:r w:rsidR="4484F8B1">
        <w:t xml:space="preserve"> or </w:t>
      </w:r>
      <w:r>
        <w:t xml:space="preserve">funding mechanisms that create obstacles to accessing services and collaboration between service providers. Under these overarching themes, several specific barriers to ageing in place were found in the literature, including the issue of ageing family carers </w:t>
      </w:r>
      <w:r>
        <w:fldChar w:fldCharType="begin"/>
      </w:r>
      <w:r>
        <w:instrText xml:space="preserve"> ADDIN EN.CITE &lt;EndNote&gt;&lt;Cite&gt;&lt;Author&gt;Chou&lt;/Author&gt;&lt;Year&gt;2022&lt;/Year&gt;&lt;RecNum&gt;514&lt;/RecNum&gt;&lt;DisplayText&gt;(Chou &amp;amp; Kröger, 2022)&lt;/DisplayText&gt;&lt;record&gt;&lt;rec-number&gt;514&lt;/rec-number&gt;&lt;foreign-keys&gt;&lt;key app="EN" db-id="xtwfdzde5ttr0zevxrh5sf0c2wfzw5zf2vra" timestamp="1648814056" guid="7c9dde69-cf0e-4996-87ec-1f747327b0e0"&gt;514&lt;/key&gt;&lt;/foreign-keys&gt;&lt;ref-type name="Journal Article"&gt;17&lt;/ref-type&gt;&lt;contributors&gt;&lt;authors&gt;&lt;author&gt;Chou, Yueh-Ching&lt;/author&gt;&lt;author&gt;Kröger, Teppo&lt;/author&gt;&lt;/authors&gt;&lt;/contributors&gt;&lt;titles&gt;&lt;title&gt;Ageing in place together: older parents and ageing offspring with intellectual disability&lt;/title&gt;&lt;secondary-title&gt;Ageing &amp;amp; Society&lt;/secondary-title&gt;&lt;/titles&gt;&lt;periodical&gt;&lt;full-title&gt;Ageing &amp;amp; Society&lt;/full-title&gt;&lt;/periodical&gt;&lt;pages&gt;480-494&lt;/pages&gt;&lt;volume&gt;42&lt;/volume&gt;&lt;number&gt;2&lt;/number&gt;&lt;dates&gt;&lt;year&gt;2022&lt;/year&gt;&lt;/dates&gt;&lt;isbn&gt;0144-686X&lt;/isbn&gt;&lt;urls&gt;&lt;/urls&gt;&lt;/record&gt;&lt;/Cite&gt;&lt;/EndNote&gt;</w:instrText>
      </w:r>
      <w:r>
        <w:fldChar w:fldCharType="separate"/>
      </w:r>
      <w:r w:rsidR="00FF5F49" w:rsidRPr="11C55A92">
        <w:rPr>
          <w:noProof/>
        </w:rPr>
        <w:t>(Chou &amp; Kröger, 2022)</w:t>
      </w:r>
      <w:r>
        <w:fldChar w:fldCharType="end"/>
      </w:r>
      <w:r>
        <w:t xml:space="preserve">, staff knowledge and skills in dealing with complex conditions such as dementia </w:t>
      </w:r>
      <w:r>
        <w:fldChar w:fldCharType="begin"/>
      </w:r>
      <w:r>
        <w:instrText xml:space="preserve"> ADDIN EN.CITE &lt;EndNote&gt;&lt;Cite&gt;&lt;Author&gt;Alftberg&lt;/Author&gt;&lt;Year&gt;2021&lt;/Year&gt;&lt;RecNum&gt;304&lt;/RecNum&gt;&lt;DisplayText&gt;(Alftberg et al., 2021)&lt;/DisplayText&gt;&lt;record&gt;&lt;rec-number&gt;304&lt;/rec-number&gt;&lt;foreign-keys&gt;&lt;key app="EN" db-id="xtwfdzde5ttr0zevxrh5sf0c2wfzw5zf2vra" timestamp="1643290955" guid="36236453-aac1-4b28-967a-a834ec9f9d28"&gt;304&lt;/key&gt;&lt;/foreign-keys&gt;&lt;ref-type name="Journal Article"&gt;17&lt;/ref-type&gt;&lt;contributors&gt;&lt;authors&gt;&lt;author&gt;Alftberg, Åsa&lt;/author&gt;&lt;author&gt;Johansson, Maria&lt;/author&gt;&lt;author&gt;Ahlström, Gerd&lt;/author&gt;&lt;/authors&gt;&lt;/contributors&gt;&lt;titles&gt;&lt;title&gt;Ambivalence among staff regarding ageing with intellectual disabilities: Experiences and reflections&lt;/title&gt;&lt;secondary-title&gt;Journal of Intellectual Disabilities&lt;/secondary-title&gt;&lt;short-title&gt;Ambivalence among staff regarding ageing with intellectual disabilities: Experiences and reflections&lt;/short-title&gt;&lt;/titles&gt;&lt;periodical&gt;&lt;full-title&gt;Journal of Intellectual Disabilities&lt;/full-title&gt;&lt;/periodical&gt;&lt;volume&gt;25&lt;/volume&gt;&lt;number&gt;2&lt;/number&gt;&lt;dates&gt;&lt;year&gt;2021&lt;/year&gt;&lt;/dates&gt;&lt;urls&gt;&lt;related-urls&gt;&lt;url&gt;https://journals.sagepub.com/doi/pdf/10.1177/1744629519874997&lt;/url&gt;&lt;/related-urls&gt;&lt;/urls&gt;&lt;electronic-resource-num&gt;10.1177/1744629519874997&lt;/electronic-resource-num&gt;&lt;/record&gt;&lt;/Cite&gt;&lt;/EndNote&gt;</w:instrText>
      </w:r>
      <w:r>
        <w:fldChar w:fldCharType="separate"/>
      </w:r>
      <w:r>
        <w:t>(Alftberg et al., 2021)</w:t>
      </w:r>
      <w:r>
        <w:fldChar w:fldCharType="end"/>
      </w:r>
      <w:r>
        <w:t xml:space="preserve">, the built environment </w:t>
      </w:r>
      <w:r>
        <w:fldChar w:fldCharType="begin"/>
      </w:r>
      <w:r>
        <w:instrText xml:space="preserve"> ADDIN EN.CITE &lt;EndNote&gt;&lt;Cite&gt;&lt;Author&gt;Webber&lt;/Author&gt;&lt;Year&gt;2010&lt;/Year&gt;&lt;RecNum&gt;447&lt;/RecNum&gt;&lt;DisplayText&gt;(Webber et al., 2010)&lt;/DisplayText&gt;&lt;record&gt;&lt;rec-number&gt;447&lt;/rec-number&gt;&lt;foreign-keys&gt;&lt;key app="EN" db-id="xtwfdzde5ttr0zevxrh5sf0c2wfzw5zf2vra" timestamp="1643290955" guid="40baecfb-9474-4371-9b0e-6e46d6ae2775"&gt;447&lt;/key&gt;&lt;/foreign-keys&gt;&lt;ref-type name="Journal Article"&gt;17&lt;/ref-type&gt;&lt;contributors&gt;&lt;authors&gt;&lt;author&gt;Webber, Ruth&lt;/author&gt;&lt;author&gt;Bowers, Barbara&lt;/author&gt;&lt;author&gt;McKenzie-Green, Barbara&lt;/author&gt;&lt;/authors&gt;&lt;/contributors&gt;&lt;titles&gt;&lt;title&gt;Staff responses to age-related health changes in people with an intellectual disability in group homes&lt;/title&gt;&lt;secondary-title&gt;Disability and Society&lt;/secondary-title&gt;&lt;short-title&gt;Staff responses to age-related health changes in people with an intellectual disability in group homes&lt;/short-title&gt;&lt;/titles&gt;&lt;periodical&gt;&lt;full-title&gt;Disability and Society&lt;/full-title&gt;&lt;/periodical&gt;&lt;pages&gt;657-671&lt;/pages&gt;&lt;volume&gt;25&lt;/volume&gt;&lt;number&gt;6&lt;/number&gt;&lt;dates&gt;&lt;year&gt;2010&lt;/year&gt;&lt;/dates&gt;&lt;urls&gt;&lt;/urls&gt;&lt;electronic-resource-num&gt;10.1080/09687599.2010.505736&lt;/electronic-resource-num&gt;&lt;/record&gt;&lt;/Cite&gt;&lt;/EndNote&gt;</w:instrText>
      </w:r>
      <w:r>
        <w:fldChar w:fldCharType="separate"/>
      </w:r>
      <w:r w:rsidRPr="11C55A92">
        <w:rPr>
          <w:noProof/>
        </w:rPr>
        <w:t>(Webber et al., 2010)</w:t>
      </w:r>
      <w:r>
        <w:fldChar w:fldCharType="end"/>
      </w:r>
      <w:r>
        <w:t xml:space="preserve"> and mobility issues </w:t>
      </w:r>
      <w:r>
        <w:fldChar w:fldCharType="begin"/>
      </w:r>
      <w:r>
        <w:instrText xml:space="preserve"> ADDIN EN.CITE &lt;EndNote&gt;&lt;Cite&gt;&lt;Author&gt;Schepens&lt;/Author&gt;&lt;Year&gt;2019&lt;/Year&gt;&lt;RecNum&gt;416&lt;/RecNum&gt;&lt;DisplayText&gt;(Schepens et al., 2019)&lt;/DisplayText&gt;&lt;record&gt;&lt;rec-number&gt;416&lt;/rec-number&gt;&lt;foreign-keys&gt;&lt;key app="EN" db-id="xtwfdzde5ttr0zevxrh5sf0c2wfzw5zf2vra" timestamp="1643290955" guid="24d01d24-e562-4327-965c-b21f7f023220"&gt;416&lt;/key&gt;&lt;/foreign-keys&gt;&lt;ref-type name="Journal Article"&gt;17&lt;/ref-type&gt;&lt;contributors&gt;&lt;authors&gt;&lt;author&gt;Schepens, Hadewych R. M. M.&lt;/author&gt;&lt;author&gt;Van Puyenbroeck, Joris&lt;/author&gt;&lt;author&gt;Maes, Bea&lt;/author&gt;&lt;/authors&gt;&lt;/contributors&gt;&lt;titles&gt;&lt;title&gt;How to improve the quality of life of elderly people with intellectual disability: A systematic literature review of support strategies&lt;/title&gt;&lt;secondary-title&gt;Journal of Applied Research in Intellectual Disabilities&lt;/secondary-title&gt;&lt;short-title&gt;How to improve the quality of life of elderly people with intellectual disability: A systematic literature review of support strategies&lt;/short-title&gt;&lt;/titles&gt;&lt;periodical&gt;&lt;full-title&gt;Journal of Applied Research in Intellectual Disabilities&lt;/full-title&gt;&lt;/periodical&gt;&lt;pages&gt;483-521&lt;/pages&gt;&lt;volume&gt;32&lt;/volume&gt;&lt;dates&gt;&lt;year&gt;2019&lt;/year&gt;&lt;/dates&gt;&lt;urls&gt;&lt;/urls&gt;&lt;electronic-resource-num&gt;10.1111/jar.12559&lt;/electronic-resource-num&gt;&lt;/record&gt;&lt;/Cite&gt;&lt;/EndNote&gt;</w:instrText>
      </w:r>
      <w:r>
        <w:fldChar w:fldCharType="separate"/>
      </w:r>
      <w:r w:rsidRPr="11C55A92">
        <w:rPr>
          <w:noProof/>
        </w:rPr>
        <w:t>(Schepens et al., 2019)</w:t>
      </w:r>
      <w:r>
        <w:fldChar w:fldCharType="end"/>
      </w:r>
      <w:r>
        <w:t>.</w:t>
      </w:r>
    </w:p>
    <w:p w14:paraId="7E4A1933" w14:textId="34AA6DF7" w:rsidR="00F80CB9" w:rsidRDefault="00F80CB9" w:rsidP="00F80CB9">
      <w:r>
        <w:t xml:space="preserve">Parents are often the primary caregivers to people </w:t>
      </w:r>
      <w:r w:rsidR="007B4A0C">
        <w:t>with intellectual disabilities</w:t>
      </w:r>
      <w:r>
        <w:t xml:space="preserve"> who live in the family home </w:t>
      </w:r>
      <w:r>
        <w:fldChar w:fldCharType="begin"/>
      </w:r>
      <w:r>
        <w:instrText xml:space="preserve"> ADDIN EN.CITE &lt;EndNote&gt;&lt;Cite&gt;&lt;Author&gt;Heller&lt;/Author&gt;&lt;Year&gt;2017&lt;/Year&gt;&lt;RecNum&gt;533&lt;/RecNum&gt;&lt;DisplayText&gt;(Heller, 2017)&lt;/DisplayText&gt;&lt;record&gt;&lt;rec-number&gt;533&lt;/rec-number&gt;&lt;foreign-keys&gt;&lt;key app="EN" db-id="xtwfdzde5ttr0zevxrh5sf0c2wfzw5zf2vra" timestamp="1649178424" guid="a7e9dc15-d0b0-4318-bb1a-c8467fcbe948"&gt;533&lt;/key&gt;&lt;/foreign-keys&gt;&lt;ref-type name="Report"&gt;27&lt;/ref-type&gt;&lt;contributors&gt;&lt;authors&gt;&lt;author&gt;Heller, Tamar&lt;/author&gt;&lt;/authors&gt;&lt;/contributors&gt;&lt;titles&gt;&lt;title&gt;Service and support needs of adults aging with intellectual/developmental disabilities&lt;/title&gt;&lt;/titles&gt;&lt;dates&gt;&lt;year&gt;2017&lt;/year&gt;&lt;/dates&gt;&lt;pub-location&gt;Illinois, Chicago&lt;/pub-location&gt;&lt;publisher&gt;Institute on Disability and Human Development, Institute on Disability and Human Development&lt;/publisher&gt;&lt;urls&gt;&lt;/urls&gt;&lt;/record&gt;&lt;/Cite&gt;&lt;/EndNote&gt;</w:instrText>
      </w:r>
      <w:r>
        <w:fldChar w:fldCharType="separate"/>
      </w:r>
      <w:r w:rsidRPr="11C55A92">
        <w:rPr>
          <w:noProof/>
        </w:rPr>
        <w:t>(Heller, 2017)</w:t>
      </w:r>
      <w:r>
        <w:fldChar w:fldCharType="end"/>
      </w:r>
      <w:r>
        <w:t xml:space="preserve">. This is often the wish of both parties, however, continued family care in the home is not always possible or desirable </w:t>
      </w:r>
      <w:r>
        <w:fldChar w:fldCharType="begin"/>
      </w:r>
      <w:r>
        <w:instrText xml:space="preserve"> ADDIN EN.CITE &lt;EndNote&gt;&lt;Cite&gt;&lt;Author&gt;Brennan&lt;/Author&gt;&lt;Year&gt;2018&lt;/Year&gt;&lt;RecNum&gt;316&lt;/RecNum&gt;&lt;DisplayText&gt;(Brennan et al., 2018)&lt;/DisplayText&gt;&lt;record&gt;&lt;rec-number&gt;316&lt;/rec-number&gt;&lt;foreign-keys&gt;&lt;key app="EN" db-id="xtwfdzde5ttr0zevxrh5sf0c2wfzw5zf2vra" timestamp="1643290955" guid="a7de8211-1f2f-4b2c-8c9c-072fa63d3c60"&gt;316&lt;/key&gt;&lt;/foreign-keys&gt;&lt;ref-type name="Journal Article"&gt;17&lt;/ref-type&gt;&lt;contributors&gt;&lt;authors&gt;&lt;author&gt;Brennan, Damien&lt;/author&gt;&lt;author&gt;Murphy, Rebecca&lt;/author&gt;&lt;author&gt;McCallion, Philip&lt;/author&gt;&lt;author&gt;McCarron, Mary&lt;/author&gt;&lt;/authors&gt;&lt;/contributors&gt;&lt;titles&gt;&lt;title&gt;“What&amp;apos;s going to happen when we&amp;apos;re gone?” Family caregiving capacity for older people with an intellectual disability in Ireland&lt;/title&gt;&lt;secondary-title&gt;Journal of Applied Research in Intellectual Disabilities&lt;/secondary-title&gt;&lt;short-title&gt;“What&amp;apos;s going to happen when we&amp;apos;re gone?” Family caregiving capacity for older people with an intellectual disability in Ireland&lt;/short-title&gt;&lt;/titles&gt;&lt;periodical&gt;&lt;full-title&gt;Journal of Applied Research in Intellectual Disabilities&lt;/full-title&gt;&lt;/periodical&gt;&lt;volume&gt;31&lt;/volume&gt;&lt;number&gt;2&lt;/number&gt;&lt;dates&gt;&lt;year&gt;2018&lt;/year&gt;&lt;/dates&gt;&lt;urls&gt;&lt;related-urls&gt;&lt;url&gt;https://onlinelibrary.wiley.com/doi/10.1111/jar.12379&lt;/url&gt;&lt;/related-urls&gt;&lt;/urls&gt;&lt;electronic-resource-num&gt;10.1111/jar.12379&lt;/electronic-resource-num&gt;&lt;/record&gt;&lt;/Cite&gt;&lt;/EndNote&gt;</w:instrText>
      </w:r>
      <w:r>
        <w:fldChar w:fldCharType="separate"/>
      </w:r>
      <w:r>
        <w:t>(Brennan et al., 2018)</w:t>
      </w:r>
      <w:r>
        <w:fldChar w:fldCharType="end"/>
      </w:r>
      <w:r>
        <w:t xml:space="preserve">. Similar to </w:t>
      </w:r>
      <w:r w:rsidR="4C8F3693">
        <w:t>persons without intellectual disabilit</w:t>
      </w:r>
      <w:r w:rsidR="009576F8">
        <w:t>ies</w:t>
      </w:r>
      <w:r>
        <w:t xml:space="preserve">, as people </w:t>
      </w:r>
      <w:r w:rsidR="007B4A0C">
        <w:t>with intellectual disabilities</w:t>
      </w:r>
      <w:r>
        <w:t xml:space="preserve"> age, they often require higher levels of support and care due to functional and cognitive decline associated with biological ageing processes </w:t>
      </w:r>
      <w:r>
        <w:fldChar w:fldCharType="begin"/>
      </w:r>
      <w:r>
        <w:instrText xml:space="preserve"> ADDIN EN.CITE &lt;EndNote&gt;&lt;Cite&gt;&lt;Author&gt;Egan&lt;/Author&gt;&lt;Year&gt;2022&lt;/Year&gt;&lt;RecNum&gt;339&lt;/RecNum&gt;&lt;DisplayText&gt;(Egan et al., 2022)&lt;/DisplayText&gt;&lt;record&gt;&lt;rec-number&gt;339&lt;/rec-number&gt;&lt;foreign-keys&gt;&lt;key app="EN" db-id="xtwfdzde5ttr0zevxrh5sf0c2wfzw5zf2vra" timestamp="1643290955" guid="478640a9-ada5-4ce8-8d71-5570ffce4a90"&gt;339&lt;/key&gt;&lt;/foreign-keys&gt;&lt;ref-type name="Journal Article"&gt;17&lt;/ref-type&gt;&lt;contributors&gt;&lt;authors&gt;&lt;author&gt;Egan, Caroline&lt;/author&gt;&lt;author&gt;Mulcahy, Helen&lt;/author&gt;&lt;author&gt;Naughton, Corina&lt;/author&gt;&lt;/authors&gt;&lt;/contributors&gt;&lt;titles&gt;&lt;title&gt;Transitioning to long-term care for older adults with intellectual disabilities: A concept analysis&lt;/title&gt;&lt;secondary-title&gt;Journal of Intellectual Disabilities&lt;/secondary-title&gt;&lt;short-title&gt;Transitioning to long-term care for older adults with intellectual disabilities: A concept analysis&lt;/short-title&gt;&lt;/titles&gt;&lt;periodical&gt;&lt;full-title&gt;Journal of Intellectual Disabilities&lt;/full-title&gt;&lt;/periodical&gt;&lt;pages&gt;1015-1032&lt;/pages&gt;&lt;volume&gt;26&lt;/volume&gt;&lt;number&gt;4&lt;/number&gt;&lt;dates&gt;&lt;year&gt;2022&lt;/year&gt;&lt;/dates&gt;&lt;urls&gt;&lt;/urls&gt;&lt;electronic-resource-num&gt;10.1177/17446295211041839&lt;/electronic-resource-num&gt;&lt;/record&gt;&lt;/Cite&gt;&lt;/EndNote&gt;</w:instrText>
      </w:r>
      <w:r>
        <w:fldChar w:fldCharType="separate"/>
      </w:r>
      <w:r w:rsidR="00FF25B4" w:rsidRPr="11C55A92">
        <w:rPr>
          <w:noProof/>
        </w:rPr>
        <w:t>(Egan et al., 2022)</w:t>
      </w:r>
      <w:r>
        <w:fldChar w:fldCharType="end"/>
      </w:r>
      <w:r>
        <w:t xml:space="preserve">. This, in turn, increases </w:t>
      </w:r>
      <w:r w:rsidR="1691E944">
        <w:t>demand</w:t>
      </w:r>
      <w:r>
        <w:t xml:space="preserve"> on the primary caregiver, and as parents age they often become unable to provide the level of support required, leading to relocation, such as a move to a </w:t>
      </w:r>
      <w:r w:rsidR="00D526B6">
        <w:t xml:space="preserve">residential </w:t>
      </w:r>
      <w:r w:rsidR="0093695A">
        <w:t>ageing facilit</w:t>
      </w:r>
      <w:r w:rsidR="0052167D">
        <w:t>y</w:t>
      </w:r>
      <w:r>
        <w:t xml:space="preserve"> </w:t>
      </w:r>
      <w:r>
        <w:fldChar w:fldCharType="begin"/>
      </w:r>
      <w:r>
        <w:instrText xml:space="preserve"> ADDIN EN.CITE &lt;EndNote&gt;&lt;Cite&gt;&lt;Author&gt;Bowers&lt;/Author&gt;&lt;Year&gt;2014&lt;/Year&gt;&lt;RecNum&gt;315&lt;/RecNum&gt;&lt;DisplayText&gt;(Chou &amp;amp; Kröger, 2022; Bowers et al., 2014)&lt;/DisplayText&gt;&lt;record&gt;&lt;rec-number&gt;315&lt;/rec-number&gt;&lt;foreign-keys&gt;&lt;key app="EN" db-id="xtwfdzde5ttr0zevxrh5sf0c2wfzw5zf2vra" timestamp="1643290955" guid="f770d89c-f795-4ea1-b05e-7d60457e5636"&gt;315&lt;/key&gt;&lt;/foreign-keys&gt;&lt;ref-type name="Journal Article"&gt;17&lt;/ref-type&gt;&lt;contributors&gt;&lt;authors&gt;&lt;author&gt;Bowers, Barbara&lt;/author&gt;&lt;author&gt;Webber, Ruth&lt;/author&gt;&lt;author&gt;Bigby, Christine&lt;/author&gt;&lt;/authors&gt;&lt;/contributors&gt;&lt;titles&gt;&lt;title&gt;Health issues of older people with intellectual disability in group homes&lt;/title&gt;&lt;secondary-title&gt;Journal of Intellectual and Developmental Disability&lt;/secondary-title&gt;&lt;short-title&gt;Health issues of older people with intellectual disability in group homes&lt;/short-title&gt;&lt;/titles&gt;&lt;periodical&gt;&lt;full-title&gt;Journal of Intellectual and Developmental Disability&lt;/full-title&gt;&lt;/periodical&gt;&lt;volume&gt;39&lt;/volume&gt;&lt;number&gt;3&lt;/number&gt;&lt;dates&gt;&lt;year&gt;2014&lt;/year&gt;&lt;/dates&gt;&lt;urls&gt;&lt;/urls&gt;&lt;electronic-resource-num&gt;10.3109/13668250.2014.936083&lt;/electronic-resource-num&gt;&lt;/record&gt;&lt;/Cite&gt;&lt;Cite&gt;&lt;Author&gt;Chou&lt;/Author&gt;&lt;Year&gt;2022&lt;/Year&gt;&lt;RecNum&gt;514&lt;/RecNum&gt;&lt;record&gt;&lt;rec-number&gt;514&lt;/rec-number&gt;&lt;foreign-keys&gt;&lt;key app="EN" db-id="xtwfdzde5ttr0zevxrh5sf0c2wfzw5zf2vra" timestamp="1648814056" guid="7c9dde69-cf0e-4996-87ec-1f747327b0e0"&gt;514&lt;/key&gt;&lt;/foreign-keys&gt;&lt;ref-type name="Journal Article"&gt;17&lt;/ref-type&gt;&lt;contributors&gt;&lt;authors&gt;&lt;author&gt;Chou, Yueh-Ching&lt;/author&gt;&lt;author&gt;Kröger, Teppo&lt;/author&gt;&lt;/authors&gt;&lt;/contributors&gt;&lt;titles&gt;&lt;title&gt;Ageing in place together: older parents and ageing offspring with intellectual disability&lt;/title&gt;&lt;secondary-title&gt;Ageing &amp;amp; Society&lt;/secondary-title&gt;&lt;/titles&gt;&lt;periodical&gt;&lt;full-title&gt;Ageing &amp;amp; Society&lt;/full-title&gt;&lt;/periodical&gt;&lt;pages&gt;480-494&lt;/pages&gt;&lt;volume&gt;42&lt;/volume&gt;&lt;number&gt;2&lt;/number&gt;&lt;dates&gt;&lt;year&gt;2022&lt;/year&gt;&lt;/dates&gt;&lt;isbn&gt;0144-686X&lt;/isbn&gt;&lt;urls&gt;&lt;/urls&gt;&lt;/record&gt;&lt;/Cite&gt;&lt;/EndNote&gt;</w:instrText>
      </w:r>
      <w:r>
        <w:fldChar w:fldCharType="separate"/>
      </w:r>
      <w:r w:rsidR="00FF5F49" w:rsidRPr="11C55A92">
        <w:rPr>
          <w:noProof/>
        </w:rPr>
        <w:t>(Chou &amp; Kröger, 2022; Bowers et al., 2014)</w:t>
      </w:r>
      <w:r>
        <w:fldChar w:fldCharType="end"/>
      </w:r>
      <w:r>
        <w:t xml:space="preserve">. </w:t>
      </w:r>
      <w:r w:rsidR="0093695A">
        <w:t>In one study</w:t>
      </w:r>
      <w:r w:rsidR="0052167D">
        <w:t>,</w:t>
      </w:r>
      <w:r w:rsidR="0093695A">
        <w:t xml:space="preserve"> the</w:t>
      </w:r>
      <w:r w:rsidR="0097437C">
        <w:t xml:space="preserve"> majority (70%) of</w:t>
      </w:r>
      <w:r w:rsidR="0093695A">
        <w:t xml:space="preserve"> parents of people with intellectual disabilities felt that t</w:t>
      </w:r>
      <w:r>
        <w:t xml:space="preserve">he support provided in </w:t>
      </w:r>
      <w:r w:rsidR="0093695A">
        <w:t>residential ageing facilities</w:t>
      </w:r>
      <w:r>
        <w:t xml:space="preserve"> </w:t>
      </w:r>
      <w:r w:rsidR="00501840">
        <w:t>was</w:t>
      </w:r>
      <w:r>
        <w:t xml:space="preserve"> not </w:t>
      </w:r>
      <w:r w:rsidR="007A46F8">
        <w:t>suitable</w:t>
      </w:r>
      <w:r>
        <w:t xml:space="preserve"> to meet the needs of people ageing with intellectual disabilit</w:t>
      </w:r>
      <w:r w:rsidR="00A000DA">
        <w:t>ies</w:t>
      </w:r>
      <w:r>
        <w:t xml:space="preserve"> </w:t>
      </w:r>
      <w:bookmarkStart w:id="60" w:name="_Hlk118277325"/>
      <w:r>
        <w:fldChar w:fldCharType="begin"/>
      </w:r>
      <w:r>
        <w:instrText xml:space="preserve"> ADDIN EN.CITE &lt;EndNote&gt;&lt;Cite&gt;&lt;Author&gt;Shaw&lt;/Author&gt;&lt;Year&gt;2011&lt;/Year&gt;&lt;RecNum&gt;418&lt;/RecNum&gt;&lt;DisplayText&gt;(Shaw et al., 2011)&lt;/DisplayText&gt;&lt;record&gt;&lt;rec-number&gt;418&lt;/rec-number&gt;&lt;foreign-keys&gt;&lt;key app="EN" db-id="xtwfdzde5ttr0zevxrh5sf0c2wfzw5zf2vra" timestamp="1643290955" guid="92aabeff-aeba-4561-8245-c08e93e1a9ab"&gt;418&lt;/key&gt;&lt;/foreign-keys&gt;&lt;ref-type name="Journal Article"&gt;17&lt;/ref-type&gt;&lt;contributors&gt;&lt;authors&gt;&lt;author&gt;Shaw, K.&lt;/author&gt;&lt;author&gt;Cartwright, C.&lt;/author&gt;&lt;author&gt;Craig, J.&lt;/author&gt;&lt;/authors&gt;&lt;/contributors&gt;&lt;titles&gt;&lt;title&gt;The housing and support needs of people with an intellectual disability into older age&lt;/title&gt;&lt;secondary-title&gt;Journal of Intellectual Disability Research&lt;/secondary-title&gt;&lt;short-title&gt;The housing and support needs of people with an intellectual disability into older age&lt;/short-title&gt;&lt;/titles&gt;&lt;periodical&gt;&lt;full-title&gt;Journal of Intellectual Disability Research&lt;/full-title&gt;&lt;/periodical&gt;&lt;pages&gt;895-903&lt;/pages&gt;&lt;volume&gt;55&lt;/volume&gt;&lt;number&gt;9&lt;/number&gt;&lt;dates&gt;&lt;year&gt;2011&lt;/year&gt;&lt;/dates&gt;&lt;urls&gt;&lt;/urls&gt;&lt;electronic-resource-num&gt;10.1111/j.1365-2788.2011.01449.x&lt;/electronic-resource-num&gt;&lt;/record&gt;&lt;/Cite&gt;&lt;/EndNote&gt;</w:instrText>
      </w:r>
      <w:r>
        <w:fldChar w:fldCharType="separate"/>
      </w:r>
      <w:r w:rsidRPr="11C55A92">
        <w:rPr>
          <w:noProof/>
        </w:rPr>
        <w:t>(Shaw et al., 2011)</w:t>
      </w:r>
      <w:r>
        <w:fldChar w:fldCharType="end"/>
      </w:r>
      <w:r>
        <w:t xml:space="preserve">. </w:t>
      </w:r>
      <w:bookmarkEnd w:id="60"/>
      <w:r>
        <w:t xml:space="preserve">A range of factors have been found to predict a move out of the home for people </w:t>
      </w:r>
      <w:r w:rsidR="007B4A0C">
        <w:t>with intellectual disabilities</w:t>
      </w:r>
      <w:r>
        <w:t xml:space="preserve"> </w:t>
      </w:r>
      <w:r>
        <w:fldChar w:fldCharType="begin"/>
      </w:r>
      <w:r>
        <w:instrText xml:space="preserve"> ADDIN EN.CITE &lt;EndNote&gt;&lt;Cite&gt;&lt;Author&gt;Ryan&lt;/Author&gt;&lt;Year&gt;2014&lt;/Year&gt;&lt;RecNum&gt;529&lt;/RecNum&gt;&lt;DisplayText&gt;(Ryan et al., 2014)&lt;/DisplayText&gt;&lt;record&gt;&lt;rec-number&gt;529&lt;/rec-number&gt;&lt;foreign-keys&gt;&lt;key app="EN" db-id="xtwfdzde5ttr0zevxrh5sf0c2wfzw5zf2vra" timestamp="1649175308" guid="7d363844-8cbb-47aa-afb5-22a46599daca"&gt;529&lt;/key&gt;&lt;/foreign-keys&gt;&lt;ref-type name="Journal Article"&gt;17&lt;/ref-type&gt;&lt;contributors&gt;&lt;authors&gt;&lt;author&gt;Ryan, Assumpta&lt;/author&gt;&lt;author&gt;Taggart, Laurence&lt;/author&gt;&lt;author&gt;Truesdale-Kennedy, Maria&lt;/author&gt;&lt;author&gt;Slevin, Eamonn&lt;/author&gt;&lt;/authors&gt;&lt;/contributors&gt;&lt;titles&gt;&lt;title&gt;Issues in caregiving for older people with intellectual disabilities and their ageing family carers: a review and commentary&lt;/title&gt;&lt;secondary-title&gt;International Journal of Older People Nursing&lt;/secondary-title&gt;&lt;/titles&gt;&lt;periodical&gt;&lt;full-title&gt;International Journal of Older People Nursing&lt;/full-title&gt;&lt;/periodical&gt;&lt;pages&gt;217-226&lt;/pages&gt;&lt;volume&gt;9&lt;/volume&gt;&lt;number&gt;3&lt;/number&gt;&lt;dates&gt;&lt;year&gt;2014&lt;/year&gt;&lt;/dates&gt;&lt;publisher&gt;Wiley&lt;/publisher&gt;&lt;isbn&gt;1748-3735&lt;/isbn&gt;&lt;urls&gt;&lt;related-urls&gt;&lt;url&gt;https://dx.doi.org/10.1111/opn.12021&lt;/url&gt;&lt;/related-urls&gt;&lt;/urls&gt;&lt;electronic-resource-num&gt;10.1111/opn.12021&lt;/electronic-resource-num&gt;&lt;/record&gt;&lt;/Cite&gt;&lt;/EndNote&gt;</w:instrText>
      </w:r>
      <w:r>
        <w:fldChar w:fldCharType="separate"/>
      </w:r>
      <w:r w:rsidRPr="11C55A92">
        <w:rPr>
          <w:noProof/>
        </w:rPr>
        <w:t>(Ryan et al., 2014)</w:t>
      </w:r>
      <w:r>
        <w:fldChar w:fldCharType="end"/>
      </w:r>
      <w:r>
        <w:t xml:space="preserve">. These included increasing level of needs on the part of the person </w:t>
      </w:r>
      <w:r w:rsidR="007B4A0C">
        <w:t>with intellectual disabilities</w:t>
      </w:r>
      <w:r>
        <w:t xml:space="preserve">, family carers being aged 75 years and over, stress experienced by the caregiver, both the person </w:t>
      </w:r>
      <w:r w:rsidR="007B4A0C">
        <w:t>with intellectual disabilities</w:t>
      </w:r>
      <w:r>
        <w:t xml:space="preserve"> and the family caregiver living in unsuitable accommodation, and low socioeconomic status </w:t>
      </w:r>
      <w:r>
        <w:fldChar w:fldCharType="begin"/>
      </w:r>
      <w:r>
        <w:instrText xml:space="preserve"> ADDIN EN.CITE &lt;EndNote&gt;&lt;Cite&gt;&lt;Author&gt;Ryan&lt;/Author&gt;&lt;Year&gt;2014&lt;/Year&gt;&lt;RecNum&gt;529&lt;/RecNum&gt;&lt;DisplayText&gt;(Ryan et al., 2014)&lt;/DisplayText&gt;&lt;record&gt;&lt;rec-number&gt;529&lt;/rec-number&gt;&lt;foreign-keys&gt;&lt;key app="EN" db-id="xtwfdzde5ttr0zevxrh5sf0c2wfzw5zf2vra" timestamp="1649175308" guid="7d363844-8cbb-47aa-afb5-22a46599daca"&gt;529&lt;/key&gt;&lt;/foreign-keys&gt;&lt;ref-type name="Journal Article"&gt;17&lt;/ref-type&gt;&lt;contributors&gt;&lt;authors&gt;&lt;author&gt;Ryan, Assumpta&lt;/author&gt;&lt;author&gt;Taggart, Laurence&lt;/author&gt;&lt;author&gt;Truesdale-Kennedy, Maria&lt;/author&gt;&lt;author&gt;Slevin, Eamonn&lt;/author&gt;&lt;/authors&gt;&lt;/contributors&gt;&lt;titles&gt;&lt;title&gt;Issues in caregiving for older people with intellectual disabilities and their ageing family carers: a review and commentary&lt;/title&gt;&lt;secondary-title&gt;International Journal of Older People Nursing&lt;/secondary-title&gt;&lt;/titles&gt;&lt;periodical&gt;&lt;full-title&gt;International Journal of Older People Nursing&lt;/full-title&gt;&lt;/periodical&gt;&lt;pages&gt;217-226&lt;/pages&gt;&lt;volume&gt;9&lt;/volume&gt;&lt;number&gt;3&lt;/number&gt;&lt;dates&gt;&lt;year&gt;2014&lt;/year&gt;&lt;/dates&gt;&lt;publisher&gt;Wiley&lt;/publisher&gt;&lt;isbn&gt;1748-3735&lt;/isbn&gt;&lt;urls&gt;&lt;related-urls&gt;&lt;url&gt;https://dx.doi.org/10.1111/opn.12021&lt;/url&gt;&lt;/related-urls&gt;&lt;/urls&gt;&lt;electronic-resource-num&gt;10.1111/opn.12021&lt;/electronic-resource-num&gt;&lt;/record&gt;&lt;/Cite&gt;&lt;/EndNote&gt;</w:instrText>
      </w:r>
      <w:r>
        <w:fldChar w:fldCharType="separate"/>
      </w:r>
      <w:r w:rsidRPr="11C55A92">
        <w:rPr>
          <w:noProof/>
        </w:rPr>
        <w:t>(Ryan et al., 2014)</w:t>
      </w:r>
      <w:r>
        <w:fldChar w:fldCharType="end"/>
      </w:r>
      <w:r>
        <w:t xml:space="preserve">. Findings from a review by </w:t>
      </w:r>
      <w:r>
        <w:fldChar w:fldCharType="begin"/>
      </w:r>
      <w:r>
        <w:instrText xml:space="preserve"> ADDIN EN.CITE &lt;EndNote&gt;&lt;Cite AuthorYear="1"&gt;&lt;Author&gt;Ryan&lt;/Author&gt;&lt;Year&gt;2014&lt;/Year&gt;&lt;RecNum&gt;529&lt;/RecNum&gt;&lt;DisplayText&gt;Ryan et al. (2014)&lt;/DisplayText&gt;&lt;record&gt;&lt;rec-number&gt;529&lt;/rec-number&gt;&lt;foreign-keys&gt;&lt;key app="EN" db-id="xtwfdzde5ttr0zevxrh5sf0c2wfzw5zf2vra" timestamp="1649175308" guid="7d363844-8cbb-47aa-afb5-22a46599daca"&gt;529&lt;/key&gt;&lt;/foreign-keys&gt;&lt;ref-type name="Journal Article"&gt;17&lt;/ref-type&gt;&lt;contributors&gt;&lt;authors&gt;&lt;author&gt;Ryan, Assumpta&lt;/author&gt;&lt;author&gt;Taggart, Laurence&lt;/author&gt;&lt;author&gt;Truesdale-Kennedy, Maria&lt;/author&gt;&lt;author&gt;Slevin, Eamonn&lt;/author&gt;&lt;/authors&gt;&lt;/contributors&gt;&lt;titles&gt;&lt;title&gt;Issues in caregiving for older people with intellectual disabilities and their ageing family carers: a review and commentary&lt;/title&gt;&lt;secondary-title&gt;International Journal of Older People Nursing&lt;/secondary-title&gt;&lt;/titles&gt;&lt;periodical&gt;&lt;full-title&gt;International Journal of Older People Nursing&lt;/full-title&gt;&lt;/periodical&gt;&lt;pages&gt;217-226&lt;/pages&gt;&lt;volume&gt;9&lt;/volume&gt;&lt;number&gt;3&lt;/number&gt;&lt;dates&gt;&lt;year&gt;2014&lt;/year&gt;&lt;/dates&gt;&lt;publisher&gt;Wiley&lt;/publisher&gt;&lt;isbn&gt;1748-3735&lt;/isbn&gt;&lt;urls&gt;&lt;related-urls&gt;&lt;url&gt;https://dx.doi.org/10.1111/opn.12021&lt;/url&gt;&lt;/related-urls&gt;&lt;/urls&gt;&lt;electronic-resource-num&gt;10.1111/opn.12021&lt;/electronic-resource-num&gt;&lt;/record&gt;&lt;/Cite&gt;&lt;/EndNote&gt;</w:instrText>
      </w:r>
      <w:r>
        <w:fldChar w:fldCharType="separate"/>
      </w:r>
      <w:r w:rsidRPr="11C55A92">
        <w:rPr>
          <w:noProof/>
        </w:rPr>
        <w:t>Ryan et al. (2014)</w:t>
      </w:r>
      <w:r>
        <w:fldChar w:fldCharType="end"/>
      </w:r>
      <w:r>
        <w:t xml:space="preserve"> indicate that there is an increased need for appropriate services for older people </w:t>
      </w:r>
      <w:r w:rsidR="007B4A0C">
        <w:t>with intellectual disabilities</w:t>
      </w:r>
      <w:r>
        <w:t xml:space="preserve"> and for ageing family carers, as well as a need for early future planning. The</w:t>
      </w:r>
      <w:r w:rsidR="00737BFC">
        <w:t>se</w:t>
      </w:r>
      <w:r>
        <w:t xml:space="preserve"> authors suggest that future planning for the care of older people </w:t>
      </w:r>
      <w:r w:rsidR="007B4A0C">
        <w:t>with intellectual disabilities</w:t>
      </w:r>
      <w:r>
        <w:t xml:space="preserve"> is an essential process which should begin before the onset of functional and cognitive decline for both the person </w:t>
      </w:r>
      <w:r w:rsidR="007B4A0C">
        <w:t>with intellectual disabilities</w:t>
      </w:r>
      <w:r>
        <w:t xml:space="preserve"> and their family carer.</w:t>
      </w:r>
    </w:p>
    <w:p w14:paraId="7BB5AB31" w14:textId="45E150C5" w:rsidR="00F80CB9" w:rsidRDefault="00F80CB9" w:rsidP="00F80CB9">
      <w:r>
        <w:t>Existing literature indicates that the physical home environment is a key factor in enabling a person to age in place</w:t>
      </w:r>
      <w:r w:rsidR="00767CF5">
        <w:t xml:space="preserve"> </w:t>
      </w:r>
      <w:r w:rsidR="00CB7012">
        <w:fldChar w:fldCharType="begin">
          <w:fldData xml:space="preserve">PEVuZE5vdGU+PENpdGU+PEF1dGhvcj5Ob3J0aHdheTwvQXV0aG9yPjxZZWFyPjIwMTc8L1llYXI+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</w:fldData>
        </w:fldChar>
      </w:r>
      <w:r w:rsidR="00CB7012">
        <w:instrText xml:space="preserve"> ADDIN EN.CITE </w:instrText>
      </w:r>
      <w:r w:rsidR="00CB7012">
        <w:fldChar w:fldCharType="begin">
          <w:fldData xml:space="preserve">PEVuZE5vdGU+PENpdGU+PEF1dGhvcj5Ob3J0aHdheTwvQXV0aG9yPjxZZWFyPjIwMTc8L1llYXI+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</w:fldData>
        </w:fldChar>
      </w:r>
      <w:r w:rsidR="00CB7012">
        <w:instrText xml:space="preserve"> ADDIN EN.CITE.DATA </w:instrText>
      </w:r>
      <w:r w:rsidR="00CB7012">
        <w:fldChar w:fldCharType="end"/>
      </w:r>
      <w:r w:rsidR="00CB7012">
        <w:fldChar w:fldCharType="separate"/>
      </w:r>
      <w:r w:rsidR="00CB7012">
        <w:rPr>
          <w:noProof/>
        </w:rPr>
        <w:t>(Northway et al., 2017; Webber et al., 2010)</w:t>
      </w:r>
      <w:r w:rsidR="00CB7012">
        <w:fldChar w:fldCharType="end"/>
      </w:r>
      <w:r>
        <w:t xml:space="preserve">. In a study by Webber et al </w:t>
      </w:r>
      <w:r>
        <w:fldChar w:fldCharType="begin"/>
      </w:r>
      <w:r w:rsidR="006A378C">
        <w:instrText xml:space="preserve"> ADDIN EN.CITE &lt;EndNote&gt;&lt;Cite ExcludeAuth="1"&gt;&lt;Author&gt;Webber&lt;/Author&gt;&lt;Year&gt;2010&lt;/Year&gt;&lt;RecNum&gt;447&lt;/RecNum&gt;&lt;DisplayText&gt;(2010)&lt;/DisplayText&gt;&lt;record&gt;&lt;rec-number&gt;447&lt;/rec-number&gt;&lt;foreign-keys&gt;&lt;key app="EN" db-id="xtwfdzde5ttr0zevxrh5sf0c2wfzw5zf2vra" timestamp="1643290955" guid="40baecfb-9474-4371-9b0e-6e46d6ae2775"&gt;447&lt;/key&gt;&lt;/foreign-keys&gt;&lt;ref-type name="Journal Article"&gt;17&lt;/ref-type&gt;&lt;contributors&gt;&lt;authors&gt;&lt;author&gt;Webber, Ruth&lt;/author&gt;&lt;author&gt;Bowers, Barbara&lt;/author&gt;&lt;author&gt;McKenzie-Green, Barbara&lt;/author&gt;&lt;/authors&gt;&lt;/contributors&gt;&lt;titles&gt;&lt;title&gt;Staff responses to age-related health changes in people with an intellectual disability in group homes&lt;/title&gt;&lt;secondary-title&gt;Disability and Society&lt;/secondary-title&gt;&lt;short-title&gt;Staff responses to age-related health changes in people with an intellectual disability in group homes&lt;/short-title&gt;&lt;/titles&gt;&lt;periodical&gt;&lt;full-title&gt;Disability and Society&lt;/full-title&gt;&lt;/periodical&gt;&lt;pages&gt;657-671&lt;/pages&gt;&lt;volume&gt;25&lt;/volume&gt;&lt;number&gt;6&lt;/number&gt;&lt;dates&gt;&lt;year&gt;2010&lt;/year&gt;&lt;/dates&gt;&lt;urls&gt;&lt;/urls&gt;&lt;electronic-resource-num&gt;10.1080/09687599.2010.505736&lt;/electronic-resource-num&gt;&lt;/record&gt;&lt;/Cite&gt;&lt;/EndNote&gt;</w:instrText>
      </w:r>
      <w:r>
        <w:fldChar w:fldCharType="separate"/>
      </w:r>
      <w:r>
        <w:rPr>
          <w:noProof/>
        </w:rPr>
        <w:t>(2010)</w:t>
      </w:r>
      <w:r>
        <w:fldChar w:fldCharType="end"/>
      </w:r>
      <w:r>
        <w:t xml:space="preserve">, support staff in group homes cited mobility issues, functional decline and unsuitability of the physical home environment as factors contributing to relocation. Support staff strongly advocated for equipment and house modifications or a </w:t>
      </w:r>
      <w:r w:rsidRPr="005C5501">
        <w:t>move to modified</w:t>
      </w:r>
      <w:r w:rsidR="0C46A9E4" w:rsidRPr="005C5501">
        <w:t xml:space="preserve"> or </w:t>
      </w:r>
      <w:r w:rsidRPr="005C5501">
        <w:t xml:space="preserve">purpose-built homes as people’s needs changed and mobility issues developed, to prevent a move to </w:t>
      </w:r>
      <w:r>
        <w:t xml:space="preserve">generic </w:t>
      </w:r>
      <w:r w:rsidRPr="005C5501">
        <w:t xml:space="preserve">care facilities </w:t>
      </w:r>
      <w:r w:rsidRPr="005C5501">
        <w:fldChar w:fldCharType="begin"/>
      </w:r>
      <w:r w:rsidR="006A378C">
        <w:instrText xml:space="preserve"> ADDIN EN.CITE &lt;EndNote&gt;&lt;Cite&gt;&lt;Author&gt;Webber&lt;/Author&gt;&lt;Year&gt;2010&lt;/Year&gt;&lt;RecNum&gt;447&lt;/RecNum&gt;&lt;DisplayText&gt;(Webber et al., 2010)&lt;/DisplayText&gt;&lt;record&gt;&lt;rec-number&gt;447&lt;/rec-number&gt;&lt;foreign-keys&gt;&lt;key app="EN" db-id="xtwfdzde5ttr0zevxrh5sf0c2wfzw5zf2vra" timestamp="1643290955" guid="40baecfb-9474-4371-9b0e-6e46d6ae2775"&gt;447&lt;/key&gt;&lt;/foreign-keys&gt;&lt;ref-type name="Journal Article"&gt;17&lt;/ref-type&gt;&lt;contributors&gt;&lt;authors&gt;&lt;author&gt;Webber, Ruth&lt;/author&gt;&lt;author&gt;Bowers, Barbara&lt;/author&gt;&lt;author&gt;McKenzie-Green, Barbara&lt;/author&gt;&lt;/authors&gt;&lt;/contributors&gt;&lt;titles&gt;&lt;title&gt;Staff responses to age-related health changes in people with an intellectual disability in group homes&lt;/title&gt;&lt;secondary-title&gt;Disability and Society&lt;/secondary-title&gt;&lt;short-title&gt;Staff responses to age-related health changes in people with an intellectual disability in group homes&lt;/short-title&gt;&lt;/titles&gt;&lt;periodical&gt;&lt;full-title&gt;Disability and Society&lt;/full-title&gt;&lt;/periodical&gt;&lt;pages&gt;657-671&lt;/pages&gt;&lt;volume&gt;25&lt;/volume&gt;&lt;number&gt;6&lt;/number&gt;&lt;dates&gt;&lt;year&gt;2010&lt;/year&gt;&lt;/dates&gt;&lt;urls&gt;&lt;/urls&gt;&lt;electronic-resource-num&gt;10.1080/09687599.2010.505736&lt;/electronic-resource-num&gt;&lt;/record&gt;&lt;/Cite&gt;&lt;/EndNote&gt;</w:instrText>
      </w:r>
      <w:r w:rsidRPr="005C5501">
        <w:fldChar w:fldCharType="separate"/>
      </w:r>
      <w:r>
        <w:rPr>
          <w:noProof/>
        </w:rPr>
        <w:t>(Webber et al., 2010)</w:t>
      </w:r>
      <w:r w:rsidRPr="005C5501">
        <w:fldChar w:fldCharType="end"/>
      </w:r>
      <w:r w:rsidRPr="005C5501">
        <w:t xml:space="preserve">. The issue of providing care to people with dementia was also identified in studies relating to ageing in place </w:t>
      </w:r>
      <w:r w:rsidRPr="005C5501">
        <w:fldChar w:fldCharType="begin">
          <w:fldData xml:space="preserve">PEVuZE5vdGU+PENpdGU+PEF1dGhvcj5BbGZ0YmVyZzwvQXV0aG9yPjxZZWFyPjIwMjE8L1llYXI+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</w:fldData>
        </w:fldChar>
      </w:r>
      <w:r w:rsidR="00B26CBF">
        <w:instrText xml:space="preserve"> ADDIN EN.CITE </w:instrText>
      </w:r>
      <w:r w:rsidR="00B26CBF">
        <w:fldChar w:fldCharType="begin">
          <w:fldData xml:space="preserve">PEVuZE5vdGU+PENpdGU+PEF1dGhvcj5BbGZ0YmVyZzwvQXV0aG9yPjxZZWFyPjIwMjE8L1llYXI+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</w:fldData>
        </w:fldChar>
      </w:r>
      <w:r w:rsidR="00B26CBF">
        <w:instrText xml:space="preserve"> ADDIN EN.CITE.DATA </w:instrText>
      </w:r>
      <w:r w:rsidR="00B26CBF">
        <w:fldChar w:fldCharType="end"/>
      </w:r>
      <w:r w:rsidRPr="005C5501">
        <w:fldChar w:fldCharType="separate"/>
      </w:r>
      <w:r w:rsidR="00B26CBF">
        <w:rPr>
          <w:noProof/>
        </w:rPr>
        <w:t>(Alftberg et al., 2021; McCarron et al., 2010b; Bigby, 2008a)</w:t>
      </w:r>
      <w:r w:rsidRPr="005C5501">
        <w:fldChar w:fldCharType="end"/>
      </w:r>
      <w:r w:rsidRPr="005C5501">
        <w:t xml:space="preserve">. When reflecting on ageing in place in group homes, support staff in one study expressed concern around the appropriateness of their service in dealing with complex conditions such as dementia due to a lack of knowledge and skills in this area and that this would necessitate a move to </w:t>
      </w:r>
      <w:r w:rsidR="00A67197">
        <w:t>a generic nursing home</w:t>
      </w:r>
      <w:r w:rsidR="00A67197" w:rsidRPr="005C5501">
        <w:t xml:space="preserve"> </w:t>
      </w:r>
      <w:r w:rsidRPr="005C5501">
        <w:t xml:space="preserve">for older people, while other support staff expressed a wish for those with dementia to age in place, regardless of dementia </w:t>
      </w:r>
      <w:r w:rsidRPr="005C5501">
        <w:fldChar w:fldCharType="begin"/>
      </w:r>
      <w:r>
        <w:instrText xml:space="preserve"> ADDIN EN.CITE &lt;EndNote&gt;&lt;Cite&gt;&lt;Author&gt;Alftberg&lt;/Author&gt;&lt;Year&gt;2021&lt;/Year&gt;&lt;RecNum&gt;304&lt;/RecNum&gt;&lt;DisplayText&gt;(Alftberg et al., 2021)&lt;/DisplayText&gt;&lt;record&gt;&lt;rec-number&gt;304&lt;/rec-number&gt;&lt;foreign-keys&gt;&lt;key app="EN" db-id="xtwfdzde5ttr0zevxrh5sf0c2wfzw5zf2vra" timestamp="1643290955" guid="36236453-aac1-4b28-967a-a834ec9f9d28"&gt;304&lt;/key&gt;&lt;/foreign-keys&gt;&lt;ref-type name="Journal Article"&gt;17&lt;/ref-type&gt;&lt;contributors&gt;&lt;authors&gt;&lt;author&gt;Alftberg, Åsa&lt;/author&gt;&lt;author&gt;Johansson, Maria&lt;/author&gt;&lt;author&gt;Ahlström, Gerd&lt;/author&gt;&lt;/authors&gt;&lt;/contributors&gt;&lt;titles&gt;&lt;title&gt;Ambivalence among staff regarding ageing with intellectual disabilities: Experiences and reflections&lt;/title&gt;&lt;secondary-title&gt;Journal of Intellectual Disabilities&lt;/secondary-title&gt;&lt;short-title&gt;Ambivalence among staff regarding ageing with intellectual disabilities: Experiences and reflections&lt;/short-title&gt;&lt;/titles&gt;&lt;periodical&gt;&lt;full-title&gt;Journal of Intellectual Disabilities&lt;/full-title&gt;&lt;/periodical&gt;&lt;volume&gt;25&lt;/volume&gt;&lt;number&gt;2&lt;/number&gt;&lt;dates&gt;&lt;year&gt;2021&lt;/year&gt;&lt;/dates&gt;&lt;urls&gt;&lt;related-urls&gt;&lt;url&gt;https://journals.sagepub.com/doi/pdf/10.1177/1744629519874997&lt;/url&gt;&lt;/related-urls&gt;&lt;/urls&gt;&lt;electronic-resource-num&gt;10.1177/1744629519874997&lt;/electronic-resource-num&gt;&lt;/record&gt;&lt;/Cite&gt;&lt;/EndNote&gt;</w:instrText>
      </w:r>
      <w:r w:rsidRPr="005C5501">
        <w:fldChar w:fldCharType="separate"/>
      </w:r>
      <w:r>
        <w:rPr>
          <w:noProof/>
        </w:rPr>
        <w:t>(Alftberg et al., 2021)</w:t>
      </w:r>
      <w:r w:rsidRPr="005C5501">
        <w:fldChar w:fldCharType="end"/>
      </w:r>
      <w:r w:rsidRPr="005C5501">
        <w:t>.</w:t>
      </w:r>
      <w:r w:rsidRPr="00315695">
        <w:t xml:space="preserve"> </w:t>
      </w:r>
    </w:p>
    <w:p w14:paraId="037565C6" w14:textId="77777777" w:rsidR="00F80CB9" w:rsidRPr="00C474B1" w:rsidRDefault="00F80CB9" w:rsidP="00647FED">
      <w:pPr>
        <w:pStyle w:val="Heading4"/>
        <w:rPr>
          <w:i/>
          <w:iCs/>
          <w:color w:val="auto"/>
        </w:rPr>
      </w:pPr>
      <w:r w:rsidRPr="00C474B1">
        <w:rPr>
          <w:i/>
          <w:iCs/>
          <w:color w:val="auto"/>
        </w:rPr>
        <w:t>Relocation and social networks</w:t>
      </w:r>
    </w:p>
    <w:p w14:paraId="49CE10DB" w14:textId="47BC3FA9" w:rsidR="00F80CB9" w:rsidRDefault="00F80CB9" w:rsidP="00F80CB9">
      <w:r>
        <w:t xml:space="preserve">While the relocation of people </w:t>
      </w:r>
      <w:r w:rsidR="007B4A0C">
        <w:t>with intellectual disabilities</w:t>
      </w:r>
      <w:r>
        <w:t xml:space="preserve"> from an institutional setting to community-based settings has been associated with an improved quality of life, the literature indicates that in some instances, relocation can lead to a range of negative outcomes </w:t>
      </w:r>
      <w:r>
        <w:fldChar w:fldCharType="begin">
          <w:fldData xml:space="preserve">PEVuZE5vdGU+PENpdGU+PEF1dGhvcj5NY0NhcnJvbjwvQXV0aG9yPjxZZWFyPjIwMTg8L1llYXI+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</w:fldData>
        </w:fldChar>
      </w:r>
      <w:r w:rsidR="00B26CBF">
        <w:instrText xml:space="preserve"> ADDIN EN.CITE </w:instrText>
      </w:r>
      <w:r w:rsidR="00B26CBF">
        <w:fldChar w:fldCharType="begin">
          <w:fldData xml:space="preserve">PEVuZE5vdGU+PENpdGU+PEF1dGhvcj5NY0NhcnJvbjwvQXV0aG9yPjxZZWFyPjIwMTg8L1llYXI+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</w:fldData>
        </w:fldChar>
      </w:r>
      <w:r w:rsidR="00B26CBF">
        <w:instrText xml:space="preserve"> ADDIN EN.CITE.DATA </w:instrText>
      </w:r>
      <w:r w:rsidR="00B26CBF">
        <w:fldChar w:fldCharType="end"/>
      </w:r>
      <w:r>
        <w:fldChar w:fldCharType="separate"/>
      </w:r>
      <w:r w:rsidR="00B26CBF">
        <w:rPr>
          <w:noProof/>
        </w:rPr>
        <w:t>(McCarron et al., 2018a; McConkey et al., 2016)</w:t>
      </w:r>
      <w:r>
        <w:fldChar w:fldCharType="end"/>
      </w:r>
      <w:r>
        <w:t xml:space="preserve">. These include functional decline </w:t>
      </w:r>
      <w:r>
        <w:fldChar w:fldCharType="begin"/>
      </w:r>
      <w:r>
        <w:instrText xml:space="preserve"> ADDIN EN.CITE &lt;EndNote&gt;&lt;Cite&gt;&lt;Author&gt;Esbensen&lt;/Author&gt;&lt;Year&gt;2008&lt;/Year&gt;&lt;RecNum&gt;520&lt;/RecNum&gt;&lt;DisplayText&gt;(Esbensen et al., 2008)&lt;/DisplayText&gt;&lt;record&gt;&lt;rec-number&gt;520&lt;/rec-number&gt;&lt;foreign-keys&gt;&lt;key app="EN" db-id="xtwfdzde5ttr0zevxrh5sf0c2wfzw5zf2vra" timestamp="1649093090" guid="f4e4844a-dbdb-4be3-9b51-4f93a9d533da"&gt;520&lt;/key&gt;&lt;/foreign-keys&gt;&lt;ref-type name="Journal Article"&gt;17&lt;/ref-type&gt;&lt;contributors&gt;&lt;authors&gt;&lt;author&gt;Esbensen, Anna J&lt;/author&gt;&lt;author&gt;Seltzer, Marsha Mailick&lt;/author&gt;&lt;author&gt;Krauss, Marty Wyngaarden&lt;/author&gt;&lt;/authors&gt;&lt;/contributors&gt;&lt;titles&gt;&lt;title&gt;Stability and change in health, functional abilities, and behavior problems among adults with and without Down syndrome&lt;/title&gt;&lt;secondary-title&gt;American Journal on Mental Retardation&lt;/secondary-title&gt;&lt;/titles&gt;&lt;periodical&gt;&lt;full-title&gt;American Journal on Mental Retardation&lt;/full-title&gt;&lt;/periodical&gt;&lt;pages&gt;263-277&lt;/pages&gt;&lt;volume&gt;113&lt;/volume&gt;&lt;number&gt;4&lt;/number&gt;&lt;dates&gt;&lt;year&gt;2008&lt;/year&gt;&lt;/dates&gt;&lt;isbn&gt;0895-8017&lt;/isbn&gt;&lt;urls&gt;&lt;/urls&gt;&lt;/record&gt;&lt;/Cite&gt;&lt;/EndNote&gt;</w:instrText>
      </w:r>
      <w:r>
        <w:fldChar w:fldCharType="separate"/>
      </w:r>
      <w:r>
        <w:rPr>
          <w:noProof/>
        </w:rPr>
        <w:t>(Esbensen et al., 2008)</w:t>
      </w:r>
      <w:r>
        <w:fldChar w:fldCharType="end"/>
      </w:r>
      <w:r>
        <w:t xml:space="preserve">, emotional and behavioural problems </w:t>
      </w:r>
      <w:r>
        <w:fldChar w:fldCharType="begin"/>
      </w:r>
      <w:r>
        <w:instrText xml:space="preserve"> ADDIN EN.CITE &lt;EndNote&gt;&lt;Cite&gt;&lt;Author&gt;Hamilton&lt;/Author&gt;&lt;Year&gt;2005&lt;/Year&gt;&lt;RecNum&gt;519&lt;/RecNum&gt;&lt;DisplayText&gt;(Hamilton et al., 2005)&lt;/DisplayText&gt;&lt;record&gt;&lt;rec-number&gt;519&lt;/rec-number&gt;&lt;foreign-keys&gt;&lt;key app="EN" db-id="xtwfdzde5ttr0zevxrh5sf0c2wfzw5zf2vra" timestamp="1649092479" guid="b5eccab1-acc0-4da4-8c10-0e6919983405"&gt;519&lt;/key&gt;&lt;/foreign-keys&gt;&lt;ref-type name="Journal Article"&gt;17&lt;/ref-type&gt;&lt;contributors&gt;&lt;authors&gt;&lt;author&gt;Hamilton, David&lt;/author&gt;&lt;author&gt;Sutherland, Georgina&lt;/author&gt;&lt;author&gt;Iacono, Teresa&lt;/author&gt;&lt;/authors&gt;&lt;/contributors&gt;&lt;titles&gt;&lt;title&gt;Further examination of relationships between life events and psychiatric symptoms in adults with intellectual disability&lt;/title&gt;&lt;secondary-title&gt;Journal of Intellectual Disability Research&lt;/secondary-title&gt;&lt;/titles&gt;&lt;periodical&gt;&lt;full-title&gt;Journal of Intellectual Disability Research&lt;/full-title&gt;&lt;/periodical&gt;&lt;pages&gt;839-844&lt;/pages&gt;&lt;volume&gt;49&lt;/volume&gt;&lt;number&gt;11&lt;/number&gt;&lt;dates&gt;&lt;year&gt;2005&lt;/year&gt;&lt;/dates&gt;&lt;isbn&gt;0964-2633&lt;/isbn&gt;&lt;urls&gt;&lt;/urls&gt;&lt;/record&gt;&lt;/Cite&gt;&lt;/EndNote&gt;</w:instrText>
      </w:r>
      <w:r>
        <w:fldChar w:fldCharType="separate"/>
      </w:r>
      <w:r>
        <w:rPr>
          <w:noProof/>
        </w:rPr>
        <w:t>(Hamilton et al., 2005)</w:t>
      </w:r>
      <w:r>
        <w:fldChar w:fldCharType="end"/>
      </w:r>
      <w:r>
        <w:t xml:space="preserve">, psychological distress </w:t>
      </w:r>
      <w:r>
        <w:fldChar w:fldCharType="begin"/>
      </w:r>
      <w:r w:rsidR="00FF5F49">
        <w:instrText xml:space="preserve"> ADDIN EN.CITE &lt;EndNote&gt;&lt;Cite&gt;&lt;Author&gt;Hulbert-Williams&lt;/Author&gt;&lt;Year&gt;2008&lt;/Year&gt;&lt;RecNum&gt;531&lt;/RecNum&gt;&lt;DisplayText&gt;(Hulbert-Williams &amp;amp; Hastings, 2008)&lt;/DisplayText&gt;&lt;record&gt;&lt;rec-number&gt;531&lt;/rec-number&gt;&lt;foreign-keys&gt;&lt;key app="EN" db-id="xtwfdzde5ttr0zevxrh5sf0c2wfzw5zf2vra" timestamp="1649176718" guid="4f9000b5-7169-4ac9-8cda-ca863c41baa2"&gt;531&lt;/key&gt;&lt;/foreign-keys&gt;&lt;ref-type name="Journal Article"&gt;17&lt;/ref-type&gt;&lt;contributors&gt;&lt;authors&gt;&lt;author&gt;Hulbert-Williams, L.&lt;/author&gt;&lt;author&gt;Hastings, R. P.&lt;/author&gt;&lt;/authors&gt;&lt;/contributors&gt;&lt;titles&gt;&lt;title&gt;Life events as a risk factor for psychological problems in individuals with intellectual disabilities: a critical review&lt;/title&gt;&lt;secondary-title&gt;Journal of Intellectual Disability Research&lt;/secondary-title&gt;&lt;/titles&gt;&lt;periodical&gt;&lt;full-title&gt;Journal of Intellectual Disability Research&lt;/full-title&gt;&lt;/periodical&gt;&lt;pages&gt;883-895&lt;/pages&gt;&lt;volume&gt;52&lt;/volume&gt;&lt;number&gt;11&lt;/number&gt;&lt;dates&gt;&lt;year&gt;2008&lt;/year&gt;&lt;/dates&gt;&lt;publisher&gt;Wiley&lt;/publisher&gt;&lt;isbn&gt;0964-2633&lt;/isbn&gt;&lt;urls&gt;&lt;related-urls&gt;&lt;url&gt;https://dx.doi.org/10.1111/j.1365-2788.2008.01110.x&lt;/url&gt;&lt;/related-urls&gt;&lt;/urls&gt;&lt;electronic-resource-num&gt;10.1111/j.1365-2788.2008.01110.x&lt;/electronic-resource-num&gt;&lt;/record&gt;&lt;/Cite&gt;&lt;/EndNote&gt;</w:instrText>
      </w:r>
      <w:r>
        <w:fldChar w:fldCharType="separate"/>
      </w:r>
      <w:r w:rsidR="00FF5F49">
        <w:rPr>
          <w:noProof/>
        </w:rPr>
        <w:t>(Hulbert-Williams &amp; Hastings, 2008)</w:t>
      </w:r>
      <w:r>
        <w:fldChar w:fldCharType="end"/>
      </w:r>
      <w:r>
        <w:t xml:space="preserve">, and difficulty in developing friendships and maintaining social networks </w:t>
      </w:r>
      <w:r>
        <w:fldChar w:fldCharType="begin"/>
      </w:r>
      <w:r>
        <w:instrText xml:space="preserve"> ADDIN EN.CITE &lt;EndNote&gt;&lt;Cite&gt;&lt;Author&gt;Bigby&lt;/Author&gt;&lt;Year&gt;2008&lt;/Year&gt;&lt;RecNum&gt;310&lt;/RecNum&gt;&lt;DisplayText&gt;(Bigby, 2008b)&lt;/DisplayText&gt;&lt;record&gt;&lt;rec-number&gt;310&lt;/rec-number&gt;&lt;foreign-keys&gt;&lt;key app="EN" db-id="xtwfdzde5ttr0zevxrh5sf0c2wfzw5zf2vra" timestamp="1643290955" guid="15173fdd-4951-480a-b9d3-8f357f1c8286"&gt;310&lt;/key&gt;&lt;/foreign-keys&gt;&lt;ref-type name="Journal Article"&gt;17&lt;/ref-type&gt;&lt;contributors&gt;&lt;authors&gt;&lt;author&gt;Bigby, Christine&lt;/author&gt;&lt;/authors&gt;&lt;/contributors&gt;&lt;titles&gt;&lt;title&gt;Known well by no-one: Trends in the informal social networks of middle-aged and older people with intellectual disability five years after moving to the community&lt;/title&gt;&lt;secondary-title&gt;Journal of Intellectual and Developmental Disability&lt;/secondary-title&gt;&lt;short-title&gt;Known well by no-one: Trends in the informal social networks of middle-aged and older people with intellectual disability five years after moving to the community&lt;/short-title&gt;&lt;/titles&gt;&lt;periodical&gt;&lt;full-title&gt;Journal of Intellectual and Developmental Disability&lt;/full-title&gt;&lt;/periodical&gt;&lt;volume&gt;33&lt;/volume&gt;&lt;number&gt;2&lt;/number&gt;&lt;dates&gt;&lt;year&gt;2008&lt;/year&gt;&lt;/dates&gt;&lt;urls&gt;&lt;/urls&gt;&lt;electronic-resource-num&gt;10.1080/13668250802094141&lt;/electronic-resource-num&gt;&lt;/record&gt;&lt;/Cite&gt;&lt;/EndNote&gt;</w:instrText>
      </w:r>
      <w:r>
        <w:fldChar w:fldCharType="separate"/>
      </w:r>
      <w:r>
        <w:rPr>
          <w:noProof/>
        </w:rPr>
        <w:t>(Bigby, 2008b)</w:t>
      </w:r>
      <w:r>
        <w:fldChar w:fldCharType="end"/>
      </w:r>
      <w:r>
        <w:t xml:space="preserve">. </w:t>
      </w:r>
    </w:p>
    <w:p w14:paraId="041F4B6A" w14:textId="0B342A95" w:rsidR="00F80CB9" w:rsidRPr="00106EF6" w:rsidRDefault="00F80CB9" w:rsidP="00F80CB9">
      <w:r>
        <w:t xml:space="preserve">Adults with Down Syndrome may be at higher risk of experiencing relocations </w:t>
      </w:r>
      <w:r w:rsidRPr="006E1AA2">
        <w:t>than adults with other intellectual disabilities</w:t>
      </w:r>
      <w:r>
        <w:t xml:space="preserve"> </w:t>
      </w:r>
      <w:r w:rsidRPr="00816D03">
        <w:fldChar w:fldCharType="begin">
          <w:fldData xml:space="preserve">PEVuZE5vdGU+PENpdGU+PEF1dGhvcj5Xb29kbWFuPC9BdXRob3I+PFllYXI+MjAxNDwvWWVhcj48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</w:fldData>
        </w:fldChar>
      </w:r>
      <w:r w:rsidR="00B26CBF">
        <w:instrText xml:space="preserve"> ADDIN EN.CITE </w:instrText>
      </w:r>
      <w:r w:rsidR="00B26CBF">
        <w:fldChar w:fldCharType="begin">
          <w:fldData xml:space="preserve">PEVuZE5vdGU+PENpdGU+PEF1dGhvcj5Xb29kbWFuPC9BdXRob3I+PFllYXI+MjAxNDwvWWVhcj48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</w:fldData>
        </w:fldChar>
      </w:r>
      <w:r w:rsidR="00B26CBF">
        <w:instrText xml:space="preserve"> ADDIN EN.CITE.DATA </w:instrText>
      </w:r>
      <w:r w:rsidR="00B26CBF">
        <w:fldChar w:fldCharType="end"/>
      </w:r>
      <w:r w:rsidRPr="00816D03">
        <w:fldChar w:fldCharType="separate"/>
      </w:r>
      <w:r w:rsidR="00B26CBF">
        <w:rPr>
          <w:noProof/>
        </w:rPr>
        <w:t>(Woodman et al., 2014; Patti et al., 2010)</w:t>
      </w:r>
      <w:r w:rsidRPr="00816D03">
        <w:fldChar w:fldCharType="end"/>
      </w:r>
      <w:r w:rsidRPr="00816D03">
        <w:t>.</w:t>
      </w:r>
      <w:r w:rsidRPr="00816D03" w:rsidDel="00BC58E1">
        <w:t xml:space="preserve"> </w:t>
      </w:r>
      <w:r w:rsidRPr="00816D03">
        <w:t>Patti et al</w:t>
      </w:r>
      <w:r>
        <w:t>.</w:t>
      </w:r>
      <w:r w:rsidRPr="00816D03">
        <w:t xml:space="preserve"> </w:t>
      </w:r>
      <w:r w:rsidRPr="00816D03">
        <w:fldChar w:fldCharType="begin"/>
      </w:r>
      <w:r>
        <w:instrText xml:space="preserve"> ADDIN EN.CITE &lt;EndNote&gt;&lt;Cite ExcludeAuth="1"&gt;&lt;Author&gt;Patti&lt;/Author&gt;&lt;Year&gt;2005&lt;/Year&gt;&lt;RecNum&gt;518&lt;/RecNum&gt;&lt;DisplayText&gt;(2005)&lt;/DisplayText&gt;&lt;record&gt;&lt;rec-number&gt;518&lt;/rec-number&gt;&lt;foreign-keys&gt;&lt;key app="EN" db-id="xtwfdzde5ttr0zevxrh5sf0c2wfzw5zf2vra" timestamp="1649092422" guid="5b61f3db-c911-4eea-9904-6e6bc089b596"&gt;518&lt;/key&gt;&lt;/foreign-keys&gt;&lt;ref-type name="Journal Article"&gt;17&lt;/ref-type&gt;&lt;contributors&gt;&lt;authors&gt;&lt;author&gt;Patti, Paul J&lt;/author&gt;&lt;author&gt;Amble, Karen B&lt;/author&gt;&lt;author&gt;Flory, Michael J&lt;/author&gt;&lt;/authors&gt;&lt;/contributors&gt;&lt;titles&gt;&lt;title&gt;Life events in older adults with intellectual disabilities: Differences between adults with and without Down syndrome&lt;/title&gt;&lt;secondary-title&gt;Journal of Policy and Practice in Intellectual Disabilities&lt;/secondary-title&gt;&lt;/titles&gt;&lt;periodical&gt;&lt;full-title&gt;Journal of Policy and Practice in Intellectual Disabilities&lt;/full-title&gt;&lt;/periodical&gt;&lt;pages&gt;149-155&lt;/pages&gt;&lt;volume&gt;2&lt;/volume&gt;&lt;number&gt;2&lt;/number&gt;&lt;dates&gt;&lt;year&gt;2005&lt;/year&gt;&lt;/dates&gt;&lt;isbn&gt;1741-1122&lt;/isbn&gt;&lt;urls&gt;&lt;/urls&gt;&lt;/record&gt;&lt;/Cite&gt;&lt;/EndNote&gt;</w:instrText>
      </w:r>
      <w:r w:rsidRPr="00816D03">
        <w:fldChar w:fldCharType="separate"/>
      </w:r>
      <w:r>
        <w:rPr>
          <w:noProof/>
        </w:rPr>
        <w:t>(2005)</w:t>
      </w:r>
      <w:r w:rsidRPr="00816D03">
        <w:fldChar w:fldCharType="end"/>
      </w:r>
      <w:r w:rsidRPr="00816D03">
        <w:t xml:space="preserve"> found that 60%</w:t>
      </w:r>
      <w:r>
        <w:t xml:space="preserve"> </w:t>
      </w:r>
      <w:r w:rsidRPr="00460A6C">
        <w:t>of adults with Down Syndrome experienced one or more relocations over 5 years</w:t>
      </w:r>
      <w:r>
        <w:t xml:space="preserve">, </w:t>
      </w:r>
      <w:r w:rsidRPr="00460A6C">
        <w:t>compared to 21% of adults with non-Down Syndrome</w:t>
      </w:r>
      <w:r>
        <w:t>-</w:t>
      </w:r>
      <w:r w:rsidRPr="00460A6C">
        <w:t>related intellectual disabilities of the same ag</w:t>
      </w:r>
      <w:r w:rsidRPr="005A5389">
        <w:t>e</w:t>
      </w:r>
      <w:r>
        <w:t xml:space="preserve">, and they found that age-related functional decline and the presence of dementia may have been directly related to the prevalence of relocation. The same authors suggest that the incidence of significant life events may influence individuals’ overall level of cognitive and adaptive functioning </w:t>
      </w:r>
      <w:r>
        <w:fldChar w:fldCharType="begin"/>
      </w:r>
      <w:r>
        <w:instrText xml:space="preserve"> ADDIN EN.CITE &lt;EndNote&gt;&lt;Cite&gt;&lt;Author&gt;Patti&lt;/Author&gt;&lt;Year&gt;2005&lt;/Year&gt;&lt;RecNum&gt;518&lt;/RecNum&gt;&lt;DisplayText&gt;(Patti et al., 2005)&lt;/DisplayText&gt;&lt;record&gt;&lt;rec-number&gt;518&lt;/rec-number&gt;&lt;foreign-keys&gt;&lt;key app="EN" db-id="xtwfdzde5ttr0zevxrh5sf0c2wfzw5zf2vra" timestamp="1649092422" guid="5b61f3db-c911-4eea-9904-6e6bc089b596"&gt;518&lt;/key&gt;&lt;/foreign-keys&gt;&lt;ref-type name="Journal Article"&gt;17&lt;/ref-type&gt;&lt;contributors&gt;&lt;authors&gt;&lt;author&gt;Patti, Paul J&lt;/author&gt;&lt;author&gt;Amble, Karen B&lt;/author&gt;&lt;author&gt;Flory, Michael J&lt;/author&gt;&lt;/authors&gt;&lt;/contributors&gt;&lt;titles&gt;&lt;title&gt;Life events in older adults with intellectual disabilities: Differences between adults with and without Down syndrome&lt;/title&gt;&lt;secondary-title&gt;Journal of Policy and Practice in Intellectual Disabilities&lt;/secondary-title&gt;&lt;/titles&gt;&lt;periodical&gt;&lt;full-title&gt;Journal of Policy and Practice in Intellectual Disabilities&lt;/full-title&gt;&lt;/periodical&gt;&lt;pages&gt;149-155&lt;/pages&gt;&lt;volume&gt;2&lt;/volume&gt;&lt;number&gt;2&lt;/number&gt;&lt;dates&gt;&lt;year&gt;2005&lt;/year&gt;&lt;/dates&gt;&lt;isbn&gt;1741-1122&lt;/isbn&gt;&lt;urls&gt;&lt;/urls&gt;&lt;/record&gt;&lt;/Cite&gt;&lt;/EndNote&gt;</w:instrText>
      </w:r>
      <w:r>
        <w:fldChar w:fldCharType="separate"/>
      </w:r>
      <w:r>
        <w:rPr>
          <w:noProof/>
        </w:rPr>
        <w:t>(Patti et al., 2005)</w:t>
      </w:r>
      <w:r>
        <w:fldChar w:fldCharType="end"/>
      </w:r>
      <w:r>
        <w:t xml:space="preserve">. In other words, exposure to recurrent relocations may lead to cognitive, emotional, and behavioural problems for people </w:t>
      </w:r>
      <w:r w:rsidR="007B4A0C">
        <w:t>with intellectual disabilities</w:t>
      </w:r>
      <w:r>
        <w:t xml:space="preserve"> </w:t>
      </w:r>
      <w:r>
        <w:fldChar w:fldCharType="begin"/>
      </w:r>
      <w:r>
        <w:instrText xml:space="preserve"> ADDIN EN.CITE &lt;EndNote&gt;&lt;Cite&gt;&lt;Author&gt;Woodman&lt;/Author&gt;&lt;Year&gt;2014&lt;/Year&gt;&lt;RecNum&gt;521&lt;/RecNum&gt;&lt;DisplayText&gt;(Woodman et al., 2014)&lt;/DisplayText&gt;&lt;record&gt;&lt;rec-number&gt;521&lt;/rec-number&gt;&lt;foreign-keys&gt;&lt;key app="EN" db-id="xtwfdzde5ttr0zevxrh5sf0c2wfzw5zf2vra" timestamp="1649154445" guid="296a8229-f962-497e-8395-fe2c03be5197"&gt;521&lt;/key&gt;&lt;/foreign-keys&gt;&lt;ref-type name="Journal Article"&gt;17&lt;/ref-type&gt;&lt;contributors&gt;&lt;authors&gt;&lt;author&gt;Woodman, Ashley C&lt;/author&gt;&lt;author&gt;Mailick, Marsha R&lt;/author&gt;&lt;author&gt;Anderson, Kristy A&lt;/author&gt;&lt;author&gt;Esbensen, Anna J&lt;/author&gt;&lt;/authors&gt;&lt;/contributors&gt;&lt;titles&gt;&lt;title&gt;Residential transitions among adults with intellectual disability across 20 years&lt;/title&gt;&lt;secondary-title&gt;American journal on intellectual and developmental disabilities&lt;/secondary-title&gt;&lt;/titles&gt;&lt;periodical&gt;&lt;full-title&gt;American Journal on Intellectual and Developmental Disabilities&lt;/full-title&gt;&lt;/periodical&gt;&lt;pages&gt;496-515&lt;/pages&gt;&lt;volume&gt;119&lt;/volume&gt;&lt;number&gt;6&lt;/number&gt;&lt;dates&gt;&lt;year&gt;2014&lt;/year&gt;&lt;/dates&gt;&lt;isbn&gt;1944-7515&lt;/isbn&gt;&lt;urls&gt;&lt;/urls&gt;&lt;/record&gt;&lt;/Cite&gt;&lt;/EndNote&gt;</w:instrText>
      </w:r>
      <w:r>
        <w:fldChar w:fldCharType="separate"/>
      </w:r>
      <w:r>
        <w:rPr>
          <w:noProof/>
        </w:rPr>
        <w:t>(Woodman et al., 2014)</w:t>
      </w:r>
      <w:r>
        <w:fldChar w:fldCharType="end"/>
      </w:r>
      <w:r>
        <w:t xml:space="preserve">. Due to the higher incidence of life events and changes experienced by people with Down Syndrome, they may be at a greater risk of experiencing cognitive and behavioural decline, compared to those with other intellectual disabilities </w:t>
      </w:r>
      <w:r>
        <w:fldChar w:fldCharType="begin">
          <w:fldData xml:space="preserve">PEVuZE5vdGU+PENpdGU+PEF1dGhvcj5Fc2JlbnNlbjwvQXV0aG9yPjxZZWFyPjIwMDg8L1llYXI+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</w:fldData>
        </w:fldChar>
      </w:r>
      <w:r w:rsidR="00B26CBF">
        <w:instrText xml:space="preserve"> ADDIN EN.CITE </w:instrText>
      </w:r>
      <w:r w:rsidR="00B26CBF">
        <w:fldChar w:fldCharType="begin">
          <w:fldData xml:space="preserve">PEVuZE5vdGU+PENpdGU+PEF1dGhvcj5Fc2JlbnNlbjwvQXV0aG9yPjxZZWFyPjIwMDg8L1llYXI+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</w:fldData>
        </w:fldChar>
      </w:r>
      <w:r w:rsidR="00B26CBF">
        <w:instrText xml:space="preserve"> ADDIN EN.CITE.DATA </w:instrText>
      </w:r>
      <w:r w:rsidR="00B26CBF">
        <w:fldChar w:fldCharType="end"/>
      </w:r>
      <w:r>
        <w:fldChar w:fldCharType="separate"/>
      </w:r>
      <w:r w:rsidR="00B26CBF">
        <w:rPr>
          <w:noProof/>
        </w:rPr>
        <w:t>(Patti et al., 2010; Esbensen et al., 2008; Patti et al., 2005)</w:t>
      </w:r>
      <w:r>
        <w:fldChar w:fldCharType="end"/>
      </w:r>
      <w:r>
        <w:t xml:space="preserve">. </w:t>
      </w:r>
    </w:p>
    <w:p w14:paraId="3F9CE671" w14:textId="77777777" w:rsidR="00F80CB9" w:rsidRPr="00C474B1" w:rsidRDefault="00F80CB9" w:rsidP="00F80CB9">
      <w:pPr>
        <w:pStyle w:val="Heading3"/>
        <w:rPr>
          <w:i w:val="0"/>
          <w:iCs/>
          <w:color w:val="auto"/>
          <w:sz w:val="26"/>
          <w:szCs w:val="26"/>
        </w:rPr>
      </w:pPr>
      <w:bookmarkStart w:id="61" w:name="_Toc116045675"/>
      <w:bookmarkStart w:id="62" w:name="_Toc118558251"/>
      <w:r w:rsidRPr="00C474B1">
        <w:rPr>
          <w:i w:val="0"/>
          <w:iCs/>
          <w:color w:val="auto"/>
          <w:sz w:val="26"/>
          <w:szCs w:val="26"/>
        </w:rPr>
        <w:t>Person-centred support</w:t>
      </w:r>
      <w:bookmarkEnd w:id="61"/>
      <w:bookmarkEnd w:id="62"/>
    </w:p>
    <w:p w14:paraId="01415B17" w14:textId="20417F93" w:rsidR="00F80CB9" w:rsidRDefault="00F80CB9" w:rsidP="00F80CB9">
      <w:r>
        <w:t xml:space="preserve">The second key principle underpinning a model of care for people ageing </w:t>
      </w:r>
      <w:r w:rsidR="007B4A0C">
        <w:t>with intellectual disabilities</w:t>
      </w:r>
      <w:r>
        <w:t xml:space="preserve"> identified by Sheerin et al. </w:t>
      </w:r>
      <w:r>
        <w:fldChar w:fldCharType="begin"/>
      </w:r>
      <w:r>
        <w:instrText xml:space="preserve"> ADDIN EN.CITE &lt;EndNote&gt;&lt;Cite ExcludeAuth="1"&gt;&lt;Author&gt;Sheerin&lt;/Author&gt;&lt;Year&gt;2021&lt;/Year&gt;&lt;RecNum&gt;658&lt;/RecNum&gt;&lt;DisplayText&gt;(2021a)&lt;/DisplayText&gt;&lt;record&gt;&lt;rec-number&gt;658&lt;/rec-number&gt;&lt;foreign-keys&gt;&lt;key app="EN" db-id="xtwfdzde5ttr0zevxrh5sf0c2wfzw5zf2vra" timestamp="1657546608" guid="83298505-6f88-4222-b415-1a7ec538af8e"&gt;658&lt;/key&gt;&lt;/foreign-keys&gt;&lt;ref-type name="Unpublished Work"&gt;34&lt;/ref-type&gt;&lt;contributors&gt;&lt;authors&gt;&lt;author&gt;Sheerin, Fintan&lt;/author&gt;&lt;author&gt;Fleming, Sandra&lt;/author&gt;&lt;author&gt;Naseer, Amara&lt;/author&gt;&lt;author&gt;Foden, Eadaoin &lt;/author&gt;&lt;author&gt;McCallion, Philip&lt;/author&gt;&lt;author&gt;McCarron, Mary&lt;/author&gt;&lt;/authors&gt;&lt;/contributors&gt;&lt;titles&gt;&lt;title&gt;Care of Older Adults with Intellectual Disabilities and Complex Age-Related Conditions: A Systematic Review Final Report [Unpublished Manuscript]&lt;/title&gt;&lt;/titles&gt;&lt;dates&gt;&lt;year&gt;2021&lt;/year&gt;&lt;pub-dates&gt;&lt;date&gt;July&lt;/date&gt;&lt;/pub-dates&gt;&lt;/dates&gt;&lt;pub-location&gt;Dublin&lt;/pub-location&gt;&lt;publisher&gt;Trinity Centre for Ageing and Intellectual Disability&lt;/publisher&gt;&lt;urls&gt;&lt;/urls&gt;&lt;/record&gt;&lt;/Cite&gt;&lt;/EndNote&gt;</w:instrText>
      </w:r>
      <w:r>
        <w:fldChar w:fldCharType="separate"/>
      </w:r>
      <w:r w:rsidR="00E03FFB" w:rsidRPr="11C55A92">
        <w:rPr>
          <w:noProof/>
        </w:rPr>
        <w:t>(2021a)</w:t>
      </w:r>
      <w:r>
        <w:fldChar w:fldCharType="end"/>
      </w:r>
      <w:r>
        <w:t xml:space="preserve">, is person-centred care. In recent decades, care for people </w:t>
      </w:r>
      <w:r w:rsidR="007B4A0C">
        <w:t>with intellectual disabilities</w:t>
      </w:r>
      <w:r>
        <w:t xml:space="preserve"> has progressively shifted from a system-centred, medically dominated, and fragmented approach, toward a person-centred and holistic approach, whereby services are tailored to the individual </w:t>
      </w:r>
      <w:r>
        <w:fldChar w:fldCharType="begin"/>
      </w:r>
      <w:r>
        <w:instrText xml:space="preserve"> ADDIN EN.CITE &lt;EndNote&gt;&lt;Cite&gt;&lt;Author&gt;McCance&lt;/Author&gt;&lt;Year&gt;2011&lt;/Year&gt;&lt;RecNum&gt;562&lt;/RecNum&gt;&lt;DisplayText&gt;(Ratti et al., 2016; McCance et al., 2011)&lt;/DisplayText&gt;&lt;record&gt;&lt;rec-number&gt;562&lt;/rec-number&gt;&lt;foreign-keys&gt;&lt;key app="EN" db-id="xtwfdzde5ttr0zevxrh5sf0c2wfzw5zf2vra" timestamp="1649848229" guid="2e4f20b2-3312-4484-b0ac-a19004226ae9"&gt;562&lt;/key&gt;&lt;/foreign-keys&gt;&lt;ref-type name="Journal Article"&gt;17&lt;/ref-type&gt;&lt;contributors&gt;&lt;authors&gt;&lt;author&gt;McCance, Tanya&lt;/author&gt;&lt;author&gt;McCormack, Brendan&lt;/author&gt;&lt;author&gt;Dewing, Jan&lt;/author&gt;&lt;/authors&gt;&lt;/contributors&gt;&lt;titles&gt;&lt;title&gt;An exploration of person-centredness in practice&lt;/title&gt;&lt;secondary-title&gt;Online Journal of Issues in Nursing&lt;/secondary-title&gt;&lt;/titles&gt;&lt;periodical&gt;&lt;full-title&gt;Online Journal of Issues in Nursing&lt;/full-title&gt;&lt;/periodical&gt;&lt;pages&gt;1-9&lt;/pages&gt;&lt;volume&gt;16&lt;/volume&gt;&lt;number&gt;2&lt;/number&gt;&lt;dates&gt;&lt;year&gt;2011&lt;/year&gt;&lt;/dates&gt;&lt;urls&gt;&lt;/urls&gt;&lt;/record&gt;&lt;/Cite&gt;&lt;Cite&gt;&lt;Author&gt;Ratti&lt;/Author&gt;&lt;Year&gt;2016&lt;/Year&gt;&lt;RecNum&gt;564&lt;/RecNum&gt;&lt;record&gt;&lt;rec-number&gt;564&lt;/rec-number&gt;&lt;foreign-keys&gt;&lt;key app="EN" db-id="xtwfdzde5ttr0zevxrh5sf0c2wfzw5zf2vra" timestamp="1649849815" guid="b58a2f01-a1f1-4202-bdf3-e971cded74b3"&gt;564&lt;/key&gt;&lt;/foreign-keys&gt;&lt;ref-type name="Journal Article"&gt;17&lt;/ref-type&gt;&lt;contributors&gt;&lt;authors&gt;&lt;author&gt;Ratti, Victoria&lt;/author&gt;&lt;author&gt;Hassiotis, Angela&lt;/author&gt;&lt;author&gt;Crabtree, Jason&lt;/author&gt;&lt;author&gt;Deb, Shoumitro&lt;/author&gt;&lt;author&gt;Gallagher, Pamela&lt;/author&gt;&lt;author&gt;Unwin, Gemma&lt;/author&gt;&lt;/authors&gt;&lt;/contributors&gt;&lt;titles&gt;&lt;title&gt;The effectiveness of person-centred planning for people with intellectual disabilities: A systematic review&lt;/title&gt;&lt;secondary-title&gt;Research in developmental disabilities&lt;/secondary-title&gt;&lt;/titles&gt;&lt;periodical&gt;&lt;full-title&gt;Research in Developmental Disabilities&lt;/full-title&gt;&lt;/periodical&gt;&lt;pages&gt;63-84&lt;/pages&gt;&lt;volume&gt;57&lt;/volume&gt;&lt;dates&gt;&lt;year&gt;2016&lt;/year&gt;&lt;/dates&gt;&lt;isbn&gt;0891-4222&lt;/isbn&gt;&lt;urls&gt;&lt;/urls&gt;&lt;/record&gt;&lt;/Cite&gt;&lt;/EndNote&gt;</w:instrText>
      </w:r>
      <w:r>
        <w:fldChar w:fldCharType="separate"/>
      </w:r>
      <w:r w:rsidR="00FF5F49" w:rsidRPr="11C55A92">
        <w:rPr>
          <w:noProof/>
        </w:rPr>
        <w:t>(Ratti et al., 2016; McCance et al., 2011)</w:t>
      </w:r>
      <w:r>
        <w:fldChar w:fldCharType="end"/>
      </w:r>
      <w:r>
        <w:t xml:space="preserve">. Person-centred approaches to care are central to ageing and disability policy and practice in Ireland </w:t>
      </w:r>
      <w:r>
        <w:fldChar w:fldCharType="begin"/>
      </w:r>
      <w:r>
        <w:instrText xml:space="preserve"> ADDIN EN.CITE &lt;EndNote&gt;&lt;Cite&gt;&lt;Author&gt;HIQA&lt;/Author&gt;&lt;Year&gt;2012&lt;/Year&gt;&lt;RecNum&gt;577&lt;/RecNum&gt;&lt;DisplayText&gt;(HSE, 2013; HIQA, 2012)&lt;/DisplayText&gt;&lt;record&gt;&lt;rec-number&gt;577&lt;/rec-number&gt;&lt;foreign-keys&gt;&lt;key app="EN" db-id="xtwfdzde5ttr0zevxrh5sf0c2wfzw5zf2vra" timestamp="1650466826" guid="0fe6b6bc-c645-40d0-bf8c-bf315be285c1"&gt;577&lt;/key&gt;&lt;/foreign-keys&gt;&lt;ref-type name="Report"&gt;27&lt;/ref-type&gt;&lt;contributors&gt;&lt;authors&gt;&lt;author&gt;HIQA&lt;/author&gt;&lt;/authors&gt;&lt;/contributors&gt;&lt;titles&gt;&lt;title&gt;A Guide to the National Standards for Safer Better Healthcare&lt;/title&gt;&lt;/titles&gt;&lt;dates&gt;&lt;year&gt;2012&lt;/year&gt;&lt;pub-dates&gt;&lt;date&gt;June&lt;/date&gt;&lt;/pub-dates&gt;&lt;/dates&gt;&lt;pub-location&gt;Dublin&lt;/pub-location&gt;&lt;publisher&gt;Health Information and Quality Authority&lt;/publisher&gt;&lt;urls&gt;&lt;/urls&gt;&lt;/record&gt;&lt;/Cite&gt;&lt;Cite ExcludeAuth="1"&gt;&lt;Author&gt;HSE&lt;/Author&gt;&lt;Year&gt;2013&lt;/Year&gt;&lt;RecNum&gt;578&lt;/RecNum&gt;&lt;Prefix&gt;HSE`, &lt;/Prefix&gt;&lt;record&gt;&lt;rec-number&gt;578&lt;/rec-number&gt;&lt;foreign-keys&gt;&lt;key app="EN" db-id="xtwfdzde5ttr0zevxrh5sf0c2wfzw5zf2vra" timestamp="1650467442" guid="3859e351-d039-4067-86c3-c5d083b6b556"&gt;578&lt;/key&gt;&lt;/foreign-keys&gt;&lt;ref-type name="Report"&gt;27&lt;/ref-type&gt;&lt;contributors&gt;&lt;authors&gt;&lt;author&gt;HSE,&lt;/author&gt;&lt;/authors&gt;&lt;/contributors&gt;&lt;titles&gt;&lt;title&gt;Quality assessment and improvement: person centred care and support&lt;/title&gt;&lt;/titles&gt;&lt;dates&gt;&lt;year&gt;2013&lt;/year&gt;&lt;/dates&gt;&lt;pub-location&gt;Dublin&lt;/pub-location&gt;&lt;publisher&gt;Quality and Patient Safety Directorate (HSE)&lt;/publisher&gt;&lt;urls&gt;&lt;/urls&gt;&lt;/record&gt;&lt;/Cite&gt;&lt;/EndNote&gt;</w:instrText>
      </w:r>
      <w:r>
        <w:fldChar w:fldCharType="separate"/>
      </w:r>
      <w:r w:rsidR="00FF5F49" w:rsidRPr="11C55A92">
        <w:rPr>
          <w:noProof/>
        </w:rPr>
        <w:t>(HSE, 2013; HIQA, 2012)</w:t>
      </w:r>
      <w:r>
        <w:fldChar w:fldCharType="end"/>
      </w:r>
      <w:r>
        <w:t xml:space="preserve"> and internationally </w:t>
      </w:r>
      <w:r>
        <w:fldChar w:fldCharType="begin"/>
      </w:r>
      <w:r>
        <w:instrText xml:space="preserve"> ADDIN EN.CITE &lt;EndNote&gt;&lt;Cite&gt;&lt;Author&gt;McCormack&lt;/Author&gt;&lt;Year&gt;2015&lt;/Year&gt;&lt;RecNum&gt;563&lt;/RecNum&gt;&lt;DisplayText&gt;(McCormack &amp;amp; McCance, 2016; McCormack et al., 2015)&lt;/DisplayText&gt;&lt;record&gt;&lt;rec-number&gt;563&lt;/rec-number&gt;&lt;foreign-keys&gt;&lt;key app="EN" db-id="xtwfdzde5ttr0zevxrh5sf0c2wfzw5zf2vra" timestamp="1649849611" guid="d10acf6d-f6ec-470f-a1fc-14687873b54f"&gt;563&lt;/key&gt;&lt;/foreign-keys&gt;&lt;ref-type name="Journal Article"&gt;17&lt;/ref-type&gt;&lt;contributors&gt;&lt;authors&gt;&lt;author&gt;McCormack, Brendan&lt;/author&gt;&lt;author&gt;Borg, Marit&lt;/author&gt;&lt;author&gt;Cardiff, Shaun&lt;/author&gt;&lt;author&gt;Dewing, Jan&lt;/author&gt;&lt;author&gt;Jacobs, Gaby&lt;/author&gt;&lt;author&gt;Janes, Nadine&lt;/author&gt;&lt;author&gt;Karlsson, Bengt&lt;/author&gt;&lt;author&gt;McCance, Tanya&lt;/author&gt;&lt;author&gt;Mekki, Tone E&lt;/author&gt;&lt;author&gt;Porock, Davina&lt;/author&gt;&lt;/authors&gt;&lt;/contributors&gt;&lt;titles&gt;&lt;title&gt;Person-centredness - the &amp;apos;state&amp;apos; of the art&lt;/title&gt;&lt;secondary-title&gt;International Practice Development Journal&lt;/secondary-title&gt;&lt;/titles&gt;&lt;periodical&gt;&lt;full-title&gt;International Practice Development Journal&lt;/full-title&gt;&lt;/periodical&gt;&lt;pages&gt;1-15&lt;/pages&gt;&lt;volume&gt;5&lt;/volume&gt;&lt;num-vols&gt;1&lt;/num-vols&gt;&lt;dates&gt;&lt;year&gt;2015&lt;/year&gt;&lt;/dates&gt;&lt;urls&gt;&lt;/urls&gt;&lt;/record&gt;&lt;/Cite&gt;&lt;Cite&gt;&lt;Author&gt;McCormack&lt;/Author&gt;&lt;Year&gt;2016&lt;/Year&gt;&lt;RecNum&gt;579&lt;/RecNum&gt;&lt;record&gt;&lt;rec-number&gt;579&lt;/rec-number&gt;&lt;foreign-keys&gt;&lt;key app="EN" db-id="xtwfdzde5ttr0zevxrh5sf0c2wfzw5zf2vra" timestamp="1650467545" guid="61925178-15ee-4886-a8bf-3a70337c9623"&gt;579&lt;/key&gt;&lt;/foreign-keys&gt;&lt;ref-type name="Book"&gt;6&lt;/ref-type&gt;&lt;contributors&gt;&lt;authors&gt;&lt;author&gt;McCormack, Brendan&lt;/author&gt;&lt;author&gt;McCance, Tanya&lt;/author&gt;&lt;/authors&gt;&lt;/contributors&gt;&lt;titles&gt;&lt;title&gt;Person-centred practice in nursing and health care: theory and practice&lt;/title&gt;&lt;/titles&gt;&lt;dates&gt;&lt;year&gt;2016&lt;/year&gt;&lt;/dates&gt;&lt;publisher&gt;John Wiley &amp;amp; Sons&lt;/publisher&gt;&lt;isbn&gt;1118990560&lt;/isbn&gt;&lt;urls&gt;&lt;/urls&gt;&lt;/record&gt;&lt;/Cite&gt;&lt;/EndNote&gt;</w:instrText>
      </w:r>
      <w:r>
        <w:fldChar w:fldCharType="separate"/>
      </w:r>
      <w:r w:rsidR="00FF5F49" w:rsidRPr="11C55A92">
        <w:rPr>
          <w:noProof/>
        </w:rPr>
        <w:t>(McCormack &amp; McCance, 2016; McCormack et al., 2015)</w:t>
      </w:r>
      <w:r>
        <w:fldChar w:fldCharType="end"/>
      </w:r>
      <w:r>
        <w:t xml:space="preserve">. It is increasingly being recognised as a key component of best practice and quality care for the ageing population </w:t>
      </w:r>
      <w:r>
        <w:fldChar w:fldCharType="begin"/>
      </w:r>
      <w:r>
        <w:instrText xml:space="preserve"> ADDIN EN.CITE &lt;EndNote&gt;&lt;Cite&gt;&lt;Author&gt;Edvardsson&lt;/Author&gt;&lt;Year&gt;2010&lt;/Year&gt;&lt;RecNum&gt;542&lt;/RecNum&gt;&lt;DisplayText&gt;(Edvardsson et al., 2010)&lt;/DisplayText&gt;&lt;record&gt;&lt;rec-number&gt;542&lt;/rec-number&gt;&lt;foreign-keys&gt;&lt;key app="EN" db-id="xtwfdzde5ttr0zevxrh5sf0c2wfzw5zf2vra" timestamp="1649675466" guid="8749ca9e-be51-41be-8512-4f696529862b"&gt;542&lt;/key&gt;&lt;/foreign-keys&gt;&lt;ref-type name="Journal Article"&gt;17&lt;/ref-type&gt;&lt;contributors&gt;&lt;authors&gt;&lt;author&gt;Edvardsson, David&lt;/author&gt;&lt;author&gt;Fetherstonhaugh, Deirdre&lt;/author&gt;&lt;author&gt;Nay, Rhonda&lt;/author&gt;&lt;/authors&gt;&lt;/contributors&gt;&lt;titles&gt;&lt;title&gt;Promoting a continuation of self and normality: person-centred care as described by people with dementia, their family members and aged care staff&lt;/title&gt;&lt;secondary-title&gt;Journal of Clinical Nursing&lt;/secondary-title&gt;&lt;/titles&gt;&lt;periodical&gt;&lt;full-title&gt;Journal of Clinical Nursing&lt;/full-title&gt;&lt;/periodical&gt;&lt;pages&gt;2611-2618&lt;/pages&gt;&lt;volume&gt;19&lt;/volume&gt;&lt;number&gt;17-18&lt;/number&gt;&lt;dates&gt;&lt;year&gt;2010&lt;/year&gt;&lt;/dates&gt;&lt;publisher&gt;Wiley&lt;/publisher&gt;&lt;isbn&gt;0962-1067&lt;/isbn&gt;&lt;urls&gt;&lt;related-urls&gt;&lt;url&gt;https://dx.doi.org/10.1111/j.1365-2702.2009.03143.x&lt;/url&gt;&lt;/related-urls&gt;&lt;/urls&gt;&lt;electronic-resource-num&gt;10.1111/j.1365-2702.2009.03143.x&lt;/electronic-resource-num&gt;&lt;/record&gt;&lt;/Cite&gt;&lt;/EndNote&gt;</w:instrText>
      </w:r>
      <w:r>
        <w:fldChar w:fldCharType="separate"/>
      </w:r>
      <w:r w:rsidRPr="11C55A92">
        <w:rPr>
          <w:noProof/>
        </w:rPr>
        <w:t>(Edvardsson et al., 2010)</w:t>
      </w:r>
      <w:r>
        <w:fldChar w:fldCharType="end"/>
      </w:r>
      <w:r>
        <w:t xml:space="preserve"> and is widely advocated by both service providers and service users </w:t>
      </w:r>
      <w:r>
        <w:fldChar w:fldCharType="begin"/>
      </w:r>
      <w:r>
        <w:instrText xml:space="preserve"> ADDIN EN.CITE &lt;EndNote&gt;&lt;Cite&gt;&lt;Author&gt;Gridley&lt;/Author&gt;&lt;Year&gt;2014&lt;/Year&gt;&lt;RecNum&gt;489&lt;/RecNum&gt;&lt;DisplayText&gt;(Gridley et al., 2014)&lt;/DisplayText&gt;&lt;record&gt;&lt;rec-number&gt;489&lt;/rec-number&gt;&lt;foreign-keys&gt;&lt;key app="EN" db-id="xtwfdzde5ttr0zevxrh5sf0c2wfzw5zf2vra" timestamp="1648032006" guid="5301097c-1a63-406a-b713-31b47fb36a8b"&gt;489&lt;/key&gt;&lt;/foreign-keys&gt;&lt;ref-type name="Journal Article"&gt;17&lt;/ref-type&gt;&lt;contributors&gt;&lt;authors&gt;&lt;author&gt;Gridley, Kate&lt;/author&gt;&lt;author&gt;Brooks, Jenni&lt;/author&gt;&lt;author&gt;Glendinning, Caroline&lt;/author&gt;&lt;/authors&gt;&lt;/contributors&gt;&lt;titles&gt;&lt;title&gt;Good practice in social care for disabled adults and older people with severe and complex needs: evidence from a scoping review&lt;/title&gt;&lt;secondary-title&gt;Health &amp;amp; Social Care in the Community&lt;/secondary-title&gt;&lt;/titles&gt;&lt;periodical&gt;&lt;full-title&gt;Health &amp;amp; Social Care in the Community&lt;/full-title&gt;&lt;/periodical&gt;&lt;pages&gt;234-248&lt;/pages&gt;&lt;volume&gt;22&lt;/volume&gt;&lt;number&gt;3&lt;/number&gt;&lt;dates&gt;&lt;year&gt;2014&lt;/year&gt;&lt;/dates&gt;&lt;publisher&gt;Wiley&lt;/publisher&gt;&lt;isbn&gt;0966-0410&lt;/isbn&gt;&lt;urls&gt;&lt;related-urls&gt;&lt;url&gt;https://dx.doi.org/10.1111/hsc.12063&lt;/url&gt;&lt;/related-urls&gt;&lt;/urls&gt;&lt;electronic-resource-num&gt;10.1111/hsc.12063&lt;/electronic-resource-num&gt;&lt;/record&gt;&lt;/Cite&gt;&lt;/EndNote&gt;</w:instrText>
      </w:r>
      <w:r>
        <w:fldChar w:fldCharType="separate"/>
      </w:r>
      <w:r w:rsidRPr="11C55A92">
        <w:rPr>
          <w:noProof/>
        </w:rPr>
        <w:t>(Gridley et al., 2014)</w:t>
      </w:r>
      <w:r>
        <w:fldChar w:fldCharType="end"/>
      </w:r>
      <w:r>
        <w:t xml:space="preserve">. </w:t>
      </w:r>
    </w:p>
    <w:p w14:paraId="43503342" w14:textId="1CA99AE9" w:rsidR="00F80CB9" w:rsidRDefault="00F80CB9" w:rsidP="002A6479">
      <w:pPr>
        <w:spacing w:after="120"/>
      </w:pPr>
      <w:r>
        <w:t xml:space="preserve">Definitions of person-centred care have changed over time and there are a range of similar terms used in the literature, such as patient-centred care, person-centred care, and relationship-centred care </w:t>
      </w:r>
      <w:r>
        <w:fldChar w:fldCharType="begin"/>
      </w:r>
      <w:r w:rsidR="0061171B">
        <w:instrText xml:space="preserve"> ADDIN EN.CITE &lt;EndNote&gt;&lt;Cite&gt;&lt;Author&gt;de Silva&lt;/Author&gt;&lt;Year&gt;2014&lt;/Year&gt;&lt;RecNum&gt;561&lt;/RecNum&gt;&lt;DisplayText&gt;(de Silva, 2014)&lt;/DisplayText&gt;&lt;record&gt;&lt;rec-number&gt;561&lt;/rec-number&gt;&lt;foreign-keys&gt;&lt;key app="EN" db-id="xtwfdzde5ttr0zevxrh5sf0c2wfzw5zf2vra" timestamp="1649845907" guid="67f98091-ada6-4369-bec8-8c53340e3307"&gt;561&lt;/key&gt;&lt;/foreign-keys&gt;&lt;ref-type name="Report"&gt;27&lt;/ref-type&gt;&lt;contributors&gt;&lt;authors&gt;&lt;author&gt;de Silva, Debra&lt;/author&gt;&lt;/authors&gt;&lt;/contributors&gt;&lt;titles&gt;&lt;title&gt;Helping measure person-centred care: a review of evidence about commonly used approaches and tools used to help measure person-centred care&lt;/title&gt;&lt;/titles&gt;&lt;dates&gt;&lt;year&gt;2014&lt;/year&gt;&lt;/dates&gt;&lt;pub-location&gt;London&lt;/pub-location&gt;&lt;publisher&gt;The Health Foundation&lt;/publisher&gt;&lt;urls&gt;&lt;/urls&gt;&lt;/record&gt;&lt;/Cite&gt;&lt;/EndNote&gt;</w:instrText>
      </w:r>
      <w:r>
        <w:fldChar w:fldCharType="separate"/>
      </w:r>
      <w:r w:rsidR="0061171B">
        <w:rPr>
          <w:noProof/>
        </w:rPr>
        <w:t>(de Silva, 2014)</w:t>
      </w:r>
      <w:r>
        <w:fldChar w:fldCharType="end"/>
      </w:r>
      <w:r>
        <w:t xml:space="preserve">. Despite a growing body of literature on person-centred care, there is no standard and agreed-upon definition, and there is a lack of consensus around its core elements, best practices, and measures to assess effectiveness </w:t>
      </w:r>
      <w:r>
        <w:fldChar w:fldCharType="begin"/>
      </w:r>
      <w:r>
        <w:instrText xml:space="preserve"> ADDIN EN.CITE &lt;EndNote&gt;&lt;Cite&gt;&lt;Author&gt;American Geriatrics Society&lt;/Author&gt;&lt;Year&gt;2016&lt;/Year&gt;&lt;RecNum&gt;544&lt;/RecNum&gt;&lt;DisplayText&gt;(American Geriatrics Society, 2016)&lt;/DisplayText&gt;&lt;record&gt;&lt;rec-number&gt;544&lt;/rec-number&gt;&lt;foreign-keys&gt;&lt;key app="EN" db-id="xtwfdzde5ttr0zevxrh5sf0c2wfzw5zf2vra" timestamp="1649686705" guid="1c57f7db-653e-4028-9ff2-b7894ffaa2e4"&gt;544&lt;/key&gt;&lt;/foreign-keys&gt;&lt;ref-type name="Journal Article"&gt;17&lt;/ref-type&gt;&lt;contributors&gt;&lt;authors&gt;&lt;author&gt;American Geriatrics Society, &lt;/author&gt;&lt;/authors&gt;&lt;/contributors&gt;&lt;titles&gt;&lt;title&gt;Person-Centered Care: A Definition and Essential Elements&lt;/title&gt;&lt;secondary-title&gt;Journal of the American Geriatrics Society&lt;/secondary-title&gt;&lt;/titles&gt;&lt;periodical&gt;&lt;full-title&gt;Journal of the American Geriatrics Society&lt;/full-title&gt;&lt;/periodical&gt;&lt;pages&gt;15-18&lt;/pages&gt;&lt;volume&gt;64&lt;/volume&gt;&lt;number&gt;1&lt;/number&gt;&lt;dates&gt;&lt;year&gt;2016&lt;/year&gt;&lt;/dates&gt;&lt;publisher&gt;Wiley&lt;/publisher&gt;&lt;isbn&gt;0002-8614&lt;/isbn&gt;&lt;urls&gt;&lt;related-urls&gt;&lt;url&gt;https://dx.doi.org/10.1111/jgs.13866&lt;/url&gt;&lt;/related-urls&gt;&lt;/urls&gt;&lt;electronic-resource-num&gt;10.1111/jgs.13866&lt;/electronic-resource-num&gt;&lt;/record&gt;&lt;/Cite&gt;&lt;/EndNote&gt;</w:instrText>
      </w:r>
      <w:r>
        <w:fldChar w:fldCharType="separate"/>
      </w:r>
      <w:r>
        <w:rPr>
          <w:noProof/>
        </w:rPr>
        <w:t>(American Geriatrics Society, 2016)</w:t>
      </w:r>
      <w:r>
        <w:fldChar w:fldCharType="end"/>
      </w:r>
      <w:r>
        <w:t xml:space="preserve">. Overall, person-centred care can be described as an approach that focuses on the individual’s values, needs, and abilities, and is achieved through a collaborative and dynamic relationship among people </w:t>
      </w:r>
      <w:r w:rsidR="007B4A0C">
        <w:t>with intellectual disabilities</w:t>
      </w:r>
      <w:r>
        <w:t xml:space="preserve">, their families, support staff, and service providers </w:t>
      </w:r>
      <w:r>
        <w:fldChar w:fldCharType="begin">
          <w:fldData xml:space="preserve">PEVuZE5vdGU+PENpdGU+PEF1dGhvcj5FZHZhcmRzc29uPC9BdXRob3I+PFllYXI+MjAxMDwvWWVh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==
</w:fldData>
        </w:fldChar>
      </w:r>
      <w:r w:rsidR="00B26CBF">
        <w:instrText xml:space="preserve"> ADDIN EN.CITE </w:instrText>
      </w:r>
      <w:r w:rsidR="00B26CBF">
        <w:fldChar w:fldCharType="begin">
          <w:fldData xml:space="preserve">PEVuZE5vdGU+PENpdGU+PEF1dGhvcj5FZHZhcmRzc29uPC9BdXRob3I+PFllYXI+MjAxMDwvWWVh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==
</w:fldData>
        </w:fldChar>
      </w:r>
      <w:r w:rsidR="00B26CBF">
        <w:instrText xml:space="preserve"> ADDIN EN.CITE.DATA </w:instrText>
      </w:r>
      <w:r w:rsidR="00B26CBF">
        <w:fldChar w:fldCharType="end"/>
      </w:r>
      <w:r>
        <w:fldChar w:fldCharType="separate"/>
      </w:r>
      <w:r w:rsidR="00B26CBF">
        <w:rPr>
          <w:noProof/>
        </w:rPr>
        <w:t>(American Geriatrics Society, 2016; McCormack et al., 2015; Edvardsson et al., 2010)</w:t>
      </w:r>
      <w:r>
        <w:fldChar w:fldCharType="end"/>
      </w:r>
      <w:r>
        <w:t xml:space="preserve">. For example, McCormack et al. </w:t>
      </w:r>
      <w:r>
        <w:fldChar w:fldCharType="begin"/>
      </w:r>
      <w:r w:rsidR="003F6D21">
        <w:instrText xml:space="preserve"> ADDIN EN.CITE &lt;EndNote&gt;&lt;Cite ExcludeAuth="1"&gt;&lt;Author&gt;McCormack&lt;/Author&gt;&lt;Year&gt;2010&lt;/Year&gt;&lt;RecNum&gt;692&lt;/RecNum&gt;&lt;Pages&gt;13&lt;/Pages&gt;&lt;DisplayText&gt;(2010, p. 13)&lt;/DisplayText&gt;&lt;record&gt;&lt;rec-number&gt;692&lt;/rec-number&gt;&lt;foreign-keys&gt;&lt;key app="EN" db-id="xtwfdzde5ttr0zevxrh5sf0c2wfzw5zf2vra" timestamp="1664272241" guid="71755ace-f551-4fbb-9f67-07b63d3a2d1a"&gt;692&lt;/key&gt;&lt;/foreign-keys&gt;&lt;ref-type name="Report"&gt;27&lt;/ref-type&gt;&lt;contributors&gt;&lt;authors&gt;&lt;author&gt;McCormack, Brendan&lt;/author&gt;&lt;author&gt;Elizabeth, Breslin&lt;/author&gt;&lt;author&gt;Jan, Dewing&lt;/author&gt;&lt;author&gt;Catherine, Tobin&lt;/author&gt;&lt;author&gt;Mary, Manning&lt;/author&gt;&lt;author&gt;Ann, Coyne-Nevin&lt;/author&gt;&lt;author&gt;Kate, Kennedy, &lt;/author&gt;&lt;author&gt;Lorna, Peelo-Kilroe&lt;/author&gt;&lt;/authors&gt;&lt;tertiary-authors&gt;&lt;author&gt;Health Service Executive&lt;/author&gt;&lt;/tertiary-authors&gt;&lt;/contributors&gt;&lt;titles&gt;&lt;title&gt;The implementation of a model of person-centred practice in older person settings final report&lt;/title&gt;&lt;/titles&gt;&lt;dates&gt;&lt;year&gt;2010&lt;/year&gt;&lt;/dates&gt;&lt;pub-location&gt;Dublin&lt;/pub-location&gt;&lt;publisher&gt;Health Service Executive&lt;/publisher&gt;&lt;urls&gt;&lt;/urls&gt;&lt;/record&gt;&lt;/Cite&gt;&lt;/EndNote&gt;</w:instrText>
      </w:r>
      <w:r>
        <w:fldChar w:fldCharType="separate"/>
      </w:r>
      <w:r w:rsidR="003F6D21">
        <w:rPr>
          <w:noProof/>
        </w:rPr>
        <w:t>(2010, p. 13)</w:t>
      </w:r>
      <w:r>
        <w:fldChar w:fldCharType="end"/>
      </w:r>
      <w:r>
        <w:t xml:space="preserve"> define person-centred care as:</w:t>
      </w:r>
    </w:p>
    <w:p w14:paraId="76CB43C4" w14:textId="4F64C5F8" w:rsidR="00F80CB9" w:rsidRDefault="00F80CB9" w:rsidP="62D5F06D">
      <w:pPr>
        <w:pStyle w:val="Indentforquotes"/>
        <w:ind w:left="720" w:right="0"/>
      </w:pPr>
      <w:r w:rsidRPr="006947F7">
        <w:rPr>
          <w:i/>
          <w:iCs/>
        </w:rPr>
        <w:t>An approach to practice established through the formation and fostering of therapeutic relationships between all care providers, service users and others significant to them in their lives. It is underpinned by values of respect for persons, individual right to self-determination, mutual respect and understanding. It is enabled by cultures of empowerment that foster continuous approaches to practice development</w:t>
      </w:r>
      <w:r>
        <w:t>.</w:t>
      </w:r>
    </w:p>
    <w:p w14:paraId="6EF3A4DF" w14:textId="25A05894" w:rsidR="00F80CB9" w:rsidRDefault="00F80CB9" w:rsidP="00F80CB9">
      <w:r>
        <w:t xml:space="preserve">Although definitions of person-centred care vary, they are all underpinned by common principles. Being person-centred means affording people dignity, respect, and compassion, offering coordinated and personalised care, support, and treatment, and enabling person-centredness </w:t>
      </w:r>
      <w:r>
        <w:fldChar w:fldCharType="begin"/>
      </w:r>
      <w:r w:rsidR="005C576E">
        <w:instrText xml:space="preserve"> ADDIN EN.CITE &lt;EndNote&gt;&lt;Cite&gt;&lt;Author&gt;Harding&lt;/Author&gt;&lt;Year&gt;2015&lt;/Year&gt;&lt;RecNum&gt;568&lt;/RecNum&gt;&lt;DisplayText&gt;(Harding et al., 2015)&lt;/DisplayText&gt;&lt;record&gt;&lt;rec-number&gt;568&lt;/rec-number&gt;&lt;foreign-keys&gt;&lt;key app="EN" db-id="xtwfdzde5ttr0zevxrh5sf0c2wfzw5zf2vra" timestamp="1649863786" guid="2eaa28a1-d837-4d96-b4c2-4af20a1b3bdb"&gt;568&lt;/key&gt;&lt;/foreign-keys&gt;&lt;ref-type name="Report"&gt;27&lt;/ref-type&gt;&lt;contributors&gt;&lt;authors&gt;&lt;author&gt;Harding, Ed&lt;/author&gt;&lt;author&gt;Wait, Suzanne&lt;/author&gt;&lt;author&gt;Scrutton, Jonathan&lt;/author&gt;&lt;/authors&gt;&lt;/contributors&gt;&lt;titles&gt;&lt;title&gt;The state of play in person-centred care&lt;/title&gt;&lt;/titles&gt;&lt;dates&gt;&lt;year&gt;2015&lt;/year&gt;&lt;/dates&gt;&lt;pub-location&gt;London, UK&lt;/pub-location&gt;&lt;publisher&gt;The Health Policy Partnership&lt;/publisher&gt;&lt;urls&gt;&lt;/urls&gt;&lt;/record&gt;&lt;/Cite&gt;&lt;/EndNote&gt;</w:instrText>
      </w:r>
      <w:r>
        <w:fldChar w:fldCharType="separate"/>
      </w:r>
      <w:r>
        <w:rPr>
          <w:noProof/>
        </w:rPr>
        <w:t>(Harding et al., 2015)</w:t>
      </w:r>
      <w:r>
        <w:fldChar w:fldCharType="end"/>
      </w:r>
      <w:r>
        <w:t xml:space="preserve">. A study by Edvardsson et al. </w:t>
      </w:r>
      <w:r>
        <w:fldChar w:fldCharType="begin"/>
      </w:r>
      <w:r>
        <w:instrText xml:space="preserve"> ADDIN EN.CITE &lt;EndNote&gt;&lt;Cite ExcludeAuth="1"&gt;&lt;Author&gt;Edvardsson&lt;/Author&gt;&lt;Year&gt;2010&lt;/Year&gt;&lt;RecNum&gt;542&lt;/RecNum&gt;&lt;DisplayText&gt;(2010)&lt;/DisplayText&gt;&lt;record&gt;&lt;rec-number&gt;542&lt;/rec-number&gt;&lt;foreign-keys&gt;&lt;key app="EN" db-id="xtwfdzde5ttr0zevxrh5sf0c2wfzw5zf2vra" timestamp="1649675466" guid="8749ca9e-be51-41be-8512-4f696529862b"&gt;542&lt;/key&gt;&lt;/foreign-keys&gt;&lt;ref-type name="Journal Article"&gt;17&lt;/ref-type&gt;&lt;contributors&gt;&lt;authors&gt;&lt;author&gt;Edvardsson, David&lt;/author&gt;&lt;author&gt;Fetherstonhaugh, Deirdre&lt;/author&gt;&lt;author&gt;Nay, Rhonda&lt;/author&gt;&lt;/authors&gt;&lt;/contributors&gt;&lt;titles&gt;&lt;title&gt;Promoting a continuation of self and normality: person-centred care as described by people with dementia, their family members and aged care staff&lt;/title&gt;&lt;secondary-title&gt;Journal of Clinical Nursing&lt;/secondary-title&gt;&lt;/titles&gt;&lt;periodical&gt;&lt;full-title&gt;Journal of Clinical Nursing&lt;/full-title&gt;&lt;/periodical&gt;&lt;pages&gt;2611-2618&lt;/pages&gt;&lt;volume&gt;19&lt;/volume&gt;&lt;number&gt;17-18&lt;/number&gt;&lt;dates&gt;&lt;year&gt;2010&lt;/year&gt;&lt;/dates&gt;&lt;publisher&gt;Wiley&lt;/publisher&gt;&lt;isbn&gt;0962-1067&lt;/isbn&gt;&lt;urls&gt;&lt;related-urls&gt;&lt;url&gt;https://dx.doi.org/10.1111/j.1365-2702.2009.03143.x&lt;/url&gt;&lt;/related-urls&gt;&lt;/urls&gt;&lt;electronic-resource-num&gt;10.1111/j.1365-2702.2009.03143.x&lt;/electronic-resource-num&gt;&lt;/record&gt;&lt;/Cite&gt;&lt;/EndNote&gt;</w:instrText>
      </w:r>
      <w:r>
        <w:fldChar w:fldCharType="separate"/>
      </w:r>
      <w:r>
        <w:rPr>
          <w:noProof/>
        </w:rPr>
        <w:t>(2010)</w:t>
      </w:r>
      <w:r>
        <w:fldChar w:fldCharType="end"/>
      </w:r>
      <w:r>
        <w:t xml:space="preserve"> found that promoting ‘a continuation of self and normality’ (p. 2614) was an important aspect of person-centred care for people with dementia, their family members, and care staff and that this could be achieved through the five key areas of: knowing the person, welcoming family, providing meaningful activities, being in a personalised environment, and experiencing flexibility and continuity. </w:t>
      </w:r>
    </w:p>
    <w:p w14:paraId="1408E3CB" w14:textId="622C24D1" w:rsidR="00F80CB9" w:rsidRDefault="00F80CB9" w:rsidP="00F80CB9">
      <w:r>
        <w:t xml:space="preserve">Several conceptual frameworks have also been developed, such as the Senses Framework </w:t>
      </w:r>
      <w:r>
        <w:fldChar w:fldCharType="begin"/>
      </w:r>
      <w:r>
        <w:instrText xml:space="preserve"> ADDIN EN.CITE &lt;EndNote&gt;&lt;Cite&gt;&lt;Author&gt;Nolan&lt;/Author&gt;&lt;Year&gt;2004&lt;/Year&gt;&lt;RecNum&gt;556&lt;/RecNum&gt;&lt;DisplayText&gt;(Nolan et al., 2004)&lt;/DisplayText&gt;&lt;record&gt;&lt;rec-number&gt;556&lt;/rec-number&gt;&lt;foreign-keys&gt;&lt;key app="EN" db-id="xtwfdzde5ttr0zevxrh5sf0c2wfzw5zf2vra" timestamp="1649845681" guid="b238d5dc-bf28-4bfc-876a-d4a8f676acf3"&gt;556&lt;/key&gt;&lt;/foreign-keys&gt;&lt;ref-type name="Journal Article"&gt;17&lt;/ref-type&gt;&lt;contributors&gt;&lt;authors&gt;&lt;author&gt;Nolan, Mike R&lt;/author&gt;&lt;author&gt;Davies, Sue&lt;/author&gt;&lt;author&gt;Brown, Jayne&lt;/author&gt;&lt;author&gt;Keady, John&lt;/author&gt;&lt;author&gt;Nolan, Janet&lt;/author&gt;&lt;/authors&gt;&lt;/contributors&gt;&lt;titles&gt;&lt;title&gt;Beyond ‘person</w:instrText>
      </w:r>
      <w:r>
        <w:rPr>
          <w:rFonts w:ascii="Cambria Math" w:hAnsi="Cambria Math" w:cs="Cambria Math"/>
        </w:rPr>
        <w:instrText>‐</w:instrText>
      </w:r>
      <w:r>
        <w:instrText>centred</w:instrText>
      </w:r>
      <w:r>
        <w:rPr>
          <w:rFonts w:cs="Gill Sans MT"/>
        </w:rPr>
        <w:instrText>’</w:instrText>
      </w:r>
      <w:r>
        <w:instrText>care: a new vision for gerontological nursing&lt;/title&gt;&lt;secondary-title&gt;Journal of clinical nursing&lt;/secondary-title&gt;&lt;/titles&gt;&lt;periodical&gt;&lt;full-title&gt;Journal of Clinical Nursing&lt;/full-title&gt;&lt;/periodical&gt;&lt;pages&gt;45-53&lt;/pages&gt;&lt;volume&gt;13&lt;/volume&gt;&lt;dates&gt;&lt;year&gt;2004&lt;/year&gt;&lt;/dates&gt;&lt;isbn&gt;0962-1067&lt;/isbn&gt;&lt;urls&gt;&lt;/urls&gt;&lt;/record&gt;&lt;/Cite&gt;&lt;/EndNote&gt;</w:instrText>
      </w:r>
      <w:r>
        <w:fldChar w:fldCharType="separate"/>
      </w:r>
      <w:r>
        <w:rPr>
          <w:noProof/>
        </w:rPr>
        <w:t>(Nolan et al., 2004)</w:t>
      </w:r>
      <w:r>
        <w:fldChar w:fldCharType="end"/>
      </w:r>
      <w:r>
        <w:t xml:space="preserve">, the VIPS Framework </w:t>
      </w:r>
      <w:r>
        <w:fldChar w:fldCharType="begin"/>
      </w:r>
      <w:r w:rsidR="00FF5F49">
        <w:instrText xml:space="preserve"> ADDIN EN.CITE &lt;EndNote&gt;&lt;Cite&gt;&lt;Author&gt;Brooker&lt;/Author&gt;&lt;Year&gt;2015&lt;/Year&gt;&lt;RecNum&gt;580&lt;/RecNum&gt;&lt;DisplayText&gt;(Brooker &amp;amp; Latham, 2015)&lt;/DisplayText&gt;&lt;record&gt;&lt;rec-number&gt;580&lt;/rec-number&gt;&lt;foreign-keys&gt;&lt;key app="EN" db-id="xtwfdzde5ttr0zevxrh5sf0c2wfzw5zf2vra" timestamp="1650467956" guid="ecccd7cf-7504-4050-a618-898a0725e730"&gt;580&lt;/key&gt;&lt;/foreign-keys&gt;&lt;ref-type name="Book"&gt;6&lt;/ref-type&gt;&lt;contributors&gt;&lt;authors&gt;&lt;author&gt;Brooker, Dawn&lt;/author&gt;&lt;author&gt;Latham, Isabelle&lt;/author&gt;&lt;/authors&gt;&lt;/contributors&gt;&lt;titles&gt;&lt;title&gt;Person-centred dementia care: Making services better with the VIPS framework&lt;/title&gt;&lt;/titles&gt;&lt;dates&gt;&lt;year&gt;2015&lt;/year&gt;&lt;/dates&gt;&lt;pub-location&gt;London and Philadelphia&lt;/pub-location&gt;&lt;publisher&gt;Jessica Kingsley Publishers&lt;/publisher&gt;&lt;isbn&gt;1784501700&lt;/isbn&gt;&lt;urls&gt;&lt;/urls&gt;&lt;/record&gt;&lt;/Cite&gt;&lt;/EndNote&gt;</w:instrText>
      </w:r>
      <w:r>
        <w:fldChar w:fldCharType="separate"/>
      </w:r>
      <w:r w:rsidR="00FF5F49">
        <w:rPr>
          <w:noProof/>
        </w:rPr>
        <w:t>(Brooker &amp; Latham, 2015)</w:t>
      </w:r>
      <w:r>
        <w:fldChar w:fldCharType="end"/>
      </w:r>
      <w:r>
        <w:t xml:space="preserve">, the Authentic Consciousness Framework </w:t>
      </w:r>
      <w:r>
        <w:fldChar w:fldCharType="begin"/>
      </w:r>
      <w:r>
        <w:instrText xml:space="preserve"> ADDIN EN.CITE &lt;EndNote&gt;&lt;Cite&gt;&lt;Author&gt;McCormack&lt;/Author&gt;&lt;Year&gt;2003&lt;/Year&gt;&lt;RecNum&gt;554&lt;/RecNum&gt;&lt;DisplayText&gt;(McCormack, 2003)&lt;/DisplayText&gt;&lt;record&gt;&lt;rec-number&gt;554&lt;/rec-number&gt;&lt;foreign-keys&gt;&lt;key app="EN" db-id="xtwfdzde5ttr0zevxrh5sf0c2wfzw5zf2vra" timestamp="1649845625" guid="54fed200-f202-4825-8020-6df029deff14"&gt;554&lt;/key&gt;&lt;/foreign-keys&gt;&lt;ref-type name="Journal Article"&gt;17&lt;/ref-type&gt;&lt;contributors&gt;&lt;authors&gt;&lt;author&gt;McCormack, Brendan&lt;/author&gt;&lt;/authors&gt;&lt;/contributors&gt;&lt;titles&gt;&lt;title&gt;A conceptual framework for person</w:instrText>
      </w:r>
      <w:r>
        <w:rPr>
          <w:rFonts w:ascii="Cambria Math" w:hAnsi="Cambria Math" w:cs="Cambria Math"/>
        </w:rPr>
        <w:instrText>‐</w:instrText>
      </w:r>
      <w:r>
        <w:instrText>centred practice with older people&lt;/title&gt;&lt;secondary-title&gt;International journal of nursing practice&lt;/secondary-title&gt;&lt;/titles&gt;&lt;periodical&gt;&lt;full-title&gt;International journal of nursing practice&lt;/full-title&gt;&lt;/periodical&gt;&lt;pages&gt;202-209&lt;/pages&gt;&lt;volume&gt;9&lt;/volume&gt;&lt;number&gt;3&lt;/number&gt;&lt;dates&gt;&lt;year&gt;2003&lt;/year&gt;&lt;/dates&gt;&lt;isbn&gt;1322-7114&lt;/isbn&gt;&lt;urls&gt;&lt;/urls&gt;&lt;/record&gt;&lt;/Cite&gt;&lt;/EndNote&gt;</w:instrText>
      </w:r>
      <w:r>
        <w:fldChar w:fldCharType="separate"/>
      </w:r>
      <w:r>
        <w:rPr>
          <w:noProof/>
        </w:rPr>
        <w:t>(McCormack, 2003)</w:t>
      </w:r>
      <w:r>
        <w:fldChar w:fldCharType="end"/>
      </w:r>
      <w:r>
        <w:t xml:space="preserve">, and the Person-centred Nursing Framework </w:t>
      </w:r>
      <w:r>
        <w:fldChar w:fldCharType="begin"/>
      </w:r>
      <w:r w:rsidR="00C472AE">
        <w:instrText xml:space="preserve"> ADDIN EN.CITE &lt;EndNote&gt;&lt;Cite&gt;&lt;Author&gt;McCormack&lt;/Author&gt;&lt;Year&gt;2010&lt;/Year&gt;&lt;RecNum&gt;550&lt;/RecNum&gt;&lt;DisplayText&gt;(McCormack &amp;amp; McCance, 2010; McCormack &amp;amp; McCance, 2006)&lt;/DisplayText&gt;&lt;record&gt;&lt;rec-number&gt;550&lt;/rec-number&gt;&lt;foreign-keys&gt;&lt;key app="EN" db-id="xtwfdzde5ttr0zevxrh5sf0c2wfzw5zf2vra" timestamp="1649845508" guid="5d2218fc-bd6b-44b2-9ba7-080459a5059a"&gt;550&lt;/key&gt;&lt;/foreign-keys&gt;&lt;ref-type name="Book"&gt;6&lt;/ref-type&gt;&lt;contributors&gt;&lt;authors&gt;&lt;author&gt;McCormack, Brendan&lt;/author&gt;&lt;author&gt;McCance, Tanya&lt;/author&gt;&lt;/authors&gt;&lt;/contributors&gt;&lt;titles&gt;&lt;title&gt;Person-centred nursing: theory, models and methods&lt;/title&gt;&lt;/titles&gt;&lt;dates&gt;&lt;year&gt;2010&lt;/year&gt;&lt;/dates&gt;&lt;pub-location&gt;UK&lt;/pub-location&gt;&lt;publisher&gt;Wiley-Blackwell&lt;/publisher&gt;&lt;isbn&gt;1405171138&lt;/isbn&gt;&lt;urls&gt;&lt;/urls&gt;&lt;/record&gt;&lt;/Cite&gt;&lt;Cite&gt;&lt;Author&gt;McCormack&lt;/Author&gt;&lt;Year&gt;2006&lt;/Year&gt;&lt;RecNum&gt;555&lt;/RecNum&gt;&lt;record&gt;&lt;rec-number&gt;555&lt;/rec-number&gt;&lt;foreign-keys&gt;&lt;key app="EN" db-id="xtwfdzde5ttr0zevxrh5sf0c2wfzw5zf2vra" timestamp="1649845642" guid="9137930c-3ef3-42ab-bccc-10b2e0c58eac"&gt;555&lt;/key&gt;&lt;/foreign-keys&gt;&lt;ref-type name="Journal Article"&gt;17&lt;/ref-type&gt;&lt;contributors&gt;&lt;authors&gt;&lt;author&gt;McCormack, Brendan&lt;/author&gt;&lt;author&gt;McCance, Tanya V&lt;/author&gt;&lt;/authors&gt;&lt;/contributors&gt;&lt;titles&gt;&lt;title&gt;Development of a framework for person</w:instrText>
      </w:r>
      <w:r w:rsidR="00C472AE">
        <w:rPr>
          <w:rFonts w:ascii="Cambria Math" w:hAnsi="Cambria Math" w:cs="Cambria Math"/>
        </w:rPr>
        <w:instrText>‐</w:instrText>
      </w:r>
      <w:r w:rsidR="00C472AE">
        <w:instrText>centred nursing&lt;/title&gt;&lt;secondary-title&gt;Journal of advanced nursing&lt;/secondary-title&gt;&lt;/titles&gt;&lt;periodical&gt;&lt;full-title&gt;Journal of advanced nursing&lt;/full-title&gt;&lt;/periodical&gt;&lt;pages&gt;472-479&lt;/pages&gt;&lt;volume&gt;56&lt;/volume&gt;&lt;number&gt;5&lt;/number&gt;&lt;dates&gt;&lt;year&gt;2006&lt;/year&gt;&lt;/dates&gt;&lt;isbn&gt;0309-2402&lt;/isbn&gt;&lt;urls&gt;&lt;/urls&gt;&lt;/record&gt;&lt;/Cite&gt;&lt;/EndNote&gt;</w:instrText>
      </w:r>
      <w:r>
        <w:fldChar w:fldCharType="separate"/>
      </w:r>
      <w:r w:rsidR="00FF5F49">
        <w:rPr>
          <w:noProof/>
        </w:rPr>
        <w:t>(McCormack &amp; McCance, 2010; McCormack &amp; McCance, 2006)</w:t>
      </w:r>
      <w:r>
        <w:fldChar w:fldCharType="end"/>
      </w:r>
      <w:r>
        <w:t xml:space="preserve">. The Person-Centred Nursing Framework, one of the most cited frameworks in the literature, was derived from research related to person-centred practice for older people and was designed to address nursing practice and education in the care of older people </w:t>
      </w:r>
      <w:r>
        <w:fldChar w:fldCharType="begin"/>
      </w:r>
      <w:r w:rsidR="006A378C">
        <w:instrText xml:space="preserve"> ADDIN EN.CITE &lt;EndNote&gt;&lt;Cite&gt;&lt;Author&gt;McCance&lt;/Author&gt;&lt;Year&gt;2011&lt;/Year&gt;&lt;RecNum&gt;562&lt;/RecNum&gt;&lt;DisplayText&gt;(Ross et al., 2015; McCance et al., 2011)&lt;/DisplayText&gt;&lt;record&gt;&lt;rec-number&gt;562&lt;/rec-number&gt;&lt;foreign-keys&gt;&lt;key app="EN" db-id="xtwfdzde5ttr0zevxrh5sf0c2wfzw5zf2vra" timestamp="1649848229" guid="2e4f20b2-3312-4484-b0ac-a19004226ae9"&gt;562&lt;/key&gt;&lt;/foreign-keys&gt;&lt;ref-type name="Journal Article"&gt;17&lt;/ref-type&gt;&lt;contributors&gt;&lt;authors&gt;&lt;author&gt;McCance, Tanya&lt;/author&gt;&lt;author&gt;McCormack, Brendan&lt;/author&gt;&lt;author&gt;Dewing, Jan&lt;/author&gt;&lt;/authors&gt;&lt;/contributors&gt;&lt;titles&gt;&lt;title&gt;An exploration of person-centredness in practice&lt;/title&gt;&lt;secondary-title&gt;Online Journal of Issues in Nursing&lt;/secondary-title&gt;&lt;/titles&gt;&lt;periodical&gt;&lt;full-title&gt;Online Journal of Issues in Nursing&lt;/full-title&gt;&lt;/periodical&gt;&lt;pages&gt;1-9&lt;/pages&gt;&lt;volume&gt;16&lt;/volume&gt;&lt;number&gt;2&lt;/number&gt;&lt;dates&gt;&lt;year&gt;2011&lt;/year&gt;&lt;/dates&gt;&lt;urls&gt;&lt;/urls&gt;&lt;/record&gt;&lt;/Cite&gt;&lt;Cite&gt;&lt;Author&gt;Ross&lt;/Author&gt;&lt;Year&gt;2015&lt;/Year&gt;&lt;RecNum&gt;567&lt;/RecNum&gt;&lt;record&gt;&lt;rec-number&gt;567&lt;/rec-number&gt;&lt;foreign-keys&gt;&lt;key app="EN" db-id="xtwfdzde5ttr0zevxrh5sf0c2wfzw5zf2vra" timestamp="1649863675" guid="c4982fc6-99da-431e-a9f7-ad6a1f910436"&gt;567&lt;/key&gt;&lt;/foreign-keys&gt;&lt;ref-type name="Journal Article"&gt;17&lt;/ref-type&gt;&lt;contributors&gt;&lt;authors&gt;&lt;author&gt;Ross, Helen&lt;/author&gt;&lt;author&gt;Tod, Angela Mary&lt;/author&gt;&lt;author&gt;Clarke, Amanda&lt;/author&gt;&lt;/authors&gt;&lt;/contributors&gt;&lt;titles&gt;&lt;title&gt;Understanding and achieving person</w:instrText>
      </w:r>
      <w:r w:rsidR="006A378C">
        <w:rPr>
          <w:rFonts w:ascii="Cambria Math" w:hAnsi="Cambria Math" w:cs="Cambria Math"/>
        </w:rPr>
        <w:instrText>‐</w:instrText>
      </w:r>
      <w:r w:rsidR="006A378C">
        <w:instrText>centred care: the nurse perspective&lt;/title&gt;&lt;secondary-title&gt;Journal of clinical nursing&lt;/secondary-title&gt;&lt;/titles&gt;&lt;periodical&gt;&lt;full-title&gt;Journal of Clinical Nursing&lt;/full-title&gt;&lt;/periodical&gt;&lt;pages&gt;1223-1233&lt;/pages&gt;&lt;volume&gt;24&lt;/volume&gt;&lt;number&gt;9-10&lt;/number&gt;&lt;dates&gt;&lt;year&gt;2015&lt;/year&gt;&lt;/dates&gt;&lt;isbn&gt;0962-1067&lt;/isbn&gt;&lt;urls&gt;&lt;/urls&gt;&lt;/record&gt;&lt;/Cite&gt;&lt;/EndNote&gt;</w:instrText>
      </w:r>
      <w:r>
        <w:fldChar w:fldCharType="separate"/>
      </w:r>
      <w:r w:rsidR="00FF5F49">
        <w:rPr>
          <w:noProof/>
        </w:rPr>
        <w:t>(Ross et al., 2015; McCance et al., 2011)</w:t>
      </w:r>
      <w:r>
        <w:fldChar w:fldCharType="end"/>
      </w:r>
      <w:r>
        <w:t xml:space="preserve">. This framework comprises four key constructs – </w:t>
      </w:r>
      <w:r w:rsidRPr="00537BAA">
        <w:rPr>
          <w:i/>
        </w:rPr>
        <w:t>prerequisites</w:t>
      </w:r>
      <w:r w:rsidRPr="00262F31">
        <w:t>, which focu</w:t>
      </w:r>
      <w:r>
        <w:t>s</w:t>
      </w:r>
      <w:r w:rsidRPr="00262F31">
        <w:t xml:space="preserve"> on the attributes of the nurse; </w:t>
      </w:r>
      <w:r w:rsidRPr="00307437">
        <w:rPr>
          <w:i/>
        </w:rPr>
        <w:t>the care environment</w:t>
      </w:r>
      <w:r w:rsidRPr="00262F31">
        <w:t>, which focus</w:t>
      </w:r>
      <w:r>
        <w:t>es</w:t>
      </w:r>
      <w:r w:rsidRPr="00262F31">
        <w:t xml:space="preserve"> on the context in which care</w:t>
      </w:r>
      <w:r>
        <w:t xml:space="preserve"> is given</w:t>
      </w:r>
      <w:r w:rsidRPr="00262F31">
        <w:t xml:space="preserve">; </w:t>
      </w:r>
      <w:r w:rsidRPr="00307437">
        <w:rPr>
          <w:i/>
        </w:rPr>
        <w:t>person-centred processes</w:t>
      </w:r>
      <w:r w:rsidRPr="00262F31">
        <w:t xml:space="preserve">, which focus on delivering care through a range of activities; and </w:t>
      </w:r>
      <w:r w:rsidRPr="00307437">
        <w:rPr>
          <w:i/>
        </w:rPr>
        <w:t>outcomes</w:t>
      </w:r>
      <w:r w:rsidRPr="00262F31">
        <w:t>, which are the results of effective, person-centred nursing</w:t>
      </w:r>
      <w:r>
        <w:t xml:space="preserve"> </w:t>
      </w:r>
      <w:r>
        <w:fldChar w:fldCharType="begin"/>
      </w:r>
      <w:r w:rsidR="006A378C">
        <w:instrText xml:space="preserve"> ADDIN EN.CITE &lt;EndNote&gt;&lt;Cite&gt;&lt;Author&gt;McCance&lt;/Author&gt;&lt;Year&gt;2011&lt;/Year&gt;&lt;RecNum&gt;562&lt;/RecNum&gt;&lt;DisplayText&gt;(McCance et al., 2011)&lt;/DisplayText&gt;&lt;record&gt;&lt;rec-number&gt;562&lt;/rec-number&gt;&lt;foreign-keys&gt;&lt;key app="EN" db-id="xtwfdzde5ttr0zevxrh5sf0c2wfzw5zf2vra" timestamp="1649848229" guid="2e4f20b2-3312-4484-b0ac-a19004226ae9"&gt;562&lt;/key&gt;&lt;/foreign-keys&gt;&lt;ref-type name="Journal Article"&gt;17&lt;/ref-type&gt;&lt;contributors&gt;&lt;authors&gt;&lt;author&gt;McCance, Tanya&lt;/author&gt;&lt;author&gt;McCormack, Brendan&lt;/author&gt;&lt;author&gt;Dewing, Jan&lt;/author&gt;&lt;/authors&gt;&lt;/contributors&gt;&lt;titles&gt;&lt;title&gt;An exploration of person-centredness in practice&lt;/title&gt;&lt;secondary-title&gt;Online Journal of Issues in Nursing&lt;/secondary-title&gt;&lt;/titles&gt;&lt;periodical&gt;&lt;full-title&gt;Online Journal of Issues in Nursing&lt;/full-title&gt;&lt;/periodical&gt;&lt;pages&gt;1-9&lt;/pages&gt;&lt;volume&gt;16&lt;/volume&gt;&lt;number&gt;2&lt;/number&gt;&lt;dates&gt;&lt;year&gt;2011&lt;/year&gt;&lt;/dates&gt;&lt;urls&gt;&lt;/urls&gt;&lt;/record&gt;&lt;/Cite&gt;&lt;/EndNote&gt;</w:instrText>
      </w:r>
      <w:r>
        <w:fldChar w:fldCharType="separate"/>
      </w:r>
      <w:r>
        <w:rPr>
          <w:noProof/>
        </w:rPr>
        <w:t>(McCance et al., 2011)</w:t>
      </w:r>
      <w:r>
        <w:fldChar w:fldCharType="end"/>
      </w:r>
      <w:r w:rsidRPr="00262F31">
        <w:t>.</w:t>
      </w:r>
      <w:r>
        <w:t xml:space="preserve"> Although this framework specifically relates to nursing, the principles underpinning the framework are relevant to other care providers </w:t>
      </w:r>
      <w:r>
        <w:fldChar w:fldCharType="begin"/>
      </w:r>
      <w:r w:rsidR="006A378C">
        <w:instrText xml:space="preserve"> ADDIN EN.CITE &lt;EndNote&gt;&lt;Cite&gt;&lt;Author&gt;Miller&lt;/Author&gt;&lt;Year&gt;2021&lt;/Year&gt;&lt;RecNum&gt;576&lt;/RecNum&gt;&lt;DisplayText&gt;(Miller, 2021)&lt;/DisplayText&gt;&lt;record&gt;&lt;rec-number&gt;576&lt;/rec-number&gt;&lt;foreign-keys&gt;&lt;key app="EN" db-id="xtwfdzde5ttr0zevxrh5sf0c2wfzw5zf2vra" timestamp="1650447745" guid="9c279783-4750-4db9-a236-ee7ba5d6c6cf"&gt;576&lt;/key&gt;&lt;/foreign-keys&gt;&lt;ref-type name="Report"&gt;27&lt;/ref-type&gt;&lt;contributors&gt;&lt;authors&gt;&lt;author&gt;Miller, E.&lt;/author&gt;&lt;/authors&gt;&lt;/contributors&gt;&lt;titles&gt;&lt;title&gt;How is person-centred care understood and implemented in practice?A literature review&lt;/title&gt;&lt;/titles&gt;&lt;dates&gt;&lt;year&gt;2021&lt;/year&gt;&lt;pub-dates&gt;&lt;date&gt;May&lt;/date&gt;&lt;/pub-dates&gt;&lt;/dates&gt;&lt;pub-location&gt;Scotland&lt;/pub-location&gt;&lt;publisher&gt;Healthcare Improvement Scotland&lt;/publisher&gt;&lt;urls&gt;&lt;/urls&gt;&lt;/record&gt;&lt;/Cite&gt;&lt;/EndNote&gt;</w:instrText>
      </w:r>
      <w:r>
        <w:fldChar w:fldCharType="separate"/>
      </w:r>
      <w:r>
        <w:rPr>
          <w:noProof/>
        </w:rPr>
        <w:t>(Miller, 2021)</w:t>
      </w:r>
      <w:r>
        <w:fldChar w:fldCharType="end"/>
      </w:r>
      <w:r>
        <w:t xml:space="preserve">. </w:t>
      </w:r>
    </w:p>
    <w:p w14:paraId="3417A210" w14:textId="63623F07" w:rsidR="00F80CB9" w:rsidRDefault="00F80CB9" w:rsidP="00F80CB9">
      <w:r>
        <w:t xml:space="preserve">There are a range of person-centred approaches in which people with intellectual disabilities and healthcare professionals engage. These include shared decision-making, self-management support, social prescribing, person-centred outcomes, and person-centred planning approaches, among others </w:t>
      </w:r>
      <w:r>
        <w:fldChar w:fldCharType="begin"/>
      </w:r>
      <w:r w:rsidR="006A378C">
        <w:instrText xml:space="preserve"> ADDIN EN.CITE &lt;EndNote&gt;&lt;Cite&gt;&lt;Author&gt;Miller&lt;/Author&gt;&lt;Year&gt;2021&lt;/Year&gt;&lt;RecNum&gt;576&lt;/RecNum&gt;&lt;DisplayText&gt;(Miller, 2021)&lt;/DisplayText&gt;&lt;record&gt;&lt;rec-number&gt;576&lt;/rec-number&gt;&lt;foreign-keys&gt;&lt;key app="EN" db-id="xtwfdzde5ttr0zevxrh5sf0c2wfzw5zf2vra" timestamp="1650447745" guid="9c279783-4750-4db9-a236-ee7ba5d6c6cf"&gt;576&lt;/key&gt;&lt;/foreign-keys&gt;&lt;ref-type name="Report"&gt;27&lt;/ref-type&gt;&lt;contributors&gt;&lt;authors&gt;&lt;author&gt;Miller, E.&lt;/author&gt;&lt;/authors&gt;&lt;/contributors&gt;&lt;titles&gt;&lt;title&gt;How is person-centred care understood and implemented in practice?A literature review&lt;/title&gt;&lt;/titles&gt;&lt;dates&gt;&lt;year&gt;2021&lt;/year&gt;&lt;pub-dates&gt;&lt;date&gt;May&lt;/date&gt;&lt;/pub-dates&gt;&lt;/dates&gt;&lt;pub-location&gt;Scotland&lt;/pub-location&gt;&lt;publisher&gt;Healthcare Improvement Scotland&lt;/publisher&gt;&lt;urls&gt;&lt;/urls&gt;&lt;/record&gt;&lt;/Cite&gt;&lt;/EndNote&gt;</w:instrText>
      </w:r>
      <w:r>
        <w:fldChar w:fldCharType="separate"/>
      </w:r>
      <w:r>
        <w:rPr>
          <w:noProof/>
        </w:rPr>
        <w:t>(Miller, 2021)</w:t>
      </w:r>
      <w:r>
        <w:fldChar w:fldCharType="end"/>
      </w:r>
      <w:r>
        <w:t xml:space="preserve">. The following section describes one of these approaches, person-centred planning, in greater detail. </w:t>
      </w:r>
    </w:p>
    <w:p w14:paraId="3D9AFFB1" w14:textId="371FC6CC" w:rsidR="00F80CB9" w:rsidRPr="00C474B1" w:rsidRDefault="00F80CB9" w:rsidP="0087088A">
      <w:pPr>
        <w:pStyle w:val="Heading4"/>
        <w:rPr>
          <w:i/>
          <w:iCs/>
        </w:rPr>
      </w:pPr>
      <w:r w:rsidRPr="00C474B1">
        <w:rPr>
          <w:i/>
          <w:iCs/>
          <w:color w:val="000000" w:themeColor="text1"/>
        </w:rPr>
        <w:t>Person-</w:t>
      </w:r>
      <w:r w:rsidR="002015C3" w:rsidRPr="00C474B1">
        <w:rPr>
          <w:i/>
          <w:iCs/>
          <w:color w:val="000000" w:themeColor="text1"/>
        </w:rPr>
        <w:t>c</w:t>
      </w:r>
      <w:r w:rsidRPr="00C474B1">
        <w:rPr>
          <w:i/>
          <w:iCs/>
          <w:color w:val="000000" w:themeColor="text1"/>
        </w:rPr>
        <w:t xml:space="preserve">entred </w:t>
      </w:r>
      <w:r w:rsidR="002015C3" w:rsidRPr="00C474B1">
        <w:rPr>
          <w:i/>
          <w:iCs/>
          <w:color w:val="000000" w:themeColor="text1"/>
        </w:rPr>
        <w:t>p</w:t>
      </w:r>
      <w:r w:rsidRPr="00C474B1">
        <w:rPr>
          <w:i/>
          <w:iCs/>
          <w:color w:val="000000" w:themeColor="text1"/>
        </w:rPr>
        <w:t>lanning</w:t>
      </w:r>
    </w:p>
    <w:p w14:paraId="7E4FFC65" w14:textId="6B523FDD" w:rsidR="00F80CB9" w:rsidRDefault="00F80CB9" w:rsidP="00F80CB9">
      <w:r>
        <w:t>The draft</w:t>
      </w:r>
      <w:r w:rsidR="4DA1C4B2">
        <w:t xml:space="preserve"> HSE</w:t>
      </w:r>
      <w:r>
        <w:t xml:space="preserve"> Interim Standards for New Directions </w:t>
      </w:r>
      <w:r>
        <w:fldChar w:fldCharType="begin"/>
      </w:r>
      <w:r>
        <w:instrText xml:space="preserve"> ADDIN EN.CITE &lt;EndNote&gt;&lt;Cite ExcludeAuth="1"&gt;&lt;Author&gt;HSE&lt;/Author&gt;&lt;Year&gt;2015&lt;/Year&gt;&lt;RecNum&gt;581&lt;/RecNum&gt;&lt;Prefix&gt;HSE`, &lt;/Prefix&gt;&lt;DisplayText&gt;(HSE, 2015)&lt;/DisplayText&gt;&lt;record&gt;&lt;rec-number&gt;581&lt;/rec-number&gt;&lt;foreign-keys&gt;&lt;key app="EN" db-id="xtwfdzde5ttr0zevxrh5sf0c2wfzw5zf2vra" timestamp="1650468486" guid="07f4a103-df62-4ae5-9c61-5542ecb3d80a"&gt;581&lt;/key&gt;&lt;/foreign-keys&gt;&lt;ref-type name="Report"&gt;27&lt;/ref-type&gt;&lt;contributors&gt;&lt;authors&gt;&lt;author&gt;HSE,&lt;/author&gt;&lt;/authors&gt;&lt;/contributors&gt;&lt;titles&gt;&lt;title&gt;New Directions. Interim Standards for New Directions, Services and Supports for Adults with Disabilities&lt;/title&gt;&lt;/titles&gt;&lt;dates&gt;&lt;year&gt;2015&lt;/year&gt;&lt;pub-dates&gt;&lt;date&gt;November&lt;/date&gt;&lt;/pub-dates&gt;&lt;/dates&gt;&lt;pub-location&gt;Dublin&lt;/pub-location&gt;&lt;publisher&gt;Health Service Executive&lt;/publisher&gt;&lt;urls&gt;&lt;/urls&gt;&lt;/record&gt;&lt;/Cite&gt;&lt;/EndNote&gt;</w:instrText>
      </w:r>
      <w:r>
        <w:fldChar w:fldCharType="separate"/>
      </w:r>
      <w:r w:rsidR="00FF5F49" w:rsidRPr="11C55A92">
        <w:rPr>
          <w:noProof/>
        </w:rPr>
        <w:t>(HSE, 2015)</w:t>
      </w:r>
      <w:r>
        <w:fldChar w:fldCharType="end"/>
      </w:r>
      <w:r>
        <w:t xml:space="preserve"> requires that each person with a disability has a personal plan that includes the services and supports to be provided to them to achieve a good quality of life and to realise their goals. It states that this approach should be used by service providers to facilitate the personal planning process effectively for each person</w:t>
      </w:r>
      <w:r w:rsidR="00126B10">
        <w:t>.</w:t>
      </w:r>
      <w:r>
        <w:t xml:space="preserve"> In line with these National Standards, the </w:t>
      </w:r>
      <w:r w:rsidR="473B2E4E">
        <w:t>NDA</w:t>
      </w:r>
      <w:r>
        <w:t xml:space="preserve"> and the HSE developed a National </w:t>
      </w:r>
      <w:bookmarkStart w:id="63" w:name="_Int_ZGYCMgVM"/>
      <w:r>
        <w:t xml:space="preserve">Framework </w:t>
      </w:r>
      <w:bookmarkEnd w:id="63"/>
      <w:r w:rsidR="003406FD">
        <w:t xml:space="preserve">for person-centred planning (PCP) </w:t>
      </w:r>
      <w:r>
        <w:t xml:space="preserve">to provide a more consistent approach to PCP in Ireland and is intended to inform and guide how PCP is implemented across services for people with disability </w:t>
      </w:r>
      <w:r>
        <w:fldChar w:fldCharType="begin"/>
      </w:r>
      <w:r>
        <w:instrText xml:space="preserve"> ADDIN EN.CITE &lt;EndNote&gt;&lt;Cite ExcludeAuth="1"&gt;&lt;Author&gt;HSE&lt;/Author&gt;&lt;Year&gt;2018&lt;/Year&gt;&lt;RecNum&gt;546&lt;/RecNum&gt;&lt;Prefix&gt;HSE`, &lt;/Prefix&gt;&lt;DisplayText&gt;(HSE, 2018b)&lt;/DisplayText&gt;&lt;record&gt;&lt;rec-number&gt;546&lt;/rec-number&gt;&lt;foreign-keys&gt;&lt;key app="EN" db-id="xtwfdzde5ttr0zevxrh5sf0c2wfzw5zf2vra" timestamp="1649692601" guid="390ca129-b953-419b-877e-4c5f71d22b20"&gt;546&lt;/key&gt;&lt;/foreign-keys&gt;&lt;ref-type name="Report"&gt;27&lt;/ref-type&gt;&lt;contributors&gt;&lt;authors&gt;&lt;author&gt;HSE,&lt;/author&gt;&lt;/authors&gt;&lt;/contributors&gt;&lt;titles&gt;&lt;title&gt;A National Framework for PersonCentred Planning in Services for Persons with a Disability&lt;/title&gt;&lt;/titles&gt;&lt;dates&gt;&lt;year&gt;2018&lt;/year&gt;&lt;/dates&gt;&lt;pub-location&gt;Dublin&lt;/pub-location&gt;&lt;publisher&gt;Health Service Executive&lt;/publisher&gt;&lt;urls&gt;&lt;/urls&gt;&lt;/record&gt;&lt;/Cite&gt;&lt;/EndNote&gt;</w:instrText>
      </w:r>
      <w:r>
        <w:fldChar w:fldCharType="separate"/>
      </w:r>
      <w:r w:rsidR="00FF5F49" w:rsidRPr="11C55A92">
        <w:rPr>
          <w:noProof/>
        </w:rPr>
        <w:t>(HSE, 2018b)</w:t>
      </w:r>
      <w:r>
        <w:fldChar w:fldCharType="end"/>
      </w:r>
      <w:r>
        <w:t xml:space="preserve">. </w:t>
      </w:r>
    </w:p>
    <w:p w14:paraId="5D929963" w14:textId="65E69211" w:rsidR="00F80CB9" w:rsidRDefault="00F80CB9" w:rsidP="00F80CB9">
      <w:r>
        <w:t xml:space="preserve">Person-centred planning aims to put ‘individuals </w:t>
      </w:r>
      <w:r w:rsidR="007B4A0C">
        <w:t>with intellectual disabilities</w:t>
      </w:r>
      <w:r>
        <w:t xml:space="preserve"> at the centre of service and support planning, identifying how individuals wish to live their lives and what is needed to make it possible’ </w:t>
      </w:r>
      <w:r>
        <w:fldChar w:fldCharType="begin"/>
      </w:r>
      <w:r w:rsidR="006A378C">
        <w:instrText xml:space="preserve"> ADDIN EN.CITE &lt;EndNote&gt;&lt;Cite&gt;&lt;Author&gt;McCausland&lt;/Author&gt;&lt;Year&gt;2021&lt;/Year&gt;&lt;RecNum&gt;522&lt;/RecNum&gt;&lt;Pages&gt;1&lt;/Pages&gt;&lt;DisplayText&gt;(McCausland et al., 2021c, p. 1)&lt;/DisplayText&gt;&lt;record&gt;&lt;rec-number&gt;522&lt;/rec-number&gt;&lt;foreign-keys&gt;&lt;key app="EN" db-id="xtwfdzde5ttr0zevxrh5sf0c2wfzw5zf2vra" timestamp="1649161734" guid="1674076a-dd0f-4570-94da-9165d86f67fd"&gt;522&lt;/key&gt;&lt;/foreign-keys&gt;&lt;ref-type name="Journal Article"&gt;17&lt;/ref-type&gt;&lt;contributors&gt;&lt;authors&gt;&lt;author&gt;McCausland, Darren&lt;/author&gt;&lt;author&gt;Murphy, Esther&lt;/author&gt;&lt;author&gt;McCarron, Mary&lt;/author&gt;&lt;author&gt;McCallion, Philip&lt;/author&gt;&lt;/authors&gt;&lt;/contributors&gt;&lt;titles&gt;&lt;title&gt;The potential for person-centred planning to support the community participation of adults with an intellectual disability&lt;/title&gt;&lt;secondary-title&gt;Journal of Intellectual Disabilities&lt;/secondary-title&gt;&lt;/titles&gt;&lt;periodical&gt;&lt;full-title&gt;Journal of Intellectual Disabilities&lt;/full-title&gt;&lt;/periodical&gt;&lt;pages&gt;603-623&lt;/pages&gt;&lt;volume&gt;26&lt;/volume&gt;&lt;number&gt;3&lt;/number&gt;&lt;dates&gt;&lt;year&gt;2021&lt;/year&gt;&lt;/dates&gt;&lt;publisher&gt;SAGE Publications&lt;/publisher&gt;&lt;isbn&gt;1744-6295&lt;/isbn&gt;&lt;urls&gt;&lt;related-urls&gt;&lt;url&gt;https://dx.doi.org/10.1177/17446295211022125&lt;/url&gt;&lt;/related-urls&gt;&lt;/urls&gt;&lt;electronic-resource-num&gt;10.1177/17446295211022125&lt;/electronic-resource-num&gt;&lt;/record&gt;&lt;/Cite&gt;&lt;/EndNote&gt;</w:instrText>
      </w:r>
      <w:r>
        <w:fldChar w:fldCharType="separate"/>
      </w:r>
      <w:r w:rsidR="00FF5F49">
        <w:rPr>
          <w:noProof/>
        </w:rPr>
        <w:t>(McCausland et al., 2021c, p. 1)</w:t>
      </w:r>
      <w:r>
        <w:fldChar w:fldCharType="end"/>
      </w:r>
      <w:r>
        <w:t xml:space="preserve">. </w:t>
      </w:r>
      <w:r w:rsidR="08B35ACF">
        <w:t xml:space="preserve">Person-centred planning therefore </w:t>
      </w:r>
      <w:r w:rsidR="06B0D889">
        <w:t xml:space="preserve">can support people with intellectual disabilities to vindicate their </w:t>
      </w:r>
      <w:r w:rsidR="0CD282A4">
        <w:t>right</w:t>
      </w:r>
      <w:r w:rsidR="5359E6A6">
        <w:t>s</w:t>
      </w:r>
      <w:r w:rsidR="06B0D889">
        <w:t xml:space="preserve"> under the UNCRPD</w:t>
      </w:r>
      <w:r w:rsidR="1EDE2833">
        <w:t>.</w:t>
      </w:r>
      <w:r w:rsidR="06B0D889">
        <w:t xml:space="preserve"> </w:t>
      </w:r>
      <w:r>
        <w:t xml:space="preserve">PCP requires that all supports be flexible and responsive to the changing needs of the person, that the process involves ongoing listening and learning, that there is a focus on the outcomes that both the person and the service want to achieve, that the planning process is accessible to the person, and that all information is provided in a meaningful format </w:t>
      </w:r>
      <w:r>
        <w:fldChar w:fldCharType="begin"/>
      </w:r>
      <w:r w:rsidR="006A378C">
        <w:instrText xml:space="preserve"> ADDIN EN.CITE &lt;EndNote&gt;&lt;Cite ExcludeAuth="1"&gt;&lt;Author&gt;HSE&lt;/Author&gt;&lt;Year&gt;2018&lt;/Year&gt;&lt;RecNum&gt;546&lt;/RecNum&gt;&lt;Prefix&gt;HSE`, &lt;/Prefix&gt;&lt;DisplayText&gt;(HSE, 2018b; Sanderson, 2000)&lt;/DisplayText&gt;&lt;record&gt;&lt;rec-number&gt;546&lt;/rec-number&gt;&lt;foreign-keys&gt;&lt;key app="EN" db-id="xtwfdzde5ttr0zevxrh5sf0c2wfzw5zf2vra" timestamp="1649692601" guid="390ca129-b953-419b-877e-4c5f71d22b20"&gt;546&lt;/key&gt;&lt;/foreign-keys&gt;&lt;ref-type name="Report"&gt;27&lt;/ref-type&gt;&lt;contributors&gt;&lt;authors&gt;&lt;author&gt;HSE,&lt;/author&gt;&lt;/authors&gt;&lt;/contributors&gt;&lt;titles&gt;&lt;title&gt;A National Framework for PersonCentred Planning in Services for Persons with a Disability&lt;/title&gt;&lt;/titles&gt;&lt;dates&gt;&lt;year&gt;2018&lt;/year&gt;&lt;/dates&gt;&lt;pub-location&gt;Dublin&lt;/pub-location&gt;&lt;publisher&gt;Health Service Executive&lt;/publisher&gt;&lt;urls&gt;&lt;/urls&gt;&lt;/record&gt;&lt;/Cite&gt;&lt;Cite&gt;&lt;Author&gt;Sanderson&lt;/Author&gt;&lt;Year&gt;2000&lt;/Year&gt;&lt;RecNum&gt;569&lt;/RecNum&gt;&lt;record&gt;&lt;rec-number&gt;569&lt;/rec-number&gt;&lt;foreign-keys&gt;&lt;key app="EN" db-id="xtwfdzde5ttr0zevxrh5sf0c2wfzw5zf2vra" timestamp="1649948789" guid="1c13d164-063d-45a3-a419-a12f35c3474c"&gt;569&lt;/key&gt;&lt;/foreign-keys&gt;&lt;ref-type name="Report"&gt;27&lt;/ref-type&gt;&lt;contributors&gt;&lt;authors&gt;&lt;author&gt;Sanderson, Helen&lt;/author&gt;&lt;/authors&gt;&lt;/contributors&gt;&lt;titles&gt;&lt;title&gt;Person-centred planning: Key features and approaches&lt;/title&gt;&lt;/titles&gt;&lt;dates&gt;&lt;year&gt;2000&lt;/year&gt;&lt;/dates&gt;&lt;pub-location&gt;York&lt;/pub-location&gt;&lt;publisher&gt;Joseph Rowntree Foundation&lt;/publisher&gt;&lt;urls&gt;&lt;/urls&gt;&lt;/record&gt;&lt;/Cite&gt;&lt;/EndNote&gt;</w:instrText>
      </w:r>
      <w:r>
        <w:fldChar w:fldCharType="separate"/>
      </w:r>
      <w:r w:rsidR="00FF5F49">
        <w:rPr>
          <w:noProof/>
        </w:rPr>
        <w:t>(HSE, 2018b; Sanderson, 2000)</w:t>
      </w:r>
      <w:r>
        <w:fldChar w:fldCharType="end"/>
      </w:r>
      <w:r>
        <w:t xml:space="preserve">. Furthermore, PCP is grounded in a social model and strengths-based approach and takes into account the person's wider support networks such as family and friends, which makes this approach particularly appropriate in managing life transitions </w:t>
      </w:r>
      <w:r>
        <w:fldChar w:fldCharType="begin"/>
      </w:r>
      <w:r w:rsidR="006A378C">
        <w:instrText xml:space="preserve"> ADDIN EN.CITE &lt;EndNote&gt;&lt;Cite&gt;&lt;Author&gt;NDA&lt;/Author&gt;&lt;Year&gt;2006&lt;/Year&gt;&lt;RecNum&gt;503&lt;/RecNum&gt;&lt;DisplayText&gt;(NDA, 2006)&lt;/DisplayText&gt;&lt;record&gt;&lt;rec-number&gt;503&lt;/rec-number&gt;&lt;foreign-keys&gt;&lt;key app="EN" db-id="xtwfdzde5ttr0zevxrh5sf0c2wfzw5zf2vra" timestamp="1648135232" guid="4bd20a04-f8a6-42f7-b837-a1b98d3a96ff"&gt;503&lt;/key&gt;&lt;/foreign-keys&gt;&lt;ref-type name="Report"&gt;27&lt;/ref-type&gt;&lt;contributors&gt;&lt;authors&gt;&lt;author&gt;NDA&lt;/author&gt;&lt;/authors&gt;&lt;/contributors&gt;&lt;titles&gt;&lt;title&gt;Ageing &amp;amp; Disability: A Discussion Paper&lt;/title&gt;&lt;/titles&gt;&lt;dates&gt;&lt;year&gt;2006&lt;/year&gt;&lt;/dates&gt;&lt;pub-location&gt;Dublin&lt;/pub-location&gt;&lt;publisher&gt;National Disability Authority&lt;/publisher&gt;&lt;urls&gt;&lt;related-urls&gt;&lt;url&gt;https://nda.ie/Publications/Health/Health-Publications/Ageing-Disability-A-Discussion-Paper1.html&lt;/url&gt;&lt;/related-urls&gt;&lt;/urls&gt;&lt;/record&gt;&lt;/Cite&gt;&lt;/EndNote&gt;</w:instrText>
      </w:r>
      <w:r>
        <w:fldChar w:fldCharType="separate"/>
      </w:r>
      <w:r>
        <w:rPr>
          <w:noProof/>
        </w:rPr>
        <w:t>(NDA, 2006)</w:t>
      </w:r>
      <w:r>
        <w:fldChar w:fldCharType="end"/>
      </w:r>
      <w:r>
        <w:t xml:space="preserve">. The core values and beliefs underpinning PCP include individuality, equality, respect, empowerment, choice, inclusion and active citizenship, and independence </w:t>
      </w:r>
      <w:r>
        <w:fldChar w:fldCharType="begin"/>
      </w:r>
      <w:r w:rsidR="00FF5F49">
        <w:instrText xml:space="preserve"> ADDIN EN.CITE &lt;EndNote&gt;&lt;Cite ExcludeAuth="1"&gt;&lt;Author&gt;HSE&lt;/Author&gt;&lt;Year&gt;2018&lt;/Year&gt;&lt;RecNum&gt;546&lt;/RecNum&gt;&lt;Prefix&gt;HSE`, &lt;/Prefix&gt;&lt;DisplayText&gt;(HSE, 2018b)&lt;/DisplayText&gt;&lt;record&gt;&lt;rec-number&gt;546&lt;/rec-number&gt;&lt;foreign-keys&gt;&lt;key app="EN" db-id="xtwfdzde5ttr0zevxrh5sf0c2wfzw5zf2vra" timestamp="1649692601" guid="390ca129-b953-419b-877e-4c5f71d22b20"&gt;546&lt;/key&gt;&lt;/foreign-keys&gt;&lt;ref-type name="Report"&gt;27&lt;/ref-type&gt;&lt;contributors&gt;&lt;authors&gt;&lt;author&gt;HSE,&lt;/author&gt;&lt;/authors&gt;&lt;/contributors&gt;&lt;titles&gt;&lt;title&gt;A National Framework for PersonCentred Planning in Services for Persons with a Disability&lt;/title&gt;&lt;/titles&gt;&lt;dates&gt;&lt;year&gt;2018&lt;/year&gt;&lt;/dates&gt;&lt;pub-location&gt;Dublin&lt;/pub-location&gt;&lt;publisher&gt;Health Service Executive&lt;/publisher&gt;&lt;urls&gt;&lt;/urls&gt;&lt;/record&gt;&lt;/Cite&gt;&lt;/EndNote&gt;</w:instrText>
      </w:r>
      <w:r>
        <w:fldChar w:fldCharType="separate"/>
      </w:r>
      <w:r w:rsidR="00FF5F49">
        <w:rPr>
          <w:noProof/>
        </w:rPr>
        <w:t>(HSE, 2018b)</w:t>
      </w:r>
      <w:r>
        <w:fldChar w:fldCharType="end"/>
      </w:r>
      <w:r>
        <w:t xml:space="preserve">. </w:t>
      </w:r>
    </w:p>
    <w:p w14:paraId="5C135DFA" w14:textId="224C3417" w:rsidR="00F80CB9" w:rsidRDefault="00F80CB9" w:rsidP="007572A0">
      <w:pPr>
        <w:spacing w:after="120"/>
      </w:pPr>
      <w:r>
        <w:t xml:space="preserve">The NDA </w:t>
      </w:r>
      <w:r>
        <w:fldChar w:fldCharType="begin"/>
      </w:r>
      <w:r w:rsidR="006A378C">
        <w:instrText xml:space="preserve"> ADDIN EN.CITE &lt;EndNote&gt;&lt;Cite ExcludeAuth="1"&gt;&lt;Author&gt;NDA&lt;/Author&gt;&lt;Year&gt;2005&lt;/Year&gt;&lt;RecNum&gt;575&lt;/RecNum&gt;&lt;DisplayText&gt;(2005)&lt;/DisplayText&gt;&lt;record&gt;&lt;rec-number&gt;575&lt;/rec-number&gt;&lt;foreign-keys&gt;&lt;key app="EN" db-id="xtwfdzde5ttr0zevxrh5sf0c2wfzw5zf2vra" timestamp="1650283354" guid="9d283d72-9508-4707-b34d-f5721279be49"&gt;575&lt;/key&gt;&lt;/foreign-keys&gt;&lt;ref-type name="Report"&gt;27&lt;/ref-type&gt;&lt;contributors&gt;&lt;authors&gt;&lt;author&gt;NDA&lt;/author&gt;&lt;/authors&gt;&lt;/contributors&gt;&lt;titles&gt;&lt;title&gt;Guidelines on Person Centred Planning in the Provision of Services for People with Disabilities in Ireland&lt;/title&gt;&lt;/titles&gt;&lt;pages&gt;17-18&lt;/pages&gt;&lt;dates&gt;&lt;year&gt;2005&lt;/year&gt;&lt;/dates&gt;&lt;pub-location&gt;Dublin&lt;/pub-location&gt;&lt;publisher&gt;National Disability Authority&lt;/publisher&gt;&lt;urls&gt;&lt;/urls&gt;&lt;/record&gt;&lt;/Cite&gt;&lt;/EndNote&gt;</w:instrText>
      </w:r>
      <w:r>
        <w:fldChar w:fldCharType="separate"/>
      </w:r>
      <w:r w:rsidR="006A378C">
        <w:rPr>
          <w:noProof/>
        </w:rPr>
        <w:t>(2005)</w:t>
      </w:r>
      <w:r>
        <w:fldChar w:fldCharType="end"/>
      </w:r>
      <w:r>
        <w:t xml:space="preserve"> outlines six key principles of PCP: </w:t>
      </w:r>
    </w:p>
    <w:p w14:paraId="6E09390D" w14:textId="40EEE2FC" w:rsidR="00F80CB9" w:rsidRDefault="00F80CB9" w:rsidP="00DC0CA1">
      <w:pPr>
        <w:pStyle w:val="ListParagraph"/>
        <w:numPr>
          <w:ilvl w:val="0"/>
          <w:numId w:val="6"/>
        </w:numPr>
        <w:spacing w:after="120"/>
        <w:ind w:left="714" w:hanging="357"/>
        <w:contextualSpacing w:val="0"/>
      </w:pPr>
      <w:r>
        <w:t>Person-centred planning is planning from an individual’s perspective on his or her life</w:t>
      </w:r>
    </w:p>
    <w:p w14:paraId="72DEA3E0" w14:textId="2E46516A" w:rsidR="00F80CB9" w:rsidRDefault="00F80CB9" w:rsidP="00DC0CA1">
      <w:pPr>
        <w:pStyle w:val="ListParagraph"/>
        <w:numPr>
          <w:ilvl w:val="0"/>
          <w:numId w:val="6"/>
        </w:numPr>
        <w:spacing w:after="120"/>
        <w:ind w:left="714" w:hanging="357"/>
        <w:contextualSpacing w:val="0"/>
      </w:pPr>
      <w:r>
        <w:t>Person-centred planning entails a creative approach to planning which asks, ‘what might this mean?’ and ‘what is possible?’ rather than assuming common understandings and limiting itself to what is available</w:t>
      </w:r>
    </w:p>
    <w:p w14:paraId="6241C7D4" w14:textId="36B60DCA" w:rsidR="00F80CB9" w:rsidRDefault="00F80CB9" w:rsidP="00DC0CA1">
      <w:pPr>
        <w:pStyle w:val="ListParagraph"/>
        <w:numPr>
          <w:ilvl w:val="0"/>
          <w:numId w:val="6"/>
        </w:numPr>
        <w:spacing w:after="120"/>
        <w:ind w:left="714" w:hanging="357"/>
        <w:contextualSpacing w:val="0"/>
      </w:pPr>
      <w:r>
        <w:t>Person-centred planning takes into consideration all the resources available to the person – it does not limit itself to what is available within specialist services</w:t>
      </w:r>
    </w:p>
    <w:p w14:paraId="109BE8CF" w14:textId="74A78C64" w:rsidR="00F80CB9" w:rsidRDefault="00F80CB9" w:rsidP="00DC0CA1">
      <w:pPr>
        <w:pStyle w:val="ListParagraph"/>
        <w:numPr>
          <w:ilvl w:val="0"/>
          <w:numId w:val="6"/>
        </w:numPr>
        <w:spacing w:after="120"/>
        <w:ind w:left="714" w:hanging="357"/>
        <w:contextualSpacing w:val="0"/>
      </w:pPr>
      <w:r>
        <w:t>Person-centred planning requires serious and genuine commitment and cooperation of all participants in the process</w:t>
      </w:r>
    </w:p>
    <w:p w14:paraId="483F0A0A" w14:textId="41B7A2ED" w:rsidR="00F80CB9" w:rsidRDefault="00F80CB9" w:rsidP="00DC0CA1">
      <w:pPr>
        <w:pStyle w:val="ListParagraph"/>
        <w:numPr>
          <w:ilvl w:val="0"/>
          <w:numId w:val="6"/>
        </w:numPr>
        <w:spacing w:after="120"/>
        <w:ind w:left="714" w:hanging="357"/>
        <w:contextualSpacing w:val="0"/>
      </w:pPr>
      <w:r>
        <w:t xml:space="preserve">Person-centred planning is an art – not a science. It is best viewed as an organic, evolving process. </w:t>
      </w:r>
    </w:p>
    <w:p w14:paraId="35710E5B" w14:textId="5EA38B96" w:rsidR="00F80CB9" w:rsidRDefault="00F80CB9" w:rsidP="00DC0CA1">
      <w:pPr>
        <w:pStyle w:val="ListParagraph"/>
        <w:numPr>
          <w:ilvl w:val="0"/>
          <w:numId w:val="6"/>
        </w:numPr>
        <w:ind w:left="714" w:hanging="357"/>
        <w:contextualSpacing w:val="0"/>
      </w:pPr>
      <w:r>
        <w:t xml:space="preserve">The development of a plan is not the objective of </w:t>
      </w:r>
      <w:r w:rsidR="00FA612F">
        <w:t>p</w:t>
      </w:r>
      <w:r>
        <w:t>erson-</w:t>
      </w:r>
      <w:r w:rsidR="00FA612F">
        <w:t>c</w:t>
      </w:r>
      <w:r>
        <w:t xml:space="preserve">entred </w:t>
      </w:r>
      <w:r w:rsidR="00FA612F">
        <w:t>p</w:t>
      </w:r>
      <w:r>
        <w:t xml:space="preserve">lanning. The objective is to make a real, positive difference in someone’s life. </w:t>
      </w:r>
    </w:p>
    <w:p w14:paraId="4D40820A" w14:textId="7C6D1AF4" w:rsidR="00F80CB9" w:rsidRDefault="00F80CB9" w:rsidP="0087088A">
      <w:pPr>
        <w:pStyle w:val="NormalAfterList"/>
      </w:pPr>
      <w:r w:rsidRPr="0087088A">
        <w:t xml:space="preserve">Despite an emphasis on person-centred care in policy and practice, the literature regarding the effectiveness of PCC and PCP is sparse </w:t>
      </w:r>
      <w:r w:rsidRPr="0087088A">
        <w:fldChar w:fldCharType="begin"/>
      </w:r>
      <w:r w:rsidRPr="0087088A">
        <w:instrText xml:space="preserve"> ADDIN EN.CITE &lt;EndNote&gt;&lt;Cite&gt;&lt;Author&gt;Claes&lt;/Author&gt;&lt;Year&gt;2010&lt;/Year&gt;&lt;RecNum&gt;570&lt;/RecNum&gt;&lt;DisplayText&gt;(Claes et al., 2010)&lt;/DisplayText&gt;&lt;record&gt;&lt;rec-number&gt;570&lt;/rec-number&gt;&lt;foreign-keys&gt;&lt;key app="EN" db-id="xtwfdzde5ttr0zevxrh5sf0c2wfzw5zf2vra" timestamp="1649951012" guid="56899332-c021-4848-af95-98ad96a13b81"&gt;570&lt;/key&gt;&lt;/foreign-keys&gt;&lt;ref-type name="Journal Article"&gt;17&lt;/ref-type&gt;&lt;contributors&gt;&lt;authors&gt;&lt;author&gt;Claes, Claudia&lt;/author&gt;&lt;author&gt;Van Hove, Geert&lt;/author&gt;&lt;author&gt;Vandevelde, Stijn&lt;/author&gt;&lt;author&gt;van Loon, Jos&lt;/author&gt;&lt;author&gt;Schalock, Robert L&lt;/author&gt;&lt;/authors&gt;&lt;/contributors&gt;&lt;titles&gt;&lt;title&gt;Person-centered planning: Analysis of research and effectiveness&lt;/title&gt;&lt;secondary-title&gt;Intellectual and developmental disabilities&lt;/secondary-title&gt;&lt;/titles&gt;&lt;periodical&gt;&lt;full-title&gt;Intellectual and Developmental Disabilities&lt;/full-title&gt;&lt;/periodical&gt;&lt;pages&gt;432-453&lt;/pages&gt;&lt;volume&gt;48&lt;/volume&gt;&lt;number&gt;6&lt;/number&gt;&lt;dates&gt;&lt;year&gt;2010&lt;/year&gt;&lt;/dates&gt;&lt;isbn&gt;1934-9556&lt;/isbn&gt;&lt;urls&gt;&lt;/urls&gt;&lt;/record&gt;&lt;/Cite&gt;&lt;/EndNote&gt;</w:instrText>
      </w:r>
      <w:r w:rsidRPr="0087088A">
        <w:fldChar w:fldCharType="separate"/>
      </w:r>
      <w:r w:rsidRPr="0087088A">
        <w:t>(Claes et al., 2010)</w:t>
      </w:r>
      <w:r w:rsidRPr="0087088A">
        <w:fldChar w:fldCharType="end"/>
      </w:r>
      <w:r w:rsidRPr="0087088A">
        <w:t xml:space="preserve">. However, from this literature, a range of benefits associated with PCP have been identified </w:t>
      </w:r>
      <w:r w:rsidRPr="0087088A">
        <w:fldChar w:fldCharType="begin"/>
      </w:r>
      <w:r w:rsidR="006A378C">
        <w:instrText xml:space="preserve"> ADDIN EN.CITE &lt;EndNote&gt;&lt;Cite&gt;&lt;Author&gt;McCausland&lt;/Author&gt;&lt;Year&gt;2021&lt;/Year&gt;&lt;RecNum&gt;522&lt;/RecNum&gt;&lt;DisplayText&gt;(McCausland et al., 2021c)&lt;/DisplayText&gt;&lt;record&gt;&lt;rec-number&gt;522&lt;/rec-number&gt;&lt;foreign-keys&gt;&lt;key app="EN" db-id="xtwfdzde5ttr0zevxrh5sf0c2wfzw5zf2vra" timestamp="1649161734" guid="1674076a-dd0f-4570-94da-9165d86f67fd"&gt;522&lt;/key&gt;&lt;/foreign-keys&gt;&lt;ref-type name="Journal Article"&gt;17&lt;/ref-type&gt;&lt;contributors&gt;&lt;authors&gt;&lt;author&gt;McCausland, Darren&lt;/author&gt;&lt;author&gt;Murphy, Esther&lt;/author&gt;&lt;author&gt;McCarron, Mary&lt;/author&gt;&lt;author&gt;McCallion, Philip&lt;/author&gt;&lt;/authors&gt;&lt;/contributors&gt;&lt;titles&gt;&lt;title&gt;The potential for person-centred planning to support the community participation of adults with an intellectual disability&lt;/title&gt;&lt;secondary-title&gt;Journal of Intellectual Disabilities&lt;/secondary-title&gt;&lt;/titles&gt;&lt;periodical&gt;&lt;full-title&gt;Journal of Intellectual Disabilities&lt;/full-title&gt;&lt;/periodical&gt;&lt;pages&gt;603-623&lt;/pages&gt;&lt;volume&gt;26&lt;/volume&gt;&lt;number&gt;3&lt;/number&gt;&lt;dates&gt;&lt;year&gt;2021&lt;/year&gt;&lt;/dates&gt;&lt;publisher&gt;SAGE Publications&lt;/publisher&gt;&lt;isbn&gt;1744-6295&lt;/isbn&gt;&lt;urls&gt;&lt;related-urls&gt;&lt;url&gt;https://dx.doi.org/10.1177/17446295211022125&lt;/url&gt;&lt;/related-urls&gt;&lt;/urls&gt;&lt;electronic-resource-num&gt;10.1177/17446295211022125&lt;/electronic-resource-num&gt;&lt;/record&gt;&lt;/Cite&gt;&lt;/EndNote&gt;</w:instrText>
      </w:r>
      <w:r w:rsidRPr="0087088A">
        <w:fldChar w:fldCharType="separate"/>
      </w:r>
      <w:r w:rsidRPr="0087088A">
        <w:rPr>
          <w:noProof/>
        </w:rPr>
        <w:t>(McCausland et al., 2021c)</w:t>
      </w:r>
      <w:r w:rsidRPr="0087088A">
        <w:fldChar w:fldCharType="end"/>
      </w:r>
      <w:r w:rsidRPr="0087088A">
        <w:t xml:space="preserve">. It has the potential to improve social networks, contact with family and friends, engagement in group activities, and participation in the community </w:t>
      </w:r>
      <w:r w:rsidRPr="0087088A">
        <w:fldChar w:fldCharType="begin">
          <w:fldData xml:space="preserve">PEVuZE5vdGU+PENpdGU+PEF1dGhvcj5DbGFlczwvQXV0aG9yPjxZZWFyPjIwMTA8L1llYXI+PFJl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</w:fldData>
        </w:fldChar>
      </w:r>
      <w:r w:rsidR="00B26CBF">
        <w:instrText xml:space="preserve"> ADDIN EN.CITE </w:instrText>
      </w:r>
      <w:r w:rsidR="00B26CBF">
        <w:fldChar w:fldCharType="begin">
          <w:fldData xml:space="preserve">PEVuZE5vdGU+PENpdGU+PEF1dGhvcj5DbGFlczwvQXV0aG9yPjxZZWFyPjIwMTA8L1llYXI+PFJl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</w:fldData>
        </w:fldChar>
      </w:r>
      <w:r w:rsidR="00B26CBF">
        <w:instrText xml:space="preserve"> ADDIN EN.CITE.DATA </w:instrText>
      </w:r>
      <w:r w:rsidR="00B26CBF">
        <w:fldChar w:fldCharType="end"/>
      </w:r>
      <w:r w:rsidRPr="0087088A">
        <w:fldChar w:fldCharType="separate"/>
      </w:r>
      <w:r w:rsidR="00B26CBF">
        <w:rPr>
          <w:noProof/>
        </w:rPr>
        <w:t>(McCausland et al., 2021c; Claes et al., 2010; Robertson et al., 2007)</w:t>
      </w:r>
      <w:r w:rsidRPr="0087088A">
        <w:fldChar w:fldCharType="end"/>
      </w:r>
      <w:r w:rsidRPr="0087088A">
        <w:t xml:space="preserve">. It has also been shown to increase choice-making </w:t>
      </w:r>
      <w:r w:rsidRPr="0087088A">
        <w:fldChar w:fldCharType="begin">
          <w:fldData xml:space="preserve">PEVuZE5vdGU+PENpdGU+PEF1dGhvcj5SYXR0aTwvQXV0aG9yPjxZZWFyPjIwMTY8L1llYXI+PFJl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</w:fldData>
        </w:fldChar>
      </w:r>
      <w:r w:rsidR="00FF5F49">
        <w:instrText xml:space="preserve"> ADDIN EN.CITE </w:instrText>
      </w:r>
      <w:r w:rsidR="00FF5F49">
        <w:fldChar w:fldCharType="begin">
          <w:fldData xml:space="preserve">PEVuZE5vdGU+PENpdGU+PEF1dGhvcj5SYXR0aTwvQXV0aG9yPjxZZWFyPjIwMTY8L1llYXI+PFJl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</w:fldData>
        </w:fldChar>
      </w:r>
      <w:r w:rsidR="00FF5F49">
        <w:instrText xml:space="preserve"> ADDIN EN.CITE.DATA </w:instrText>
      </w:r>
      <w:r w:rsidR="00FF5F49">
        <w:fldChar w:fldCharType="end"/>
      </w:r>
      <w:r w:rsidRPr="0087088A">
        <w:fldChar w:fldCharType="separate"/>
      </w:r>
      <w:r w:rsidR="00FF5F49">
        <w:rPr>
          <w:noProof/>
        </w:rPr>
        <w:t>(Ratti et al., 2016; Robertson et al., 2007)</w:t>
      </w:r>
      <w:r w:rsidRPr="0087088A">
        <w:fldChar w:fldCharType="end"/>
      </w:r>
      <w:r>
        <w:t xml:space="preserve"> and self-determination </w:t>
      </w:r>
      <w:r>
        <w:fldChar w:fldCharType="begin"/>
      </w:r>
      <w:r w:rsidR="00FF5F49">
        <w:instrText xml:space="preserve"> ADDIN EN.CITE &lt;EndNote&gt;&lt;Cite&gt;&lt;Author&gt;Espiner&lt;/Author&gt;&lt;Year&gt;2012&lt;/Year&gt;&lt;RecNum&gt;573&lt;/RecNum&gt;&lt;DisplayText&gt;(Espiner &amp;amp; Hartnett, 2012)&lt;/DisplayText&gt;&lt;record&gt;&lt;rec-number&gt;573&lt;/rec-number&gt;&lt;foreign-keys&gt;&lt;key app="EN" db-id="xtwfdzde5ttr0zevxrh5sf0c2wfzw5zf2vra" timestamp="1649952546" guid="7e9910dd-7846-4dcd-ac52-de8030d6e4f5"&gt;573&lt;/key&gt;&lt;/foreign-keys&gt;&lt;ref-type name="Journal Article"&gt;17&lt;/ref-type&gt;&lt;contributors&gt;&lt;authors&gt;&lt;author&gt;Espiner, Deborah&lt;/author&gt;&lt;author&gt;Hartnett, Frances Margaret&lt;/author&gt;&lt;/authors&gt;&lt;/contributors&gt;&lt;titles&gt;&lt;title&gt;‘I felt I was in control of the meeting’: facilitating planning with adults with an intellectual disability&lt;/title&gt;&lt;secondary-title&gt;British Journal of Learning Disabilities&lt;/secondary-title&gt;&lt;/titles&gt;&lt;periodical&gt;&lt;full-title&gt;British Journal of Learning Disabilities&lt;/full-title&gt;&lt;/periodical&gt;&lt;pages&gt;62-70&lt;/pages&gt;&lt;volume&gt;40&lt;/volume&gt;&lt;number&gt;1&lt;/number&gt;&lt;dates&gt;&lt;year&gt;2012&lt;/year&gt;&lt;/dates&gt;&lt;isbn&gt;1354-4187&lt;/isbn&gt;&lt;urls&gt;&lt;/urls&gt;&lt;/record&gt;&lt;/Cite&gt;&lt;/EndNote&gt;</w:instrText>
      </w:r>
      <w:r>
        <w:fldChar w:fldCharType="separate"/>
      </w:r>
      <w:r w:rsidR="00FF5F49">
        <w:rPr>
          <w:noProof/>
        </w:rPr>
        <w:t>(Espiner &amp; Hartnett, 2012)</w:t>
      </w:r>
      <w:r>
        <w:fldChar w:fldCharType="end"/>
      </w:r>
      <w:r>
        <w:t xml:space="preserve"> and improve self-esteem </w:t>
      </w:r>
      <w:r>
        <w:fldChar w:fldCharType="begin"/>
      </w:r>
      <w:r>
        <w:instrText xml:space="preserve"> ADDIN EN.CITE &lt;EndNote&gt;&lt;Cite&gt;&lt;Author&gt;Wigham&lt;/Author&gt;&lt;Year&gt;2008&lt;/Year&gt;&lt;RecNum&gt;574&lt;/RecNum&gt;&lt;DisplayText&gt;(Wigham et al., 2008)&lt;/DisplayText&gt;&lt;record&gt;&lt;rec-number&gt;574&lt;/rec-number&gt;&lt;foreign-keys&gt;&lt;key app="EN" db-id="xtwfdzde5ttr0zevxrh5sf0c2wfzw5zf2vra" timestamp="1649952953" guid="7b90c5dc-0d9f-45d6-83c2-0e538ca54a0c"&gt;574&lt;/key&gt;&lt;/foreign-keys&gt;&lt;ref-type name="Journal Article"&gt;17&lt;/ref-type&gt;&lt;contributors&gt;&lt;authors&gt;&lt;author&gt;Wigham, Sarah&lt;/author&gt;&lt;author&gt;Robertson, Janet&lt;/author&gt;&lt;author&gt;Emerson, Eric&lt;/author&gt;&lt;author&gt;Hatton, Chris&lt;/author&gt;&lt;author&gt;Elliott, Johan&lt;/author&gt;&lt;author&gt;McIntosh, Barbara&lt;/author&gt;&lt;author&gt;Swift, Paul&lt;/author&gt;&lt;author&gt;Krinjen-Kemp, Emma&lt;/author&gt;&lt;author&gt;Towers, Christine&lt;/author&gt;&lt;author&gt;Romeo, Renee&lt;/author&gt;&lt;/authors&gt;&lt;/contributors&gt;&lt;titles&gt;&lt;title&gt;Reported goal setting and benefits of person centred planning for people with intellectual disabilities&lt;/title&gt;&lt;secondary-title&gt;Journal of Intellectual Disabilities&lt;/secondary-title&gt;&lt;/titles&gt;&lt;periodical&gt;&lt;full-title&gt;Journal of Intellectual Disabilities&lt;/full-title&gt;&lt;/periodical&gt;&lt;pages&gt;143-152&lt;/pages&gt;&lt;volume&gt;12&lt;/volume&gt;&lt;number&gt;2&lt;/number&gt;&lt;dates&gt;&lt;year&gt;2008&lt;/year&gt;&lt;/dates&gt;&lt;isbn&gt;1744-6295&lt;/isbn&gt;&lt;urls&gt;&lt;/urls&gt;&lt;/record&gt;&lt;/Cite&gt;&lt;/EndNote&gt;</w:instrText>
      </w:r>
      <w:r>
        <w:fldChar w:fldCharType="separate"/>
      </w:r>
      <w:r>
        <w:rPr>
          <w:noProof/>
        </w:rPr>
        <w:t>(Wigham et al., 2008)</w:t>
      </w:r>
      <w:r>
        <w:fldChar w:fldCharType="end"/>
      </w:r>
      <w:r>
        <w:t xml:space="preserve">. However, research has shown that PCP may benefit some individuals more than others, and there have been calls for more research on its effectiveness </w:t>
      </w:r>
      <w:r>
        <w:fldChar w:fldCharType="begin">
          <w:fldData xml:space="preserve">PEVuZE5vdGU+PENpdGU+PEF1dGhvcj5DbGFlczwvQXV0aG9yPjxZZWFyPjIwMTA8L1llYXI+PFJl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</w:fldData>
        </w:fldChar>
      </w:r>
      <w:r w:rsidR="00B26CBF">
        <w:instrText xml:space="preserve"> ADDIN EN.CITE </w:instrText>
      </w:r>
      <w:r w:rsidR="00B26CBF">
        <w:fldChar w:fldCharType="begin">
          <w:fldData xml:space="preserve">PEVuZE5vdGU+PENpdGU+PEF1dGhvcj5DbGFlczwvQXV0aG9yPjxZZWFyPjIwMTA8L1llYXI+PFJl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</w:fldData>
        </w:fldChar>
      </w:r>
      <w:r w:rsidR="00B26CBF">
        <w:instrText xml:space="preserve"> ADDIN EN.CITE.DATA </w:instrText>
      </w:r>
      <w:r w:rsidR="00B26CBF">
        <w:fldChar w:fldCharType="end"/>
      </w:r>
      <w:r>
        <w:fldChar w:fldCharType="separate"/>
      </w:r>
      <w:r w:rsidR="00B26CBF">
        <w:rPr>
          <w:noProof/>
        </w:rPr>
        <w:t>(Ratti et al., 2016; Claes et al., 2010; Robertson et al., 2007)</w:t>
      </w:r>
      <w:r>
        <w:fldChar w:fldCharType="end"/>
      </w:r>
      <w:r>
        <w:t>.</w:t>
      </w:r>
    </w:p>
    <w:p w14:paraId="3EC99053" w14:textId="727ACDB9" w:rsidR="00F80CB9" w:rsidRDefault="00F80CB9" w:rsidP="00F80CB9">
      <w:r>
        <w:t xml:space="preserve">The implementation of PCP poses challenges, and a range of barriers and facilitators associated with the outcomes of PCP have been identified in the literature. A key barrier to implementation is the personal characteristics of the individual. For example, McCausland et al. </w:t>
      </w:r>
      <w:r>
        <w:fldChar w:fldCharType="begin"/>
      </w:r>
      <w:r w:rsidR="006A378C">
        <w:instrText xml:space="preserve"> ADDIN EN.CITE &lt;EndNote&gt;&lt;Cite ExcludeAuth="1"&gt;&lt;Author&gt;McCausland&lt;/Author&gt;&lt;Year&gt;2021&lt;/Year&gt;&lt;RecNum&gt;522&lt;/RecNum&gt;&lt;DisplayText&gt;(2021c)&lt;/DisplayText&gt;&lt;record&gt;&lt;rec-number&gt;522&lt;/rec-number&gt;&lt;foreign-keys&gt;&lt;key app="EN" db-id="xtwfdzde5ttr0zevxrh5sf0c2wfzw5zf2vra" timestamp="1649161734" guid="1674076a-dd0f-4570-94da-9165d86f67fd"&gt;522&lt;/key&gt;&lt;/foreign-keys&gt;&lt;ref-type name="Journal Article"&gt;17&lt;/ref-type&gt;&lt;contributors&gt;&lt;authors&gt;&lt;author&gt;McCausland, Darren&lt;/author&gt;&lt;author&gt;Murphy, Esther&lt;/author&gt;&lt;author&gt;McCarron, Mary&lt;/author&gt;&lt;author&gt;McCallion, Philip&lt;/author&gt;&lt;/authors&gt;&lt;/contributors&gt;&lt;titles&gt;&lt;title&gt;The potential for person-centred planning to support the community participation of adults with an intellectual disability&lt;/title&gt;&lt;secondary-title&gt;Journal of Intellectual Disabilities&lt;/secondary-title&gt;&lt;/titles&gt;&lt;periodical&gt;&lt;full-title&gt;Journal of Intellectual Disabilities&lt;/full-title&gt;&lt;/periodical&gt;&lt;pages&gt;603-623&lt;/pages&gt;&lt;volume&gt;26&lt;/volume&gt;&lt;number&gt;3&lt;/number&gt;&lt;dates&gt;&lt;year&gt;2021&lt;/year&gt;&lt;/dates&gt;&lt;publisher&gt;SAGE Publications&lt;/publisher&gt;&lt;isbn&gt;1744-6295&lt;/isbn&gt;&lt;urls&gt;&lt;related-urls&gt;&lt;url&gt;https://dx.doi.org/10.1177/17446295211022125&lt;/url&gt;&lt;/related-urls&gt;&lt;/urls&gt;&lt;electronic-resource-num&gt;10.1177/17446295211022125&lt;/electronic-resource-num&gt;&lt;/record&gt;&lt;/Cite&gt;&lt;/EndNote&gt;</w:instrText>
      </w:r>
      <w:r>
        <w:fldChar w:fldCharType="separate"/>
      </w:r>
      <w:r>
        <w:rPr>
          <w:noProof/>
        </w:rPr>
        <w:t>(2021c)</w:t>
      </w:r>
      <w:r>
        <w:fldChar w:fldCharType="end"/>
      </w:r>
      <w:r>
        <w:t xml:space="preserve"> found that the most common barrier to PCP cited by people </w:t>
      </w:r>
      <w:r w:rsidR="007B4A0C">
        <w:t>with intellectual disabilities</w:t>
      </w:r>
      <w:r>
        <w:t xml:space="preserve"> was themselves. Participants </w:t>
      </w:r>
      <w:r w:rsidR="007B4A0C">
        <w:t>with intellectual disabilities</w:t>
      </w:r>
      <w:r>
        <w:t xml:space="preserve"> referred to behaviours that challenge and other individual characteristics such as anxiety and mental health difficulties, as factors that impeded their ability to achieve their goals. Support staff in another study reported that it was harder to use person-centred approaches with older residents due to negative life course experiences related to their disability which result in reduced engagement in decision-making and reduced skills required for self-advocacy </w:t>
      </w:r>
      <w:r>
        <w:fldChar w:fldCharType="begin"/>
      </w:r>
      <w:r w:rsidR="006A378C">
        <w:instrText xml:space="preserve"> ADDIN EN.CITE &lt;EndNote&gt;&lt;Cite&gt;&lt;Author&gt;Kåhlin&lt;/Author&gt;&lt;Year&gt;2016&lt;/Year&gt;&lt;RecNum&gt;376&lt;/RecNum&gt;&lt;DisplayText&gt;(Kåhlin et al., 2016)&lt;/DisplayText&gt;&lt;record&gt;&lt;rec-number&gt;376&lt;/rec-number&gt;&lt;foreign-keys&gt;&lt;key app="EN" db-id="xtwfdzde5ttr0zevxrh5sf0c2wfzw5zf2vra" timestamp="1643290955" guid="5582f7bc-e9dc-4ef1-bf08-669b79033276"&gt;376&lt;/key&gt;&lt;/foreign-keys&gt;&lt;ref-type name="Journal Article"&gt;17&lt;/ref-type&gt;&lt;contributors&gt;&lt;authors&gt;&lt;author&gt;Kåhlin, Ida&lt;/author&gt;&lt;author&gt;Kjellberg, Anette&lt;/author&gt;&lt;author&gt;Hagberg, Jan Erik&lt;/author&gt;&lt;/authors&gt;&lt;/contributors&gt;&lt;titles&gt;&lt;title&gt;Choice and control for people ageing with intellectual disability in group homes&lt;/title&gt;&lt;secondary-title&gt;Scandinavian Journal of Occupational Therapy&lt;/secondary-title&gt;&lt;short-title&gt;Choice and control for people ageing with intellectual disability in group homes&lt;/short-title&gt;&lt;/titles&gt;&lt;periodical&gt;&lt;full-title&gt;Scandinavian Journal of Occupational Therapy&lt;/full-title&gt;&lt;/periodical&gt;&lt;pages&gt;127-137&lt;/pages&gt;&lt;volume&gt;23&lt;/volume&gt;&lt;number&gt;2&lt;/number&gt;&lt;dates&gt;&lt;year&gt;2016&lt;/year&gt;&lt;/dates&gt;&lt;urls&gt;&lt;/urls&gt;&lt;electronic-resource-num&gt;10.3109/11038128.2015.1095235&lt;/electronic-resource-num&gt;&lt;/record&gt;&lt;/Cite&gt;&lt;/EndNote&gt;</w:instrText>
      </w:r>
      <w:r>
        <w:fldChar w:fldCharType="separate"/>
      </w:r>
      <w:r>
        <w:rPr>
          <w:noProof/>
        </w:rPr>
        <w:t>(Kåhlin et al., 2016)</w:t>
      </w:r>
      <w:r>
        <w:fldChar w:fldCharType="end"/>
      </w:r>
      <w:r>
        <w:t xml:space="preserve">. </w:t>
      </w:r>
    </w:p>
    <w:p w14:paraId="55B2A00F" w14:textId="1372FEB5" w:rsidR="00F80CB9" w:rsidRDefault="00F80CB9" w:rsidP="00F80CB9">
      <w:r>
        <w:t xml:space="preserve">It has been suggested that the environment and approach to providing care are important in enabling person-centredness and that PCP is more likely to be successful when a person lives in an enriching and stimulating environment </w:t>
      </w:r>
      <w:r>
        <w:fldChar w:fldCharType="begin"/>
      </w:r>
      <w:r w:rsidR="00FF5F49">
        <w:instrText xml:space="preserve"> ADDIN EN.CITE &lt;EndNote&gt;&lt;Cite ExcludeAuth="1"&gt;&lt;Author&gt;HSE&lt;/Author&gt;&lt;Year&gt;2018&lt;/Year&gt;&lt;RecNum&gt;546&lt;/RecNum&gt;&lt;Prefix&gt;HSE`, &lt;/Prefix&gt;&lt;DisplayText&gt;(HSE, 2018b)&lt;/DisplayText&gt;&lt;record&gt;&lt;rec-number&gt;546&lt;/rec-number&gt;&lt;foreign-keys&gt;&lt;key app="EN" db-id="xtwfdzde5ttr0zevxrh5sf0c2wfzw5zf2vra" timestamp="1649692601" guid="390ca129-b953-419b-877e-4c5f71d22b20"&gt;546&lt;/key&gt;&lt;/foreign-keys&gt;&lt;ref-type name="Report"&gt;27&lt;/ref-type&gt;&lt;contributors&gt;&lt;authors&gt;&lt;author&gt;HSE,&lt;/author&gt;&lt;/authors&gt;&lt;/contributors&gt;&lt;titles&gt;&lt;title&gt;A National Framework for PersonCentred Planning in Services for Persons with a Disability&lt;/title&gt;&lt;/titles&gt;&lt;dates&gt;&lt;year&gt;2018&lt;/year&gt;&lt;/dates&gt;&lt;pub-location&gt;Dublin&lt;/pub-location&gt;&lt;publisher&gt;Health Service Executive&lt;/publisher&gt;&lt;urls&gt;&lt;/urls&gt;&lt;/record&gt;&lt;/Cite&gt;&lt;/EndNote&gt;</w:instrText>
      </w:r>
      <w:r>
        <w:fldChar w:fldCharType="separate"/>
      </w:r>
      <w:r w:rsidR="00FF5F49">
        <w:rPr>
          <w:noProof/>
        </w:rPr>
        <w:t>(HSE, 2018b)</w:t>
      </w:r>
      <w:r>
        <w:fldChar w:fldCharType="end"/>
      </w:r>
      <w:r>
        <w:t xml:space="preserve">. Contextual and organisational factors such as living close to one’s family and having a care manager have been associated with increased social networks and increased chances of getting PCP </w:t>
      </w:r>
      <w:r>
        <w:fldChar w:fldCharType="begin"/>
      </w:r>
      <w:r>
        <w:instrText xml:space="preserve"> ADDIN EN.CITE &lt;EndNote&gt;&lt;Cite&gt;&lt;Author&gt;Robertson&lt;/Author&gt;&lt;Year&gt;2007&lt;/Year&gt;&lt;RecNum&gt;571&lt;/RecNum&gt;&lt;DisplayText&gt;(Robertson et al., 2007)&lt;/DisplayText&gt;&lt;record&gt;&lt;rec-number&gt;571&lt;/rec-number&gt;&lt;foreign-keys&gt;&lt;key app="EN" db-id="xtwfdzde5ttr0zevxrh5sf0c2wfzw5zf2vra" timestamp="1649952145" guid="95de1ba0-725e-4f47-855f-01fffb8f3ea3"&gt;571&lt;/key&gt;&lt;/foreign-keys&gt;&lt;ref-type name="Journal Article"&gt;17&lt;/ref-type&gt;&lt;contributors&gt;&lt;authors&gt;&lt;author&gt;Robertson, Janet&lt;/author&gt;&lt;author&gt;Emerson, Eric&lt;/author&gt;&lt;author&gt;Hatton, Chris&lt;/author&gt;&lt;author&gt;Elliott, Johan&lt;/author&gt;&lt;author&gt;McIntosh, Barbara&lt;/author&gt;&lt;author&gt;Swift, Paul&lt;/author&gt;&lt;author&gt;Krinjen</w:instrText>
      </w:r>
      <w:r>
        <w:rPr>
          <w:rFonts w:ascii="Cambria Math" w:hAnsi="Cambria Math" w:cs="Cambria Math"/>
        </w:rPr>
        <w:instrText>‐</w:instrText>
      </w:r>
      <w:r>
        <w:instrText>Kemp, Emma&lt;/author&gt;&lt;author&gt;Towers, Christine&lt;/author&gt;&lt;author&gt;Romeo, Renee&lt;/author&gt;&lt;author&gt;Knapp, Martin&lt;/author&gt;&lt;/authors&gt;&lt;/contributors&gt;&lt;titles&gt;&lt;title&gt;Person</w:instrText>
      </w:r>
      <w:r>
        <w:rPr>
          <w:rFonts w:ascii="Cambria Math" w:hAnsi="Cambria Math" w:cs="Cambria Math"/>
        </w:rPr>
        <w:instrText>‐</w:instrText>
      </w:r>
      <w:r>
        <w:instrText>centred planning: factors associated with successful outcomes for people with intellectual disabilities&lt;/title&gt;&lt;secondary-title&gt;Journal of Intellectual Disability Research&lt;/secondary-title&gt;&lt;/titles&gt;&lt;periodical&gt;&lt;full-title&gt;Journal of Intellectual Disability Research&lt;/full-title&gt;&lt;/periodical&gt;&lt;pages&gt;232-243&lt;/pages&gt;&lt;volume&gt;51&lt;/volume&gt;&lt;number&gt;3&lt;/number&gt;&lt;dates&gt;&lt;year&gt;2007&lt;/year&gt;&lt;/dates&gt;&lt;isbn&gt;0964-2633&lt;/isbn&gt;&lt;urls&gt;&lt;/urls&gt;&lt;/record&gt;&lt;/Cite&gt;&lt;/EndNote&gt;</w:instrText>
      </w:r>
      <w:r>
        <w:fldChar w:fldCharType="separate"/>
      </w:r>
      <w:r>
        <w:rPr>
          <w:noProof/>
        </w:rPr>
        <w:t>(Robertson et al., 2007)</w:t>
      </w:r>
      <w:r>
        <w:fldChar w:fldCharType="end"/>
      </w:r>
      <w:r>
        <w:t xml:space="preserve">. McCausland et al. </w:t>
      </w:r>
      <w:r>
        <w:fldChar w:fldCharType="begin"/>
      </w:r>
      <w:r w:rsidR="006A378C">
        <w:instrText xml:space="preserve"> ADDIN EN.CITE &lt;EndNote&gt;&lt;Cite ExcludeAuth="1"&gt;&lt;Author&gt;McCausland&lt;/Author&gt;&lt;Year&gt;2021&lt;/Year&gt;&lt;RecNum&gt;522&lt;/RecNum&gt;&lt;DisplayText&gt;(2021c)&lt;/DisplayText&gt;&lt;record&gt;&lt;rec-number&gt;522&lt;/rec-number&gt;&lt;foreign-keys&gt;&lt;key app="EN" db-id="xtwfdzde5ttr0zevxrh5sf0c2wfzw5zf2vra" timestamp="1649161734" guid="1674076a-dd0f-4570-94da-9165d86f67fd"&gt;522&lt;/key&gt;&lt;/foreign-keys&gt;&lt;ref-type name="Journal Article"&gt;17&lt;/ref-type&gt;&lt;contributors&gt;&lt;authors&gt;&lt;author&gt;McCausland, Darren&lt;/author&gt;&lt;author&gt;Murphy, Esther&lt;/author&gt;&lt;author&gt;McCarron, Mary&lt;/author&gt;&lt;author&gt;McCallion, Philip&lt;/author&gt;&lt;/authors&gt;&lt;/contributors&gt;&lt;titles&gt;&lt;title&gt;The potential for person-centred planning to support the community participation of adults with an intellectual disability&lt;/title&gt;&lt;secondary-title&gt;Journal of Intellectual Disabilities&lt;/secondary-title&gt;&lt;/titles&gt;&lt;periodical&gt;&lt;full-title&gt;Journal of Intellectual Disabilities&lt;/full-title&gt;&lt;/periodical&gt;&lt;pages&gt;603-623&lt;/pages&gt;&lt;volume&gt;26&lt;/volume&gt;&lt;number&gt;3&lt;/number&gt;&lt;dates&gt;&lt;year&gt;2021&lt;/year&gt;&lt;/dates&gt;&lt;publisher&gt;SAGE Publications&lt;/publisher&gt;&lt;isbn&gt;1744-6295&lt;/isbn&gt;&lt;urls&gt;&lt;related-urls&gt;&lt;url&gt;https://dx.doi.org/10.1177/17446295211022125&lt;/url&gt;&lt;/related-urls&gt;&lt;/urls&gt;&lt;electronic-resource-num&gt;10.1177/17446295211022125&lt;/electronic-resource-num&gt;&lt;/record&gt;&lt;/Cite&gt;&lt;/EndNote&gt;</w:instrText>
      </w:r>
      <w:r>
        <w:fldChar w:fldCharType="separate"/>
      </w:r>
      <w:r>
        <w:rPr>
          <w:noProof/>
        </w:rPr>
        <w:t>(2021c)</w:t>
      </w:r>
      <w:r>
        <w:fldChar w:fldCharType="end"/>
      </w:r>
      <w:r>
        <w:t xml:space="preserve"> suggest that having adequate organisational support for people with severe intellectual disabilit</w:t>
      </w:r>
      <w:r w:rsidR="007B4A0C">
        <w:t>ies</w:t>
      </w:r>
      <w:r>
        <w:t xml:space="preserve"> may be the most significant factor in facilitating PCP goals. Factors related to the process of person-centred planning including the personal involvement of the focus person</w:t>
      </w:r>
      <w:r w:rsidRPr="0CCA2DDB">
        <w:rPr>
          <w:i/>
          <w:iCs/>
        </w:rPr>
        <w:t xml:space="preserve"> </w:t>
      </w:r>
      <w:r>
        <w:t xml:space="preserve">and the commitment of facilitators to PCP have also been associated with increased benefits in the areas of the size of social networks, contact with friends and choice </w:t>
      </w:r>
      <w:r>
        <w:fldChar w:fldCharType="begin"/>
      </w:r>
      <w:r>
        <w:instrText xml:space="preserve"> ADDIN EN.CITE &lt;EndNote&gt;&lt;Cite&gt;&lt;Author&gt;Robertson&lt;/Author&gt;&lt;Year&gt;2007&lt;/Year&gt;&lt;RecNum&gt;571&lt;/RecNum&gt;&lt;DisplayText&gt;(Robertson et al., 2007)&lt;/DisplayText&gt;&lt;record&gt;&lt;rec-number&gt;571&lt;/rec-number&gt;&lt;foreign-keys&gt;&lt;key app="EN" db-id="xtwfdzde5ttr0zevxrh5sf0c2wfzw5zf2vra" timestamp="1649952145" guid="95de1ba0-725e-4f47-855f-01fffb8f3ea3"&gt;571&lt;/key&gt;&lt;/foreign-keys&gt;&lt;ref-type name="Journal Article"&gt;17&lt;/ref-type&gt;&lt;contributors&gt;&lt;authors&gt;&lt;author&gt;Robertson, Janet&lt;/author&gt;&lt;author&gt;Emerson, Eric&lt;/author&gt;&lt;author&gt;Hatton, Chris&lt;/author&gt;&lt;author&gt;Elliott, Johan&lt;/author&gt;&lt;author&gt;McIntosh, Barbara&lt;/author&gt;&lt;author&gt;Swift, Paul&lt;/author&gt;&lt;author&gt;Krinjen</w:instrText>
      </w:r>
      <w:r>
        <w:rPr>
          <w:rFonts w:ascii="Cambria Math" w:hAnsi="Cambria Math" w:cs="Cambria Math"/>
        </w:rPr>
        <w:instrText>‐</w:instrText>
      </w:r>
      <w:r>
        <w:instrText>Kemp, Emma&lt;/author&gt;&lt;author&gt;Towers, Christine&lt;/author&gt;&lt;author&gt;Romeo, Renee&lt;/author&gt;&lt;author&gt;Knapp, Martin&lt;/author&gt;&lt;/authors&gt;&lt;/contributors&gt;&lt;titles&gt;&lt;title&gt;Person</w:instrText>
      </w:r>
      <w:r>
        <w:rPr>
          <w:rFonts w:ascii="Cambria Math" w:hAnsi="Cambria Math" w:cs="Cambria Math"/>
        </w:rPr>
        <w:instrText>‐</w:instrText>
      </w:r>
      <w:r>
        <w:instrText>centred planning: factors associated with successful outcomes for people with intellectual disabilities&lt;/title&gt;&lt;secondary-title&gt;Journal of Intellectual Disability Research&lt;/secondary-title&gt;&lt;/titles&gt;&lt;periodical&gt;&lt;full-title&gt;Journal of Intellectual Disability Research&lt;/full-title&gt;&lt;/periodical&gt;&lt;pages&gt;232-243&lt;/pages&gt;&lt;volume&gt;51&lt;/volume&gt;&lt;number&gt;3&lt;/number&gt;&lt;dates&gt;&lt;year&gt;2007&lt;/year&gt;&lt;/dates&gt;&lt;isbn&gt;0964-2633&lt;/isbn&gt;&lt;urls&gt;&lt;/urls&gt;&lt;/record&gt;&lt;/Cite&gt;&lt;/EndNote&gt;</w:instrText>
      </w:r>
      <w:r>
        <w:fldChar w:fldCharType="separate"/>
      </w:r>
      <w:r>
        <w:rPr>
          <w:noProof/>
        </w:rPr>
        <w:t>(Robertson et al., 2007)</w:t>
      </w:r>
      <w:r>
        <w:fldChar w:fldCharType="end"/>
      </w:r>
      <w:r>
        <w:t xml:space="preserve">. </w:t>
      </w:r>
    </w:p>
    <w:p w14:paraId="4D8961E8" w14:textId="77777777" w:rsidR="00EC6747" w:rsidRPr="00906B8B" w:rsidRDefault="00EC6747" w:rsidP="00647FED">
      <w:pPr>
        <w:pStyle w:val="Heading3"/>
        <w:rPr>
          <w:color w:val="auto"/>
        </w:rPr>
      </w:pPr>
      <w:bookmarkStart w:id="64" w:name="_Toc116045676"/>
      <w:bookmarkStart w:id="65" w:name="_Toc118558252"/>
      <w:r w:rsidRPr="00906B8B">
        <w:rPr>
          <w:color w:val="auto"/>
        </w:rPr>
        <w:t>Key components of a model of care</w:t>
      </w:r>
      <w:bookmarkEnd w:id="64"/>
      <w:bookmarkEnd w:id="65"/>
    </w:p>
    <w:p w14:paraId="2A7DEED4" w14:textId="73A82693" w:rsidR="00EC6747" w:rsidRPr="00906B8B" w:rsidRDefault="00EC6747" w:rsidP="11C55A92">
      <w:pPr>
        <w:pStyle w:val="Heading4"/>
        <w:rPr>
          <w:color w:val="auto"/>
        </w:rPr>
      </w:pPr>
      <w:bookmarkStart w:id="66" w:name="_Toc116045677"/>
      <w:r w:rsidRPr="00906B8B">
        <w:rPr>
          <w:color w:val="auto"/>
        </w:rPr>
        <w:t>Integration</w:t>
      </w:r>
      <w:bookmarkEnd w:id="66"/>
    </w:p>
    <w:p w14:paraId="3C4003EC" w14:textId="2B57BA15" w:rsidR="00EC6747" w:rsidRDefault="00EC6747" w:rsidP="00EC6747">
      <w:r>
        <w:t xml:space="preserve">The literature indicates that people ageing </w:t>
      </w:r>
      <w:r w:rsidR="007B4A0C">
        <w:t>with intellectual disabilities</w:t>
      </w:r>
      <w:r>
        <w:t xml:space="preserve"> frequently encounter uncoordinated and fragmented ageing, disability and healthcare systems; and the absence of integration between systems can lead to overlapping or missed services, and a disruption to the continuity of care for service users </w:t>
      </w:r>
      <w:r>
        <w:fldChar w:fldCharType="begin"/>
      </w:r>
      <w:r>
        <w:instrText xml:space="preserve"> ADDIN EN.CITE &lt;EndNote&gt;&lt;Cite&gt;&lt;Author&gt;Darker&lt;/Author&gt;&lt;Year&gt;2014&lt;/Year&gt;&lt;RecNum&gt;675&lt;/RecNum&gt;&lt;DisplayText&gt;(Darker, 2014)&lt;/DisplayText&gt;&lt;record&gt;&lt;rec-number&gt;675&lt;/rec-number&gt;&lt;foreign-keys&gt;&lt;key app="EN" db-id="xtwfdzde5ttr0zevxrh5sf0c2wfzw5zf2vra" timestamp="1658157082" guid="67e26c12-1924-4407-95cf-ea907903d5f5"&gt;675&lt;/key&gt;&lt;/foreign-keys&gt;&lt;ref-type name="Journal Article"&gt;17&lt;/ref-type&gt;&lt;contributors&gt;&lt;authors&gt;&lt;author&gt;Darker, Catherine&lt;/author&gt;&lt;/authors&gt;&lt;/contributors&gt;&lt;titles&gt;&lt;title&gt;Integrated healthcare in Ireland–a critical analysis and a way forward&lt;/title&gt;&lt;secondary-title&gt;Adelaide Health Foundation&lt;/secondary-title&gt;&lt;/titles&gt;&lt;periodical&gt;&lt;full-title&gt;Adelaide Health Foundation&lt;/full-title&gt;&lt;/periodical&gt;&lt;dates&gt;&lt;year&gt;2014&lt;/year&gt;&lt;/dates&gt;&lt;urls&gt;&lt;/urls&gt;&lt;/record&gt;&lt;/Cite&gt;&lt;/EndNote&gt;</w:instrText>
      </w:r>
      <w:r>
        <w:fldChar w:fldCharType="separate"/>
      </w:r>
      <w:r>
        <w:rPr>
          <w:noProof/>
        </w:rPr>
        <w:t>(Darker, 2014)</w:t>
      </w:r>
      <w:r>
        <w:fldChar w:fldCharType="end"/>
      </w:r>
      <w:r>
        <w:t xml:space="preserve">. Integrated care is required to achieve a seamless care pathway for service users and is therefore identified as central to the delivery of best practice care in a number of models of care </w:t>
      </w:r>
      <w:r>
        <w:fldChar w:fldCharType="begin">
          <w:fldData xml:space="preserve">PEVuZE5vdGU+PENpdGU+PEF1dGhvcj5IU0U8L0F1dGhvcj48WWVhcj4yMDIxPC9ZZWFyPjxSZWNO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</w:fldData>
        </w:fldChar>
      </w:r>
      <w:r w:rsidR="00B26CBF">
        <w:instrText xml:space="preserve"> ADDIN EN.CITE </w:instrText>
      </w:r>
      <w:r w:rsidR="00B26CBF">
        <w:fldChar w:fldCharType="begin">
          <w:fldData xml:space="preserve">PEVuZE5vdGU+PENpdGU+PEF1dGhvcj5IU0U8L0F1dGhvcj48WWVhcj4yMDIxPC9ZZWFyPjxSZWNO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</w:fldData>
        </w:fldChar>
      </w:r>
      <w:r w:rsidR="00B26CBF">
        <w:instrText xml:space="preserve"> ADDIN EN.CITE.DATA </w:instrText>
      </w:r>
      <w:r w:rsidR="00B26CBF">
        <w:fldChar w:fldCharType="end"/>
      </w:r>
      <w:r>
        <w:fldChar w:fldCharType="separate"/>
      </w:r>
      <w:r w:rsidR="00B26CBF">
        <w:rPr>
          <w:noProof/>
        </w:rPr>
        <w:t>(HSE, 2021; Government of South Australia, 2020; HSE, 2019a; 2018a)</w:t>
      </w:r>
      <w:r>
        <w:fldChar w:fldCharType="end"/>
      </w:r>
      <w:r>
        <w:t>.</w:t>
      </w:r>
    </w:p>
    <w:p w14:paraId="67CD84DF" w14:textId="26F0E3C9" w:rsidR="00EC6747" w:rsidRPr="0019798A" w:rsidRDefault="00EC6747" w:rsidP="006412EB">
      <w:r>
        <w:t xml:space="preserve">One such example of an integrated care model is the </w:t>
      </w:r>
      <w:r w:rsidRPr="008306DC">
        <w:rPr>
          <w:i/>
          <w:iCs/>
        </w:rPr>
        <w:t>South Australia Intellectual Disability Health Service</w:t>
      </w:r>
      <w:r>
        <w:rPr>
          <w:i/>
          <w:iCs/>
        </w:rPr>
        <w:t xml:space="preserve"> (SAIDHS)</w:t>
      </w:r>
      <w:r w:rsidRPr="008306DC">
        <w:rPr>
          <w:i/>
          <w:iCs/>
        </w:rPr>
        <w:t xml:space="preserve"> Model of Care</w:t>
      </w:r>
      <w:r>
        <w:rPr>
          <w:i/>
          <w:iCs/>
        </w:rPr>
        <w:t xml:space="preserve"> </w:t>
      </w:r>
      <w:r w:rsidRPr="008306DC">
        <w:rPr>
          <w:i/>
          <w:iCs/>
        </w:rPr>
        <w:t>2020</w:t>
      </w:r>
      <w:r>
        <w:rPr>
          <w:i/>
          <w:iCs/>
        </w:rPr>
        <w:t xml:space="preserve"> – a </w:t>
      </w:r>
      <w:r w:rsidRPr="0009386E">
        <w:t>3</w:t>
      </w:r>
      <w:r>
        <w:rPr>
          <w:i/>
          <w:iCs/>
        </w:rPr>
        <w:t>-</w:t>
      </w:r>
      <w:r w:rsidRPr="0009386E">
        <w:t>tiered</w:t>
      </w:r>
      <w:r>
        <w:rPr>
          <w:i/>
          <w:iCs/>
        </w:rPr>
        <w:t xml:space="preserve"> </w:t>
      </w:r>
      <w:r>
        <w:t xml:space="preserve">model of care developed in response to a need for more accessible health services for people </w:t>
      </w:r>
      <w:r w:rsidR="007B4A0C">
        <w:t>with intellectual disabilities</w:t>
      </w:r>
      <w:r>
        <w:t xml:space="preserve"> and complex health needs </w:t>
      </w:r>
      <w:r>
        <w:fldChar w:fldCharType="begin"/>
      </w:r>
      <w:r w:rsidR="005C576E">
        <w:instrText xml:space="preserve"> ADDIN EN.CITE &lt;EndNote&gt;&lt;Cite&gt;&lt;Author&gt;Government of South Australia&lt;/Author&gt;&lt;Year&gt;2020&lt;/Year&gt;&lt;RecNum&gt;661&lt;/RecNum&gt;&lt;DisplayText&gt;(Government of South Australia, 2020)&lt;/DisplayText&gt;&lt;record&gt;&lt;rec-number&gt;661&lt;/rec-number&gt;&lt;foreign-keys&gt;&lt;key app="EN" db-id="xtwfdzde5ttr0zevxrh5sf0c2wfzw5zf2vra" timestamp="1657624281" guid="118a60f8-4875-4c52-9449-74a42f8165ab"&gt;661&lt;/key&gt;&lt;/foreign-keys&gt;&lt;ref-type name="Report"&gt;27&lt;/ref-type&gt;&lt;contributors&gt;&lt;authors&gt;&lt;author&gt;Government of South Australia, &lt;/author&gt;&lt;/authors&gt;&lt;/contributors&gt;&lt;titles&gt;&lt;title&gt;SA Intellectual Disability Health Service - Model of Care&lt;/title&gt;&lt;/titles&gt;&lt;dates&gt;&lt;year&gt;2020&lt;/year&gt;&lt;/dates&gt;&lt;pub-location&gt;South Australia&lt;/pub-location&gt;&lt;publisher&gt;Government of South Australia&lt;/publisher&gt;&lt;urls&gt;&lt;related-urls&gt;&lt;url&gt;https://www.sahealth.sa.gov.au/wps/wcm/connect/53212379-9bf7-4357-b30c-f80d2da70cad/20030.1-disability-model-of-care-report-online.pdf?MOD=AJPERES&amp;amp;amp;CACHEID=ROOTWORKSPACE-53212379-9bf7-4357-b30c-f80d2da70cad-nNiSujE&lt;/url&gt;&lt;/related-urls&gt;&lt;/urls&gt;&lt;/record&gt;&lt;/Cite&gt;&lt;/EndNote&gt;</w:instrText>
      </w:r>
      <w:r>
        <w:fldChar w:fldCharType="separate"/>
      </w:r>
      <w:r>
        <w:rPr>
          <w:noProof/>
        </w:rPr>
        <w:t>(Government of South Australia, 2020)</w:t>
      </w:r>
      <w:r>
        <w:fldChar w:fldCharType="end"/>
      </w:r>
      <w:r>
        <w:t xml:space="preserve"> (Figure </w:t>
      </w:r>
      <w:r w:rsidR="668E677F">
        <w:t>2</w:t>
      </w:r>
      <w:r>
        <w:t xml:space="preserve">). It adopts a life course approach to care, designed to provide care across a continuum, from early intervention, to mild, moderate, chronic, and complex related care, and it assumes that people will access and move back and forth between these tiers. </w:t>
      </w:r>
      <w:r w:rsidRPr="00654870">
        <w:t xml:space="preserve">The model proposes that a liaison team within hospitals or local health networks could act as link between mainstream services and more targeted services for people with complex needs, </w:t>
      </w:r>
      <w:r>
        <w:t>like</w:t>
      </w:r>
      <w:r w:rsidRPr="00654870">
        <w:t xml:space="preserve"> the role of liaison nurses in </w:t>
      </w:r>
      <w:r>
        <w:t>the UK</w:t>
      </w:r>
      <w:r w:rsidRPr="00654870">
        <w:t xml:space="preserve">. </w:t>
      </w:r>
      <w:r>
        <w:t>The model</w:t>
      </w:r>
      <w:r w:rsidRPr="00654870">
        <w:t xml:space="preserve"> also proposes tha</w:t>
      </w:r>
      <w:r>
        <w:t>t i</w:t>
      </w:r>
      <w:r w:rsidRPr="00654870">
        <w:t xml:space="preserve">ntellectual </w:t>
      </w:r>
      <w:r>
        <w:t>d</w:t>
      </w:r>
      <w:r w:rsidRPr="00654870">
        <w:t xml:space="preserve">isability </w:t>
      </w:r>
      <w:r>
        <w:t>h</w:t>
      </w:r>
      <w:r w:rsidRPr="00654870">
        <w:t xml:space="preserve">ealth </w:t>
      </w:r>
      <w:r>
        <w:t>s</w:t>
      </w:r>
      <w:r w:rsidRPr="00654870">
        <w:t>ervices provid</w:t>
      </w:r>
      <w:r>
        <w:t>ing</w:t>
      </w:r>
      <w:r w:rsidRPr="00654870">
        <w:t xml:space="preserve"> specialist care (i.e., comprehensive assessment; healthcare planning)</w:t>
      </w:r>
      <w:r>
        <w:t xml:space="preserve"> should link </w:t>
      </w:r>
      <w:r w:rsidRPr="00654870">
        <w:t xml:space="preserve">with existing services </w:t>
      </w:r>
      <w:r>
        <w:t xml:space="preserve">(e.g., </w:t>
      </w:r>
      <w:r w:rsidRPr="00654870">
        <w:t>mental health services</w:t>
      </w:r>
      <w:r>
        <w:t xml:space="preserve">) </w:t>
      </w:r>
      <w:r w:rsidRPr="00654870">
        <w:t>to support people with a high level of complex health needs who cannot be supported by mainstream or targeted services.</w:t>
      </w:r>
      <w:r w:rsidR="000473AC" w:rsidRPr="5FC44C77">
        <w:t xml:space="preserve"> </w:t>
      </w:r>
    </w:p>
    <w:p w14:paraId="025F5B2F" w14:textId="7BCE467C" w:rsidR="006412EB" w:rsidRDefault="3669350F" w:rsidP="0021381D">
      <w:pPr>
        <w:sectPr w:rsidR="006412EB" w:rsidSect="000F448E">
          <w:pgSz w:w="12240" w:h="15840"/>
          <w:pgMar w:top="1135" w:right="1701" w:bottom="1418" w:left="1701" w:header="709" w:footer="709" w:gutter="0"/>
          <w:cols w:space="708"/>
          <w:docGrid w:linePitch="360"/>
        </w:sectPr>
      </w:pPr>
      <w:r>
        <w:t xml:space="preserve">A review by </w:t>
      </w:r>
      <w:r w:rsidR="00266309">
        <w:fldChar w:fldCharType="begin"/>
      </w:r>
      <w:r w:rsidR="00266309">
        <w:instrText xml:space="preserve"> ADDIN EN.CITE &lt;EndNote&gt;&lt;Cite AuthorYear="1"&gt;&lt;Author&gt;Giuntoli&lt;/Author&gt;&lt;Year&gt;2015&lt;/Year&gt;&lt;RecNum&gt;765&lt;/RecNum&gt;&lt;DisplayText&gt;Giuntoli et al. (2015)&lt;/DisplayText&gt;&lt;record&gt;&lt;rec-number&gt;765&lt;/rec-number&gt;&lt;foreign-keys&gt;&lt;key app="EN" db-id="xtwfdzde5ttr0zevxrh5sf0c2wfzw5zf2vra" timestamp="1667597774" guid="04b6da4e-34ff-406f-a79b-d932586c19dc"&gt;765&lt;/key&gt;&lt;/foreign-keys&gt;&lt;ref-type name="Report"&gt;27&lt;/ref-type&gt;&lt;contributors&gt;&lt;authors&gt;&lt;author&gt;Giuntoli, Gianfranco &lt;/author&gt;&lt;author&gt;Newton, BJ &lt;/author&gt;&lt;author&gt;Fisher Karen R&lt;/author&gt;&lt;/authors&gt;&lt;/contributors&gt;&lt;titles&gt;&lt;title&gt;Current models of health service delivery for people with intellectual disability: Literature review&lt;/title&gt;&lt;/titles&gt;&lt;dates&gt;&lt;year&gt;2015&lt;/year&gt;&lt;/dates&gt;&lt;pub-location&gt;Australia&lt;/pub-location&gt;&lt;publisher&gt;Social Policy Research Centre, The University of New South Wales&lt;/publisher&gt;&lt;urls&gt;&lt;/urls&gt;&lt;/record&gt;&lt;/Cite&gt;&lt;/EndNote&gt;</w:instrText>
      </w:r>
      <w:r w:rsidR="00266309">
        <w:fldChar w:fldCharType="separate"/>
      </w:r>
      <w:r w:rsidR="741DB057" w:rsidRPr="68A51868">
        <w:rPr>
          <w:noProof/>
        </w:rPr>
        <w:t>Giuntoli et al. (2015)</w:t>
      </w:r>
      <w:r w:rsidR="00266309">
        <w:fldChar w:fldCharType="end"/>
      </w:r>
      <w:r>
        <w:t xml:space="preserve"> identified nine models or approaches to health service delivery for people with intellectual </w:t>
      </w:r>
      <w:r w:rsidR="00266309">
        <w:t>disabilit</w:t>
      </w:r>
      <w:r w:rsidR="00185BB8">
        <w:t>ies</w:t>
      </w:r>
      <w:r>
        <w:t xml:space="preserve"> in the UK and Australia. All of the models emphasised the importance of interagency collaboration and the need for services to be sufficiently resourced to meet the needs of people with intellectual </w:t>
      </w:r>
      <w:r w:rsidR="00266309">
        <w:t>disabilit</w:t>
      </w:r>
      <w:r w:rsidR="00185BB8">
        <w:t>ies</w:t>
      </w:r>
      <w:r w:rsidR="00266309">
        <w:t>.</w:t>
      </w:r>
      <w:r>
        <w:t xml:space="preserve"> The authors reported that co-operation </w:t>
      </w:r>
      <w:r w:rsidR="394EF8F9">
        <w:t xml:space="preserve">between </w:t>
      </w:r>
      <w:r>
        <w:t>and integration of specialist and mainstream services was presented as the best approach to care. However, only one model specifically addressing the needs of older people was identified – the Fair Hor</w:t>
      </w:r>
      <w:r w:rsidR="26258EC2">
        <w:t>i</w:t>
      </w:r>
      <w:r>
        <w:t>zons model in the UK</w:t>
      </w:r>
      <w:r w:rsidR="63105442">
        <w:t>.</w:t>
      </w:r>
      <w:r>
        <w:t xml:space="preserve"> </w:t>
      </w:r>
      <w:r w:rsidR="3233DDF9">
        <w:t xml:space="preserve">This model </w:t>
      </w:r>
      <w:r>
        <w:t xml:space="preserve">was developed by </w:t>
      </w:r>
      <w:r w:rsidR="00266309">
        <w:fldChar w:fldCharType="begin"/>
      </w:r>
      <w:r w:rsidR="00266309">
        <w:instrText xml:space="preserve"> ADDIN EN.CITE &lt;EndNote&gt;&lt;Cite AuthorYear="1"&gt;&lt;Author&gt;Fear&lt;/Author&gt;&lt;Year&gt;2012&lt;/Year&gt;&lt;RecNum&gt;763&lt;/RecNum&gt;&lt;DisplayText&gt;Fear et al. (2012)&lt;/DisplayText&gt;&lt;record&gt;&lt;rec-number&gt;763&lt;/rec-number&gt;&lt;foreign-keys&gt;&lt;key app="EN" db-id="xtwfdzde5ttr0zevxrh5sf0c2wfzw5zf2vra" timestamp="1667597331" guid="18339695-aa78-4cb2-9e9f-29fcf41432de"&gt;763&lt;/key&gt;&lt;/foreign-keys&gt;&lt;ref-type name="Journal Article"&gt;17&lt;/ref-type&gt;&lt;contributors&gt;&lt;authors&gt;&lt;author&gt;Fear, Chris&lt;/author&gt;&lt;author&gt;Scheepers, Mark&lt;/author&gt;&lt;author&gt;Ansell, Martin&lt;/author&gt;&lt;author&gt;Richards, Rosemary&lt;/author&gt;&lt;author&gt;Winterbottom, Paul&lt;/author&gt;&lt;/authors&gt;&lt;/contributors&gt;&lt;titles&gt;&lt;title&gt;‘Fair Horizons’: a person-centred, non-discriminatory model of mental healthcare delivery&lt;/title&gt;&lt;secondary-title&gt;The Psychiatrist&lt;/secondary-title&gt;&lt;/titles&gt;&lt;periodical&gt;&lt;full-title&gt;The Psychiatrist&lt;/full-title&gt;&lt;/periodical&gt;&lt;pages&gt;25-30&lt;/pages&gt;&lt;volume&gt;36&lt;/volume&gt;&lt;number&gt;1&lt;/number&gt;&lt;dates&gt;&lt;year&gt;2012&lt;/year&gt;&lt;/dates&gt;&lt;publisher&gt;Cambridge University Press (CUP)&lt;/publisher&gt;&lt;isbn&gt;1758-3209&lt;/isbn&gt;&lt;urls&gt;&lt;related-urls&gt;&lt;url&gt;https://dx.doi.org/10.1192/pb.bp.110.032417&lt;/url&gt;&lt;/related-urls&gt;&lt;/urls&gt;&lt;electronic-resource-num&gt;10.1192/pb.bp.110.032417&lt;/electronic-resource-num&gt;&lt;/record&gt;&lt;/Cite&gt;&lt;/EndNote&gt;</w:instrText>
      </w:r>
      <w:r w:rsidR="00266309">
        <w:fldChar w:fldCharType="separate"/>
      </w:r>
      <w:r w:rsidR="741DB057" w:rsidRPr="68A51868">
        <w:rPr>
          <w:noProof/>
        </w:rPr>
        <w:t>Fear et al. (2012)</w:t>
      </w:r>
      <w:r w:rsidR="00266309">
        <w:fldChar w:fldCharType="end"/>
      </w:r>
      <w:r>
        <w:t xml:space="preserve"> to address the barriers to </w:t>
      </w:r>
      <w:r w:rsidR="4EEAF6A7">
        <w:t>service access</w:t>
      </w:r>
      <w:r>
        <w:t xml:space="preserve"> that </w:t>
      </w:r>
      <w:r w:rsidR="63105442">
        <w:t>are</w:t>
      </w:r>
      <w:r>
        <w:t xml:space="preserve"> experienced by older people with intellectual disabilit</w:t>
      </w:r>
      <w:r w:rsidR="3D7D6021">
        <w:t>ies</w:t>
      </w:r>
      <w:r>
        <w:t xml:space="preserve">. It is a person-centred, interdisciplinary model of mental healthcare delivery, that aims to implement care tailored to the needs of the individual rather than care that is based on a specific target group. </w:t>
      </w:r>
      <w:r w:rsidR="0F3D1718">
        <w:t>The model propose</w:t>
      </w:r>
      <w:r w:rsidR="447BFC6F">
        <w:t>s</w:t>
      </w:r>
      <w:r w:rsidR="0F3D1718">
        <w:t xml:space="preserve"> one</w:t>
      </w:r>
      <w:r w:rsidR="7E3B256C">
        <w:t xml:space="preserve"> </w:t>
      </w:r>
      <w:r w:rsidR="0F3D1718">
        <w:t xml:space="preserve">point of entry </w:t>
      </w:r>
      <w:r w:rsidR="3F30A3EA">
        <w:t>for</w:t>
      </w:r>
      <w:r w:rsidR="0F3D1718">
        <w:t xml:space="preserve"> the service user</w:t>
      </w:r>
      <w:r w:rsidR="3F30A3EA">
        <w:t xml:space="preserve">, with a number of care pathways </w:t>
      </w:r>
      <w:r w:rsidR="5F391B6D">
        <w:t>that can be followed based on their needs.</w:t>
      </w:r>
      <w:r w:rsidR="3E24E82F">
        <w:t xml:space="preserve"> </w:t>
      </w:r>
      <w:r w:rsidR="61860AD1">
        <w:t>Ho</w:t>
      </w:r>
      <w:r w:rsidR="741DB057">
        <w:t>we</w:t>
      </w:r>
      <w:r w:rsidR="61860AD1">
        <w:t>ver, w</w:t>
      </w:r>
      <w:r w:rsidR="35127B3E">
        <w:t xml:space="preserve">hile the Fair Horizons model has been recognised as an innovative model, it has not yet been tested or evaluated and there </w:t>
      </w:r>
      <w:r w:rsidR="068DF262">
        <w:t>is uncertainty around the cost implications of the model</w:t>
      </w:r>
      <w:r w:rsidR="741DB057">
        <w:t xml:space="preserve"> </w:t>
      </w:r>
      <w:r w:rsidR="00266309">
        <w:fldChar w:fldCharType="begin"/>
      </w:r>
      <w:r w:rsidR="00266309">
        <w:instrText xml:space="preserve"> ADDIN EN.CITE &lt;EndNote&gt;&lt;Cite&gt;&lt;Author&gt;Giuntoli&lt;/Author&gt;&lt;Year&gt;2015&lt;/Year&gt;&lt;RecNum&gt;765&lt;/RecNum&gt;&lt;DisplayText&gt;(Giuntoli et al., 2015; Tyrer, 2012)&lt;/DisplayText&gt;&lt;record&gt;&lt;rec-number&gt;765&lt;/rec-number&gt;&lt;foreign-keys&gt;&lt;key app="EN" db-id="xtwfdzde5ttr0zevxrh5sf0c2wfzw5zf2vra" timestamp="1667597774" guid="04b6da4e-34ff-406f-a79b-d932586c19dc"&gt;765&lt;/key&gt;&lt;/foreign-keys&gt;&lt;ref-type name="Report"&gt;27&lt;/ref-type&gt;&lt;contributors&gt;&lt;authors&gt;&lt;author&gt;Giuntoli, Gianfranco &lt;/author&gt;&lt;author&gt;Newton, BJ &lt;/author&gt;&lt;author&gt;Fisher Karen R&lt;/author&gt;&lt;/authors&gt;&lt;/contributors&gt;&lt;titles&gt;&lt;title&gt;Current models of health service delivery for people with intellectual disability: Literature review&lt;/title&gt;&lt;/titles&gt;&lt;dates&gt;&lt;year&gt;2015&lt;/year&gt;&lt;/dates&gt;&lt;pub-location&gt;Australia&lt;/pub-location&gt;&lt;publisher&gt;Social Policy Research Centre, The University of New South Wales&lt;/publisher&gt;&lt;urls&gt;&lt;/urls&gt;&lt;/record&gt;&lt;/Cite&gt;&lt;Cite&gt;&lt;Author&gt;Tyrer&lt;/Author&gt;&lt;Year&gt;2012&lt;/Year&gt;&lt;RecNum&gt;764&lt;/RecNum&gt;&lt;record&gt;&lt;rec-number&gt;764&lt;/rec-number&gt;&lt;foreign-keys&gt;&lt;key app="EN" db-id="xtwfdzde5ttr0zevxrh5sf0c2wfzw5zf2vra" timestamp="1667597344" guid="b1a7edd9-658d-4b70-a8dd-9b40fbcd8fff"&gt;764&lt;/key&gt;&lt;/foreign-keys&gt;&lt;ref-type name="Journal Article"&gt;17&lt;/ref-type&gt;&lt;contributors&gt;&lt;authors&gt;&lt;author&gt;Tyrer, Stephen Patrick&lt;/author&gt;&lt;/authors&gt;&lt;/contributors&gt;&lt;titles&gt;&lt;title&gt;An innovative service but will it work in practice? Commentary on … Fair Horizons&lt;/title&gt;&lt;secondary-title&gt;The Psychiatrist&lt;/secondary-title&gt;&lt;/titles&gt;&lt;periodical&gt;&lt;full-title&gt;The Psychiatrist&lt;/full-title&gt;&lt;/periodical&gt;&lt;pages&gt;30-31&lt;/pages&gt;&lt;volume&gt;36&lt;/volume&gt;&lt;number&gt;1&lt;/number&gt;&lt;dates&gt;&lt;year&gt;2012&lt;/year&gt;&lt;/dates&gt;&lt;publisher&gt;Cambridge University Press (CUP)&lt;/publisher&gt;&lt;isbn&gt;1758-3209&lt;/isbn&gt;&lt;urls&gt;&lt;related-urls&gt;&lt;url&gt;https://dx.doi.org/10.1192/pb.bp.111.036889&lt;/url&gt;&lt;/related-urls&gt;&lt;/urls&gt;&lt;electronic-resource-num&gt;10.1192/pb.bp.111.036889&lt;/electronic-resource-num&gt;&lt;/record&gt;&lt;/Cite&gt;&lt;/EndNote&gt;</w:instrText>
      </w:r>
      <w:r w:rsidR="00266309">
        <w:fldChar w:fldCharType="separate"/>
      </w:r>
      <w:r w:rsidR="741DB057" w:rsidRPr="68A51868">
        <w:rPr>
          <w:noProof/>
        </w:rPr>
        <w:t>(Giuntoli et al., 2015; Tyrer, 2012)</w:t>
      </w:r>
      <w:r w:rsidR="00266309">
        <w:fldChar w:fldCharType="end"/>
      </w:r>
      <w:r w:rsidR="3339F3FA">
        <w:t xml:space="preserve">. </w:t>
      </w:r>
      <w:r w:rsidR="1D6319C0">
        <w:t xml:space="preserve"> </w:t>
      </w:r>
    </w:p>
    <w:p w14:paraId="182BD963" w14:textId="298F709C" w:rsidR="0021381D" w:rsidRDefault="0021381D" w:rsidP="0021381D"/>
    <w:p w14:paraId="42A1320C" w14:textId="77777777" w:rsidR="006412EB" w:rsidRDefault="006412EB" w:rsidP="006412EB">
      <w:pPr>
        <w:pStyle w:val="Caption"/>
      </w:pPr>
      <w:bookmarkStart w:id="67" w:name="_Toc121830565"/>
      <w:r>
        <w:t xml:space="preserve">Figure </w:t>
      </w:r>
      <w:r>
        <w:fldChar w:fldCharType="begin"/>
      </w:r>
      <w:r>
        <w:instrText>SEQ Figure \* ARABIC</w:instrText>
      </w:r>
      <w:r>
        <w:fldChar w:fldCharType="separate"/>
      </w:r>
      <w:r>
        <w:rPr>
          <w:noProof/>
        </w:rPr>
        <w:t>2</w:t>
      </w:r>
      <w:r>
        <w:fldChar w:fldCharType="end"/>
      </w:r>
      <w:r>
        <w:t xml:space="preserve">: </w:t>
      </w:r>
      <w:r w:rsidRPr="00CD7CB8">
        <w:t>South Australian Intellectual Disability Health Service Model of Care 2020</w:t>
      </w:r>
      <w:bookmarkEnd w:id="67"/>
    </w:p>
    <w:p w14:paraId="3D09C4BC" w14:textId="77777777" w:rsidR="006412EB" w:rsidRDefault="006412EB" w:rsidP="006412EB">
      <w:r>
        <w:rPr>
          <w:noProof/>
          <w:lang w:eastAsia="en-IE"/>
        </w:rPr>
        <w:drawing>
          <wp:inline distT="0" distB="0" distL="0" distR="0" wp14:anchorId="6E3662A5" wp14:editId="7F699EA8">
            <wp:extent cx="8296275" cy="4446520"/>
            <wp:effectExtent l="0" t="0" r="0" b="0"/>
            <wp:docPr id="28" name="Picture 28" descr="South Australian Intellectual Disability Health Service Mode of Care&#10;Three levels of service:&#10;1. Universal: state-wide community and primary health care&#10;2. Targeted: disability liaison roles&#10;3. Specialised: state-wide intellectual disabilit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outh Australian Intellectual Disability Health Service Mode of Care&#10;Three levels of service:&#10;1. Universal: state-wide community and primary health care&#10;2. Targeted: disability liaison roles&#10;3. Specialised: state-wide intellectual disability service"/>
                    <pic:cNvPicPr/>
                  </pic:nvPicPr>
                  <pic:blipFill>
                    <a:blip r:embed="rId16">
                      <a:extLst>
                        <a:ext uri="{28A0092B-C50C-407E-A947-70E740481C1C}">
                          <a14:useLocalDpi xmlns:a14="http://schemas.microsoft.com/office/drawing/2010/main" val="0"/>
                        </a:ext>
                      </a:extLst>
                    </a:blip>
                    <a:stretch>
                      <a:fillRect/>
                    </a:stretch>
                  </pic:blipFill>
                  <pic:spPr>
                    <a:xfrm>
                      <a:off x="0" y="0"/>
                      <a:ext cx="8310348" cy="4454062"/>
                    </a:xfrm>
                    <a:prstGeom prst="rect">
                      <a:avLst/>
                    </a:prstGeom>
                  </pic:spPr>
                </pic:pic>
              </a:graphicData>
            </a:graphic>
          </wp:inline>
        </w:drawing>
      </w:r>
    </w:p>
    <w:p w14:paraId="4ADB8EDC" w14:textId="3ACD39FD" w:rsidR="006412EB" w:rsidRDefault="006412EB" w:rsidP="004A5481">
      <w:pPr>
        <w:jc w:val="center"/>
        <w:rPr>
          <w:b/>
          <w:sz w:val="22"/>
          <w:szCs w:val="22"/>
        </w:rPr>
      </w:pPr>
      <w:r w:rsidRPr="5FC44C77">
        <w:rPr>
          <w:sz w:val="22"/>
          <w:szCs w:val="22"/>
        </w:rPr>
        <w:t xml:space="preserve">Source: </w:t>
      </w:r>
      <w:r w:rsidRPr="5FC44C77">
        <w:rPr>
          <w:b/>
          <w:sz w:val="22"/>
          <w:szCs w:val="22"/>
        </w:rPr>
        <w:fldChar w:fldCharType="begin"/>
      </w:r>
      <w:r w:rsidRPr="5FC44C77">
        <w:rPr>
          <w:sz w:val="22"/>
          <w:szCs w:val="22"/>
        </w:rPr>
        <w:instrText xml:space="preserve"> ADDIN EN.CITE &lt;EndNote&gt;&lt;Cite&gt;&lt;Author&gt;Government of South Australia&lt;/Author&gt;&lt;Year&gt;2020&lt;/Year&gt;&lt;RecNum&gt;661&lt;/RecNum&gt;&lt;Pages&gt;33&lt;/Pages&gt;&lt;DisplayText&gt;(Government of South Australia, 2020, p. 33)&lt;/DisplayText&gt;&lt;record&gt;&lt;rec-number&gt;661&lt;/rec-number&gt;&lt;foreign-keys&gt;&lt;key app="EN" db-id="xtwfdzde5ttr0zevxrh5sf0c2wfzw5zf2vra" timestamp="1657624281" guid="118a60f8-4875-4c52-9449-74a42f8165ab"&gt;661&lt;/key&gt;&lt;/foreign-keys&gt;&lt;ref-type name="Report"&gt;27&lt;/ref-type&gt;&lt;contributors&gt;&lt;authors&gt;&lt;author&gt;Government of South Australia, &lt;/author&gt;&lt;/authors&gt;&lt;/contributors&gt;&lt;titles&gt;&lt;title&gt;SA Intellectual Disability Health Service - Model of Care&lt;/title&gt;&lt;/titles&gt;&lt;dates&gt;&lt;year&gt;2020&lt;/year&gt;&lt;/dates&gt;&lt;pub-location&gt;South Australia&lt;/pub-location&gt;&lt;publisher&gt;Government of South Australia&lt;/publisher&gt;&lt;urls&gt;&lt;related-urls&gt;&lt;url&gt;https://www.sahealth.sa.gov.au/wps/wcm/connect/53212379-9bf7-4357-b30c-f80d2da70cad/20030.1-disability-model-of-care-report-online.pdf?MOD=AJPERES&amp;amp;amp;CACHEID=ROOTWORKSPACE-53212379-9bf7-4357-b30c-f80d2da70cad-nNiSujE&lt;/url&gt;&lt;/related-urls&gt;&lt;/urls&gt;&lt;/record&gt;&lt;/Cite&gt;&lt;/EndNote&gt;</w:instrText>
      </w:r>
      <w:r w:rsidRPr="5FC44C77">
        <w:rPr>
          <w:b/>
          <w:sz w:val="22"/>
          <w:szCs w:val="22"/>
        </w:rPr>
        <w:fldChar w:fldCharType="separate"/>
      </w:r>
      <w:r w:rsidRPr="5FC44C77">
        <w:rPr>
          <w:noProof/>
          <w:sz w:val="22"/>
          <w:szCs w:val="22"/>
        </w:rPr>
        <w:t>(Government of South Australia, 2020, p. 33)</w:t>
      </w:r>
      <w:r w:rsidRPr="5FC44C77">
        <w:rPr>
          <w:b/>
          <w:sz w:val="22"/>
          <w:szCs w:val="22"/>
        </w:rPr>
        <w:fldChar w:fldCharType="end"/>
      </w:r>
    </w:p>
    <w:p w14:paraId="04B46828" w14:textId="77777777" w:rsidR="006412EB" w:rsidRDefault="006412EB" w:rsidP="006412EB">
      <w:pPr>
        <w:sectPr w:rsidR="006412EB" w:rsidSect="006412EB">
          <w:pgSz w:w="15840" w:h="12240" w:orient="landscape"/>
          <w:pgMar w:top="1701" w:right="1135" w:bottom="1701" w:left="1418" w:header="709" w:footer="709" w:gutter="0"/>
          <w:cols w:space="708"/>
          <w:docGrid w:linePitch="360"/>
        </w:sectPr>
      </w:pPr>
    </w:p>
    <w:p w14:paraId="771C364C" w14:textId="77777777" w:rsidR="00EC6747" w:rsidRPr="00906B8B" w:rsidRDefault="00EC6747" w:rsidP="11C55A92">
      <w:pPr>
        <w:pStyle w:val="Heading4"/>
        <w:rPr>
          <w:color w:val="auto"/>
        </w:rPr>
      </w:pPr>
      <w:bookmarkStart w:id="68" w:name="_Toc116045678"/>
      <w:r w:rsidRPr="00906B8B">
        <w:rPr>
          <w:color w:val="auto"/>
        </w:rPr>
        <w:t>Service planning</w:t>
      </w:r>
      <w:bookmarkEnd w:id="68"/>
    </w:p>
    <w:p w14:paraId="105BE830" w14:textId="43B479E0" w:rsidR="00EC6747" w:rsidRDefault="00EC6747" w:rsidP="00EC6747">
      <w:r w:rsidRPr="00717301">
        <w:t xml:space="preserve">The changing age profile of people </w:t>
      </w:r>
      <w:r w:rsidR="007B4A0C">
        <w:t>with intellectual disabilities</w:t>
      </w:r>
      <w:r w:rsidRPr="00717301">
        <w:t xml:space="preserve"> has implications for service planning, including for the demand for services designed to meet the needs of older people </w:t>
      </w:r>
      <w:r w:rsidR="007B4A0C">
        <w:t>with intellectual disabilities</w:t>
      </w:r>
      <w:r w:rsidRPr="00717301">
        <w:t xml:space="preserve"> and for services to support ageing caregivers</w:t>
      </w:r>
      <w:r>
        <w:t xml:space="preserve"> </w:t>
      </w:r>
      <w:r>
        <w:fldChar w:fldCharType="begin"/>
      </w:r>
      <w:r>
        <w:instrText xml:space="preserve"> ADDIN EN.CITE &lt;EndNote&gt;&lt;Cite&gt;&lt;Author&gt;Doody&lt;/Author&gt;&lt;Year&gt;2011&lt;/Year&gt;&lt;RecNum&gt;511&lt;/RecNum&gt;&lt;DisplayText&gt;(Doody et al., 2011)&lt;/DisplayText&gt;&lt;record&gt;&lt;rec-number&gt;511&lt;/rec-number&gt;&lt;foreign-keys&gt;&lt;key app="EN" db-id="xtwfdzde5ttr0zevxrh5sf0c2wfzw5zf2vra" timestamp="1648653884" guid="b48124ca-506f-4e02-9963-a7075e7fa12c"&gt;511&lt;/key&gt;&lt;/foreign-keys&gt;&lt;ref-type name="Journal Article"&gt;17&lt;/ref-type&gt;&lt;contributors&gt;&lt;authors&gt;&lt;author&gt;Doody, Catriona M&lt;/author&gt;&lt;author&gt;Markey, Kathleen&lt;/author&gt;&lt;author&gt;Doody, Owen&lt;/author&gt;&lt;/authors&gt;&lt;/contributors&gt;&lt;titles&gt;&lt;title&gt;Future need of ageing people with an intellectual disability in the Republic of Ireland: lessons learned from the literature&lt;/title&gt;&lt;secondary-title&gt;British Journal of Learning Disabilities&lt;/secondary-title&gt;&lt;/titles&gt;&lt;periodical&gt;&lt;full-title&gt;British Journal of Learning Disabilities&lt;/full-title&gt;&lt;/periodical&gt;&lt;pages&gt;13-21&lt;/pages&gt;&lt;volume&gt;41&lt;/volume&gt;&lt;number&gt;1&lt;/number&gt;&lt;dates&gt;&lt;year&gt;2011&lt;/year&gt;&lt;/dates&gt;&lt;isbn&gt;1354-4187&lt;/isbn&gt;&lt;urls&gt;&lt;/urls&gt;&lt;/record&gt;&lt;/Cite&gt;&lt;/EndNote&gt;</w:instrText>
      </w:r>
      <w:r>
        <w:fldChar w:fldCharType="separate"/>
      </w:r>
      <w:r>
        <w:rPr>
          <w:noProof/>
        </w:rPr>
        <w:t>(Doody et al., 2011)</w:t>
      </w:r>
      <w:r>
        <w:fldChar w:fldCharType="end"/>
      </w:r>
      <w:r w:rsidRPr="00717301">
        <w:t>.</w:t>
      </w:r>
      <w:r>
        <w:t xml:space="preserve"> </w:t>
      </w:r>
      <w:r w:rsidRPr="00717301">
        <w:t>Health service planning refers to the process of “aligning existing health service delivery arrangements with changing patterns of need, to make the most effective use of available and future resources for a population</w:t>
      </w:r>
      <w:r w:rsidR="008B3C81">
        <w:t>”</w:t>
      </w:r>
      <w:r>
        <w:t xml:space="preserve"> </w:t>
      </w:r>
      <w:r>
        <w:fldChar w:fldCharType="begin"/>
      </w:r>
      <w:r w:rsidR="00FF5F49">
        <w:instrText xml:space="preserve"> ADDIN EN.CITE &lt;EndNote&gt;&lt;Cite&gt;&lt;Author&gt;Department of Health Queensland&lt;/Author&gt;&lt;Year&gt;2015&lt;/Year&gt;&lt;RecNum&gt;673&lt;/RecNum&gt;&lt;Pages&gt;5&lt;/Pages&gt;&lt;DisplayText&gt;(Department of Health Queensland, 2015, p. 5)&lt;/DisplayText&gt;&lt;record&gt;&lt;rec-number&gt;673&lt;/rec-number&gt;&lt;foreign-keys&gt;&lt;key app="EN" db-id="xtwfdzde5ttr0zevxrh5sf0c2wfzw5zf2vra" timestamp="1657887359" guid="099294e8-5de7-4751-a46b-781e335550b2"&gt;673&lt;/key&gt;&lt;/foreign-keys&gt;&lt;ref-type name="Report"&gt;27&lt;/ref-type&gt;&lt;contributors&gt;&lt;authors&gt;&lt;author&gt;Department of Health Queensland, &lt;/author&gt;&lt;/authors&gt;&lt;/contributors&gt;&lt;titles&gt;&lt;title&gt;Guide to health service planning (Version 3)&lt;/title&gt;&lt;/titles&gt;&lt;dates&gt;&lt;year&gt;2015&lt;/year&gt;&lt;/dates&gt;&lt;pub-location&gt;Queensland&lt;/pub-location&gt;&lt;publisher&gt;State of Queensland (Queensland Health)&lt;/publisher&gt;&lt;urls&gt;&lt;related-urls&gt;&lt;url&gt;https://www.health.qld.gov.au/__data/assets/pdf_file/0025/443572/guideline-health-service-planning.pdf&lt;/url&gt;&lt;/related-urls&gt;&lt;/urls&gt;&lt;/record&gt;&lt;/Cite&gt;&lt;/EndNote&gt;</w:instrText>
      </w:r>
      <w:r>
        <w:fldChar w:fldCharType="separate"/>
      </w:r>
      <w:r w:rsidR="00FF5F49">
        <w:rPr>
          <w:noProof/>
        </w:rPr>
        <w:t>(Department of Health Queensland, 2015, p. 5)</w:t>
      </w:r>
      <w:r>
        <w:fldChar w:fldCharType="end"/>
      </w:r>
      <w:r>
        <w:t>.</w:t>
      </w:r>
      <w:r w:rsidRPr="00717301">
        <w:t xml:space="preserve"> Therefore, service planning is key to supporting an integrated approach to care</w:t>
      </w:r>
      <w:r>
        <w:t xml:space="preserve"> </w:t>
      </w:r>
      <w:r>
        <w:fldChar w:fldCharType="begin"/>
      </w:r>
      <w:r w:rsidR="00FF5F49">
        <w:instrText xml:space="preserve"> ADDIN EN.CITE &lt;EndNote&gt;&lt;Cite&gt;&lt;Author&gt;Hatzidimitriadou&lt;/Author&gt;&lt;Year&gt;2005&lt;/Year&gt;&lt;RecNum&gt;357&lt;/RecNum&gt;&lt;DisplayText&gt;(Hatzidimitriadou &amp;amp; Milne, 2005)&lt;/DisplayText&gt;&lt;record&gt;&lt;rec-number&gt;357&lt;/rec-number&gt;&lt;foreign-keys&gt;&lt;key app="EN" db-id="xtwfdzde5ttr0zevxrh5sf0c2wfzw5zf2vra" timestamp="1643290955" guid="4226f882-8f87-4001-9a6b-fb5cb27f4e7e"&gt;357&lt;/key&gt;&lt;/foreign-keys&gt;&lt;ref-type name="Journal Article"&gt;17&lt;/ref-type&gt;&lt;contributors&gt;&lt;authors&gt;&lt;author&gt;Hatzidimitriadou, Eleni&lt;/author&gt;&lt;author&gt;Milne, Alisoun&lt;/author&gt;&lt;/authors&gt;&lt;/contributors&gt;&lt;titles&gt;&lt;title&gt;Planning ahead: Meeting the needs of older people with intellectual disabilities in the United Kingdom&lt;/title&gt;&lt;secondary-title&gt;Dementia&lt;/secondary-title&gt;&lt;short-title&gt;Planning ahead: Meeting the needs of older people with intellectual disabilities in the United Kingdom&lt;/short-title&gt;&lt;/titles&gt;&lt;periodical&gt;&lt;full-title&gt;Dementia&lt;/full-title&gt;&lt;/periodical&gt;&lt;pages&gt;341-359&lt;/pages&gt;&lt;volume&gt;4&lt;/volume&gt;&lt;number&gt;3&lt;/number&gt;&lt;dates&gt;&lt;year&gt;2005&lt;/year&gt;&lt;/dates&gt;&lt;urls&gt;&lt;related-urls&gt;&lt;url&gt;https://journals.sagepub.com/doi/10.1177/1471301205055027&lt;/url&gt;&lt;/related-urls&gt;&lt;/urls&gt;&lt;electronic-resource-num&gt;10.1177/1471301205055027&lt;/electronic-resource-num&gt;&lt;/record&gt;&lt;/Cite&gt;&lt;/EndNote&gt;</w:instrText>
      </w:r>
      <w:r>
        <w:fldChar w:fldCharType="separate"/>
      </w:r>
      <w:r w:rsidR="00FF5F49">
        <w:rPr>
          <w:noProof/>
        </w:rPr>
        <w:t>(Hatzidimitriadou &amp; Milne, 2005)</w:t>
      </w:r>
      <w:r>
        <w:fldChar w:fldCharType="end"/>
      </w:r>
      <w:r>
        <w:t xml:space="preserve"> and to providing a seamless care pathway </w:t>
      </w:r>
      <w:r>
        <w:fldChar w:fldCharType="begin"/>
      </w:r>
      <w:r w:rsidR="006A378C">
        <w:instrText xml:space="preserve"> ADDIN EN.CITE &lt;EndNote&gt;&lt;Cite&gt;&lt;Author&gt;McCarron&lt;/Author&gt;&lt;Year&gt;2018&lt;/Year&gt;&lt;RecNum&gt;490&lt;/RecNum&gt;&lt;DisplayText&gt;(McCarron et al., 2018b)&lt;/DisplayText&gt;&lt;record&gt;&lt;rec-number&gt;490&lt;/rec-number&gt;&lt;foreign-keys&gt;&lt;key app="EN" db-id="xtwfdzde5ttr0zevxrh5sf0c2wfzw5zf2vra" timestamp="1648035385" guid="47072b47-6233-437d-8023-5ef093dd12ba"&gt;490&lt;/key&gt;&lt;/foreign-keys&gt;&lt;ref-type name="Report"&gt;27&lt;/ref-type&gt;&lt;contributors&gt;&lt;authors&gt;&lt;author&gt;McCarron, M&lt;/author&gt;&lt;author&gt;Sheerin, F&lt;/author&gt;&lt;author&gt;Roche, L&lt;/author&gt;&lt;author&gt;Ryan, AM&lt;/author&gt;&lt;author&gt;Griffiths, C&lt;/author&gt;&lt;author&gt;Keenan, P&lt;/author&gt;&lt;author&gt;Doody, O&lt;/author&gt;&lt;author&gt;D&amp;apos;Eath, M&lt;/author&gt;&lt;author&gt;Burke, E&lt;/author&gt;&lt;author&gt;McCallion, P&lt;/author&gt;&lt;/authors&gt;&lt;/contributors&gt;&lt;titles&gt;&lt;title&gt;Shaping the future of intellectual disability nursing in Ireland: Supporting people with an intellectual disability to live ordinary lives in ordinary places&lt;/title&gt;&lt;/titles&gt;&lt;pages&gt;5&lt;/pages&gt;&lt;dates&gt;&lt;year&gt;2018&lt;/year&gt;&lt;/dates&gt;&lt;pub-location&gt;Ireland&lt;/pub-location&gt;&lt;publisher&gt;Health Services Executive&lt;/publisher&gt;&lt;urls&gt;&lt;/urls&gt;&lt;/record&gt;&lt;/Cite&gt;&lt;/EndNote&gt;</w:instrText>
      </w:r>
      <w:r>
        <w:fldChar w:fldCharType="separate"/>
      </w:r>
      <w:r w:rsidR="00ED391B">
        <w:rPr>
          <w:noProof/>
        </w:rPr>
        <w:t>(McCarron et al., 2018b)</w:t>
      </w:r>
      <w:r>
        <w:fldChar w:fldCharType="end"/>
      </w:r>
      <w:r>
        <w:t xml:space="preserve">. </w:t>
      </w:r>
    </w:p>
    <w:p w14:paraId="30E7468A" w14:textId="6A88FF47" w:rsidR="00EC6747" w:rsidRDefault="00EC6747" w:rsidP="00EC6747">
      <w:r>
        <w:t xml:space="preserve">In order to achieve a seamless and integrated model of care, there is a need for planning to be proactive and responsive to the changing needs of people as they age, and a need for greater and more meaningful involvement of service users in decision-making and planning processes </w:t>
      </w:r>
      <w:r>
        <w:fldChar w:fldCharType="begin">
          <w:fldData xml:space="preserve">PEVuZE5vdGU+PENpdGU+PEF1dGhvcj5IU0U8L0F1dGhvcj48WWVhcj4yMDIxPC9ZZWFyPjxSZWNO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</w:fldData>
        </w:fldChar>
      </w:r>
      <w:r w:rsidR="00B26CBF">
        <w:instrText xml:space="preserve"> ADDIN EN.CITE </w:instrText>
      </w:r>
      <w:r w:rsidR="00B26CBF">
        <w:fldChar w:fldCharType="begin">
          <w:fldData xml:space="preserve">PEVuZE5vdGU+PENpdGU+PEF1dGhvcj5IU0U8L0F1dGhvcj48WWVhcj4yMDIxPC9ZZWFyPjxSZWNO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</w:fldData>
        </w:fldChar>
      </w:r>
      <w:r w:rsidR="00B26CBF">
        <w:instrText xml:space="preserve"> ADDIN EN.CITE.DATA </w:instrText>
      </w:r>
      <w:r w:rsidR="00B26CBF">
        <w:fldChar w:fldCharType="end"/>
      </w:r>
      <w:r>
        <w:fldChar w:fldCharType="separate"/>
      </w:r>
      <w:r w:rsidR="00B26CBF">
        <w:rPr>
          <w:noProof/>
        </w:rPr>
        <w:t>(HSE, 2021; 2019a; 2016; Hussain et al., 2013)</w:t>
      </w:r>
      <w:r>
        <w:fldChar w:fldCharType="end"/>
      </w:r>
      <w:r>
        <w:t xml:space="preserve">. Involving the voice of the service user, their family, and carers, is consistent with the approach of person-centred care and is a key mechanism for ensuring that the person’s changing physical and health needs are met </w:t>
      </w:r>
      <w:r>
        <w:fldChar w:fldCharType="begin">
          <w:fldData xml:space="preserve">PEVuZE5vdGU+PENpdGU+PEF1dGhvcj5IYXR6aWRpbWl0cmlhZG91PC9BdXRob3I+PFllYXI+MjAw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</w:fldData>
        </w:fldChar>
      </w:r>
      <w:r w:rsidR="00B26CBF">
        <w:instrText xml:space="preserve"> ADDIN EN.CITE </w:instrText>
      </w:r>
      <w:r w:rsidR="00B26CBF">
        <w:fldChar w:fldCharType="begin">
          <w:fldData xml:space="preserve">PEVuZE5vdGU+PENpdGU+PEF1dGhvcj5IYXR6aWRpbWl0cmlhZG91PC9BdXRob3I+PFllYXI+MjAw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</w:fldData>
        </w:fldChar>
      </w:r>
      <w:r w:rsidR="00B26CBF">
        <w:instrText xml:space="preserve"> ADDIN EN.CITE.DATA </w:instrText>
      </w:r>
      <w:r w:rsidR="00B26CBF">
        <w:fldChar w:fldCharType="end"/>
      </w:r>
      <w:r>
        <w:fldChar w:fldCharType="separate"/>
      </w:r>
      <w:r w:rsidR="00B26CBF">
        <w:rPr>
          <w:noProof/>
        </w:rPr>
        <w:t>(Bekkema et al., 2015a; Hatzidimitriadou &amp; Milne, 2005)</w:t>
      </w:r>
      <w:r>
        <w:fldChar w:fldCharType="end"/>
      </w:r>
      <w:r>
        <w:t xml:space="preserve">. Planning should also be interdisciplinary, whereby health professionals across different sectors work collaboratively, along with the service user </w:t>
      </w:r>
      <w:r>
        <w:fldChar w:fldCharType="begin"/>
      </w:r>
      <w:r w:rsidR="006A378C">
        <w:instrText xml:space="preserve"> ADDIN EN.CITE &lt;EndNote&gt;&lt;Cite&gt;&lt;Author&gt;McCarron&lt;/Author&gt;&lt;Year&gt;2018&lt;/Year&gt;&lt;RecNum&gt;490&lt;/RecNum&gt;&lt;DisplayText&gt;(McCarron et al., 2018b)&lt;/DisplayText&gt;&lt;record&gt;&lt;rec-number&gt;490&lt;/rec-number&gt;&lt;foreign-keys&gt;&lt;key app="EN" db-id="xtwfdzde5ttr0zevxrh5sf0c2wfzw5zf2vra" timestamp="1648035385" guid="47072b47-6233-437d-8023-5ef093dd12ba"&gt;490&lt;/key&gt;&lt;/foreign-keys&gt;&lt;ref-type name="Report"&gt;27&lt;/ref-type&gt;&lt;contributors&gt;&lt;authors&gt;&lt;author&gt;McCarron, M&lt;/author&gt;&lt;author&gt;Sheerin, F&lt;/author&gt;&lt;author&gt;Roche, L&lt;/author&gt;&lt;author&gt;Ryan, AM&lt;/author&gt;&lt;author&gt;Griffiths, C&lt;/author&gt;&lt;author&gt;Keenan, P&lt;/author&gt;&lt;author&gt;Doody, O&lt;/author&gt;&lt;author&gt;D&amp;apos;Eath, M&lt;/author&gt;&lt;author&gt;Burke, E&lt;/author&gt;&lt;author&gt;McCallion, P&lt;/author&gt;&lt;/authors&gt;&lt;/contributors&gt;&lt;titles&gt;&lt;title&gt;Shaping the future of intellectual disability nursing in Ireland: Supporting people with an intellectual disability to live ordinary lives in ordinary places&lt;/title&gt;&lt;/titles&gt;&lt;pages&gt;5&lt;/pages&gt;&lt;dates&gt;&lt;year&gt;2018&lt;/year&gt;&lt;/dates&gt;&lt;pub-location&gt;Ireland&lt;/pub-location&gt;&lt;publisher&gt;Health Services Executive&lt;/publisher&gt;&lt;urls&gt;&lt;/urls&gt;&lt;/record&gt;&lt;/Cite&gt;&lt;/EndNote&gt;</w:instrText>
      </w:r>
      <w:r>
        <w:fldChar w:fldCharType="separate"/>
      </w:r>
      <w:r w:rsidR="00ED391B">
        <w:rPr>
          <w:noProof/>
        </w:rPr>
        <w:t>(McCarron et al., 2018b)</w:t>
      </w:r>
      <w:r>
        <w:fldChar w:fldCharType="end"/>
      </w:r>
      <w:r>
        <w:t xml:space="preserve">, to ensure that care is provided in a timely and efficient manner </w:t>
      </w:r>
      <w:r>
        <w:fldChar w:fldCharType="begin"/>
      </w:r>
      <w:r w:rsidR="00E03FFB">
        <w:instrText xml:space="preserve"> ADDIN EN.CITE &lt;EndNote&gt;&lt;Cite&gt;&lt;Author&gt;Sheerin&lt;/Author&gt;&lt;Year&gt;2021&lt;/Year&gt;&lt;RecNum&gt;658&lt;/RecNum&gt;&lt;DisplayText&gt;(Sheerin et al., 2021a; Chapman et al., 2018)&lt;/DisplayText&gt;&lt;record&gt;&lt;rec-number&gt;658&lt;/rec-number&gt;&lt;foreign-keys&gt;&lt;key app="EN" db-id="xtwfdzde5ttr0zevxrh5sf0c2wfzw5zf2vra" timestamp="1657546608" guid="83298505-6f88-4222-b415-1a7ec538af8e"&gt;658&lt;/key&gt;&lt;/foreign-keys&gt;&lt;ref-type name="Unpublished Work"&gt;34&lt;/ref-type&gt;&lt;contributors&gt;&lt;authors&gt;&lt;author&gt;Sheerin, Fintan&lt;/author&gt;&lt;author&gt;Fleming, Sandra&lt;/author&gt;&lt;author&gt;Naseer, Amara&lt;/author&gt;&lt;author&gt;Foden, Eadaoin &lt;/author&gt;&lt;author&gt;McCallion, Philip&lt;/author&gt;&lt;author&gt;McCarron, Mary&lt;/author&gt;&lt;/authors&gt;&lt;/contributors&gt;&lt;titles&gt;&lt;title&gt;Care of Older Adults with Intellectual Disabilities and Complex Age-Related Conditions: A Systematic Review Final Report [Unpublished Manuscript]&lt;/title&gt;&lt;/titles&gt;&lt;dates&gt;&lt;year&gt;2021&lt;/year&gt;&lt;pub-dates&gt;&lt;date&gt;July&lt;/date&gt;&lt;/pub-dates&gt;&lt;/dates&gt;&lt;pub-location&gt;Dublin&lt;/pub-location&gt;&lt;publisher&gt;Trinity Centre for Ageing and Intellectual Disability&lt;/publisher&gt;&lt;urls&gt;&lt;/urls&gt;&lt;/record&gt;&lt;/Cite&gt;&lt;Cite&gt;&lt;Author&gt;Chapman&lt;/Author&gt;&lt;Year&gt;2018&lt;/Year&gt;&lt;RecNum&gt;526&lt;/RecNum&gt;&lt;record&gt;&lt;rec-number&gt;526&lt;/rec-number&gt;&lt;foreign-keys&gt;&lt;key app="EN" db-id="xtwfdzde5ttr0zevxrh5sf0c2wfzw5zf2vra" timestamp="1649171476" guid="9dc4056b-489c-4ade-ba3a-610ac2716723"&gt;526&lt;/key&gt;&lt;/foreign-keys&gt;&lt;ref-type name="Journal Article"&gt;17&lt;/ref-type&gt;&lt;contributors&gt;&lt;authors&gt;&lt;author&gt;Chapman, Melanie&lt;/author&gt;&lt;author&gt;Lacey, Huma&lt;/author&gt;&lt;author&gt;Jervis, Nicola&lt;/author&gt;&lt;/authors&gt;&lt;/contributors&gt;&lt;titles&gt;&lt;title&gt;Improving services for people with learning disabilities and dementia: Findings from a service evaluation exploring the perspectives of health and social care professionals&lt;/title&gt;&lt;secondary-title&gt;British Journal of Learning Disabilities&lt;/secondary-title&gt;&lt;/titles&gt;&lt;periodical&gt;&lt;full-title&gt;British Journal of Learning Disabilities&lt;/full-title&gt;&lt;/periodical&gt;&lt;pages&gt;33-44&lt;/pages&gt;&lt;volume&gt;46&lt;/volume&gt;&lt;number&gt;1&lt;/number&gt;&lt;dates&gt;&lt;year&gt;2018&lt;/year&gt;&lt;/dates&gt;&lt;isbn&gt;1354-4187&lt;/isbn&gt;&lt;urls&gt;&lt;/urls&gt;&lt;/record&gt;&lt;/Cite&gt;&lt;/EndNote&gt;</w:instrText>
      </w:r>
      <w:r>
        <w:fldChar w:fldCharType="separate"/>
      </w:r>
      <w:r w:rsidR="00E03FFB">
        <w:rPr>
          <w:noProof/>
        </w:rPr>
        <w:t>(Sheerin et al., 2021a; Chapman et al., 2018)</w:t>
      </w:r>
      <w:r>
        <w:fldChar w:fldCharType="end"/>
      </w:r>
      <w:r>
        <w:t xml:space="preserve">. </w:t>
      </w:r>
    </w:p>
    <w:p w14:paraId="3389F274" w14:textId="77777777" w:rsidR="00EC6747" w:rsidRPr="00906B8B" w:rsidRDefault="00EC6747" w:rsidP="11C55A92">
      <w:pPr>
        <w:pStyle w:val="Heading4"/>
        <w:rPr>
          <w:color w:val="auto"/>
        </w:rPr>
      </w:pPr>
      <w:bookmarkStart w:id="69" w:name="_Toc116045679"/>
      <w:r w:rsidRPr="00906B8B">
        <w:rPr>
          <w:color w:val="auto"/>
        </w:rPr>
        <w:t>Workforce</w:t>
      </w:r>
      <w:bookmarkEnd w:id="69"/>
      <w:r w:rsidRPr="00906B8B">
        <w:rPr>
          <w:color w:val="auto"/>
        </w:rPr>
        <w:t xml:space="preserve"> </w:t>
      </w:r>
    </w:p>
    <w:p w14:paraId="4E270935" w14:textId="6F66695A" w:rsidR="00EC6747" w:rsidRDefault="00EC6747" w:rsidP="00EC6747">
      <w:r>
        <w:t xml:space="preserve">As the number of people </w:t>
      </w:r>
      <w:r w:rsidR="007B4A0C">
        <w:t>with intellectual disabilities</w:t>
      </w:r>
      <w:r>
        <w:t xml:space="preserve"> living into older age continues to increase, and their health and social needs become more complex, it will be necessary for healthcare services and systems to adapt and develop new ways of delivering services that better address </w:t>
      </w:r>
      <w:r w:rsidR="324DADFE">
        <w:t xml:space="preserve">the </w:t>
      </w:r>
      <w:r>
        <w:t xml:space="preserve">needs </w:t>
      </w:r>
      <w:r w:rsidR="647B55E6">
        <w:t xml:space="preserve">of this group </w:t>
      </w:r>
      <w:r>
        <w:fldChar w:fldCharType="begin">
          <w:fldData xml:space="preserve">PEVuZE5vdGU+PENpdGU+PEF1dGhvcj5XaWxzb248L0F1dGhvcj48WWVhcj4yMDIwPC9ZZWFyPjxS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</w:fldData>
        </w:fldChar>
      </w:r>
      <w:r w:rsidR="003F6D21">
        <w:instrText xml:space="preserve"> ADDIN EN.CITE </w:instrText>
      </w:r>
      <w:r w:rsidR="003F6D21">
        <w:fldChar w:fldCharType="begin">
          <w:fldData xml:space="preserve">PEVuZE5vdGU+PENpdGU+PEF1dGhvcj5XaWxzb248L0F1dGhvcj48WWVhcj4yMDIwPC9ZZWFyPjxS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</w:fldData>
        </w:fldChar>
      </w:r>
      <w:r w:rsidR="003F6D21">
        <w:instrText xml:space="preserve"> ADDIN EN.CITE.DATA </w:instrText>
      </w:r>
      <w:r w:rsidR="003F6D21">
        <w:fldChar w:fldCharType="end"/>
      </w:r>
      <w:r>
        <w:fldChar w:fldCharType="separate"/>
      </w:r>
      <w:r w:rsidR="003F6D21">
        <w:rPr>
          <w:noProof/>
        </w:rPr>
        <w:t>(Department of Health, 2021b; Wilson et al., 2020)</w:t>
      </w:r>
      <w:r>
        <w:fldChar w:fldCharType="end"/>
      </w:r>
      <w:r>
        <w:t xml:space="preserve">. These demographic changes affect not only the number of people requiring care but also the makeup of the workforce providing care </w:t>
      </w:r>
      <w:r>
        <w:fldChar w:fldCharType="begin"/>
      </w:r>
      <w:r w:rsidR="00FF5F49">
        <w:instrText xml:space="preserve"> ADDIN EN.CITE &lt;EndNote&gt;&lt;Cite ExcludeAuth="1"&gt;&lt;Author&gt;HSE&lt;/Author&gt;&lt;Year&gt;2015&lt;/Year&gt;&lt;RecNum&gt;581&lt;/RecNum&gt;&lt;Prefix&gt;HSE`, &lt;/Prefix&gt;&lt;DisplayText&gt;(HSE, 2015)&lt;/DisplayText&gt;&lt;record&gt;&lt;rec-number&gt;581&lt;/rec-number&gt;&lt;foreign-keys&gt;&lt;key app="EN" db-id="xtwfdzde5ttr0zevxrh5sf0c2wfzw5zf2vra" timestamp="1650468486" guid="07f4a103-df62-4ae5-9c61-5542ecb3d80a"&gt;581&lt;/key&gt;&lt;/foreign-keys&gt;&lt;ref-type name="Report"&gt;27&lt;/ref-type&gt;&lt;contributors&gt;&lt;authors&gt;&lt;author&gt;HSE,&lt;/author&gt;&lt;/authors&gt;&lt;/contributors&gt;&lt;titles&gt;&lt;title&gt;New Directions. Interim Standards for New Directions, Services and Supports for Adults with Disabilities&lt;/title&gt;&lt;/titles&gt;&lt;dates&gt;&lt;year&gt;2015&lt;/year&gt;&lt;pub-dates&gt;&lt;date&gt;November&lt;/date&gt;&lt;/pub-dates&gt;&lt;/dates&gt;&lt;pub-location&gt;Dublin&lt;/pub-location&gt;&lt;publisher&gt;Health Service Executive&lt;/publisher&gt;&lt;urls&gt;&lt;/urls&gt;&lt;/record&gt;&lt;/Cite&gt;&lt;/EndNote&gt;</w:instrText>
      </w:r>
      <w:r>
        <w:fldChar w:fldCharType="separate"/>
      </w:r>
      <w:r w:rsidR="00FF5F49">
        <w:rPr>
          <w:noProof/>
        </w:rPr>
        <w:t>(HSE, 2015)</w:t>
      </w:r>
      <w:r>
        <w:fldChar w:fldCharType="end"/>
      </w:r>
      <w:r>
        <w:t xml:space="preserve">. As outlined in this review, research shows that services are unprepared to deal with age-related complexities, with staff often lacking the skills and knowledge required to provide quality care. In particular, staff have expressed concerns over a lack of experience in providing dementia-specific care </w:t>
      </w:r>
      <w:r>
        <w:fldChar w:fldCharType="begin">
          <w:fldData xml:space="preserve">PEVuZE5vdGU+PENpdGU+PEF1dGhvcj5BbGZ0YmVyZzwvQXV0aG9yPjxZZWFyPjIwMjE8L1llYXI+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</w:fldData>
        </w:fldChar>
      </w:r>
      <w:r w:rsidR="00B26CBF">
        <w:instrText xml:space="preserve"> ADDIN EN.CITE </w:instrText>
      </w:r>
      <w:r w:rsidR="00B26CBF">
        <w:fldChar w:fldCharType="begin">
          <w:fldData xml:space="preserve">PEVuZE5vdGU+PENpdGU+PEF1dGhvcj5BbGZ0YmVyZzwvQXV0aG9yPjxZZWFyPjIwMjE8L1llYXI+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</w:fldData>
        </w:fldChar>
      </w:r>
      <w:r w:rsidR="00B26CBF">
        <w:instrText xml:space="preserve"> ADDIN EN.CITE.DATA </w:instrText>
      </w:r>
      <w:r w:rsidR="00B26CBF">
        <w:fldChar w:fldCharType="end"/>
      </w:r>
      <w:r>
        <w:fldChar w:fldCharType="separate"/>
      </w:r>
      <w:r w:rsidR="00B26CBF">
        <w:rPr>
          <w:noProof/>
        </w:rPr>
        <w:t>(Alftberg et al., 2021; Schaap et al., 2018; Cleary &amp; Doody, 2017; Iacono et al., 2014)</w:t>
      </w:r>
      <w:r>
        <w:fldChar w:fldCharType="end"/>
      </w:r>
      <w:r>
        <w:t xml:space="preserve"> and end</w:t>
      </w:r>
      <w:r w:rsidR="00AD236A">
        <w:t xml:space="preserve"> of life</w:t>
      </w:r>
      <w:r>
        <w:t xml:space="preserve"> care </w:t>
      </w:r>
      <w:r>
        <w:fldChar w:fldCharType="begin">
          <w:fldData xml:space="preserve">PEVuZE5vdGU+PENpdGU+PEF1dGhvcj5NY0NhcnJvbjwvQXV0aG9yPjxZZWFyPjIwMTc8L1llYXI+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</w:fldData>
        </w:fldChar>
      </w:r>
      <w:r w:rsidR="00B26CBF">
        <w:instrText xml:space="preserve"> ADDIN EN.CITE </w:instrText>
      </w:r>
      <w:r w:rsidR="00B26CBF">
        <w:fldChar w:fldCharType="begin">
          <w:fldData xml:space="preserve">PEVuZE5vdGU+PENpdGU+PEF1dGhvcj5NY0NhcnJvbjwvQXV0aG9yPjxZZWFyPjIwMTc8L1llYXI+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</w:fldData>
        </w:fldChar>
      </w:r>
      <w:r w:rsidR="00B26CBF">
        <w:instrText xml:space="preserve"> ADDIN EN.CITE.DATA </w:instrText>
      </w:r>
      <w:r w:rsidR="00B26CBF">
        <w:fldChar w:fldCharType="end"/>
      </w:r>
      <w:r>
        <w:fldChar w:fldCharType="separate"/>
      </w:r>
      <w:r w:rsidR="00B26CBF">
        <w:rPr>
          <w:noProof/>
        </w:rPr>
        <w:t>(McCarron et al., 2021; Tuffrey-Wijne &amp; Davidson, 2018; McCarron et al., 2017a)</w:t>
      </w:r>
      <w:r>
        <w:fldChar w:fldCharType="end"/>
      </w:r>
      <w:r>
        <w:t xml:space="preserve"> for people </w:t>
      </w:r>
      <w:r w:rsidR="007B4A0C">
        <w:t>with intellectual disabilities</w:t>
      </w:r>
      <w:r>
        <w:t xml:space="preserve"> and complex needs. This has an impact on the capacity of staff and services to support the individual to age in place and provide person-centred care </w:t>
      </w:r>
      <w:r>
        <w:fldChar w:fldCharType="begin">
          <w:fldData xml:space="preserve">PEVuZE5vdGU+PENpdGU+PEF1dGhvcj5CZWtrZW1hPC9BdXRob3I+PFllYXI+MjAxNTwvWWVhcj48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==
</w:fldData>
        </w:fldChar>
      </w:r>
      <w:r w:rsidR="00B26CBF">
        <w:instrText xml:space="preserve"> ADDIN EN.CITE </w:instrText>
      </w:r>
      <w:r w:rsidR="00B26CBF">
        <w:fldChar w:fldCharType="begin">
          <w:fldData xml:space="preserve">PEVuZE5vdGU+PENpdGU+PEF1dGhvcj5CZWtrZW1hPC9BdXRob3I+PFllYXI+MjAxNTwvWWVhcj48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==
</w:fldData>
        </w:fldChar>
      </w:r>
      <w:r w:rsidR="00B26CBF">
        <w:instrText xml:space="preserve"> ADDIN EN.CITE.DATA </w:instrText>
      </w:r>
      <w:r w:rsidR="00B26CBF">
        <w:fldChar w:fldCharType="end"/>
      </w:r>
      <w:r>
        <w:fldChar w:fldCharType="separate"/>
      </w:r>
      <w:r w:rsidR="00B26CBF">
        <w:rPr>
          <w:noProof/>
        </w:rPr>
        <w:t>(Alftberg et al., 2021; Bekkema et al., 2015b; Webber et al., 2010)</w:t>
      </w:r>
      <w:r>
        <w:fldChar w:fldCharType="end"/>
      </w:r>
      <w:r>
        <w:t xml:space="preserve">, and may result in individuals with increased care needs moving to a specialist care setting when their needs cannot be met in their current home </w:t>
      </w:r>
      <w:r>
        <w:fldChar w:fldCharType="begin"/>
      </w:r>
      <w:r w:rsidR="00FF5F49">
        <w:instrText xml:space="preserve"> ADDIN EN.CITE &lt;EndNote&gt;&lt;Cite&gt;&lt;Author&gt;Cleary&lt;/Author&gt;&lt;Year&gt;2017&lt;/Year&gt;&lt;RecNum&gt;321&lt;/RecNum&gt;&lt;DisplayText&gt;(Cleary &amp;amp; Doody, 2017; Iacono et al., 2014)&lt;/DisplayText&gt;&lt;record&gt;&lt;rec-number&gt;321&lt;/rec-number&gt;&lt;foreign-keys&gt;&lt;key app="EN" db-id="xtwfdzde5ttr0zevxrh5sf0c2wfzw5zf2vra" timestamp="1643290955" guid="bd2758eb-b08b-427b-88f8-1260482c780d"&gt;321&lt;/key&gt;&lt;/foreign-keys&gt;&lt;ref-type name="Journal Article"&gt;17&lt;/ref-type&gt;&lt;contributors&gt;&lt;authors&gt;&lt;author&gt;Cleary, Josephine&lt;/author&gt;&lt;author&gt;Doody, Owen&lt;/author&gt;&lt;/authors&gt;&lt;/contributors&gt;&lt;titles&gt;&lt;title&gt;Nurses&amp;apos; experience of caring for people with intellectual disability and dementia&lt;/title&gt;&lt;secondary-title&gt;Journal of Clinical Nursing&lt;/secondary-title&gt;&lt;short-title&gt;Nurses&amp;apos; experience of caring for people with intellectual disability and dementia&lt;/short-title&gt;&lt;/titles&gt;&lt;periodical&gt;&lt;full-title&gt;Journal of Clinical Nursing&lt;/full-title&gt;&lt;/periodical&gt;&lt;volume&gt;26&lt;/volume&gt;&lt;number&gt;5-6&lt;/number&gt;&lt;dates&gt;&lt;year&gt;2017&lt;/year&gt;&lt;/dates&gt;&lt;urls&gt;&lt;/urls&gt;&lt;electronic-resource-num&gt;10.1111/jocn.13431&lt;/electronic-resource-num&gt;&lt;/record&gt;&lt;/Cite&gt;&lt;Cite&gt;&lt;Author&gt;Iacono&lt;/Author&gt;&lt;Year&gt;2014&lt;/Year&gt;&lt;RecNum&gt;617&lt;/RecNum&gt;&lt;record&gt;&lt;rec-number&gt;617&lt;/rec-number&gt;&lt;foreign-keys&gt;&lt;key app="EN" db-id="xtwfdzde5ttr0zevxrh5sf0c2wfzw5zf2vra" timestamp="1652803064" guid="b357a862-a12b-4dbf-b073-27c255b07eb9"&gt;617&lt;/key&gt;&lt;/foreign-keys&gt;&lt;ref-type name="Journal Article"&gt;17&lt;/ref-type&gt;&lt;contributors&gt;&lt;authors&gt;&lt;author&gt;Iacono, Teresa&lt;/author&gt;&lt;author&gt;Bigby, Christine&lt;/author&gt;&lt;author&gt;Carling</w:instrText>
      </w:r>
      <w:r w:rsidR="00FF5F49">
        <w:rPr>
          <w:rFonts w:ascii="Cambria Math" w:hAnsi="Cambria Math" w:cs="Cambria Math"/>
        </w:rPr>
        <w:instrText>‐</w:instrText>
      </w:r>
      <w:r w:rsidR="00FF5F49">
        <w:instrText>Jenkins, Rachel&lt;/author&gt;&lt;author&gt;Torr, J&lt;/author&gt;&lt;/authors&gt;&lt;/contributors&gt;&lt;titles&gt;&lt;title&gt;Taking each day as it comes: staff experiences of supporting people with D own syndrome and A lzheimer&amp;apos;s disease in group homes&lt;/title&gt;&lt;secondary-title&gt;Journal of Intellectual Disability Research&lt;/secondary-title&gt;&lt;/titles&gt;&lt;periodical&gt;&lt;full-title&gt;Journal of Intellectual Disability Research&lt;/full-title&gt;&lt;/periodical&gt;&lt;pages&gt;521-533&lt;/pages&gt;&lt;volume&gt;58&lt;/volume&gt;&lt;number&gt;6&lt;/number&gt;&lt;dates&gt;&lt;year&gt;2014&lt;/year&gt;&lt;/dates&gt;&lt;isbn&gt;0964-2633&lt;/isbn&gt;&lt;urls&gt;&lt;/urls&gt;&lt;/record&gt;&lt;/Cite&gt;&lt;/EndNote&gt;</w:instrText>
      </w:r>
      <w:r>
        <w:fldChar w:fldCharType="separate"/>
      </w:r>
      <w:r w:rsidR="00FF5F49">
        <w:rPr>
          <w:noProof/>
        </w:rPr>
        <w:t>(Cleary &amp; Doody, 2017; Iacono et al., 2014)</w:t>
      </w:r>
      <w:r>
        <w:fldChar w:fldCharType="end"/>
      </w:r>
      <w:r>
        <w:t xml:space="preserve">. </w:t>
      </w:r>
    </w:p>
    <w:p w14:paraId="4A991184" w14:textId="65F122AB" w:rsidR="00EC6747" w:rsidRDefault="00EC6747" w:rsidP="00EC6747">
      <w:r>
        <w:t xml:space="preserve">As described by the Health Information </w:t>
      </w:r>
      <w:r w:rsidR="2F36E8D1">
        <w:t xml:space="preserve">and </w:t>
      </w:r>
      <w:r>
        <w:t xml:space="preserve">Quality Authority, “a service’s workforce is one of its most important resources in delivering safe, high-quality care and support. It is important that the members of the workforce are skilled and competent to deliver quality care and support and that the workforce is planned, structured and managed to deliver the service’s quality and safety outcomes” </w:t>
      </w:r>
      <w:r>
        <w:fldChar w:fldCharType="begin"/>
      </w:r>
      <w:r w:rsidR="00FF5F49">
        <w:instrText xml:space="preserve"> ADDIN EN.CITE &lt;EndNote&gt;&lt;Cite&gt;&lt;Author&gt;HIQA&lt;/Author&gt;&lt;Year&gt;2012&lt;/Year&gt;&lt;RecNum&gt;577&lt;/RecNum&gt;&lt;Pages&gt;23&lt;/Pages&gt;&lt;DisplayText&gt;(HIQA, 2012, p. 23)&lt;/DisplayText&gt;&lt;record&gt;&lt;rec-number&gt;577&lt;/rec-number&gt;&lt;foreign-keys&gt;&lt;key app="EN" db-id="xtwfdzde5ttr0zevxrh5sf0c2wfzw5zf2vra" timestamp="1650466826" guid="0fe6b6bc-c645-40d0-bf8c-bf315be285c1"&gt;577&lt;/key&gt;&lt;/foreign-keys&gt;&lt;ref-type name="Report"&gt;27&lt;/ref-type&gt;&lt;contributors&gt;&lt;authors&gt;&lt;author&gt;HIQA&lt;/author&gt;&lt;/authors&gt;&lt;/contributors&gt;&lt;titles&gt;&lt;title&gt;A Guide to the National Standards for Safer Better Healthcare&lt;/title&gt;&lt;/titles&gt;&lt;dates&gt;&lt;year&gt;2012&lt;/year&gt;&lt;pub-dates&gt;&lt;date&gt;June&lt;/date&gt;&lt;/pub-dates&gt;&lt;/dates&gt;&lt;pub-location&gt;Dublin&lt;/pub-location&gt;&lt;publisher&gt;Health Information and Quality Authority&lt;/publisher&gt;&lt;urls&gt;&lt;/urls&gt;&lt;/record&gt;&lt;/Cite&gt;&lt;/EndNote&gt;</w:instrText>
      </w:r>
      <w:r>
        <w:fldChar w:fldCharType="separate"/>
      </w:r>
      <w:r w:rsidR="00FF5F49">
        <w:rPr>
          <w:noProof/>
        </w:rPr>
        <w:t>(HIQA, 2012, p. 23)</w:t>
      </w:r>
      <w:r>
        <w:fldChar w:fldCharType="end"/>
      </w:r>
      <w:r>
        <w:t xml:space="preserve">. Workforce planning and training that focuses on developing a responsive, flexible, multiskilled and collaborative workforce is, therefore, required to address these issues and provide high-quality integrated care </w:t>
      </w:r>
      <w:r w:rsidRPr="003B18A6">
        <w:fldChar w:fldCharType="begin">
          <w:fldData xml:space="preserve">PEVuZE5vdGU+PENpdGU+PEF1dGhvcj5IU0U8L0F1dGhvcj48WWVhcj4yMDIxPC9ZZWFyPjxSZWNO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</w:fldData>
        </w:fldChar>
      </w:r>
      <w:r w:rsidR="00B26CBF">
        <w:instrText xml:space="preserve"> ADDIN EN.CITE </w:instrText>
      </w:r>
      <w:r w:rsidR="00B26CBF">
        <w:fldChar w:fldCharType="begin">
          <w:fldData xml:space="preserve">PEVuZE5vdGU+PENpdGU+PEF1dGhvcj5IU0U8L0F1dGhvcj48WWVhcj4yMDIxPC9ZZWFyPjxSZWNO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</w:fldData>
        </w:fldChar>
      </w:r>
      <w:r w:rsidR="00B26CBF">
        <w:instrText xml:space="preserve"> ADDIN EN.CITE.DATA </w:instrText>
      </w:r>
      <w:r w:rsidR="00B26CBF">
        <w:fldChar w:fldCharType="end"/>
      </w:r>
      <w:r w:rsidRPr="003B18A6">
        <w:fldChar w:fldCharType="separate"/>
      </w:r>
      <w:r w:rsidR="00B26CBF">
        <w:rPr>
          <w:noProof/>
        </w:rPr>
        <w:t>(HSE, 2021; 2019a; Department of Health, 2017)</w:t>
      </w:r>
      <w:r w:rsidRPr="003B18A6">
        <w:fldChar w:fldCharType="end"/>
      </w:r>
      <w:r>
        <w:t xml:space="preserve">. Developing the current and future healthcare workforce should involve: proactive recruitment of staff who have the appropriate skills, competencies and experience in the area of intellectual disability and ageing; training and upskilling of staff across ageing, disability and health sectors; support for the development of career pathways; retention of staff; cross-disciplinary training and educational programmes that bring staff together from different sectors; and service specialisation to cater for individuals with more complex needs </w:t>
      </w:r>
      <w:r>
        <w:fldChar w:fldCharType="begin">
          <w:fldData xml:space="preserve">PEVuZE5vdGU+PENpdGU+PEF1dGhvcj5IdXNzYWluPC9BdXRob3I+PFllYXI+MjAyMTwvWWVhcj48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</w:fldData>
        </w:fldChar>
      </w:r>
      <w:r w:rsidR="00B26CBF">
        <w:instrText xml:space="preserve"> ADDIN EN.CITE </w:instrText>
      </w:r>
      <w:r w:rsidR="00B26CBF">
        <w:fldChar w:fldCharType="begin">
          <w:fldData xml:space="preserve">PEVuZE5vdGU+PENpdGU+PEF1dGhvcj5IdXNzYWluPC9BdXRob3I+PFllYXI+MjAyMTwvWWVhcj48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</w:fldData>
        </w:fldChar>
      </w:r>
      <w:r w:rsidR="00B26CBF">
        <w:instrText xml:space="preserve"> ADDIN EN.CITE.DATA </w:instrText>
      </w:r>
      <w:r w:rsidR="00B26CBF">
        <w:fldChar w:fldCharType="end"/>
      </w:r>
      <w:r>
        <w:fldChar w:fldCharType="separate"/>
      </w:r>
      <w:r w:rsidR="00B26CBF">
        <w:rPr>
          <w:noProof/>
        </w:rPr>
        <w:t>(Hussain et al., 2021; HSE, 2019a)</w:t>
      </w:r>
      <w:r>
        <w:fldChar w:fldCharType="end"/>
      </w:r>
      <w:r>
        <w:t xml:space="preserve">. Supporting and upskilling informal carers such as family, is also an important consideration, as their role and the role of wider social networks in supporting people </w:t>
      </w:r>
      <w:r w:rsidR="007B4A0C">
        <w:t>with intellectual disabilities</w:t>
      </w:r>
      <w:r>
        <w:t xml:space="preserve"> cannot be underestimated. </w:t>
      </w:r>
    </w:p>
    <w:p w14:paraId="6D41D7EE" w14:textId="77777777" w:rsidR="00EC6747" w:rsidRPr="00906B8B" w:rsidRDefault="00EC6747" w:rsidP="11C55A92">
      <w:pPr>
        <w:pStyle w:val="Heading4"/>
        <w:rPr>
          <w:color w:val="auto"/>
        </w:rPr>
      </w:pPr>
      <w:bookmarkStart w:id="70" w:name="_Toc116045680"/>
      <w:r w:rsidRPr="00906B8B">
        <w:rPr>
          <w:color w:val="auto"/>
        </w:rPr>
        <w:t>Networking</w:t>
      </w:r>
      <w:bookmarkEnd w:id="70"/>
    </w:p>
    <w:p w14:paraId="1205C3A5" w14:textId="6C2F4EC8" w:rsidR="00EC6747" w:rsidRDefault="00EC6747" w:rsidP="00EC6747">
      <w:r>
        <w:t>Research</w:t>
      </w:r>
      <w:r w:rsidRPr="00106EF6">
        <w:t xml:space="preserve"> highlights the vital role of</w:t>
      </w:r>
      <w:r>
        <w:t xml:space="preserve"> family involvement and</w:t>
      </w:r>
      <w:r w:rsidRPr="00106EF6">
        <w:t xml:space="preserve"> social networks</w:t>
      </w:r>
      <w:r>
        <w:t xml:space="preserve"> </w:t>
      </w:r>
      <w:r w:rsidRPr="00106EF6">
        <w:t>in</w:t>
      </w:r>
      <w:r>
        <w:t xml:space="preserve"> supporting ageing in place in the community and</w:t>
      </w:r>
      <w:r w:rsidRPr="00106EF6">
        <w:t xml:space="preserve"> </w:t>
      </w:r>
      <w:r>
        <w:t xml:space="preserve">in </w:t>
      </w:r>
      <w:r w:rsidRPr="00106EF6">
        <w:t xml:space="preserve">mitigating the negative outcomes associated with relocation </w:t>
      </w:r>
      <w:r w:rsidRPr="00106EF6">
        <w:fldChar w:fldCharType="begin"/>
      </w:r>
      <w:r w:rsidR="00FF5F49">
        <w:instrText xml:space="preserve"> ADDIN EN.CITE &lt;EndNote&gt;&lt;Cite&gt;&lt;Author&gt;Jokinen&lt;/Author&gt;&lt;Year&gt;2012&lt;/Year&gt;&lt;RecNum&gt;517&lt;/RecNum&gt;&lt;DisplayText&gt;(Woodman et al., 2014; Jokinen et al., 2012)&lt;/DisplayText&gt;&lt;record&gt;&lt;rec-number&gt;517&lt;/rec-number&gt;&lt;foreign-keys&gt;&lt;key app="EN" db-id="xtwfdzde5ttr0zevxrh5sf0c2wfzw5zf2vra" timestamp="1649092328" guid="1ef4381f-6f74-4e72-b60b-04e444e45329"&gt;517&lt;/key&gt;&lt;/foreign-keys&gt;&lt;ref-type name="Journal Article"&gt;17&lt;/ref-type&gt;&lt;contributors&gt;&lt;authors&gt;&lt;author&gt;Jokinen, Nancy S&lt;/author&gt;&lt;author&gt;Janicki, Matthew P&lt;/author&gt;&lt;author&gt;Hogan, Mary&lt;/author&gt;&lt;author&gt;Force, Lawrence T&lt;/author&gt;&lt;/authors&gt;&lt;/contributors&gt;&lt;titles&gt;&lt;title&gt;The middle years and beyond: Transitions and families of adults with Down syndrome&lt;/title&gt;&lt;secondary-title&gt;Journal on Developmental Disabilities&lt;/secondary-title&gt;&lt;/titles&gt;&lt;periodical&gt;&lt;full-title&gt;Journal on Developmental Disabilities&lt;/full-title&gt;&lt;/periodical&gt;&lt;pages&gt;59&lt;/pages&gt;&lt;volume&gt;18&lt;/volume&gt;&lt;number&gt;2&lt;/number&gt;&lt;dates&gt;&lt;year&gt;2012&lt;/year&gt;&lt;/dates&gt;&lt;isbn&gt;1188-9136&lt;/isbn&gt;&lt;urls&gt;&lt;/urls&gt;&lt;/record&gt;&lt;/Cite&gt;&lt;Cite&gt;&lt;Author&gt;Woodman&lt;/Author&gt;&lt;Year&gt;2014&lt;/Year&gt;&lt;RecNum&gt;521&lt;/RecNum&gt;&lt;record&gt;&lt;rec-number&gt;521&lt;/rec-number&gt;&lt;foreign-keys&gt;&lt;key app="EN" db-id="xtwfdzde5ttr0zevxrh5sf0c2wfzw5zf2vra" timestamp="1649154445" guid="296a8229-f962-497e-8395-fe2c03be5197"&gt;521&lt;/key&gt;&lt;/foreign-keys&gt;&lt;ref-type name="Journal Article"&gt;17&lt;/ref-type&gt;&lt;contributors&gt;&lt;authors&gt;&lt;author&gt;Woodman, Ashley C&lt;/author&gt;&lt;author&gt;Mailick, Marsha R&lt;/author&gt;&lt;author&gt;Anderson, Kristy A&lt;/author&gt;&lt;author&gt;Esbensen, Anna J&lt;/author&gt;&lt;/authors&gt;&lt;/contributors&gt;&lt;titles&gt;&lt;title&gt;Residential transitions among adults with intellectual disability across 20 years&lt;/title&gt;&lt;secondary-title&gt;American journal on intellectual and developmental disabilities&lt;/secondary-title&gt;&lt;/titles&gt;&lt;periodical&gt;&lt;full-title&gt;American Journal on Intellectual and Developmental Disabilities&lt;/full-title&gt;&lt;/periodical&gt;&lt;pages&gt;496-515&lt;/pages&gt;&lt;volume&gt;119&lt;/volume&gt;&lt;number&gt;6&lt;/number&gt;&lt;dates&gt;&lt;year&gt;2014&lt;/year&gt;&lt;/dates&gt;&lt;isbn&gt;1944-7515&lt;/isbn&gt;&lt;urls&gt;&lt;/urls&gt;&lt;/record&gt;&lt;/Cite&gt;&lt;/EndNote&gt;</w:instrText>
      </w:r>
      <w:r w:rsidRPr="00106EF6">
        <w:fldChar w:fldCharType="separate"/>
      </w:r>
      <w:r w:rsidR="00FF5F49">
        <w:rPr>
          <w:noProof/>
        </w:rPr>
        <w:t>(Woodman et al., 2014; Jokinen et al., 2012)</w:t>
      </w:r>
      <w:r w:rsidRPr="00106EF6">
        <w:fldChar w:fldCharType="end"/>
      </w:r>
      <w:r>
        <w:t xml:space="preserve">. </w:t>
      </w:r>
      <w:r w:rsidRPr="002A1661">
        <w:t>It also shows the importance of social interaction for positive health, wellbeing, and social inclusion for those ageing with and without intellectual disabilit</w:t>
      </w:r>
      <w:r w:rsidR="007B4A0C">
        <w:t>ies</w:t>
      </w:r>
      <w:r w:rsidRPr="002A1661">
        <w:t xml:space="preserve"> </w:t>
      </w:r>
      <w:r w:rsidRPr="00E95F9C">
        <w:fldChar w:fldCharType="begin"/>
      </w:r>
      <w:r w:rsidR="00FF5F49">
        <w:instrText xml:space="preserve"> ADDIN EN.CITE &lt;EndNote&gt;&lt;Cite&gt;&lt;Author&gt;Johnson&lt;/Author&gt;&lt;Year&gt;2012&lt;/Year&gt;&lt;RecNum&gt;682&lt;/RecNum&gt;&lt;DisplayText&gt;(Scott &amp;amp; Havercamp, 2018; Johnson et al., 2012)&lt;/DisplayText&gt;&lt;record&gt;&lt;rec-number&gt;682&lt;/rec-number&gt;&lt;foreign-keys&gt;&lt;key app="EN" db-id="xtwfdzde5ttr0zevxrh5sf0c2wfzw5zf2vra" timestamp="1658760736" guid="a1d24871-525d-4d48-baf8-00b0d96ea1e6"&gt;682&lt;/key&gt;&lt;/foreign-keys&gt;&lt;ref-type name="Journal Article"&gt;17&lt;/ref-type&gt;&lt;contributors&gt;&lt;authors&gt;&lt;author&gt;Johnson, Hilary&lt;/author&gt;&lt;author&gt;Douglas, Jacinta&lt;/author&gt;&lt;author&gt;Bigby, Christine&lt;/author&gt;&lt;author&gt;Iacono, Teresa&lt;/author&gt;&lt;/authors&gt;&lt;/contributors&gt;&lt;titles&gt;&lt;title&gt;Social interaction with adults with severe intellectual disability: Having fun and hanging out&lt;/title&gt;&lt;secondary-title&gt;Journal of Applied Research in Intellectual Disabilities&lt;/secondary-title&gt;&lt;/titles&gt;&lt;periodical&gt;&lt;full-title&gt;Journal of Applied Research in Intellectual Disabilities&lt;/full-title&gt;&lt;/periodical&gt;&lt;pages&gt;329-341&lt;/pages&gt;&lt;volume&gt;25&lt;/volume&gt;&lt;number&gt;4&lt;/number&gt;&lt;dates&gt;&lt;year&gt;2012&lt;/year&gt;&lt;/dates&gt;&lt;isbn&gt;1360-2322&lt;/isbn&gt;&lt;urls&gt;&lt;/urls&gt;&lt;/record&gt;&lt;/Cite&gt;&lt;Cite&gt;&lt;Author&gt;Scott&lt;/Author&gt;&lt;Year&gt;2018&lt;/Year&gt;&lt;RecNum&gt;684&lt;/RecNum&gt;&lt;record&gt;&lt;rec-number&gt;684&lt;/rec-number&gt;&lt;foreign-keys&gt;&lt;key app="EN" db-id="xtwfdzde5ttr0zevxrh5sf0c2wfzw5zf2vra" timestamp="1658763239" guid="6cc930d7-f5b6-49d0-a229-1dbb4bca9d9a"&gt;684&lt;/key&gt;&lt;/foreign-keys&gt;&lt;ref-type name="Journal Article"&gt;17&lt;/ref-type&gt;&lt;contributors&gt;&lt;authors&gt;&lt;author&gt;Scott, Haleigh M&lt;/author&gt;&lt;author&gt;Havercamp, Susan M&lt;/author&gt;&lt;/authors&gt;&lt;/contributors&gt;&lt;titles&gt;&lt;title&gt;Promoting wellness in people with intellectual and developmental disabilities through relationships&lt;/title&gt;&lt;secondary-title&gt;Current Developmental Disorders Reports&lt;/secondary-title&gt;&lt;/titles&gt;&lt;periodical&gt;&lt;full-title&gt;Current Developmental Disorders Reports&lt;/full-title&gt;&lt;/periodical&gt;&lt;pages&gt;150-156&lt;/pages&gt;&lt;volume&gt;5&lt;/volume&gt;&lt;number&gt;3&lt;/number&gt;&lt;dates&gt;&lt;year&gt;2018&lt;/year&gt;&lt;/dates&gt;&lt;isbn&gt;2196-2987&lt;/isbn&gt;&lt;urls&gt;&lt;/urls&gt;&lt;/record&gt;&lt;/Cite&gt;&lt;/EndNote&gt;</w:instrText>
      </w:r>
      <w:r w:rsidRPr="00E95F9C">
        <w:fldChar w:fldCharType="separate"/>
      </w:r>
      <w:r w:rsidR="00FF5F49">
        <w:rPr>
          <w:noProof/>
        </w:rPr>
        <w:t>(Scott &amp; Havercamp, 2018; Johnson et al., 2012)</w:t>
      </w:r>
      <w:r w:rsidRPr="00E95F9C">
        <w:fldChar w:fldCharType="end"/>
      </w:r>
      <w:r w:rsidRPr="002A1661">
        <w:t xml:space="preserve">. However, older people </w:t>
      </w:r>
      <w:r w:rsidR="007B4A0C">
        <w:t>with intellectual disabilities</w:t>
      </w:r>
      <w:r w:rsidRPr="002A1661">
        <w:t xml:space="preserve"> tend to experience greater levels of social isolation and loneliness, compared to </w:t>
      </w:r>
      <w:r w:rsidR="22D31645" w:rsidRPr="002A1661">
        <w:t>that experienced by persons without intellectual disabilit</w:t>
      </w:r>
      <w:r w:rsidR="005F63E0">
        <w:t>ies</w:t>
      </w:r>
      <w:r>
        <w:t xml:space="preserve"> </w:t>
      </w:r>
      <w:r>
        <w:fldChar w:fldCharType="begin">
          <w:fldData xml:space="preserve">PEVuZE5vdGU+PENpdGU+PEF1dGhvcj5HaWxtb3JlPC9BdXRob3I+PFllYXI+MjAxNDwvWWVhcj48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</w:fldData>
        </w:fldChar>
      </w:r>
      <w:r w:rsidR="00B26CBF">
        <w:instrText xml:space="preserve"> ADDIN EN.CITE </w:instrText>
      </w:r>
      <w:r w:rsidR="00B26CBF">
        <w:fldChar w:fldCharType="begin">
          <w:fldData xml:space="preserve">PEVuZE5vdGU+PENpdGU+PEF1dGhvcj5HaWxtb3JlPC9BdXRob3I+PFllYXI+MjAxNDwvWWVhcj48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</w:fldData>
        </w:fldChar>
      </w:r>
      <w:r w:rsidR="00B26CBF">
        <w:instrText xml:space="preserve"> ADDIN EN.CITE.DATA </w:instrText>
      </w:r>
      <w:r w:rsidR="00B26CBF">
        <w:fldChar w:fldCharType="end"/>
      </w:r>
      <w:r>
        <w:fldChar w:fldCharType="separate"/>
      </w:r>
      <w:r w:rsidR="00B26CBF">
        <w:rPr>
          <w:noProof/>
        </w:rPr>
        <w:t>(MacDonald et al., 2018; Gilmore &amp; Cuskelly, 2014)</w:t>
      </w:r>
      <w:r>
        <w:fldChar w:fldCharType="end"/>
      </w:r>
      <w:r w:rsidRPr="002A1661">
        <w:t xml:space="preserve"> and have limited opportunities to engage in social activities </w:t>
      </w:r>
      <w:r w:rsidRPr="00E95F9C">
        <w:fldChar w:fldCharType="begin">
          <w:fldData xml:space="preserve">PEVuZE5vdGU+PENpdGU+PEF1dGhvcj5Gb3JyZXN0ZXItSm9uZXM8L0F1dGhvcj48WWVhcj4yMDE3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==
</w:fldData>
        </w:fldChar>
      </w:r>
      <w:r w:rsidR="00B26CBF">
        <w:instrText xml:space="preserve"> ADDIN EN.CITE </w:instrText>
      </w:r>
      <w:r w:rsidR="00B26CBF">
        <w:fldChar w:fldCharType="begin">
          <w:fldData xml:space="preserve">PEVuZE5vdGU+PENpdGU+PEF1dGhvcj5Gb3JyZXN0ZXItSm9uZXM8L0F1dGhvcj48WWVhcj4yMDE3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==
</w:fldData>
        </w:fldChar>
      </w:r>
      <w:r w:rsidR="00B26CBF">
        <w:instrText xml:space="preserve"> ADDIN EN.CITE.DATA </w:instrText>
      </w:r>
      <w:r w:rsidR="00B26CBF">
        <w:fldChar w:fldCharType="end"/>
      </w:r>
      <w:r w:rsidRPr="00E95F9C">
        <w:fldChar w:fldCharType="separate"/>
      </w:r>
      <w:r w:rsidR="00B26CBF">
        <w:rPr>
          <w:noProof/>
        </w:rPr>
        <w:t>(McCausland et al., 2021b; Forrester-Jones et al., 2017)</w:t>
      </w:r>
      <w:r w:rsidRPr="00E95F9C">
        <w:fldChar w:fldCharType="end"/>
      </w:r>
      <w:r w:rsidRPr="002A1661">
        <w:t>.</w:t>
      </w:r>
    </w:p>
    <w:p w14:paraId="022F3FED" w14:textId="4D92A1AB" w:rsidR="00EC6747" w:rsidRDefault="00EC6747" w:rsidP="00EC6747">
      <w:r>
        <w:t xml:space="preserve">Therefore, to achieve a truly integrated model of care for older people </w:t>
      </w:r>
      <w:r w:rsidR="007B4A0C">
        <w:t>with intellectual disabilities</w:t>
      </w:r>
      <w:r>
        <w:t xml:space="preserve"> it is important that the social network is supported and fostered </w:t>
      </w:r>
      <w:r>
        <w:fldChar w:fldCharType="begin"/>
      </w:r>
      <w:r>
        <w:instrText xml:space="preserve"> ADDIN EN.CITE &lt;EndNote&gt;&lt;Cite&gt;&lt;Author&gt;Johansson&lt;/Author&gt;&lt;Year&gt;2017&lt;/Year&gt;&lt;RecNum&gt;373&lt;/RecNum&gt;&lt;DisplayText&gt;(Johansson et al., 2017)&lt;/DisplayText&gt;&lt;record&gt;&lt;rec-number&gt;373&lt;/rec-number&gt;&lt;foreign-keys&gt;&lt;key app="EN" db-id="xtwfdzde5ttr0zevxrh5sf0c2wfzw5zf2vra" timestamp="1643290955" guid="e64fdbb3-0745-4556-ae5b-9b4f00e8e91c"&gt;373&lt;/key&gt;&lt;/foreign-keys&gt;&lt;ref-type name="Journal Article"&gt;17&lt;/ref-type&gt;&lt;contributors&gt;&lt;authors&gt;&lt;author&gt;Johansson, Maria&lt;/author&gt;&lt;author&gt;Björne, Petra&lt;/author&gt;&lt;author&gt;Runesson, Ingrid&lt;/author&gt;&lt;author&gt;Ahlström, Gerd&lt;/author&gt;&lt;/authors&gt;&lt;/contributors&gt;&lt;titles&gt;&lt;title&gt;Healthy ageing in people with intellectual disabilities from managers’ perspective: A qualitative study&lt;/title&gt;&lt;secondary-title&gt;Healthcare (Switzerland)&lt;/secondary-title&gt;&lt;short-title&gt;Healthy ageing in people with intellectual disabilities from managers’ perspective: A qualitative study&lt;/short-title&gt;&lt;/titles&gt;&lt;periodical&gt;&lt;full-title&gt;Healthcare (Switzerland)&lt;/full-title&gt;&lt;/periodical&gt;&lt;volume&gt;5&lt;/volume&gt;&lt;number&gt;3&lt;/number&gt;&lt;dates&gt;&lt;year&gt;2017&lt;/year&gt;&lt;/dates&gt;&lt;urls&gt;&lt;/urls&gt;&lt;electronic-resource-num&gt;10.3390/healthcare5030045&lt;/electronic-resource-num&gt;&lt;/record&gt;&lt;/Cite&gt;&lt;/EndNote&gt;</w:instrText>
      </w:r>
      <w:r>
        <w:fldChar w:fldCharType="separate"/>
      </w:r>
      <w:r>
        <w:rPr>
          <w:noProof/>
        </w:rPr>
        <w:t>(Johansson et al., 2017)</w:t>
      </w:r>
      <w:r>
        <w:fldChar w:fldCharType="end"/>
      </w:r>
      <w:r>
        <w:t xml:space="preserve">. </w:t>
      </w:r>
      <w:r w:rsidRPr="00106EF6">
        <w:t>There is</w:t>
      </w:r>
      <w:r>
        <w:t>, however,</w:t>
      </w:r>
      <w:r w:rsidRPr="00106EF6">
        <w:t xml:space="preserve"> a consensus that assistance </w:t>
      </w:r>
      <w:r>
        <w:t>with forming</w:t>
      </w:r>
      <w:r w:rsidRPr="00106EF6">
        <w:t xml:space="preserve"> social supports and facilitating people to participate in the community does not necessarily lead to meaningful social contact </w:t>
      </w:r>
      <w:r w:rsidRPr="00106EF6">
        <w:fldChar w:fldCharType="begin"/>
      </w:r>
      <w:r w:rsidR="00FF5F49">
        <w:instrText xml:space="preserve"> ADDIN EN.CITE &lt;EndNote&gt;&lt;Cite&gt;&lt;Author&gt;Duggan&lt;/Author&gt;&lt;Year&gt;2013&lt;/Year&gt;&lt;RecNum&gt;532&lt;/RecNum&gt;&lt;DisplayText&gt;(Duggan &amp;amp; Linehan, 2013)&lt;/DisplayText&gt;&lt;record&gt;&lt;rec-number&gt;532&lt;/rec-number&gt;&lt;foreign-keys&gt;&lt;key app="EN" db-id="xtwfdzde5ttr0zevxrh5sf0c2wfzw5zf2vra" timestamp="1649177337" guid="5f24adb6-81c1-4fd4-8904-3833b8ea2486"&gt;532&lt;/key&gt;&lt;/foreign-keys&gt;&lt;ref-type name="Journal Article"&gt;17&lt;/ref-type&gt;&lt;contributors&gt;&lt;authors&gt;&lt;author&gt;Duggan, Carmel&lt;/author&gt;&lt;author&gt;Linehan, Christine&lt;/author&gt;&lt;/authors&gt;&lt;/contributors&gt;&lt;titles&gt;&lt;title&gt;The role of ‘natural supports’ in promoting independent living for people with disabilities; a review of existing literature&lt;/title&gt;&lt;secondary-title&gt;British Journal of Learning Disabilities&lt;/secondary-title&gt;&lt;/titles&gt;&lt;periodical&gt;&lt;full-title&gt;British Journal of Learning Disabilities&lt;/full-title&gt;&lt;/periodical&gt;&lt;pages&gt;199-207&lt;/pages&gt;&lt;volume&gt;41&lt;/volume&gt;&lt;number&gt;3&lt;/number&gt;&lt;dates&gt;&lt;year&gt;2013&lt;/year&gt;&lt;/dates&gt;&lt;publisher&gt;Wiley&lt;/publisher&gt;&lt;isbn&gt;1354-4187&lt;/isbn&gt;&lt;urls&gt;&lt;related-urls&gt;&lt;url&gt;https://dx.doi.org/10.1111/bld.12040&lt;/url&gt;&lt;/related-urls&gt;&lt;/urls&gt;&lt;electronic-resource-num&gt;10.1111/bld.12040&lt;/electronic-resource-num&gt;&lt;/record&gt;&lt;/Cite&gt;&lt;/EndNote&gt;</w:instrText>
      </w:r>
      <w:r w:rsidRPr="00106EF6">
        <w:fldChar w:fldCharType="separate"/>
      </w:r>
      <w:r w:rsidR="00FF5F49">
        <w:rPr>
          <w:noProof/>
        </w:rPr>
        <w:t>(Duggan &amp; Linehan, 2013)</w:t>
      </w:r>
      <w:r w:rsidRPr="00106EF6">
        <w:fldChar w:fldCharType="end"/>
      </w:r>
      <w:r w:rsidRPr="00106EF6">
        <w:t>.</w:t>
      </w:r>
      <w:r>
        <w:t xml:space="preserve"> </w:t>
      </w:r>
      <w:r w:rsidRPr="00106EF6">
        <w:fldChar w:fldCharType="begin"/>
      </w:r>
      <w:r>
        <w:instrText xml:space="preserve"> ADDIN EN.CITE &lt;EndNote&gt;&lt;Cite AuthorYear="1"&gt;&lt;Author&gt;Duggan&lt;/Author&gt;&lt;Year&gt;2013&lt;/Year&gt;&lt;RecNum&gt;532&lt;/RecNum&gt;&lt;DisplayText&gt;Duggan and Linehan (2013)&lt;/DisplayText&gt;&lt;record&gt;&lt;rec-number&gt;532&lt;/rec-number&gt;&lt;foreign-keys&gt;&lt;key app="EN" db-id="xtwfdzde5ttr0zevxrh5sf0c2wfzw5zf2vra" timestamp="1649177337" guid="5f24adb6-81c1-4fd4-8904-3833b8ea2486"&gt;532&lt;/key&gt;&lt;/foreign-keys&gt;&lt;ref-type name="Journal Article"&gt;17&lt;/ref-type&gt;&lt;contributors&gt;&lt;authors&gt;&lt;author&gt;Duggan, Carmel&lt;/author&gt;&lt;author&gt;Linehan, Christine&lt;/author&gt;&lt;/authors&gt;&lt;/contributors&gt;&lt;titles&gt;&lt;title&gt;The role of ‘natural supports’ in promoting independent living for people with disabilities; a review of existing literature&lt;/title&gt;&lt;secondary-title&gt;British Journal of Learning Disabilities&lt;/secondary-title&gt;&lt;/titles&gt;&lt;periodical&gt;&lt;full-title&gt;British Journal of Learning Disabilities&lt;/full-title&gt;&lt;/periodical&gt;&lt;pages&gt;199-207&lt;/pages&gt;&lt;volume&gt;41&lt;/volume&gt;&lt;number&gt;3&lt;/number&gt;&lt;dates&gt;&lt;year&gt;2013&lt;/year&gt;&lt;/dates&gt;&lt;publisher&gt;Wiley&lt;/publisher&gt;&lt;isbn&gt;1354-4187&lt;/isbn&gt;&lt;urls&gt;&lt;related-urls&gt;&lt;url&gt;https://dx.doi.org/10.1111/bld.12040&lt;/url&gt;&lt;/related-urls&gt;&lt;/urls&gt;&lt;electronic-resource-num&gt;10.1111/bld.12040&lt;/electronic-resource-num&gt;&lt;/record&gt;&lt;/Cite&gt;&lt;/EndNote&gt;</w:instrText>
      </w:r>
      <w:r w:rsidRPr="00106EF6">
        <w:fldChar w:fldCharType="separate"/>
      </w:r>
      <w:r>
        <w:rPr>
          <w:noProof/>
        </w:rPr>
        <w:t>Duggan and Linehan (2013)</w:t>
      </w:r>
      <w:r w:rsidRPr="00106EF6">
        <w:fldChar w:fldCharType="end"/>
      </w:r>
      <w:r w:rsidRPr="00106EF6">
        <w:t xml:space="preserve"> </w:t>
      </w:r>
      <w:r w:rsidRPr="00EC6747">
        <w:t xml:space="preserve">proposed 4 key strategies to enhance meaningful social connections including circles of support, peer-based approaches, programmes that enhance social competencies, and befriending strategies. Overall, the literature on models of care indicates that better coordination between ageing, disability and health services </w:t>
      </w:r>
      <w:r w:rsidRPr="00EC6747">
        <w:fldChar w:fldCharType="begin"/>
      </w:r>
      <w:r w:rsidR="006A378C">
        <w:instrText xml:space="preserve"> ADDIN EN.CITE &lt;EndNote&gt;&lt;Cite&gt;&lt;Author&gt;NDA&lt;/Author&gt;&lt;Year&gt;2006&lt;/Year&gt;&lt;RecNum&gt;503&lt;/RecNum&gt;&lt;DisplayText&gt;(Shaw et al., 2011; NDA, 2006)&lt;/DisplayText&gt;&lt;record&gt;&lt;rec-number&gt;503&lt;/rec-number&gt;&lt;foreign-keys&gt;&lt;key app="EN" db-id="xtwfdzde5ttr0zevxrh5sf0c2wfzw5zf2vra" timestamp="1648135232" guid="4bd20a04-f8a6-42f7-b837-a1b98d3a96ff"&gt;503&lt;/key&gt;&lt;/foreign-keys&gt;&lt;ref-type name="Report"&gt;27&lt;/ref-type&gt;&lt;contributors&gt;&lt;authors&gt;&lt;author&gt;NDA&lt;/author&gt;&lt;/authors&gt;&lt;/contributors&gt;&lt;titles&gt;&lt;title&gt;Ageing &amp;amp; Disability: A Discussion Paper&lt;/title&gt;&lt;/titles&gt;&lt;dates&gt;&lt;year&gt;2006&lt;/year&gt;&lt;/dates&gt;&lt;pub-location&gt;Dublin&lt;/pub-location&gt;&lt;publisher&gt;National Disability Authority&lt;/publisher&gt;&lt;urls&gt;&lt;related-urls&gt;&lt;url&gt;https://nda.ie/Publications/Health/Health-Publications/Ageing-Disability-A-Discussion-Paper1.html&lt;/url&gt;&lt;/related-urls&gt;&lt;/urls&gt;&lt;/record&gt;&lt;/Cite&gt;&lt;Cite&gt;&lt;Author&gt;Shaw&lt;/Author&gt;&lt;Year&gt;2011&lt;/Year&gt;&lt;RecNum&gt;418&lt;/RecNum&gt;&lt;record&gt;&lt;rec-number&gt;418&lt;/rec-number&gt;&lt;foreign-keys&gt;&lt;key app="EN" db-id="xtwfdzde5ttr0zevxrh5sf0c2wfzw5zf2vra" timestamp="1643290955" guid="92aabeff-aeba-4561-8245-c08e93e1a9ab"&gt;418&lt;/key&gt;&lt;/foreign-keys&gt;&lt;ref-type name="Journal Article"&gt;17&lt;/ref-type&gt;&lt;contributors&gt;&lt;authors&gt;&lt;author&gt;Shaw, K.&lt;/author&gt;&lt;author&gt;Cartwright, C.&lt;/author&gt;&lt;author&gt;Craig, J.&lt;/author&gt;&lt;/authors&gt;&lt;/contributors&gt;&lt;titles&gt;&lt;title&gt;The housing and support needs of people with an intellectual disability into older age&lt;/title&gt;&lt;secondary-title&gt;Journal of Intellectual Disability Research&lt;/secondary-title&gt;&lt;short-title&gt;The housing and support needs of people with an intellectual disability into older age&lt;/short-title&gt;&lt;/titles&gt;&lt;periodical&gt;&lt;full-title&gt;Journal of Intellectual Disability Research&lt;/full-title&gt;&lt;/periodical&gt;&lt;pages&gt;895-903&lt;/pages&gt;&lt;volume&gt;55&lt;/volume&gt;&lt;number&gt;9&lt;/number&gt;&lt;dates&gt;&lt;year&gt;2011&lt;/year&gt;&lt;/dates&gt;&lt;urls&gt;&lt;/urls&gt;&lt;electronic-resource-num&gt;10.1111/j.1365-2788.2011.01449.x&lt;/electronic-resource-num&gt;&lt;/record&gt;&lt;/Cite&gt;&lt;/EndNote&gt;</w:instrText>
      </w:r>
      <w:r w:rsidRPr="00EC6747">
        <w:fldChar w:fldCharType="separate"/>
      </w:r>
      <w:r w:rsidR="00FF5F49">
        <w:rPr>
          <w:noProof/>
        </w:rPr>
        <w:t>(Shaw et al., 2011; NDA, 2006)</w:t>
      </w:r>
      <w:r w:rsidRPr="00EC6747">
        <w:fldChar w:fldCharType="end"/>
      </w:r>
      <w:r w:rsidRPr="00EC6747">
        <w:t xml:space="preserve">, providing accessible environments and supports </w:t>
      </w:r>
      <w:r w:rsidRPr="00EC6747">
        <w:fldChar w:fldCharType="begin"/>
      </w:r>
      <w:r w:rsidR="006A378C">
        <w:instrText xml:space="preserve"> ADDIN EN.CITE &lt;EndNote&gt;&lt;Cite&gt;&lt;Author&gt;NDA&lt;/Author&gt;&lt;Year&gt;2006&lt;/Year&gt;&lt;RecNum&gt;503&lt;/RecNum&gt;&lt;DisplayText&gt;(NDA, 2006)&lt;/DisplayText&gt;&lt;record&gt;&lt;rec-number&gt;503&lt;/rec-number&gt;&lt;foreign-keys&gt;&lt;key app="EN" db-id="xtwfdzde5ttr0zevxrh5sf0c2wfzw5zf2vra" timestamp="1648135232" guid="4bd20a04-f8a6-42f7-b837-a1b98d3a96ff"&gt;503&lt;/key&gt;&lt;/foreign-keys&gt;&lt;ref-type name="Report"&gt;27&lt;/ref-type&gt;&lt;contributors&gt;&lt;authors&gt;&lt;author&gt;NDA&lt;/author&gt;&lt;/authors&gt;&lt;/contributors&gt;&lt;titles&gt;&lt;title&gt;Ageing &amp;amp; Disability: A Discussion Paper&lt;/title&gt;&lt;/titles&gt;&lt;dates&gt;&lt;year&gt;2006&lt;/year&gt;&lt;/dates&gt;&lt;pub-location&gt;Dublin&lt;/pub-location&gt;&lt;publisher&gt;National Disability Authority&lt;/publisher&gt;&lt;urls&gt;&lt;related-urls&gt;&lt;url&gt;https://nda.ie/Publications/Health/Health-Publications/Ageing-Disability-A-Discussion-Paper1.html&lt;/url&gt;&lt;/related-urls&gt;&lt;/urls&gt;&lt;/record&gt;&lt;/Cite&gt;&lt;/EndNote&gt;</w:instrText>
      </w:r>
      <w:r w:rsidRPr="00EC6747">
        <w:fldChar w:fldCharType="separate"/>
      </w:r>
      <w:r w:rsidRPr="00EC6747">
        <w:rPr>
          <w:noProof/>
        </w:rPr>
        <w:t>(NDA, 2006)</w:t>
      </w:r>
      <w:r w:rsidRPr="00EC6747">
        <w:fldChar w:fldCharType="end"/>
      </w:r>
      <w:r w:rsidRPr="00EC6747">
        <w:t xml:space="preserve">, and integrated support between familial, social and health service networks are needed to support older people </w:t>
      </w:r>
      <w:r w:rsidR="007B4A0C">
        <w:t>with intellectual disabilities</w:t>
      </w:r>
      <w:r w:rsidRPr="00EC6747">
        <w:t xml:space="preserve"> to age in place. An emphasis should be placed on person-centred planning </w:t>
      </w:r>
      <w:r w:rsidRPr="00EC6747">
        <w:fldChar w:fldCharType="begin"/>
      </w:r>
      <w:r w:rsidR="006A378C">
        <w:instrText xml:space="preserve"> ADDIN EN.CITE &lt;EndNote&gt;&lt;Cite&gt;&lt;Author&gt;Schepens&lt;/Author&gt;&lt;Year&gt;2019&lt;/Year&gt;&lt;RecNum&gt;416&lt;/RecNum&gt;&lt;DisplayText&gt;(Schepens et al., 2019)&lt;/DisplayText&gt;&lt;record&gt;&lt;rec-number&gt;416&lt;/rec-number&gt;&lt;foreign-keys&gt;&lt;key app="EN" db-id="xtwfdzde5ttr0zevxrh5sf0c2wfzw5zf2vra" timestamp="1643290955" guid="24d01d24-e562-4327-965c-b21f7f023220"&gt;416&lt;/key&gt;&lt;/foreign-keys&gt;&lt;ref-type name="Journal Article"&gt;17&lt;/ref-type&gt;&lt;contributors&gt;&lt;authors&gt;&lt;author&gt;Schepens, Hadewych R. M. M.&lt;/author&gt;&lt;author&gt;Van Puyenbroeck, Joris&lt;/author&gt;&lt;author&gt;Maes, Bea&lt;/author&gt;&lt;/authors&gt;&lt;/contributors&gt;&lt;titles&gt;&lt;title&gt;How to improve the quality of life of elderly people with intellectual disability: A systematic literature review of support strategies&lt;/title&gt;&lt;secondary-title&gt;Journal of Applied Research in Intellectual Disabilities&lt;/secondary-title&gt;&lt;short-title&gt;How to improve the quality of life of elderly people with intellectual disability: A systematic literature review of support strategies&lt;/short-title&gt;&lt;/titles&gt;&lt;periodical&gt;&lt;full-title&gt;Journal of Applied Research in Intellectual Disabilities&lt;/full-title&gt;&lt;/periodical&gt;&lt;pages&gt;483-521&lt;/pages&gt;&lt;volume&gt;32&lt;/volume&gt;&lt;dates&gt;&lt;year&gt;2019&lt;/year&gt;&lt;/dates&gt;&lt;urls&gt;&lt;/urls&gt;&lt;electronic-resource-num&gt;10.1111/jar.12559&lt;/electronic-resource-num&gt;&lt;/record&gt;&lt;/Cite&gt;&lt;/EndNote&gt;</w:instrText>
      </w:r>
      <w:r w:rsidRPr="00EC6747">
        <w:fldChar w:fldCharType="separate"/>
      </w:r>
      <w:r w:rsidRPr="00EC6747">
        <w:rPr>
          <w:noProof/>
        </w:rPr>
        <w:t>(Schepens et al., 2019)</w:t>
      </w:r>
      <w:r w:rsidRPr="00EC6747">
        <w:fldChar w:fldCharType="end"/>
      </w:r>
      <w:r w:rsidRPr="00EC6747">
        <w:t xml:space="preserve"> and enhancing social supports and friendships as the person becomes more disabled over time </w:t>
      </w:r>
      <w:r w:rsidRPr="00EC6747">
        <w:fldChar w:fldCharType="begin"/>
      </w:r>
      <w:r w:rsidR="006A378C">
        <w:instrText xml:space="preserve"> ADDIN EN.CITE &lt;EndNote&gt;&lt;Cite&gt;&lt;Author&gt;Shaw&lt;/Author&gt;&lt;Year&gt;2011&lt;/Year&gt;&lt;RecNum&gt;418&lt;/RecNum&gt;&lt;DisplayText&gt;(Shaw et al., 2011)&lt;/DisplayText&gt;&lt;record&gt;&lt;rec-number&gt;418&lt;/rec-number&gt;&lt;foreign-keys&gt;&lt;key app="EN" db-id="xtwfdzde5ttr0zevxrh5sf0c2wfzw5zf2vra" timestamp="1643290955" guid="92aabeff-aeba-4561-8245-c08e93e1a9ab"&gt;418&lt;/key&gt;&lt;/foreign-keys&gt;&lt;ref-type name="Journal Article"&gt;17&lt;/ref-type&gt;&lt;contributors&gt;&lt;authors&gt;&lt;author&gt;Shaw, K.&lt;/author&gt;&lt;author&gt;Cartwright, C.&lt;/author&gt;&lt;author&gt;Craig, J.&lt;/author&gt;&lt;/authors&gt;&lt;/contributors&gt;&lt;titles&gt;&lt;title&gt;The housing and support needs of people with an intellectual disability into older age&lt;/title&gt;&lt;secondary-title&gt;Journal of Intellectual Disability Research&lt;/secondary-title&gt;&lt;short-title&gt;The housing and support needs of people with an intellectual disability into older age&lt;/short-title&gt;&lt;/titles&gt;&lt;periodical&gt;&lt;full-title&gt;Journal of Intellectual Disability Research&lt;/full-title&gt;&lt;/periodical&gt;&lt;pages&gt;895-903&lt;/pages&gt;&lt;volume&gt;55&lt;/volume&gt;&lt;number&gt;9&lt;/number&gt;&lt;dates&gt;&lt;year&gt;2011&lt;/year&gt;&lt;/dates&gt;&lt;urls&gt;&lt;/urls&gt;&lt;electronic-resource-num&gt;10.1111/j.1365-2788.2011.01449.x&lt;/electronic-resource-num&gt;&lt;/record&gt;&lt;/Cite&gt;&lt;/EndNote&gt;</w:instrText>
      </w:r>
      <w:r w:rsidRPr="00EC6747">
        <w:fldChar w:fldCharType="separate"/>
      </w:r>
      <w:r w:rsidRPr="00EC6747">
        <w:rPr>
          <w:noProof/>
        </w:rPr>
        <w:t>(Shaw et al., 2011)</w:t>
      </w:r>
      <w:r w:rsidRPr="00EC6747">
        <w:fldChar w:fldCharType="end"/>
      </w:r>
      <w:r w:rsidRPr="00EC6747">
        <w:t>.</w:t>
      </w:r>
      <w:r w:rsidRPr="00A471B9">
        <w:t xml:space="preserve"> </w:t>
      </w:r>
    </w:p>
    <w:p w14:paraId="0EED0414" w14:textId="28C91677" w:rsidR="00422820" w:rsidRPr="00906B8B" w:rsidRDefault="00EC6747" w:rsidP="00647FED">
      <w:pPr>
        <w:pStyle w:val="Heading2"/>
      </w:pPr>
      <w:bookmarkStart w:id="71" w:name="_Toc116045681"/>
      <w:bookmarkStart w:id="72" w:name="_Toc118555190"/>
      <w:bookmarkStart w:id="73" w:name="_Toc118558253"/>
      <w:bookmarkStart w:id="74" w:name="_Toc118558348"/>
      <w:bookmarkStart w:id="75" w:name="_Toc121830603"/>
      <w:r w:rsidRPr="00906B8B">
        <w:t>Complex age-related issues</w:t>
      </w:r>
      <w:bookmarkEnd w:id="71"/>
      <w:bookmarkEnd w:id="72"/>
      <w:bookmarkEnd w:id="73"/>
      <w:bookmarkEnd w:id="74"/>
      <w:bookmarkEnd w:id="75"/>
    </w:p>
    <w:p w14:paraId="64447758" w14:textId="0F6F9C7F" w:rsidR="00EC6747" w:rsidRPr="009E48B9" w:rsidRDefault="00EC6747" w:rsidP="00EC6747">
      <w:r w:rsidRPr="00E66DCD">
        <w:t xml:space="preserve">Older adults </w:t>
      </w:r>
      <w:r w:rsidR="007B4A0C" w:rsidRPr="00E66DCD">
        <w:t>with intellectual disabilities</w:t>
      </w:r>
      <w:r w:rsidRPr="00E66DCD">
        <w:t xml:space="preserve"> are an increasingly diverse population whose health and social care needs are highly varied and complex </w:t>
      </w:r>
      <w:r w:rsidRPr="00E66DCD">
        <w:fldChar w:fldCharType="begin">
          <w:fldData xml:space="preserve">PEVuZE5vdGU+PENpdGU+PEF1dGhvcj5IYXR6aWRpbWl0cmlhZG91PC9BdXRob3I+PFllYXI+MjAw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</w:fldData>
        </w:fldChar>
      </w:r>
      <w:r w:rsidR="00B26CBF">
        <w:instrText xml:space="preserve"> ADDIN EN.CITE </w:instrText>
      </w:r>
      <w:r w:rsidR="00B26CBF">
        <w:fldChar w:fldCharType="begin">
          <w:fldData xml:space="preserve">PEVuZE5vdGU+PENpdGU+PEF1dGhvcj5IYXR6aWRpbWl0cmlhZG91PC9BdXRob3I+PFllYXI+MjAw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</w:fldData>
        </w:fldChar>
      </w:r>
      <w:r w:rsidR="00B26CBF">
        <w:instrText xml:space="preserve"> ADDIN EN.CITE.DATA </w:instrText>
      </w:r>
      <w:r w:rsidR="00B26CBF">
        <w:fldChar w:fldCharType="end"/>
      </w:r>
      <w:r w:rsidRPr="00E66DCD">
        <w:fldChar w:fldCharType="separate"/>
      </w:r>
      <w:r w:rsidR="00B26CBF">
        <w:rPr>
          <w:noProof/>
        </w:rPr>
        <w:t>(McCausland et al., 2021a; Hatzidimitriadou &amp; Milne, 2005)</w:t>
      </w:r>
      <w:r w:rsidRPr="00E66DCD">
        <w:fldChar w:fldCharType="end"/>
      </w:r>
      <w:r w:rsidRPr="00E66DCD">
        <w:t xml:space="preserve">. Although no single definition of complex care needs exists </w:t>
      </w:r>
      <w:r w:rsidRPr="00E66DCD">
        <w:fldChar w:fldCharType="begin"/>
      </w:r>
      <w:r w:rsidRPr="00E66DCD">
        <w:instrText xml:space="preserve"> ADDIN EN.CITE &lt;EndNote&gt;&lt;Cite&gt;&lt;Author&gt;Gridley&lt;/Author&gt;&lt;Year&gt;2014&lt;/Year&gt;&lt;RecNum&gt;489&lt;/RecNum&gt;&lt;DisplayText&gt;(Gridley et al., 2014)&lt;/DisplayText&gt;&lt;record&gt;&lt;rec-number&gt;489&lt;/rec-number&gt;&lt;foreign-keys&gt;&lt;key app="EN" db-id="xtwfdzde5ttr0zevxrh5sf0c2wfzw5zf2vra" timestamp="1648032006" guid="5301097c-1a63-406a-b713-31b47fb36a8b"&gt;489&lt;/key&gt;&lt;/foreign-keys&gt;&lt;ref-type name="Journal Article"&gt;17&lt;/ref-type&gt;&lt;contributors&gt;&lt;authors&gt;&lt;author&gt;Gridley, Kate&lt;/author&gt;&lt;author&gt;Brooks, Jenni&lt;/author&gt;&lt;author&gt;Glendinning, Caroline&lt;/author&gt;&lt;/authors&gt;&lt;/contributors&gt;&lt;titles&gt;&lt;title&gt;Good practice in social care for disabled adults and older people with severe and complex needs: evidence from a scoping review&lt;/title&gt;&lt;secondary-title&gt;Health &amp;amp; Social Care in the Community&lt;/secondary-title&gt;&lt;/titles&gt;&lt;periodical&gt;&lt;full-title&gt;Health &amp;amp; Social Care in the Community&lt;/full-title&gt;&lt;/periodical&gt;&lt;pages&gt;234-248&lt;/pages&gt;&lt;volume&gt;22&lt;/volume&gt;&lt;number&gt;3&lt;/number&gt;&lt;dates&gt;&lt;year&gt;2014&lt;/year&gt;&lt;/dates&gt;&lt;publisher&gt;Wiley&lt;/publisher&gt;&lt;isbn&gt;0966-0410&lt;/isbn&gt;&lt;urls&gt;&lt;related-urls&gt;&lt;url&gt;https://dx.doi.org/10.1111/hsc.12063&lt;/url&gt;&lt;/related-urls&gt;&lt;/urls&gt;&lt;electronic-resource-num&gt;10.1111/hsc.12063&lt;/electronic-resource-num&gt;&lt;/record&gt;&lt;/Cite&gt;&lt;/EndNote&gt;</w:instrText>
      </w:r>
      <w:r w:rsidRPr="00E66DCD">
        <w:fldChar w:fldCharType="separate"/>
      </w:r>
      <w:r w:rsidRPr="00E66DCD">
        <w:rPr>
          <w:noProof/>
        </w:rPr>
        <w:t>(Gridley et al., 2014)</w:t>
      </w:r>
      <w:r w:rsidRPr="00E66DCD">
        <w:fldChar w:fldCharType="end"/>
      </w:r>
      <w:r w:rsidRPr="00E66DCD">
        <w:t xml:space="preserve">, broadly speaking, individuals considered to have </w:t>
      </w:r>
      <w:r w:rsidR="000136F5" w:rsidRPr="00E66DCD">
        <w:t>complex care needs</w:t>
      </w:r>
      <w:r w:rsidRPr="00E66DCD">
        <w:t xml:space="preserve"> experience a range of support needs across multiple areas, including psychosocial, behavioural, health, and social needs. This complexity is also influenced by environmental and contextual factors such as the person’s socioeconomic status and the health systems and services in place </w:t>
      </w:r>
      <w:r w:rsidRPr="00E66DCD">
        <w:fldChar w:fldCharType="begin">
          <w:fldData xml:space="preserve">PEVuZE5vdGU+PENpdGU+PEF1dGhvcj5Db2xsaW5nczwvQXV0aG9yPjxZZWFyPjIwMTY8L1llYXI+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</w:fldData>
        </w:fldChar>
      </w:r>
      <w:r w:rsidR="00B26CBF">
        <w:instrText xml:space="preserve"> ADDIN EN.CITE </w:instrText>
      </w:r>
      <w:r w:rsidR="00B26CBF">
        <w:fldChar w:fldCharType="begin">
          <w:fldData xml:space="preserve">PEVuZE5vdGU+PENpdGU+PEF1dGhvcj5Db2xsaW5nczwvQXV0aG9yPjxZZWFyPjIwMTY8L1llYXI+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</w:fldData>
        </w:fldChar>
      </w:r>
      <w:r w:rsidR="00B26CBF">
        <w:instrText xml:space="preserve"> ADDIN EN.CITE.DATA </w:instrText>
      </w:r>
      <w:r w:rsidR="00B26CBF">
        <w:fldChar w:fldCharType="end"/>
      </w:r>
      <w:r w:rsidRPr="00E66DCD">
        <w:fldChar w:fldCharType="separate"/>
      </w:r>
      <w:r w:rsidR="00B26CBF">
        <w:rPr>
          <w:noProof/>
        </w:rPr>
        <w:t>(Dew et al., 2019; Collings et al., 2016)</w:t>
      </w:r>
      <w:r w:rsidRPr="00E66DCD">
        <w:fldChar w:fldCharType="end"/>
      </w:r>
      <w:r w:rsidRPr="00E66DCD">
        <w:t xml:space="preserve">. Thus, </w:t>
      </w:r>
      <w:r w:rsidRPr="00E66DCD">
        <w:fldChar w:fldCharType="begin">
          <w:fldData xml:space="preserve">PEVuZE5vdGU+PENpdGUgQXV0aG9yWWVhcj0iMSI+PEF1dGhvcj5CcmVubmVyPC9BdXRob3I+PFll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</w:fldData>
        </w:fldChar>
      </w:r>
      <w:r w:rsidR="00107885" w:rsidRPr="00E66DCD">
        <w:instrText xml:space="preserve"> ADDIN EN.CITE </w:instrText>
      </w:r>
      <w:r w:rsidR="00107885" w:rsidRPr="00E66DCD">
        <w:fldChar w:fldCharType="begin">
          <w:fldData xml:space="preserve">PEVuZE5vdGU+PENpdGUgQXV0aG9yWWVhcj0iMSI+PEF1dGhvcj5CcmVubmVyPC9BdXRob3I+PFll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</w:fldData>
        </w:fldChar>
      </w:r>
      <w:r w:rsidR="00107885" w:rsidRPr="00E66DCD">
        <w:instrText xml:space="preserve"> ADDIN EN.CITE.DATA </w:instrText>
      </w:r>
      <w:r w:rsidR="00107885" w:rsidRPr="00E66DCD">
        <w:fldChar w:fldCharType="end"/>
      </w:r>
      <w:r w:rsidRPr="00E66DCD">
        <w:fldChar w:fldCharType="separate"/>
      </w:r>
      <w:r w:rsidR="00107885" w:rsidRPr="00E66DCD">
        <w:rPr>
          <w:noProof/>
        </w:rPr>
        <w:t>Brenner et al. (2018, p. 1647)</w:t>
      </w:r>
      <w:r w:rsidRPr="00E66DCD">
        <w:fldChar w:fldCharType="end"/>
      </w:r>
      <w:r w:rsidRPr="00E66DCD">
        <w:t xml:space="preserve"> </w:t>
      </w:r>
      <w:r w:rsidRPr="00E66DCD">
        <w:fldChar w:fldCharType="begin"/>
      </w:r>
      <w:r w:rsidRPr="00E66DCD">
        <w:instrText xml:space="preserve"> ADDIN EN.CITE &lt;EndNote&gt;&lt;Cite Hidden="1"&gt;&lt;Author&gt;Brenner&lt;/Author&gt;&lt;Year&gt;2018&lt;/Year&gt;&lt;RecNum&gt;507&lt;/RecNum&gt;&lt;record&gt;&lt;rec-number&gt;507&lt;/rec-number&gt;&lt;foreign-keys&gt;&lt;key app="EN" db-id="xtwfdzde5ttr0zevxrh5sf0c2wfzw5zf2vra" timestamp="1648552868" guid="321f2279-41c8-4b86-aef0-060cb3312d08"&gt;507&lt;/key&gt;&lt;/foreign-keys&gt;&lt;ref-type name="Journal Article"&gt;17&lt;/ref-type&gt;&lt;contributors&gt;&lt;authors&gt;&lt;author&gt;Brenner, Maria&lt;/author&gt;&lt;author&gt;Kidston, Claire&lt;/author&gt;&lt;author&gt;Hilliard, Carol&lt;/author&gt;&lt;author&gt;Coyne, Imelda&lt;/author&gt;&lt;author&gt;Eustace-Cook, Jessica&lt;/author&gt;&lt;author&gt;Doyle, Carmel&lt;/author&gt;&lt;author&gt;Begley, Thelma&lt;/author&gt;&lt;author&gt;Barrett, Michael J.&lt;/author&gt;&lt;/authors&gt;&lt;/contributors&gt;&lt;titles&gt;&lt;title&gt;Children’s complex care needs: a systematic concept analysis of multidisciplinary language&lt;/title&gt;&lt;secondary-title&gt;European Journal of Pediatrics&lt;/secondary-title&gt;&lt;/titles&gt;&lt;periodical&gt;&lt;full-title&gt;European Journal of Pediatrics&lt;/full-title&gt;&lt;/periodical&gt;&lt;pages&gt;1647&lt;/pages&gt;&lt;volume&gt;177&lt;/volume&gt;&lt;number&gt;11&lt;/number&gt;&lt;dates&gt;&lt;year&gt;2018&lt;/year&gt;&lt;/dates&gt;&lt;publisher&gt;Springer Science and Business Media LLC&lt;/publisher&gt;&lt;isbn&gt;0340-6199&lt;/isbn&gt;&lt;urls&gt;&lt;related-urls&gt;&lt;url&gt;https://dx.doi.org/10.1007/s00431-018-3216-9&lt;/url&gt;&lt;/related-urls&gt;&lt;/urls&gt;&lt;electronic-resource-num&gt;10.1007/s00431-018-3216-9&lt;/electronic-resource-num&gt;&lt;/record&gt;&lt;/Cite&gt;&lt;/EndNote&gt;</w:instrText>
      </w:r>
      <w:r w:rsidRPr="00E66DCD">
        <w:fldChar w:fldCharType="end"/>
      </w:r>
      <w:r w:rsidRPr="00E66DCD">
        <w:t xml:space="preserve">define </w:t>
      </w:r>
      <w:r w:rsidR="000136F5" w:rsidRPr="00E66DCD">
        <w:t xml:space="preserve">complex care needs </w:t>
      </w:r>
      <w:r w:rsidRPr="00E66DCD">
        <w:t>as:</w:t>
      </w:r>
      <w:r>
        <w:t xml:space="preserve"> </w:t>
      </w:r>
    </w:p>
    <w:p w14:paraId="31A3567E" w14:textId="7DF09951" w:rsidR="00EC6747" w:rsidRDefault="00EC6747" w:rsidP="1B3642C9">
      <w:pPr>
        <w:ind w:left="720" w:right="720"/>
      </w:pPr>
      <w:r w:rsidRPr="005852BC">
        <w:rPr>
          <w:i/>
        </w:rPr>
        <w:t>Multidimensional health and social care needs in the presence of a recognized medical condition or where there is no unifying diagnosis. They are individual and contextualized, are continuing and dynamic, and are present across a range of settings, impacted by healthcare structure</w:t>
      </w:r>
      <w:r w:rsidRPr="007170E0">
        <w:t>.</w:t>
      </w:r>
      <w:r>
        <w:t xml:space="preserve"> </w:t>
      </w:r>
    </w:p>
    <w:p w14:paraId="6239EC59" w14:textId="196EA6F1" w:rsidR="00EC6747" w:rsidRDefault="00EC6747" w:rsidP="00EC6747">
      <w:r w:rsidRPr="009E48B9">
        <w:t xml:space="preserve">The ageing process and the progressive increase in life expectancy of people </w:t>
      </w:r>
      <w:r w:rsidR="007B4A0C">
        <w:t>with intellectual disabilities</w:t>
      </w:r>
      <w:r w:rsidRPr="009E48B9">
        <w:t xml:space="preserve"> further </w:t>
      </w:r>
      <w:r>
        <w:t>add</w:t>
      </w:r>
      <w:r w:rsidRPr="009E48B9">
        <w:t xml:space="preserve"> to the complexity of these needs </w:t>
      </w:r>
      <w:r w:rsidRPr="009E48B9">
        <w:fldChar w:fldCharType="begin"/>
      </w:r>
      <w:r>
        <w:instrText xml:space="preserve"> ADDIN EN.CITE &lt;EndNote&gt;&lt;Cite&gt;&lt;Author&gt;Alcedo&lt;/Author&gt;&lt;Year&gt;2017&lt;/Year&gt;&lt;RecNum&gt;302&lt;/RecNum&gt;&lt;DisplayText&gt;(Alcedo et al., 2017)&lt;/DisplayText&gt;&lt;record&gt;&lt;rec-number&gt;302&lt;/rec-number&gt;&lt;foreign-keys&gt;&lt;key app="EN" db-id="xtwfdzde5ttr0zevxrh5sf0c2wfzw5zf2vra" timestamp="1643290955" guid="7e4431c0-d1b6-420e-8840-74f47801fb74"&gt;302&lt;/key&gt;&lt;/foreign-keys&gt;&lt;ref-type name="Journal Article"&gt;17&lt;/ref-type&gt;&lt;contributors&gt;&lt;authors&gt;&lt;author&gt;Alcedo, María Ángeles&lt;/author&gt;&lt;author&gt;Fontanil, Yolanda&lt;/author&gt;&lt;author&gt;Solís, Patricia&lt;/author&gt;&lt;author&gt;Pedrosa, Ignacio&lt;/author&gt;&lt;author&gt;Aguado, Antonio L.&lt;/author&gt;&lt;/authors&gt;&lt;/contributors&gt;&lt;titles&gt;&lt;title&gt;People with intellectual disability who are ageing: Perceived needs assessment&lt;/title&gt;&lt;secondary-title&gt;International Journal of Clinical and Health Psychology&lt;/secondary-title&gt;&lt;short-title&gt;People with intellectual disability who are ageing: Perceived needs assessment&lt;/short-title&gt;&lt;/titles&gt;&lt;periodical&gt;&lt;full-title&gt;International Journal of Clinical and Health Psychology&lt;/full-title&gt;&lt;/periodical&gt;&lt;volume&gt;17&lt;/volume&gt;&lt;number&gt;1&lt;/number&gt;&lt;dates&gt;&lt;year&gt;2017&lt;/year&gt;&lt;/dates&gt;&lt;urls&gt;&lt;/urls&gt;&lt;electronic-resource-num&gt;10.1016/j.ijchp.2016.07.002&lt;/electronic-resource-num&gt;&lt;/record&gt;&lt;/Cite&gt;&lt;/EndNote&gt;</w:instrText>
      </w:r>
      <w:r w:rsidRPr="009E48B9">
        <w:fldChar w:fldCharType="separate"/>
      </w:r>
      <w:r>
        <w:rPr>
          <w:noProof/>
        </w:rPr>
        <w:t>(Alcedo et al., 2017)</w:t>
      </w:r>
      <w:r w:rsidRPr="009E48B9">
        <w:fldChar w:fldCharType="end"/>
      </w:r>
      <w:r w:rsidRPr="009E48B9">
        <w:t xml:space="preserve">. </w:t>
      </w:r>
      <w:r>
        <w:t xml:space="preserve">The international literature suggests that for some groups of people </w:t>
      </w:r>
      <w:r w:rsidR="007B4A0C">
        <w:t>with intellectual disabilities</w:t>
      </w:r>
      <w:r>
        <w:t xml:space="preserve">, ageing is a more complex process than that </w:t>
      </w:r>
      <w:r w:rsidR="3AE0D96F">
        <w:t>experienced by persons without intellectual disabilit</w:t>
      </w:r>
      <w:r w:rsidR="00A000DA">
        <w:t>ies</w:t>
      </w:r>
      <w:r>
        <w:t xml:space="preserve"> due to premature ageing and secondary health conditions, or additional age-related</w:t>
      </w:r>
      <w:r w:rsidR="6C0A3275">
        <w:t xml:space="preserve"> </w:t>
      </w:r>
      <w:r>
        <w:t xml:space="preserve">health conditions that a person with a disability may </w:t>
      </w:r>
      <w:bookmarkStart w:id="76" w:name="_Int_xdF8oDfs"/>
      <w:r>
        <w:t>experience</w:t>
      </w:r>
      <w:bookmarkEnd w:id="76"/>
      <w:r>
        <w:t xml:space="preserve"> </w:t>
      </w:r>
      <w:r>
        <w:fldChar w:fldCharType="begin">
          <w:fldData xml:space="preserve">PEVuZE5vdGU+PENpdGU+PEF1dGhvcj5BbGZ0YmVyZzwvQXV0aG9yPjxZZWFyPjIwMjE8L1llYXI+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</w:fldData>
        </w:fldChar>
      </w:r>
      <w:r w:rsidR="00B26CBF">
        <w:instrText xml:space="preserve"> ADDIN EN.CITE </w:instrText>
      </w:r>
      <w:r w:rsidR="00B26CBF">
        <w:fldChar w:fldCharType="begin">
          <w:fldData xml:space="preserve">PEVuZE5vdGU+PENpdGU+PEF1dGhvcj5BbGZ0YmVyZzwvQXV0aG9yPjxZZWFyPjIwMjE8L1llYXI+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</w:fldData>
        </w:fldChar>
      </w:r>
      <w:r w:rsidR="00B26CBF">
        <w:instrText xml:space="preserve"> ADDIN EN.CITE.DATA </w:instrText>
      </w:r>
      <w:r w:rsidR="00B26CBF">
        <w:fldChar w:fldCharType="end"/>
      </w:r>
      <w:r>
        <w:fldChar w:fldCharType="separate"/>
      </w:r>
      <w:r w:rsidR="00B26CBF">
        <w:rPr>
          <w:noProof/>
        </w:rPr>
        <w:t>(Alftberg et al., 2021; Haveman et al., 2010; Hatzidimitriadou &amp; Milne, 2005)</w:t>
      </w:r>
      <w:r>
        <w:fldChar w:fldCharType="end"/>
      </w:r>
      <w:r>
        <w:t xml:space="preserve">. For example, Down Syndrome has been associated with premature ageing and an increased risk of developing early-onset dementia </w:t>
      </w:r>
      <w:r>
        <w:fldChar w:fldCharType="begin"/>
      </w:r>
      <w:r w:rsidR="00FF5F49">
        <w:instrText xml:space="preserve"> ADDIN EN.CITE &lt;EndNote&gt;&lt;Cite&gt;&lt;Author&gt;Bigby&lt;/Author&gt;&lt;Year&gt;2008&lt;/Year&gt;&lt;RecNum&gt;492&lt;/RecNum&gt;&lt;DisplayText&gt;(Bigby et al., 2008; Janicki &amp;amp; Dalton, 2000)&lt;/DisplayText&gt;&lt;record&gt;&lt;rec-number&gt;492&lt;/rec-number&gt;&lt;foreign-keys&gt;&lt;key app="EN" db-id="xtwfdzde5ttr0zevxrh5sf0c2wfzw5zf2vra" timestamp="1648122817" guid="12090c6a-0596-4456-a4e1-87016dfdf618"&gt;492&lt;/key&gt;&lt;/foreign-keys&gt;&lt;ref-type name="Journal Article"&gt;17&lt;/ref-type&gt;&lt;contributors&gt;&lt;authors&gt;&lt;author&gt;Bigby, Christine&lt;/author&gt;&lt;author&gt;Webber, Ruth&lt;/author&gt;&lt;author&gt;Bowers, Barbara&lt;/author&gt;&lt;author&gt;McKenzie</w:instrText>
      </w:r>
      <w:r w:rsidR="00FF5F49">
        <w:rPr>
          <w:rFonts w:ascii="Cambria Math" w:hAnsi="Cambria Math" w:cs="Cambria Math"/>
        </w:rPr>
        <w:instrText>‐</w:instrText>
      </w:r>
      <w:r w:rsidR="00FF5F49">
        <w:instrText>Green, Barbara&lt;/author&gt;&lt;/authors&gt;&lt;/contributors&gt;&lt;titles&gt;&lt;title&gt;A survey of people with intellectual disabilities living in residential aged care facilities in Victoria&lt;/title&gt;&lt;secondary-title&gt;Journal of Intellectual Disability Research&lt;/secondary-title&gt;&lt;/titles&gt;&lt;periodical&gt;&lt;full-title&gt;Journal of Intellectual Disability Research&lt;/full-title&gt;&lt;/periodical&gt;&lt;pages&gt;404-414&lt;/pages&gt;&lt;volume&gt;52&lt;/volume&gt;&lt;number&gt;5&lt;/number&gt;&lt;dates&gt;&lt;year&gt;2008&lt;/year&gt;&lt;/dates&gt;&lt;isbn&gt;0964-2633&lt;/isbn&gt;&lt;urls&gt;&lt;/urls&gt;&lt;/record&gt;&lt;/Cite&gt;&lt;Cite&gt;&lt;Author&gt;Janicki&lt;/Author&gt;&lt;Year&gt;2000&lt;/Year&gt;&lt;RecNum&gt;493&lt;/RecNum&gt;&lt;record&gt;&lt;rec-number&gt;493&lt;/rec-number&gt;&lt;foreign-keys&gt;&lt;key app="EN" db-id="xtwfdzde5ttr0zevxrh5sf0c2wfzw5zf2vra" timestamp="1648122926" guid="3b6909d8-ddf0-4bd4-a63c-9e6ca7e5e712"&gt;493&lt;/key&gt;&lt;/foreign-keys&gt;&lt;ref-type name="Journal Article"&gt;17&lt;/ref-type&gt;&lt;contributors&gt;&lt;authors&gt;&lt;author&gt;Janicki, Matthew P&lt;/author&gt;&lt;author&gt;Dalton, Arthur J&lt;/author&gt;&lt;/authors&gt;&lt;/contributors&gt;&lt;titles&gt;&lt;title&gt;Prevalence of dementia and impact on intellectual disability services&lt;/title&gt;&lt;secondary-title&gt;Mental retardation&lt;/secondary-title&gt;&lt;/titles&gt;&lt;periodical&gt;&lt;full-title&gt;Mental retardation&lt;/full-title&gt;&lt;/periodical&gt;&lt;pages&gt;276-288&lt;/pages&gt;&lt;volume&gt;38&lt;/volume&gt;&lt;number&gt;3&lt;/number&gt;&lt;dates&gt;&lt;year&gt;2000&lt;/year&gt;&lt;/dates&gt;&lt;isbn&gt;0047-6765&lt;/isbn&gt;&lt;urls&gt;&lt;/urls&gt;&lt;/record&gt;&lt;/Cite&gt;&lt;/EndNote&gt;</w:instrText>
      </w:r>
      <w:r>
        <w:fldChar w:fldCharType="separate"/>
      </w:r>
      <w:r w:rsidR="00FF5F49">
        <w:rPr>
          <w:noProof/>
        </w:rPr>
        <w:t>(Bigby et al., 2008; Janicki &amp; Dalton, 2000)</w:t>
      </w:r>
      <w:r>
        <w:fldChar w:fldCharType="end"/>
      </w:r>
      <w:r>
        <w:t>.</w:t>
      </w:r>
    </w:p>
    <w:p w14:paraId="632D0499" w14:textId="52FAF0BD" w:rsidR="00EC6747" w:rsidRDefault="00EC6747" w:rsidP="00EC6747">
      <w:r w:rsidRPr="00EC6747">
        <w:t xml:space="preserve">While the life expectancy of older people </w:t>
      </w:r>
      <w:r w:rsidR="007B4A0C">
        <w:t>with intellectual disabilities</w:t>
      </w:r>
      <w:r w:rsidRPr="00EC6747">
        <w:t xml:space="preserve"> has risen substantially over the last number of decades, it still remains lower than that of </w:t>
      </w:r>
      <w:r w:rsidR="347A430B" w:rsidRPr="00EC6747">
        <w:t>persons without intellectual disabilit</w:t>
      </w:r>
      <w:r w:rsidR="00A000DA">
        <w:t>ies</w:t>
      </w:r>
      <w:r w:rsidRPr="00EC6747">
        <w:t xml:space="preserve"> </w:t>
      </w:r>
      <w:r w:rsidRPr="00EC6747">
        <w:fldChar w:fldCharType="begin"/>
      </w:r>
      <w:r w:rsidRPr="00EC6747">
        <w:instrText xml:space="preserve"> ADDIN EN.CITE &lt;EndNote&gt;&lt;Cite&gt;&lt;Author&gt;Heller&lt;/Author&gt;&lt;Year&gt;2019&lt;/Year&gt;&lt;RecNum&gt;462&lt;/RecNum&gt;&lt;DisplayText&gt;(Heller, 2019)&lt;/DisplayText&gt;&lt;record&gt;&lt;rec-number&gt;462&lt;/rec-number&gt;&lt;foreign-keys&gt;&lt;key app="EN" db-id="xtwfdzde5ttr0zevxrh5sf0c2wfzw5zf2vra" timestamp="1646305061" guid="f6311cf4-41bd-48f1-8d3f-61fe86ec99ef"&gt;462&lt;/key&gt;&lt;/foreign-keys&gt;&lt;ref-type name="Journal Article"&gt;17&lt;/ref-type&gt;&lt;contributors&gt;&lt;authors&gt;&lt;author&gt;Heller, Tamar&lt;/author&gt;&lt;/authors&gt;&lt;/contributors&gt;&lt;titles&gt;&lt;title&gt;Bridging Aging and Intellectual/Developmental Disabilities in Research, Policy, and Practice&lt;/title&gt;&lt;secondary-title&gt;Journal of Policy and Practice in Intellectual Disabilities&lt;/secondary-title&gt;&lt;/titles&gt;&lt;periodical&gt;&lt;full-title&gt;Journal of Policy and Practice in Intellectual Disabilities&lt;/full-title&gt;&lt;/periodical&gt;&lt;pages&gt;53-57&lt;/pages&gt;&lt;volume&gt;16&lt;/volume&gt;&lt;number&gt;1&lt;/number&gt;&lt;dates&gt;&lt;year&gt;2019&lt;/year&gt;&lt;/dates&gt;&lt;publisher&gt;Wiley&lt;/publisher&gt;&lt;isbn&gt;1741-1122&lt;/isbn&gt;&lt;urls&gt;&lt;related-urls&gt;&lt;url&gt;https://dx.doi.org/10.1111/jppi.12263&lt;/url&gt;&lt;/related-urls&gt;&lt;/urls&gt;&lt;electronic-resource-num&gt;10.1111/jppi.12263&lt;/electronic-resource-num&gt;&lt;/record&gt;&lt;/Cite&gt;&lt;/EndNote&gt;</w:instrText>
      </w:r>
      <w:r w:rsidRPr="00EC6747">
        <w:fldChar w:fldCharType="separate"/>
      </w:r>
      <w:r w:rsidRPr="00EC6747">
        <w:t>(Heller, 2019)</w:t>
      </w:r>
      <w:r w:rsidRPr="00EC6747">
        <w:fldChar w:fldCharType="end"/>
      </w:r>
      <w:r w:rsidRPr="00EC6747">
        <w:t xml:space="preserve">, and although the health and social care needs of ageing people </w:t>
      </w:r>
      <w:r w:rsidR="007B4A0C">
        <w:t>with intellectual disabilities</w:t>
      </w:r>
      <w:r w:rsidRPr="00EC6747">
        <w:t xml:space="preserve"> have been the focus of World Health Organization health and social policies </w:t>
      </w:r>
      <w:r w:rsidRPr="00EC6747">
        <w:fldChar w:fldCharType="begin">
          <w:fldData xml:space="preserve">PEVuZE5vdGU+PENpdGU+PEF1dGhvcj5FdmVuaHVpczwvQXV0aG9yPjxZZWFyPjIwMDE8L1llYXI+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==
</w:fldData>
        </w:fldChar>
      </w:r>
      <w:r w:rsidR="00FF5F49">
        <w:instrText xml:space="preserve"> ADDIN EN.CITE </w:instrText>
      </w:r>
      <w:r w:rsidR="00FF5F49">
        <w:fldChar w:fldCharType="begin">
          <w:fldData xml:space="preserve">PEVuZE5vdGU+PENpdGU+PEF1dGhvcj5FdmVuaHVpczwvQXV0aG9yPjxZZWFyPjIwMDE8L1llYXI+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==
</w:fldData>
        </w:fldChar>
      </w:r>
      <w:r w:rsidR="00FF5F49">
        <w:instrText xml:space="preserve"> ADDIN EN.CITE.DATA </w:instrText>
      </w:r>
      <w:r w:rsidR="00FF5F49">
        <w:fldChar w:fldCharType="end"/>
      </w:r>
      <w:r w:rsidRPr="00EC6747">
        <w:fldChar w:fldCharType="separate"/>
      </w:r>
      <w:r w:rsidR="00FF5F49">
        <w:rPr>
          <w:noProof/>
        </w:rPr>
        <w:t>(Evenhuis et al., 2001; Hogg et al., 2001)</w:t>
      </w:r>
      <w:r w:rsidRPr="00EC6747">
        <w:fldChar w:fldCharType="end"/>
      </w:r>
      <w:r w:rsidRPr="00EC6747">
        <w:t xml:space="preserve">, those ageing </w:t>
      </w:r>
      <w:r w:rsidR="007B4A0C">
        <w:t>with intellectual disabilities</w:t>
      </w:r>
      <w:r w:rsidRPr="00EC6747">
        <w:t xml:space="preserve"> still face a range of unmet health and social needs, and disparities continue to exist </w:t>
      </w:r>
      <w:r w:rsidRPr="00EC6747">
        <w:fldChar w:fldCharType="begin"/>
      </w:r>
      <w:r w:rsidRPr="00EC6747">
        <w:instrText xml:space="preserve"> ADDIN EN.CITE &lt;EndNote&gt;&lt;Cite&gt;&lt;Author&gt;Bigby&lt;/Author&gt;&lt;Year&gt;2014&lt;/Year&gt;&lt;RecNum&gt;453&lt;/RecNum&gt;&lt;DisplayText&gt;(Bigby, 2014)&lt;/DisplayText&gt;&lt;record&gt;&lt;rec-number&gt;453&lt;/rec-number&gt;&lt;foreign-keys&gt;&lt;key app="EN" db-id="xtwfdzde5ttr0zevxrh5sf0c2wfzw5zf2vra" timestamp="1644252299" guid="37debba2-a3f8-4627-9852-0e10d6075c22"&gt;453&lt;/key&gt;&lt;/foreign-keys&gt;&lt;ref-type name="Book Section"&gt;5&lt;/ref-type&gt;&lt;contributors&gt;&lt;authors&gt;&lt;author&gt;Bigby, C., McCallion, P., McCarron, M.&lt;/author&gt;&lt;/authors&gt;&lt;secondary-authors&gt;&lt;author&gt;Agran, M., Brown, F., Hughes, C., Quirk, C., Ryndak, D.&lt;/author&gt;&lt;/secondary-authors&gt;&lt;/contributors&gt;&lt;titles&gt;&lt;title&gt;Serving an Elderly Population&lt;/title&gt;&lt;secondary-title&gt;Equality &amp;amp; Full Participation for Individuals with Severe Disabilities: A Vision for the Future&lt;/secondary-title&gt;&lt;/titles&gt;&lt;pages&gt;319-348&lt;/pages&gt;&lt;section&gt;Serving an Elderly Population&lt;/section&gt;&lt;dates&gt;&lt;year&gt;2014&lt;/year&gt;&lt;/dates&gt;&lt;publisher&gt;Paul H. Brookes&lt;/publisher&gt;&lt;urls&gt;&lt;/urls&gt;&lt;/record&gt;&lt;/Cite&gt;&lt;/EndNote&gt;</w:instrText>
      </w:r>
      <w:r w:rsidRPr="00EC6747">
        <w:fldChar w:fldCharType="separate"/>
      </w:r>
      <w:r w:rsidRPr="00EC6747">
        <w:t>(Bigby, 2014)</w:t>
      </w:r>
      <w:r w:rsidRPr="00EC6747">
        <w:fldChar w:fldCharType="end"/>
      </w:r>
      <w:r>
        <w:t xml:space="preserve">. </w:t>
      </w:r>
    </w:p>
    <w:p w14:paraId="51163B7F" w14:textId="77777777" w:rsidR="00EC6747" w:rsidRPr="00906B8B" w:rsidRDefault="00EC6747" w:rsidP="00647FED">
      <w:pPr>
        <w:pStyle w:val="Heading3"/>
        <w:rPr>
          <w:color w:val="auto"/>
        </w:rPr>
      </w:pPr>
      <w:bookmarkStart w:id="77" w:name="_Toc116045682"/>
      <w:bookmarkStart w:id="78" w:name="_Toc118558254"/>
      <w:r w:rsidRPr="00906B8B">
        <w:rPr>
          <w:color w:val="auto"/>
        </w:rPr>
        <w:t>Physical and mental health needs</w:t>
      </w:r>
      <w:bookmarkEnd w:id="77"/>
      <w:bookmarkEnd w:id="78"/>
    </w:p>
    <w:p w14:paraId="5CF54FC7" w14:textId="7D470D84" w:rsidR="00EC6747" w:rsidRDefault="00EC6747" w:rsidP="00EC6747">
      <w:r>
        <w:t xml:space="preserve">There is widespread consensus that older people </w:t>
      </w:r>
      <w:r w:rsidR="007B4A0C">
        <w:t>with intellectual disabilities</w:t>
      </w:r>
      <w:r>
        <w:t xml:space="preserve"> are at greater risk of experiencing a range of health issues related to ageing which can occur at earlier ages and at higher rates than </w:t>
      </w:r>
      <w:r w:rsidR="6DB9C5BE">
        <w:t>among people who do not have intellectual disabilit</w:t>
      </w:r>
      <w:r w:rsidR="00A000DA">
        <w:t>ies</w:t>
      </w:r>
      <w:r>
        <w:t xml:space="preserve">. These health issues include cardiovascular diseases, obesity, diabetes, epilepsy, gastrointestinal issues (such as constipation), kidney disease, osteoporosis, frailty, falls and fractures, thyroid disorders, sensory impairment, poor oral health, high levels of medication use and polypharmacy, depression, and dementia </w:t>
      </w:r>
      <w:r>
        <w:fldChar w:fldCharType="begin">
          <w:fldData xml:space="preserve">PEVuZE5vdGU+PENpdGU+PEF1dGhvcj5CdXJrZTwvQXV0aG9yPjxZZWFyPjIwMTk8L1llYXI+PFJl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=
</w:fldData>
        </w:fldChar>
      </w:r>
      <w:r w:rsidR="00B26CBF">
        <w:instrText xml:space="preserve"> ADDIN EN.CITE </w:instrText>
      </w:r>
      <w:r w:rsidR="00B26CBF">
        <w:fldChar w:fldCharType="begin">
          <w:fldData xml:space="preserve">PEVuZE5vdGU+PENpdGU+PEF1dGhvcj5CdXJrZTwvQXV0aG9yPjxZZWFyPjIwMTk8L1llYXI+PFJl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=
</w:fldData>
        </w:fldChar>
      </w:r>
      <w:r w:rsidR="00B26CBF">
        <w:instrText xml:space="preserve"> ADDIN EN.CITE.DATA </w:instrText>
      </w:r>
      <w:r w:rsidR="00B26CBF">
        <w:fldChar w:fldCharType="end"/>
      </w:r>
      <w:r>
        <w:fldChar w:fldCharType="separate"/>
      </w:r>
      <w:r w:rsidR="00B26CBF">
        <w:rPr>
          <w:noProof/>
        </w:rPr>
        <w:t>(García-Domínguez et al., 2020; Burke et al., 2019; Haveman et al., 2011)</w:t>
      </w:r>
      <w:r>
        <w:fldChar w:fldCharType="end"/>
      </w:r>
      <w:r>
        <w:t xml:space="preserve">. The cause of this disparity has been attributed to a range of factors including a person’s genetic predisposition to health conditions, socio-economic status, difficulties with accessing and utilising generic health services, a lack of information, poor mobility, poor eating habits, a lack </w:t>
      </w:r>
      <w:r w:rsidR="2A14FE54">
        <w:t xml:space="preserve">of </w:t>
      </w:r>
      <w:r>
        <w:t xml:space="preserve">exercise, accommodation circumstances, and medication use </w:t>
      </w:r>
      <w:r>
        <w:fldChar w:fldCharType="begin">
          <w:fldData xml:space="preserve">PEVuZE5vdGU+PENpdGU+PEF1dGhvcj5IYXZlbWFuPC9BdXRob3I+PFllYXI+MjAxMTwvWWVhcj48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</w:fldData>
        </w:fldChar>
      </w:r>
      <w:r w:rsidR="00B26CBF">
        <w:instrText xml:space="preserve"> ADDIN EN.CITE </w:instrText>
      </w:r>
      <w:r w:rsidR="00B26CBF">
        <w:fldChar w:fldCharType="begin">
          <w:fldData xml:space="preserve">PEVuZE5vdGU+PENpdGU+PEF1dGhvcj5IYXZlbWFuPC9BdXRob3I+PFllYXI+MjAxMTwvWWVhcj48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</w:fldData>
        </w:fldChar>
      </w:r>
      <w:r w:rsidR="00B26CBF">
        <w:instrText xml:space="preserve"> ADDIN EN.CITE.DATA </w:instrText>
      </w:r>
      <w:r w:rsidR="00B26CBF">
        <w:fldChar w:fldCharType="end"/>
      </w:r>
      <w:r>
        <w:fldChar w:fldCharType="separate"/>
      </w:r>
      <w:r w:rsidR="00B26CBF">
        <w:rPr>
          <w:noProof/>
        </w:rPr>
        <w:t>(McCallion et al., 2013b; Haveman et al., 2011)</w:t>
      </w:r>
      <w:r>
        <w:fldChar w:fldCharType="end"/>
      </w:r>
      <w:r>
        <w:t xml:space="preserve">. </w:t>
      </w:r>
    </w:p>
    <w:p w14:paraId="4A025A90" w14:textId="01568E9D" w:rsidR="00EC6747" w:rsidRDefault="2855CF3A" w:rsidP="00EC6747">
      <w:r>
        <w:t xml:space="preserve">It is common for the older </w:t>
      </w:r>
      <w:r w:rsidR="035ACB36">
        <w:t xml:space="preserve">people without intellectual </w:t>
      </w:r>
      <w:r w:rsidR="75D55DD9">
        <w:t>disabilit</w:t>
      </w:r>
      <w:r w:rsidR="00A000DA">
        <w:t>ies</w:t>
      </w:r>
      <w:r>
        <w:t xml:space="preserve"> to experience multiple conditions at once and the prevalence of such multimorbidity tends to increase with age </w:t>
      </w:r>
      <w:r w:rsidR="00EC6747">
        <w:fldChar w:fldCharType="begin"/>
      </w:r>
      <w:r w:rsidR="00EC6747">
        <w:instrText xml:space="preserve"> ADDIN EN.CITE &lt;EndNote&gt;&lt;Cite&gt;&lt;Author&gt;Kirchberger&lt;/Author&gt;&lt;Year&gt;2012&lt;/Year&gt;&lt;RecNum&gt;460&lt;/RecNum&gt;&lt;DisplayText&gt;(Kirchberger et al., 2012)&lt;/DisplayText&gt;&lt;record&gt;&lt;rec-number&gt;460&lt;/rec-number&gt;&lt;foreign-keys&gt;&lt;key app="EN" db-id="xtwfdzde5ttr0zevxrh5sf0c2wfzw5zf2vra" timestamp="1646241975" guid="12912ef7-88ef-4ff1-b9d4-d98ecd28cf8e"&gt;460&lt;/key&gt;&lt;/foreign-keys&gt;&lt;ref-type name="Journal Article"&gt;17&lt;/ref-type&gt;&lt;contributors&gt;&lt;authors&gt;&lt;author&gt;Kirchberger, Inge&lt;/author&gt;&lt;author&gt;Meisinger, Christa&lt;/author&gt;&lt;author&gt;Heier, Margit&lt;/author&gt;&lt;author&gt;Zimmermann, Anja-Kerstin&lt;/author&gt;&lt;author&gt;Thorand, Barbara&lt;/author&gt;&lt;author&gt;Autenrieth, Christine S.&lt;/author&gt;&lt;author&gt;Peters, Annette&lt;/author&gt;&lt;author&gt;Ladwig, Karl-Heinz&lt;/author&gt;&lt;author&gt;Döring, Angela&lt;/author&gt;&lt;/authors&gt;&lt;/contributors&gt;&lt;titles&gt;&lt;title&gt;Patterns of Multimorbidity in the Aged Population. Results from the KORA-Age Study&lt;/title&gt;&lt;secondary-title&gt;PLoS ONE&lt;/secondary-title&gt;&lt;/titles&gt;&lt;periodical&gt;&lt;full-title&gt;PLoS ONE&lt;/full-title&gt;&lt;/periodical&gt;&lt;pages&gt;e30556&lt;/pages&gt;&lt;volume&gt;7&lt;/volume&gt;&lt;number&gt;1&lt;/number&gt;&lt;dates&gt;&lt;year&gt;2012&lt;/year&gt;&lt;/dates&gt;&lt;publisher&gt;Public Library of Science (PLoS)&lt;/publisher&gt;&lt;isbn&gt;1932-6203&lt;/isbn&gt;&lt;urls&gt;&lt;related-urls&gt;&lt;url&gt;https://dx.doi.org/10.1371/journal.pone.0030556&lt;/url&gt;&lt;/related-urls&gt;&lt;/urls&gt;&lt;electronic-resource-num&gt;10.1371/journal.pone.0030556&lt;/electronic-resource-num&gt;&lt;/record&gt;&lt;/Cite&gt;&lt;/EndNote&gt;</w:instrText>
      </w:r>
      <w:r w:rsidR="00EC6747">
        <w:fldChar w:fldCharType="separate"/>
      </w:r>
      <w:r w:rsidRPr="68A51868">
        <w:rPr>
          <w:noProof/>
        </w:rPr>
        <w:t>(Kirchberger et al., 2012)</w:t>
      </w:r>
      <w:r w:rsidR="00EC6747">
        <w:fldChar w:fldCharType="end"/>
      </w:r>
      <w:r>
        <w:t xml:space="preserve">. However, multimorbidity is higher in the population </w:t>
      </w:r>
      <w:r w:rsidR="475C0A5D">
        <w:t xml:space="preserve">of people </w:t>
      </w:r>
      <w:r w:rsidR="68D0F1EE">
        <w:t>with intellectual disabilities</w:t>
      </w:r>
      <w:r>
        <w:t xml:space="preserve"> and occurs at a much earlier age, compared to the population </w:t>
      </w:r>
      <w:r w:rsidR="1DEEDA5B">
        <w:t xml:space="preserve">of those without intellectual </w:t>
      </w:r>
      <w:r w:rsidR="3F9CBF99">
        <w:t>disabilit</w:t>
      </w:r>
      <w:r w:rsidR="00A000DA">
        <w:t>ies</w:t>
      </w:r>
      <w:r w:rsidR="1DEEDA5B">
        <w:t xml:space="preserve"> </w:t>
      </w:r>
      <w:r w:rsidR="00EC6747">
        <w:fldChar w:fldCharType="begin"/>
      </w:r>
      <w:r w:rsidR="00EC6747">
        <w:instrText xml:space="preserve"> ADDIN EN.CITE &lt;EndNote&gt;&lt;Cite&gt;&lt;Author&gt;McCarron&lt;/Author&gt;&lt;Year&gt;2013&lt;/Year&gt;&lt;RecNum&gt;394&lt;/RecNum&gt;&lt;DisplayText&gt;(McCarron et al., 2013)&lt;/DisplayText&gt;&lt;record&gt;&lt;rec-number&gt;394&lt;/rec-number&gt;&lt;foreign-keys&gt;&lt;key app="EN" db-id="xtwfdzde5ttr0zevxrh5sf0c2wfzw5zf2vra" timestamp="1643290955" guid="bf1bbef5-2de0-4a44-989c-d5814593b401"&gt;394&lt;/key&gt;&lt;/foreign-keys&gt;&lt;ref-type name="Journal Article"&gt;17&lt;/ref-type&gt;&lt;contributors&gt;&lt;authors&gt;&lt;author&gt;McCarron, Mary&lt;/author&gt;&lt;author&gt;Swinburne, Janet&lt;/author&gt;&lt;author&gt;Burke, Eilish&lt;/author&gt;&lt;author&gt;McGlinchey, Eimear&lt;/author&gt;&lt;author&gt;Carroll, Rachael&lt;/author&gt;&lt;author&gt;McCallion, Philip&lt;/author&gt;&lt;/authors&gt;&lt;/contributors&gt;&lt;titles&gt;&lt;title&gt;Patterns of multimorbidity in an older population of persons with an intellectual disability: Results from the intellectual disability supplement to the Irish longitudinal study on aging (IDS-TILDA)&lt;/title&gt;&lt;secondary-title&gt;Research in Developmental Disabilities&lt;/secondary-title&gt;&lt;short-title&gt;Patterns of multimorbidity in an older population of persons with an intellectual disability: Results from the intellectual disability supplement to the Irish longitudinal study on aging (IDS-TILDA)&lt;/short-title&gt;&lt;/titles&gt;&lt;periodical&gt;&lt;full-title&gt;Research in Developmental Disabilities&lt;/full-title&gt;&lt;/periodical&gt;&lt;pages&gt;521-527&lt;/pages&gt;&lt;volume&gt;34&lt;/volume&gt;&lt;number&gt;1&lt;/number&gt;&lt;dates&gt;&lt;year&gt;2013&lt;/year&gt;&lt;/dates&gt;&lt;urls&gt;&lt;related-urls&gt;&lt;url&gt;https://www.sciencedirect.com/science/article/abs/pii/S0891422212001965?via%3Dihub&lt;/url&gt;&lt;/related-urls&gt;&lt;/urls&gt;&lt;electronic-resource-num&gt;10.1016/j.ridd.2012.07.029&lt;/electronic-resource-num&gt;&lt;/record&gt;&lt;/Cite&gt;&lt;/EndNote&gt;</w:instrText>
      </w:r>
      <w:r w:rsidR="00EC6747">
        <w:fldChar w:fldCharType="separate"/>
      </w:r>
      <w:r w:rsidRPr="68A51868">
        <w:rPr>
          <w:noProof/>
        </w:rPr>
        <w:t>(McCarron et al., 2013)</w:t>
      </w:r>
      <w:r w:rsidR="00EC6747">
        <w:fldChar w:fldCharType="end"/>
      </w:r>
      <w:r>
        <w:t xml:space="preserve">. For example, in one study, a high rate of multimorbidity (71%) was reported in adults </w:t>
      </w:r>
      <w:r w:rsidR="68D0F1EE">
        <w:t>with intellectual disabilities</w:t>
      </w:r>
      <w:r>
        <w:t xml:space="preserve"> over 40 years of age living in Ireland, a rate that was much higher than the </w:t>
      </w:r>
      <w:r w:rsidR="5DD15317">
        <w:t xml:space="preserve">rate found in people who do not have intellectual </w:t>
      </w:r>
      <w:r w:rsidR="1ABA9F49">
        <w:t>disabilit</w:t>
      </w:r>
      <w:r w:rsidR="00A000DA">
        <w:t>ies</w:t>
      </w:r>
      <w:r w:rsidR="7F1830E2">
        <w:t xml:space="preserve"> </w:t>
      </w:r>
      <w:r>
        <w:t xml:space="preserve">(58%), and those aged 65 years or over were 3.4 times more likely to be multimorbid </w:t>
      </w:r>
      <w:r w:rsidR="00EC6747">
        <w:fldChar w:fldCharType="begin"/>
      </w:r>
      <w:r w:rsidR="00EC6747">
        <w:instrText xml:space="preserve"> ADDIN EN.CITE &lt;EndNote&gt;&lt;Cite&gt;&lt;Author&gt;McCarron&lt;/Author&gt;&lt;Year&gt;2013&lt;/Year&gt;&lt;RecNum&gt;394&lt;/RecNum&gt;&lt;DisplayText&gt;(McCarron et al., 2013)&lt;/DisplayText&gt;&lt;record&gt;&lt;rec-number&gt;394&lt;/rec-number&gt;&lt;foreign-keys&gt;&lt;key app="EN" db-id="xtwfdzde5ttr0zevxrh5sf0c2wfzw5zf2vra" timestamp="1643290955" guid="bf1bbef5-2de0-4a44-989c-d5814593b401"&gt;394&lt;/key&gt;&lt;/foreign-keys&gt;&lt;ref-type name="Journal Article"&gt;17&lt;/ref-type&gt;&lt;contributors&gt;&lt;authors&gt;&lt;author&gt;McCarron, Mary&lt;/author&gt;&lt;author&gt;Swinburne, Janet&lt;/author&gt;&lt;author&gt;Burke, Eilish&lt;/author&gt;&lt;author&gt;McGlinchey, Eimear&lt;/author&gt;&lt;author&gt;Carroll, Rachael&lt;/author&gt;&lt;author&gt;McCallion, Philip&lt;/author&gt;&lt;/authors&gt;&lt;/contributors&gt;&lt;titles&gt;&lt;title&gt;Patterns of multimorbidity in an older population of persons with an intellectual disability: Results from the intellectual disability supplement to the Irish longitudinal study on aging (IDS-TILDA)&lt;/title&gt;&lt;secondary-title&gt;Research in Developmental Disabilities&lt;/secondary-title&gt;&lt;short-title&gt;Patterns of multimorbidity in an older population of persons with an intellectual disability: Results from the intellectual disability supplement to the Irish longitudinal study on aging (IDS-TILDA)&lt;/short-title&gt;&lt;/titles&gt;&lt;periodical&gt;&lt;full-title&gt;Research in Developmental Disabilities&lt;/full-title&gt;&lt;/periodical&gt;&lt;pages&gt;521-527&lt;/pages&gt;&lt;volume&gt;34&lt;/volume&gt;&lt;number&gt;1&lt;/number&gt;&lt;dates&gt;&lt;year&gt;2013&lt;/year&gt;&lt;/dates&gt;&lt;urls&gt;&lt;related-urls&gt;&lt;url&gt;https://www.sciencedirect.com/science/article/abs/pii/S0891422212001965?via%3Dihub&lt;/url&gt;&lt;/related-urls&gt;&lt;/urls&gt;&lt;electronic-resource-num&gt;10.1016/j.ridd.2012.07.029&lt;/electronic-resource-num&gt;&lt;/record&gt;&lt;/Cite&gt;&lt;/EndNote&gt;</w:instrText>
      </w:r>
      <w:r w:rsidR="00EC6747">
        <w:fldChar w:fldCharType="separate"/>
      </w:r>
      <w:r w:rsidRPr="68A51868">
        <w:rPr>
          <w:noProof/>
        </w:rPr>
        <w:t>(McCarron et al., 2013)</w:t>
      </w:r>
      <w:r w:rsidR="00EC6747">
        <w:fldChar w:fldCharType="end"/>
      </w:r>
      <w:r>
        <w:t>. The same study reported that the most common multimorbidity pattern was mental health/neurological disease.</w:t>
      </w:r>
    </w:p>
    <w:p w14:paraId="5A5F6139" w14:textId="1FF528F0" w:rsidR="00EC6747" w:rsidRDefault="00EC6747" w:rsidP="00EC6747">
      <w:r>
        <w:t xml:space="preserve">Research shows that older people </w:t>
      </w:r>
      <w:r w:rsidR="007B4A0C">
        <w:t>with intellectual disabilities</w:t>
      </w:r>
      <w:r>
        <w:t xml:space="preserve"> experience poorer mental health than </w:t>
      </w:r>
      <w:r w:rsidR="1682EB41">
        <w:t>that experienced by people without intellectual disabilit</w:t>
      </w:r>
      <w:r w:rsidR="00A000DA">
        <w:t>ies</w:t>
      </w:r>
      <w:r>
        <w:t xml:space="preserve"> </w:t>
      </w:r>
      <w:r>
        <w:fldChar w:fldCharType="begin"/>
      </w:r>
      <w:r>
        <w:instrText xml:space="preserve"> ADDIN EN.CITE &lt;EndNote&gt;&lt;Cite&gt;&lt;Author&gt;McCarron&lt;/Author&gt;&lt;Year&gt;2017&lt;/Year&gt;&lt;RecNum&gt;459&lt;/RecNum&gt;&lt;DisplayText&gt;(McCarron et al., 2017b)&lt;/DisplayText&gt;&lt;record&gt;&lt;rec-number&gt;459&lt;/rec-number&gt;&lt;foreign-keys&gt;&lt;key app="EN" db-id="xtwfdzde5ttr0zevxrh5sf0c2wfzw5zf2vra" timestamp="1646131747" guid="a375753f-315a-46ab-abce-35f19b39f85c"&gt;459&lt;/key&gt;&lt;/foreign-keys&gt;&lt;ref-type name="Report"&gt;27&lt;/ref-type&gt;&lt;contributors&gt;&lt;authors&gt;&lt;author&gt;McCarron, Mary&lt;/author&gt;&lt;author&gt;Haigh, Margaret&lt;/author&gt;&lt;author&gt;McCallion, Philip&lt;/author&gt;&lt;author&gt;McCallion, Philip&lt;/author&gt;&lt;author&gt;Carroll, Rachael&lt;/author&gt;&lt;author&gt;Burke, Eilish&lt;/author&gt;&lt;author&gt;McGlinchey, Eimear&lt;/author&gt;&lt;author&gt;O’Donovan, Mary-Ann&lt;/author&gt;&lt;author&gt;McCausland, Darren&lt;/author&gt;&lt;author&gt;Sheerin, Fintan&lt;/author&gt;&lt;/authors&gt;&lt;/contributors&gt;&lt;titles&gt;&lt;title&gt;Health, wellbeing and social inclusion: Ageing with an intellectual disability in Ireland: Evidence from the first ten years of The Intellectual Disability Supplement to The Irish Longitudinal Study on Ageing (IDS-TILDA)&lt;/title&gt;&lt;/titles&gt;&lt;dates&gt;&lt;year&gt;2017&lt;/year&gt;&lt;/dates&gt;&lt;pub-location&gt;Dublin&lt;/pub-location&gt;&lt;publisher&gt;Trinity College Dublin&lt;/publisher&gt;&lt;urls&gt;&lt;/urls&gt;&lt;/record&gt;&lt;/Cite&gt;&lt;/EndNote&gt;</w:instrText>
      </w:r>
      <w:r>
        <w:fldChar w:fldCharType="separate"/>
      </w:r>
      <w:r w:rsidRPr="11C55A92">
        <w:rPr>
          <w:noProof/>
        </w:rPr>
        <w:t>(McCarron et al., 2017b)</w:t>
      </w:r>
      <w:r>
        <w:fldChar w:fldCharType="end"/>
      </w:r>
      <w:r>
        <w:t xml:space="preserve">. The Intellectual Disability Supplement to The Irish Longitudinal Study on Ageing (IDS-TILDA) is </w:t>
      </w:r>
      <w:r w:rsidR="6B015078">
        <w:t xml:space="preserve">a </w:t>
      </w:r>
      <w:r>
        <w:t xml:space="preserve">large-scale multi-wave study of older adults aged 40 years and over </w:t>
      </w:r>
      <w:r w:rsidR="007B4A0C">
        <w:t>with intellectual disabilities</w:t>
      </w:r>
      <w:r>
        <w:t xml:space="preserve"> in Ireland </w:t>
      </w:r>
      <w:r>
        <w:fldChar w:fldCharType="begin"/>
      </w:r>
      <w:r>
        <w:instrText xml:space="preserve"> ADDIN EN.CITE &lt;EndNote&gt;&lt;Cite&gt;&lt;Author&gt;McCarron&lt;/Author&gt;&lt;Year&gt;2014&lt;/Year&gt;&lt;RecNum&gt;708&lt;/RecNum&gt;&lt;DisplayText&gt;(McCarron et al., 2014)&lt;/DisplayText&gt;&lt;record&gt;&lt;rec-number&gt;708&lt;/rec-number&gt;&lt;foreign-keys&gt;&lt;key app="EN" db-id="xtwfdzde5ttr0zevxrh5sf0c2wfzw5zf2vra" timestamp="1665138146" guid="6e569aaa-e680-41a4-bb76-243e50ca0312"&gt;708&lt;/key&gt;&lt;/foreign-keys&gt;&lt;ref-type name="Report"&gt;27&lt;/ref-type&gt;&lt;contributors&gt;&lt;authors&gt;&lt;author&gt;McCarron, Mary&lt;/author&gt;&lt;author&gt;McCallion, Philip&lt;/author&gt;&lt;author&gt;Carroll, Rachael&lt;/author&gt;&lt;author&gt;Burke, Eilish&lt;/author&gt;&lt;author&gt;Cleary, Eimear&lt;/author&gt;&lt;author&gt;McCausland, Darren&lt;/author&gt;&lt;author&gt;McGlinchy, Eimear&lt;/author&gt;&lt;author&gt;O’Donovan, May-Ann&lt;/author&gt;&lt;author&gt;Mulryan, Niamh&lt;/author&gt;&lt;author&gt;Shivers, Carolyn&lt;/author&gt;&lt;/authors&gt;&lt;/contributors&gt;&lt;titles&gt;&lt;title&gt;Advancing years, Different challenges: Wave 2 IDS-TILDA: Findings on the ageing of people with an Intellectual Disability&lt;/title&gt;&lt;/titles&gt;&lt;dates&gt;&lt;year&gt;2014&lt;/year&gt;&lt;/dates&gt;&lt;pub-location&gt;Dublin&lt;/pub-location&gt;&lt;publisher&gt;Trinity College Dublin&lt;/publisher&gt;&lt;urls&gt;&lt;/urls&gt;&lt;/record&gt;&lt;/Cite&gt;&lt;/EndNote&gt;</w:instrText>
      </w:r>
      <w:r>
        <w:fldChar w:fldCharType="separate"/>
      </w:r>
      <w:r w:rsidRPr="11C55A92">
        <w:rPr>
          <w:noProof/>
        </w:rPr>
        <w:t>(McCarron et al., 2014)</w:t>
      </w:r>
      <w:r>
        <w:fldChar w:fldCharType="end"/>
      </w:r>
      <w:r>
        <w:t xml:space="preserve">. It is designed to explore the health, social, economic, and environmental circumstances of 753 people as they age and provides data on how their circumstances change over time </w:t>
      </w:r>
      <w:r>
        <w:fldChar w:fldCharType="begin"/>
      </w:r>
      <w:r>
        <w:instrText xml:space="preserve"> ADDIN EN.CITE &lt;EndNote&gt;&lt;Cite&gt;&lt;Author&gt;McCarron&lt;/Author&gt;&lt;Year&gt;2014&lt;/Year&gt;&lt;RecNum&gt;708&lt;/RecNum&gt;&lt;DisplayText&gt;(McCarron et al., 2014)&lt;/DisplayText&gt;&lt;record&gt;&lt;rec-number&gt;708&lt;/rec-number&gt;&lt;foreign-keys&gt;&lt;key app="EN" db-id="xtwfdzde5ttr0zevxrh5sf0c2wfzw5zf2vra" timestamp="1665138146" guid="6e569aaa-e680-41a4-bb76-243e50ca0312"&gt;708&lt;/key&gt;&lt;/foreign-keys&gt;&lt;ref-type name="Report"&gt;27&lt;/ref-type&gt;&lt;contributors&gt;&lt;authors&gt;&lt;author&gt;McCarron, Mary&lt;/author&gt;&lt;author&gt;McCallion, Philip&lt;/author&gt;&lt;author&gt;Carroll, Rachael&lt;/author&gt;&lt;author&gt;Burke, Eilish&lt;/author&gt;&lt;author&gt;Cleary, Eimear&lt;/author&gt;&lt;author&gt;McCausland, Darren&lt;/author&gt;&lt;author&gt;McGlinchy, Eimear&lt;/author&gt;&lt;author&gt;O’Donovan, May-Ann&lt;/author&gt;&lt;author&gt;Mulryan, Niamh&lt;/author&gt;&lt;author&gt;Shivers, Carolyn&lt;/author&gt;&lt;/authors&gt;&lt;/contributors&gt;&lt;titles&gt;&lt;title&gt;Advancing years, Different challenges: Wave 2 IDS-TILDA: Findings on the ageing of people with an Intellectual Disability&lt;/title&gt;&lt;/titles&gt;&lt;dates&gt;&lt;year&gt;2014&lt;/year&gt;&lt;/dates&gt;&lt;pub-location&gt;Dublin&lt;/pub-location&gt;&lt;publisher&gt;Trinity College Dublin&lt;/publisher&gt;&lt;urls&gt;&lt;/urls&gt;&lt;/record&gt;&lt;/Cite&gt;&lt;/EndNote&gt;</w:instrText>
      </w:r>
      <w:r>
        <w:fldChar w:fldCharType="separate"/>
      </w:r>
      <w:r w:rsidRPr="11C55A92">
        <w:rPr>
          <w:noProof/>
        </w:rPr>
        <w:t>(McCarron et al., 2014)</w:t>
      </w:r>
      <w:r>
        <w:fldChar w:fldCharType="end"/>
      </w:r>
      <w:r>
        <w:t xml:space="preserve">. In 2017, IDS-TILDA reported a high prevalence (52%) of emotional, nervous, and psychiatric conditions in older adults </w:t>
      </w:r>
      <w:r w:rsidR="007B4A0C">
        <w:t>with intellectual disabilities</w:t>
      </w:r>
      <w:r>
        <w:t xml:space="preserve"> </w:t>
      </w:r>
      <w:r>
        <w:fldChar w:fldCharType="begin"/>
      </w:r>
      <w:r>
        <w:instrText xml:space="preserve"> ADDIN EN.CITE &lt;EndNote&gt;&lt;Cite&gt;&lt;Author&gt;McCarron&lt;/Author&gt;&lt;Year&gt;2017&lt;/Year&gt;&lt;RecNum&gt;459&lt;/RecNum&gt;&lt;DisplayText&gt;(McCarron et al., 2017b)&lt;/DisplayText&gt;&lt;record&gt;&lt;rec-number&gt;459&lt;/rec-number&gt;&lt;foreign-keys&gt;&lt;key app="EN" db-id="xtwfdzde5ttr0zevxrh5sf0c2wfzw5zf2vra" timestamp="1646131747" guid="a375753f-315a-46ab-abce-35f19b39f85c"&gt;459&lt;/key&gt;&lt;/foreign-keys&gt;&lt;ref-type name="Report"&gt;27&lt;/ref-type&gt;&lt;contributors&gt;&lt;authors&gt;&lt;author&gt;McCarron, Mary&lt;/author&gt;&lt;author&gt;Haigh, Margaret&lt;/author&gt;&lt;author&gt;McCallion, Philip&lt;/author&gt;&lt;author&gt;McCallion, Philip&lt;/author&gt;&lt;author&gt;Carroll, Rachael&lt;/author&gt;&lt;author&gt;Burke, Eilish&lt;/author&gt;&lt;author&gt;McGlinchey, Eimear&lt;/author&gt;&lt;author&gt;O’Donovan, Mary-Ann&lt;/author&gt;&lt;author&gt;McCausland, Darren&lt;/author&gt;&lt;author&gt;Sheerin, Fintan&lt;/author&gt;&lt;/authors&gt;&lt;/contributors&gt;&lt;titles&gt;&lt;title&gt;Health, wellbeing and social inclusion: Ageing with an intellectual disability in Ireland: Evidence from the first ten years of The Intellectual Disability Supplement to The Irish Longitudinal Study on Ageing (IDS-TILDA)&lt;/title&gt;&lt;/titles&gt;&lt;dates&gt;&lt;year&gt;2017&lt;/year&gt;&lt;/dates&gt;&lt;pub-location&gt;Dublin&lt;/pub-location&gt;&lt;publisher&gt;Trinity College Dublin&lt;/publisher&gt;&lt;urls&gt;&lt;/urls&gt;&lt;/record&gt;&lt;/Cite&gt;&lt;/EndNote&gt;</w:instrText>
      </w:r>
      <w:r>
        <w:fldChar w:fldCharType="separate"/>
      </w:r>
      <w:r w:rsidRPr="11C55A92">
        <w:rPr>
          <w:noProof/>
        </w:rPr>
        <w:t>(McCarron et al., 2017b)</w:t>
      </w:r>
      <w:r>
        <w:fldChar w:fldCharType="end"/>
      </w:r>
      <w:r>
        <w:t xml:space="preserve">. Depression and anxiety were found to be the main contributors to poor mental health, with the prevalence of depression being significantly higher in older people </w:t>
      </w:r>
      <w:r w:rsidR="007B4A0C">
        <w:t>with intellectual disabilities</w:t>
      </w:r>
      <w:r>
        <w:t xml:space="preserve"> than in those without intellectual disabilit</w:t>
      </w:r>
      <w:r w:rsidR="007B4A0C">
        <w:t>ies</w:t>
      </w:r>
      <w:r>
        <w:t xml:space="preserve"> </w:t>
      </w:r>
      <w:r>
        <w:fldChar w:fldCharType="begin"/>
      </w:r>
      <w:r>
        <w:instrText xml:space="preserve"> ADDIN EN.CITE &lt;EndNote&gt;&lt;Cite&gt;&lt;Author&gt;McCarron&lt;/Author&gt;&lt;Year&gt;2017&lt;/Year&gt;&lt;RecNum&gt;459&lt;/RecNum&gt;&lt;DisplayText&gt;(McCarron et al., 2017b)&lt;/DisplayText&gt;&lt;record&gt;&lt;rec-number&gt;459&lt;/rec-number&gt;&lt;foreign-keys&gt;&lt;key app="EN" db-id="xtwfdzde5ttr0zevxrh5sf0c2wfzw5zf2vra" timestamp="1646131747" guid="a375753f-315a-46ab-abce-35f19b39f85c"&gt;459&lt;/key&gt;&lt;/foreign-keys&gt;&lt;ref-type name="Report"&gt;27&lt;/ref-type&gt;&lt;contributors&gt;&lt;authors&gt;&lt;author&gt;McCarron, Mary&lt;/author&gt;&lt;author&gt;Haigh, Margaret&lt;/author&gt;&lt;author&gt;McCallion, Philip&lt;/author&gt;&lt;author&gt;McCallion, Philip&lt;/author&gt;&lt;author&gt;Carroll, Rachael&lt;/author&gt;&lt;author&gt;Burke, Eilish&lt;/author&gt;&lt;author&gt;McGlinchey, Eimear&lt;/author&gt;&lt;author&gt;O’Donovan, Mary-Ann&lt;/author&gt;&lt;author&gt;McCausland, Darren&lt;/author&gt;&lt;author&gt;Sheerin, Fintan&lt;/author&gt;&lt;/authors&gt;&lt;/contributors&gt;&lt;titles&gt;&lt;title&gt;Health, wellbeing and social inclusion: Ageing with an intellectual disability in Ireland: Evidence from the first ten years of The Intellectual Disability Supplement to The Irish Longitudinal Study on Ageing (IDS-TILDA)&lt;/title&gt;&lt;/titles&gt;&lt;dates&gt;&lt;year&gt;2017&lt;/year&gt;&lt;/dates&gt;&lt;pub-location&gt;Dublin&lt;/pub-location&gt;&lt;publisher&gt;Trinity College Dublin&lt;/publisher&gt;&lt;urls&gt;&lt;/urls&gt;&lt;/record&gt;&lt;/Cite&gt;&lt;/EndNote&gt;</w:instrText>
      </w:r>
      <w:r>
        <w:fldChar w:fldCharType="separate"/>
      </w:r>
      <w:r w:rsidRPr="11C55A92">
        <w:rPr>
          <w:noProof/>
        </w:rPr>
        <w:t>(McCarron et al., 2017b)</w:t>
      </w:r>
      <w:r>
        <w:fldChar w:fldCharType="end"/>
      </w:r>
      <w:r>
        <w:t xml:space="preserve">. Of particular importance was the finding that the prevalence of depression was lower amongst those living independently and with family than those living in other types of accommodation. A range of factors may predispose persons </w:t>
      </w:r>
      <w:r w:rsidR="007B4A0C">
        <w:t>with intellectual disabilities</w:t>
      </w:r>
      <w:r>
        <w:t xml:space="preserve"> to depression and anxiety, such as the side effects of medications, sensory impairments and associated communication difficulties, ageing-specific disorders, as well as significant life events, such as a change in a person's living situation or bereavement of a friend or family member </w:t>
      </w:r>
      <w:r>
        <w:fldChar w:fldCharType="begin"/>
      </w:r>
      <w:r>
        <w:instrText xml:space="preserve"> ADDIN EN.CITE &lt;EndNote&gt;&lt;Cite&gt;&lt;Author&gt;McCallion&lt;/Author&gt;&lt;Year&gt;2019&lt;/Year&gt;&lt;RecNum&gt;458&lt;/RecNum&gt;&lt;DisplayText&gt;(McCallion et al., 2019)&lt;/DisplayText&gt;&lt;record&gt;&lt;rec-number&gt;458&lt;/rec-number&gt;&lt;foreign-keys&gt;&lt;key app="EN" db-id="xtwfdzde5ttr0zevxrh5sf0c2wfzw5zf2vra" timestamp="1646130539" guid="75f1cb53-2116-47c8-bbc9-cf0fe45da7f4"&gt;458&lt;/key&gt;&lt;/foreign-keys&gt;&lt;ref-type name="Book Section"&gt;5&lt;/ref-type&gt;&lt;contributors&gt;&lt;authors&gt;&lt;author&gt;McCallion, Philip&lt;/author&gt;&lt;author&gt;Ferretti, Lisa A&lt;/author&gt;&lt;author&gt;Beange, Helen&lt;/author&gt;&lt;author&gt;McCarron, Mary&lt;/author&gt;&lt;/authors&gt;&lt;secondary-authors&gt;&lt;author&gt;Prasher, V.P&lt;/author&gt;&lt;author&gt;Janicki, M.&lt;/author&gt;&lt;/secondary-authors&gt;&lt;/contributors&gt;&lt;titles&gt;&lt;title&gt;Epidemiological issues in intellectual disability and aging research&lt;/title&gt;&lt;secondary-title&gt;Physical health of adults with intellectual and developmental disabilities&lt;/secondary-title&gt;&lt;/titles&gt;&lt;pages&gt;9-26&lt;/pages&gt;&lt;dates&gt;&lt;year&gt;2019&lt;/year&gt;&lt;/dates&gt;&lt;pub-location&gt;Switzerland&lt;/pub-location&gt;&lt;publisher&gt;Springer&lt;/publisher&gt;&lt;urls&gt;&lt;/urls&gt;&lt;/record&gt;&lt;/Cite&gt;&lt;/EndNote&gt;</w:instrText>
      </w:r>
      <w:r>
        <w:fldChar w:fldCharType="separate"/>
      </w:r>
      <w:r w:rsidRPr="11C55A92">
        <w:rPr>
          <w:noProof/>
        </w:rPr>
        <w:t>(McCallion et al., 2019)</w:t>
      </w:r>
      <w:r>
        <w:fldChar w:fldCharType="end"/>
      </w:r>
      <w:r>
        <w:t>.</w:t>
      </w:r>
    </w:p>
    <w:p w14:paraId="7174812A" w14:textId="77777777" w:rsidR="00EC6747" w:rsidRPr="00906B8B" w:rsidRDefault="00EC6747" w:rsidP="00647FED">
      <w:pPr>
        <w:pStyle w:val="Heading3"/>
        <w:rPr>
          <w:color w:val="auto"/>
        </w:rPr>
      </w:pPr>
      <w:bookmarkStart w:id="79" w:name="_Toc116045683"/>
      <w:bookmarkStart w:id="80" w:name="_Toc118558255"/>
      <w:r w:rsidRPr="00906B8B">
        <w:rPr>
          <w:color w:val="auto"/>
        </w:rPr>
        <w:t>Dementia</w:t>
      </w:r>
      <w:bookmarkEnd w:id="79"/>
      <w:bookmarkEnd w:id="80"/>
    </w:p>
    <w:p w14:paraId="4164937B" w14:textId="680E801E" w:rsidR="00EC6747" w:rsidRDefault="00EC6747" w:rsidP="00EC6747">
      <w:r>
        <w:t xml:space="preserve">Specific cohorts within the older population </w:t>
      </w:r>
      <w:r w:rsidR="007B4A0C">
        <w:t>with intellectual disabilities</w:t>
      </w:r>
      <w:r>
        <w:t xml:space="preserve"> may experience specific disability-related illnesses, such as the aforementioned link between Down Syndrome and dementia </w:t>
      </w:r>
      <w:r>
        <w:fldChar w:fldCharType="begin"/>
      </w:r>
      <w:r w:rsidR="006A378C">
        <w:instrText xml:space="preserve"> ADDIN EN.CITE &lt;EndNote&gt;&lt;Cite&gt;&lt;Author&gt;McCausland&lt;/Author&gt;&lt;Year&gt;2021&lt;/Year&gt;&lt;RecNum&gt;395&lt;/RecNum&gt;&lt;DisplayText&gt;(McCausland et al., 2021a)&lt;/DisplayText&gt;&lt;record&gt;&lt;rec-number&gt;395&lt;/rec-number&gt;&lt;foreign-keys&gt;&lt;key app="EN" db-id="xtwfdzde5ttr0zevxrh5sf0c2wfzw5zf2vra" timestamp="1643290955" guid="4e75ea09-189a-4c34-a7cf-b600fcb67683"&gt;395&lt;/key&gt;&lt;/foreign-keys&gt;&lt;ref-type name="Journal Article"&gt;17&lt;/ref-type&gt;&lt;contributors&gt;&lt;authors&gt;&lt;author&gt;McCausland, Darren&lt;/author&gt;&lt;author&gt;Guerin, Suzanne&lt;/author&gt;&lt;author&gt;Tyrrell, Janette&lt;/author&gt;&lt;author&gt;Donohoe, Clare&lt;/author&gt;&lt;author&gt;O&amp;apos;Donoghue, Isabelle&lt;/author&gt;&lt;author&gt;Dodd, Philip&lt;/author&gt;&lt;/authors&gt;&lt;/contributors&gt;&lt;titles&gt;&lt;title&gt;A qualitative study of the needs of older adults with intellectual disabilities&lt;/title&gt;&lt;secondary-title&gt;Journal of Applied Research in Intellectual Disabilities&lt;/secondary-title&gt;&lt;short-title&gt;A qualitative study of the needs of older adults with intellectual disabilities&lt;/short-title&gt;&lt;/titles&gt;&lt;periodical&gt;&lt;full-title&gt;Journal of Applied Research in Intellectual Disabilities&lt;/full-title&gt;&lt;/periodical&gt;&lt;pages&gt;1560-1568&lt;/pages&gt;&lt;volume&gt;34&lt;/volume&gt;&lt;number&gt;6&lt;/number&gt;&lt;dates&gt;&lt;year&gt;2021&lt;/year&gt;&lt;/dates&gt;&lt;urls&gt;&lt;related-urls&gt;&lt;url&gt;https://onlinelibrary.wiley.com/doi/10.1111/jar.12900&lt;/url&gt;&lt;/related-urls&gt;&lt;/urls&gt;&lt;electronic-resource-num&gt;10.1111/jar.12900&lt;/electronic-resource-num&gt;&lt;/record&gt;&lt;/Cite&gt;&lt;/EndNote&gt;</w:instrText>
      </w:r>
      <w:r>
        <w:fldChar w:fldCharType="separate"/>
      </w:r>
      <w:r>
        <w:rPr>
          <w:noProof/>
        </w:rPr>
        <w:t>(McCausland et al., 2021a)</w:t>
      </w:r>
      <w:r>
        <w:fldChar w:fldCharType="end"/>
      </w:r>
      <w:r>
        <w:t xml:space="preserve">. People with Down Syndrome are prone to developing dementia at earlier ages and more frequently than </w:t>
      </w:r>
      <w:r w:rsidR="1222056A">
        <w:t>people with other types of intellectual disabilit</w:t>
      </w:r>
      <w:r w:rsidR="00A000DA">
        <w:t>ies</w:t>
      </w:r>
      <w:r w:rsidR="1222056A">
        <w:t xml:space="preserve"> and people without intellectual disabilit</w:t>
      </w:r>
      <w:r w:rsidR="00A000DA">
        <w:t>ies</w:t>
      </w:r>
      <w:r w:rsidR="1222056A">
        <w:t xml:space="preserve"> </w:t>
      </w:r>
      <w:r>
        <w:fldChar w:fldCharType="begin"/>
      </w:r>
      <w:r>
        <w:instrText xml:space="preserve"> ADDIN EN.CITE &lt;EndNote&gt;&lt;Cite&gt;&lt;Author&gt;Strydom&lt;/Author&gt;&lt;Year&gt;2013&lt;/Year&gt;&lt;RecNum&gt;465&lt;/RecNum&gt;&lt;DisplayText&gt;(Strydom et al., 2013)&lt;/DisplayText&gt;&lt;record&gt;&lt;rec-number&gt;465&lt;/rec-number&gt;&lt;foreign-keys&gt;&lt;key app="EN" db-id="xtwfdzde5ttr0zevxrh5sf0c2wfzw5zf2vra" timestamp="1646320730" guid="fadce34f-7bd1-4727-9c9e-144ff90f1962"&gt;465&lt;/key&gt;&lt;/foreign-keys&gt;&lt;ref-type name="Journal Article"&gt;17&lt;/ref-type&gt;&lt;contributors&gt;&lt;authors&gt;&lt;author&gt;Strydom, Andre&lt;/author&gt;&lt;author&gt;Chan, Trevor&lt;/author&gt;&lt;author&gt;King, Michael&lt;/author&gt;&lt;author&gt;Hassiotis, Angela&lt;/author&gt;&lt;author&gt;Livingston, Gill&lt;/author&gt;&lt;/authors&gt;&lt;/contributors&gt;&lt;titles&gt;&lt;title&gt;Incidence of dementia in older adults with intellectual disabilities&lt;/title&gt;&lt;secondary-title&gt;Research in Developmental Disabilities&lt;/secondary-title&gt;&lt;/titles&gt;&lt;periodical&gt;&lt;full-title&gt;Research in Developmental Disabilities&lt;/full-title&gt;&lt;/periodical&gt;&lt;pages&gt;1881-1885&lt;/pages&gt;&lt;volume&gt;34&lt;/volume&gt;&lt;number&gt;6&lt;/number&gt;&lt;dates&gt;&lt;year&gt;2013&lt;/year&gt;&lt;/dates&gt;&lt;publisher&gt;Elsevier BV&lt;/publisher&gt;&lt;isbn&gt;0891-4222&lt;/isbn&gt;&lt;urls&gt;&lt;related-urls&gt;&lt;url&gt;https://dx.doi.org/10.1016/j.ridd.2013.02.021&lt;/url&gt;&lt;/related-urls&gt;&lt;/urls&gt;&lt;electronic-resource-num&gt;10.1016/j.ridd.2013.02.021&lt;/electronic-resource-num&gt;&lt;/record&gt;&lt;/Cite&gt;&lt;/EndNote&gt;</w:instrText>
      </w:r>
      <w:r>
        <w:fldChar w:fldCharType="separate"/>
      </w:r>
      <w:r>
        <w:rPr>
          <w:noProof/>
        </w:rPr>
        <w:t>(Strydom et al., 2013)</w:t>
      </w:r>
      <w:r>
        <w:fldChar w:fldCharType="end"/>
      </w:r>
      <w:r>
        <w:t>. The average age of onset of dementia is in the early 50s among people with Down Syndrome,</w:t>
      </w:r>
      <w:r w:rsidDel="00455A03">
        <w:t xml:space="preserve"> </w:t>
      </w:r>
      <w:r>
        <w:t>compared to the late 60s in people with other types of intellectual disabilit</w:t>
      </w:r>
      <w:r w:rsidR="00A000DA">
        <w:t>ies</w:t>
      </w:r>
      <w:r>
        <w:t xml:space="preserve"> </w:t>
      </w:r>
      <w:r>
        <w:fldChar w:fldCharType="begin"/>
      </w:r>
      <w:r>
        <w:instrText xml:space="preserve"> ADDIN EN.CITE &lt;EndNote&gt;&lt;Cite&gt;&lt;Author&gt;Strydom&lt;/Author&gt;&lt;Year&gt;2010&lt;/Year&gt;&lt;RecNum&gt;468&lt;/RecNum&gt;&lt;DisplayText&gt;(Strydom et al., 2010)&lt;/DisplayText&gt;&lt;record&gt;&lt;rec-number&gt;468&lt;/rec-number&gt;&lt;foreign-keys&gt;&lt;key app="EN" db-id="xtwfdzde5ttr0zevxrh5sf0c2wfzw5zf2vra" timestamp="1646322659" guid="356c7a81-c322-41f3-874c-3dc9b3f18e98"&gt;468&lt;/key&gt;&lt;/foreign-keys&gt;&lt;ref-type name="Journal Article"&gt;17&lt;/ref-type&gt;&lt;contributors&gt;&lt;authors&gt;&lt;author&gt;Strydom, Andre&lt;/author&gt;&lt;author&gt;Shooshtari, Shahin&lt;/author&gt;&lt;author&gt;Lee, Lynette&lt;/author&gt;&lt;author&gt;Raykar, Veena&lt;/author&gt;&lt;author&gt;Torr, Jenny&lt;/author&gt;&lt;author&gt;Tsiouris, John&lt;/author&gt;&lt;author&gt;Jokinen, Nancy&lt;/author&gt;&lt;author&gt;Courtenay, Ken&lt;/author&gt;&lt;author&gt;Bass, Nick&lt;/author&gt;&lt;author&gt;Sinnema, Margje&lt;/author&gt;&lt;/authors&gt;&lt;/contributors&gt;&lt;titles&gt;&lt;title&gt;Dementia in older adults with intellectual disabilities—epidemiology, presentation, and diagnosis&lt;/title&gt;&lt;secondary-title&gt;Journal of Policy and Practice in Intellectual Disabilities&lt;/secondary-title&gt;&lt;/titles&gt;&lt;periodical&gt;&lt;full-title&gt;Journal of Policy and Practice in Intellectual Disabilities&lt;/full-title&gt;&lt;/periodical&gt;&lt;pages&gt;96-110&lt;/pages&gt;&lt;volume&gt;7&lt;/volume&gt;&lt;number&gt;2&lt;/number&gt;&lt;dates&gt;&lt;year&gt;2010&lt;/year&gt;&lt;/dates&gt;&lt;isbn&gt;1741-1122&lt;/isbn&gt;&lt;urls&gt;&lt;/urls&gt;&lt;/record&gt;&lt;/Cite&gt;&lt;/EndNote&gt;</w:instrText>
      </w:r>
      <w:r>
        <w:fldChar w:fldCharType="separate"/>
      </w:r>
      <w:r>
        <w:rPr>
          <w:noProof/>
        </w:rPr>
        <w:t>(Strydom et al., 2010)</w:t>
      </w:r>
      <w:r>
        <w:fldChar w:fldCharType="end"/>
      </w:r>
      <w:r>
        <w:t xml:space="preserve">. There is, however, no consensus on whether the prevalence of dementia in people with non-Down </w:t>
      </w:r>
      <w:r w:rsidDel="003E70B1">
        <w:t>Syndrome</w:t>
      </w:r>
      <w:r>
        <w:t>-related intellectual disabilit</w:t>
      </w:r>
      <w:r w:rsidR="00A000DA">
        <w:t>ies</w:t>
      </w:r>
      <w:r>
        <w:t xml:space="preserve"> is higher than </w:t>
      </w:r>
      <w:r w:rsidR="3E87CA2F">
        <w:t xml:space="preserve">of </w:t>
      </w:r>
      <w:r>
        <w:t xml:space="preserve">that </w:t>
      </w:r>
      <w:r w:rsidR="01560E5C">
        <w:t>in</w:t>
      </w:r>
      <w:r>
        <w:t xml:space="preserve"> </w:t>
      </w:r>
      <w:r w:rsidR="50D523B5">
        <w:t>people without intellectual disabilit</w:t>
      </w:r>
      <w:r w:rsidR="00A000DA">
        <w:t>ies</w:t>
      </w:r>
      <w:r>
        <w:t xml:space="preserve">. One study reported that the incidence of dementia in adults </w:t>
      </w:r>
      <w:r w:rsidR="007B4A0C">
        <w:t>with intellectual disabilities</w:t>
      </w:r>
      <w:r>
        <w:t xml:space="preserve"> aged 65 and older was five times greater than in the </w:t>
      </w:r>
      <w:r w:rsidR="2C7E65E5">
        <w:t>population of people without intellectual disabilit</w:t>
      </w:r>
      <w:r w:rsidR="00A000DA">
        <w:t>ies</w:t>
      </w:r>
      <w:r w:rsidR="2C7E65E5">
        <w:t xml:space="preserve"> </w:t>
      </w:r>
      <w:r>
        <w:fldChar w:fldCharType="begin"/>
      </w:r>
      <w:r>
        <w:instrText xml:space="preserve"> ADDIN EN.CITE &lt;EndNote&gt;&lt;Cite&gt;&lt;Author&gt;Strydom&lt;/Author&gt;&lt;Year&gt;2013&lt;/Year&gt;&lt;RecNum&gt;465&lt;/RecNum&gt;&lt;DisplayText&gt;(Strydom et al., 2013)&lt;/DisplayText&gt;&lt;record&gt;&lt;rec-number&gt;465&lt;/rec-number&gt;&lt;foreign-keys&gt;&lt;key app="EN" db-id="xtwfdzde5ttr0zevxrh5sf0c2wfzw5zf2vra" timestamp="1646320730" guid="fadce34f-7bd1-4727-9c9e-144ff90f1962"&gt;465&lt;/key&gt;&lt;/foreign-keys&gt;&lt;ref-type name="Journal Article"&gt;17&lt;/ref-type&gt;&lt;contributors&gt;&lt;authors&gt;&lt;author&gt;Strydom, Andre&lt;/author&gt;&lt;author&gt;Chan, Trevor&lt;/author&gt;&lt;author&gt;King, Michael&lt;/author&gt;&lt;author&gt;Hassiotis, Angela&lt;/author&gt;&lt;author&gt;Livingston, Gill&lt;/author&gt;&lt;/authors&gt;&lt;/contributors&gt;&lt;titles&gt;&lt;title&gt;Incidence of dementia in older adults with intellectual disabilities&lt;/title&gt;&lt;secondary-title&gt;Research in Developmental Disabilities&lt;/secondary-title&gt;&lt;/titles&gt;&lt;periodical&gt;&lt;full-title&gt;Research in Developmental Disabilities&lt;/full-title&gt;&lt;/periodical&gt;&lt;pages&gt;1881-1885&lt;/pages&gt;&lt;volume&gt;34&lt;/volume&gt;&lt;number&gt;6&lt;/number&gt;&lt;dates&gt;&lt;year&gt;2013&lt;/year&gt;&lt;/dates&gt;&lt;publisher&gt;Elsevier BV&lt;/publisher&gt;&lt;isbn&gt;0891-4222&lt;/isbn&gt;&lt;urls&gt;&lt;related-urls&gt;&lt;url&gt;https://dx.doi.org/10.1016/j.ridd.2013.02.021&lt;/url&gt;&lt;/related-urls&gt;&lt;/urls&gt;&lt;electronic-resource-num&gt;10.1016/j.ridd.2013.02.021&lt;/electronic-resource-num&gt;&lt;/record&gt;&lt;/Cite&gt;&lt;/EndNote&gt;</w:instrText>
      </w:r>
      <w:r>
        <w:fldChar w:fldCharType="separate"/>
      </w:r>
      <w:r>
        <w:rPr>
          <w:noProof/>
        </w:rPr>
        <w:t>(Strydom et al., 2013)</w:t>
      </w:r>
      <w:r>
        <w:fldChar w:fldCharType="end"/>
      </w:r>
      <w:r>
        <w:t xml:space="preserve">, whereas another found that there was no difference in the prevalence of dementia between these populations </w:t>
      </w:r>
      <w:r>
        <w:fldChar w:fldCharType="begin">
          <w:fldData xml:space="preserve">PEVuZE5vdGU+PENpdGU+PEF1dGhvcj5aaWdtYW48L0F1dGhvcj48WWVhcj4yMDA0PC9ZZWFyPjxS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PEVuZE5vdGU+PENpdGU+PEF1dGhvcj5aaWdtYW48L0F1dGhvcj48WWVhcj4yMDA0PC9ZZWFyPjxS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</w:fldData>
        </w:fldChar>
      </w:r>
      <w:r>
        <w:instrText xml:space="preserve"> ADDIN EN.CITE.DATA </w:instrText>
      </w:r>
      <w:r>
        <w:fldChar w:fldCharType="end"/>
      </w:r>
      <w:r>
        <w:fldChar w:fldCharType="separate"/>
      </w:r>
      <w:r>
        <w:rPr>
          <w:noProof/>
        </w:rPr>
        <w:t>(Zigman et al., 2004)</w:t>
      </w:r>
      <w:r>
        <w:fldChar w:fldCharType="end"/>
      </w:r>
      <w:r>
        <w:t>. In addition to dementia appearing earlier in people with Down Syndrome, the prevalence of the disease increases with age. One longitudinal study reported that the prevalence increased from under 10% in people aged in their 40s to more than 30%</w:t>
      </w:r>
      <w:r w:rsidDel="00B85ACA">
        <w:t xml:space="preserve"> </w:t>
      </w:r>
      <w:r>
        <w:t xml:space="preserve">in those aged in their 50s </w:t>
      </w:r>
      <w:r>
        <w:fldChar w:fldCharType="begin"/>
      </w:r>
      <w:r>
        <w:instrText xml:space="preserve"> ADDIN EN.CITE &lt;EndNote&gt;&lt;Cite&gt;&lt;Author&gt;Strydom&lt;/Author&gt;&lt;Year&gt;2010&lt;/Year&gt;&lt;RecNum&gt;468&lt;/RecNum&gt;&lt;DisplayText&gt;(Strydom et al., 2010)&lt;/DisplayText&gt;&lt;record&gt;&lt;rec-number&gt;468&lt;/rec-number&gt;&lt;foreign-keys&gt;&lt;key app="EN" db-id="xtwfdzde5ttr0zevxrh5sf0c2wfzw5zf2vra" timestamp="1646322659" guid="356c7a81-c322-41f3-874c-3dc9b3f18e98"&gt;468&lt;/key&gt;&lt;/foreign-keys&gt;&lt;ref-type name="Journal Article"&gt;17&lt;/ref-type&gt;&lt;contributors&gt;&lt;authors&gt;&lt;author&gt;Strydom, Andre&lt;/author&gt;&lt;author&gt;Shooshtari, Shahin&lt;/author&gt;&lt;author&gt;Lee, Lynette&lt;/author&gt;&lt;author&gt;Raykar, Veena&lt;/author&gt;&lt;author&gt;Torr, Jenny&lt;/author&gt;&lt;author&gt;Tsiouris, John&lt;/author&gt;&lt;author&gt;Jokinen, Nancy&lt;/author&gt;&lt;author&gt;Courtenay, Ken&lt;/author&gt;&lt;author&gt;Bass, Nick&lt;/author&gt;&lt;author&gt;Sinnema, Margje&lt;/author&gt;&lt;/authors&gt;&lt;/contributors&gt;&lt;titles&gt;&lt;title&gt;Dementia in older adults with intellectual disabilities—epidemiology, presentation, and diagnosis&lt;/title&gt;&lt;secondary-title&gt;Journal of Policy and Practice in Intellectual Disabilities&lt;/secondary-title&gt;&lt;/titles&gt;&lt;periodical&gt;&lt;full-title&gt;Journal of Policy and Practice in Intellectual Disabilities&lt;/full-title&gt;&lt;/periodical&gt;&lt;pages&gt;96-110&lt;/pages&gt;&lt;volume&gt;7&lt;/volume&gt;&lt;number&gt;2&lt;/number&gt;&lt;dates&gt;&lt;year&gt;2010&lt;/year&gt;&lt;/dates&gt;&lt;isbn&gt;1741-1122&lt;/isbn&gt;&lt;urls&gt;&lt;/urls&gt;&lt;/record&gt;&lt;/Cite&gt;&lt;/EndNote&gt;</w:instrText>
      </w:r>
      <w:r>
        <w:fldChar w:fldCharType="separate"/>
      </w:r>
      <w:r>
        <w:rPr>
          <w:noProof/>
        </w:rPr>
        <w:t>(Strydom et al., 2010)</w:t>
      </w:r>
      <w:r>
        <w:fldChar w:fldCharType="end"/>
      </w:r>
      <w:r>
        <w:t xml:space="preserve">. </w:t>
      </w:r>
    </w:p>
    <w:p w14:paraId="1D8C120F" w14:textId="62F4EB79" w:rsidR="00EC6747" w:rsidRPr="00A7027F" w:rsidRDefault="00EC6747" w:rsidP="00EC6747">
      <w:r>
        <w:t>The additional challenges associated with a dual diagnosis of dementia further add to the complexity of their needs</w:t>
      </w:r>
      <w:r w:rsidR="4C85C68C">
        <w:t>.</w:t>
      </w:r>
      <w:r w:rsidR="0DE0E15B">
        <w:t xml:space="preserve"> </w:t>
      </w:r>
      <w:r w:rsidR="07FE7D19">
        <w:t>Such challenges</w:t>
      </w:r>
      <w:r>
        <w:t xml:space="preserve"> include impairment of activities of daily living, emotional and behavioural issues, including aggressive behaviours, wandering and pacing, apathy, eating and sleeping disturbances and depression </w:t>
      </w:r>
      <w:r>
        <w:fldChar w:fldCharType="begin"/>
      </w:r>
      <w:r>
        <w:instrText xml:space="preserve"> ADDIN EN.CITE &lt;EndNote&gt;&lt;Cite&gt;&lt;Author&gt;Hatzidimitriadou&lt;/Author&gt;&lt;Year&gt;2005&lt;/Year&gt;&lt;RecNum&gt;357&lt;/RecNum&gt;&lt;DisplayText&gt;(Hatzidimitriadou &amp;amp; Milne, 2005)&lt;/DisplayText&gt;&lt;record&gt;&lt;rec-number&gt;357&lt;/rec-number&gt;&lt;foreign-keys&gt;&lt;key app="EN" db-id="xtwfdzde5ttr0zevxrh5sf0c2wfzw5zf2vra" timestamp="1643290955" guid="4226f882-8f87-4001-9a6b-fb5cb27f4e7e"&gt;357&lt;/key&gt;&lt;/foreign-keys&gt;&lt;ref-type name="Journal Article"&gt;17&lt;/ref-type&gt;&lt;contributors&gt;&lt;authors&gt;&lt;author&gt;Hatzidimitriadou, Eleni&lt;/author&gt;&lt;author&gt;Milne, Alisoun&lt;/author&gt;&lt;/authors&gt;&lt;/contributors&gt;&lt;titles&gt;&lt;title&gt;Planning ahead: Meeting the needs of older people with intellectual disabilities in the United Kingdom&lt;/title&gt;&lt;secondary-title&gt;Dementia&lt;/secondary-title&gt;&lt;short-title&gt;Planning ahead: Meeting the needs of older people with intellectual disabilities in the United Kingdom&lt;/short-title&gt;&lt;/titles&gt;&lt;periodical&gt;&lt;full-title&gt;Dementia&lt;/full-title&gt;&lt;/periodical&gt;&lt;pages&gt;341-359&lt;/pages&gt;&lt;volume&gt;4&lt;/volume&gt;&lt;number&gt;3&lt;/number&gt;&lt;dates&gt;&lt;year&gt;2005&lt;/year&gt;&lt;/dates&gt;&lt;urls&gt;&lt;related-urls&gt;&lt;url&gt;https://journals.sagepub.com/doi/10.1177/1471301205055027&lt;/url&gt;&lt;/related-urls&gt;&lt;/urls&gt;&lt;electronic-resource-num&gt;10.1177/1471301205055027&lt;/electronic-resource-num&gt;&lt;/record&gt;&lt;/Cite&gt;&lt;/EndNote&gt;</w:instrText>
      </w:r>
      <w:r>
        <w:fldChar w:fldCharType="separate"/>
      </w:r>
      <w:r w:rsidR="00FF5F49" w:rsidRPr="11C55A92">
        <w:rPr>
          <w:noProof/>
        </w:rPr>
        <w:t>(Hatzidimitriadou &amp; Milne, 2005)</w:t>
      </w:r>
      <w:r>
        <w:fldChar w:fldCharType="end"/>
      </w:r>
      <w:r>
        <w:t xml:space="preserve">. The behavioural and psychological symptoms of dementia can significantly influence the quality of life of the individuals affected as well as their families and caregivers </w:t>
      </w:r>
      <w:r>
        <w:fldChar w:fldCharType="begin"/>
      </w:r>
      <w:r>
        <w:instrText xml:space="preserve"> ADDIN EN.CITE &lt;EndNote&gt;&lt;Cite&gt;&lt;Author&gt;Marsack-Topolewski&lt;/Author&gt;&lt;Year&gt;2020&lt;/Year&gt;&lt;RecNum&gt;387&lt;/RecNum&gt;&lt;DisplayText&gt;(Marsack-Topolewski &amp;amp; Samuel, 2020)&lt;/DisplayText&gt;&lt;record&gt;&lt;rec-number&gt;387&lt;/rec-number&gt;&lt;foreign-keys&gt;&lt;key app="EN" db-id="xtwfdzde5ttr0zevxrh5sf0c2wfzw5zf2vra" timestamp="1643290955" guid="cb5d10bd-0e6f-4e54-9e2f-127ffaae416e"&gt;387&lt;/key&gt;&lt;/foreign-keys&gt;&lt;ref-type name="Journal Article"&gt;17&lt;/ref-type&gt;&lt;contributors&gt;&lt;authors&gt;&lt;author&gt;Marsack-Topolewski, Christina N.&lt;/author&gt;&lt;author&gt;Samuel, Preethy S.&lt;/author&gt;&lt;/authors&gt;&lt;/contributors&gt;&lt;titles&gt;&lt;title&gt;Caregivers’ Perceptions of Family Quality of Life of Individuals with Developmental Disabilities Comorbid with Dementia: A Pilot Study&lt;/title&gt;&lt;secondary-title&gt;Journal for ReAttach Therapy and Developmental Diversities&lt;/secondary-title&gt;&lt;short-title&gt;Caregivers’ Perceptions of Family Quality of Life of Individuals with Developmental Disabilities Comorbid with Dementia: A Pilot Study&lt;/short-title&gt;&lt;/titles&gt;&lt;periodical&gt;&lt;full-title&gt;Journal for ReAttach Therapy and Developmental Diversities&lt;/full-title&gt;&lt;/periodical&gt;&lt;pages&gt;56-70&lt;/pages&gt;&lt;volume&gt;3&lt;/volume&gt;&lt;number&gt;2&lt;/number&gt;&lt;dates&gt;&lt;year&gt;2020&lt;/year&gt;&lt;/dates&gt;&lt;urls&gt;&lt;/urls&gt;&lt;electronic-resource-num&gt;10.26407/2020jrtdd.1.38&lt;/electronic-resource-num&gt;&lt;/record&gt;&lt;/Cite&gt;&lt;/EndNote&gt;</w:instrText>
      </w:r>
      <w:r>
        <w:fldChar w:fldCharType="separate"/>
      </w:r>
      <w:r w:rsidR="00FF5F49" w:rsidRPr="11C55A92">
        <w:rPr>
          <w:noProof/>
        </w:rPr>
        <w:t>(Marsack-Topolewski &amp; Samuel, 2020)</w:t>
      </w:r>
      <w:r>
        <w:fldChar w:fldCharType="end"/>
      </w:r>
      <w:r>
        <w:t xml:space="preserve">. </w:t>
      </w:r>
    </w:p>
    <w:p w14:paraId="219D8F36" w14:textId="77777777" w:rsidR="00EC6747" w:rsidRPr="00906B8B" w:rsidRDefault="00EC6747" w:rsidP="00647FED">
      <w:pPr>
        <w:pStyle w:val="Heading3"/>
        <w:rPr>
          <w:color w:val="auto"/>
        </w:rPr>
      </w:pPr>
      <w:bookmarkStart w:id="81" w:name="_Toc116045684"/>
      <w:bookmarkStart w:id="82" w:name="_Toc118558256"/>
      <w:r w:rsidRPr="00906B8B">
        <w:rPr>
          <w:color w:val="auto"/>
        </w:rPr>
        <w:t>Social and environmental needs</w:t>
      </w:r>
      <w:bookmarkEnd w:id="81"/>
      <w:bookmarkEnd w:id="82"/>
    </w:p>
    <w:p w14:paraId="348BC237" w14:textId="029F3676" w:rsidR="00EC6747" w:rsidRDefault="2855CF3A" w:rsidP="00EC6747">
      <w:r>
        <w:t xml:space="preserve">In addition to physical and mental health needs, older people </w:t>
      </w:r>
      <w:r w:rsidR="68D0F1EE">
        <w:t>with intellectual disabilities</w:t>
      </w:r>
      <w:r>
        <w:t xml:space="preserve"> face unmet social needs </w:t>
      </w:r>
      <w:r w:rsidR="00EC6747">
        <w:fldChar w:fldCharType="begin"/>
      </w:r>
      <w:r w:rsidR="006A378C">
        <w:instrText xml:space="preserve"> ADDIN EN.CITE &lt;EndNote&gt;&lt;Cite&gt;&lt;Author&gt;McCausland&lt;/Author&gt;&lt;Year&gt;2021&lt;/Year&gt;&lt;RecNum&gt;395&lt;/RecNum&gt;&lt;DisplayText&gt;(McCausland et al., 2021a)&lt;/DisplayText&gt;&lt;record&gt;&lt;rec-number&gt;395&lt;/rec-number&gt;&lt;foreign-keys&gt;&lt;key app="EN" db-id="xtwfdzde5ttr0zevxrh5sf0c2wfzw5zf2vra" timestamp="1643290955" guid="4e75ea09-189a-4c34-a7cf-b600fcb67683"&gt;395&lt;/key&gt;&lt;/foreign-keys&gt;&lt;ref-type name="Journal Article"&gt;17&lt;/ref-type&gt;&lt;contributors&gt;&lt;authors&gt;&lt;author&gt;McCausland, Darren&lt;/author&gt;&lt;author&gt;Guerin, Suzanne&lt;/author&gt;&lt;author&gt;Tyrrell, Janette&lt;/author&gt;&lt;author&gt;Donohoe, Clare&lt;/author&gt;&lt;author&gt;O&amp;apos;Donoghue, Isabelle&lt;/author&gt;&lt;author&gt;Dodd, Philip&lt;/author&gt;&lt;/authors&gt;&lt;/contributors&gt;&lt;titles&gt;&lt;title&gt;A qualitative study of the needs of older adults with intellectual disabilities&lt;/title&gt;&lt;secondary-title&gt;Journal of Applied Research in Intellectual Disabilities&lt;/secondary-title&gt;&lt;short-title&gt;A qualitative study of the needs of older adults with intellectual disabilities&lt;/short-title&gt;&lt;/titles&gt;&lt;periodical&gt;&lt;full-title&gt;Journal of Applied Research in Intellectual Disabilities&lt;/full-title&gt;&lt;/periodical&gt;&lt;pages&gt;1560-1568&lt;/pages&gt;&lt;volume&gt;34&lt;/volume&gt;&lt;number&gt;6&lt;/number&gt;&lt;dates&gt;&lt;year&gt;2021&lt;/year&gt;&lt;/dates&gt;&lt;urls&gt;&lt;related-urls&gt;&lt;url&gt;https://onlinelibrary.wiley.com/doi/10.1111/jar.12900&lt;/url&gt;&lt;/related-urls&gt;&lt;/urls&gt;&lt;electronic-resource-num&gt;10.1111/jar.12900&lt;/electronic-resource-num&gt;&lt;/record&gt;&lt;/Cite&gt;&lt;/EndNote&gt;</w:instrText>
      </w:r>
      <w:r w:rsidR="00EC6747">
        <w:fldChar w:fldCharType="separate"/>
      </w:r>
      <w:r>
        <w:rPr>
          <w:noProof/>
        </w:rPr>
        <w:t>(McCausland et al., 2021a)</w:t>
      </w:r>
      <w:r w:rsidR="00EC6747">
        <w:fldChar w:fldCharType="end"/>
      </w:r>
      <w:r>
        <w:t xml:space="preserve">. These include a range of housing needs, such as issues around suitable accommodation, around transitioning from one place of residence to another, and </w:t>
      </w:r>
      <w:r w:rsidRPr="00B70AD1">
        <w:t>issues related to continued accommodation with older adult caregivers</w:t>
      </w:r>
      <w:r>
        <w:t xml:space="preserve"> </w:t>
      </w:r>
      <w:r w:rsidR="00EC6747">
        <w:fldChar w:fldCharType="begin">
          <w:fldData xml:space="preserve">PEVuZE5vdGU+PENpdGU+PEF1dGhvcj5HaWxiZXJ0PC9BdXRob3I+PFllYXI+MjAwODwvWWVhcj48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</w:fldData>
        </w:fldChar>
      </w:r>
      <w:r w:rsidR="00FF5F49">
        <w:instrText xml:space="preserve"> ADDIN EN.CITE </w:instrText>
      </w:r>
      <w:r w:rsidR="00FF5F49">
        <w:fldChar w:fldCharType="begin">
          <w:fldData xml:space="preserve">PEVuZE5vdGU+PENpdGU+PEF1dGhvcj5HaWxiZXJ0PC9BdXRob3I+PFllYXI+MjAwODwvWWVhcj48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</w:fldData>
        </w:fldChar>
      </w:r>
      <w:r w:rsidR="00FF5F49">
        <w:instrText xml:space="preserve"> ADDIN EN.CITE.DATA </w:instrText>
      </w:r>
      <w:r w:rsidR="00FF5F49">
        <w:fldChar w:fldCharType="end"/>
      </w:r>
      <w:r w:rsidR="00EC6747">
        <w:fldChar w:fldCharType="separate"/>
      </w:r>
      <w:r w:rsidR="7235BF59">
        <w:rPr>
          <w:noProof/>
        </w:rPr>
        <w:t>(Gilbert et al., 2008; Hogg et al., 2001)</w:t>
      </w:r>
      <w:r w:rsidR="00EC6747">
        <w:fldChar w:fldCharType="end"/>
      </w:r>
      <w:r>
        <w:t>.</w:t>
      </w:r>
      <w:r w:rsidR="574CDFCB">
        <w:t xml:space="preserve"> </w:t>
      </w:r>
      <w:r>
        <w:t xml:space="preserve">They also include needs around social participation, social networks, and inclusion </w:t>
      </w:r>
      <w:r w:rsidR="00EC6747">
        <w:fldChar w:fldCharType="begin">
          <w:fldData xml:space="preserve">PEVuZE5vdGU+PENpdGU+PEF1dGhvcj5CaWdieTwvQXV0aG9yPjxZZWFyPjIwMDg8L1llYXI+PFJl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</w:fldData>
        </w:fldChar>
      </w:r>
      <w:r w:rsidR="00B26CBF">
        <w:instrText xml:space="preserve"> ADDIN EN.CITE </w:instrText>
      </w:r>
      <w:r w:rsidR="00B26CBF">
        <w:fldChar w:fldCharType="begin">
          <w:fldData xml:space="preserve">PEVuZE5vdGU+PENpdGU+PEF1dGhvcj5CaWdieTwvQXV0aG9yPjxZZWFyPjIwMDg8L1llYXI+PFJl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</w:fldData>
        </w:fldChar>
      </w:r>
      <w:r w:rsidR="00B26CBF">
        <w:instrText xml:space="preserve"> ADDIN EN.CITE.DATA </w:instrText>
      </w:r>
      <w:r w:rsidR="00B26CBF">
        <w:fldChar w:fldCharType="end"/>
      </w:r>
      <w:r w:rsidR="00EC6747">
        <w:fldChar w:fldCharType="separate"/>
      </w:r>
      <w:r w:rsidR="4855CB28">
        <w:rPr>
          <w:noProof/>
        </w:rPr>
        <w:t>(McCausland et al., 2021a; McCallion et al., 2013b; Bigby, 2008b)</w:t>
      </w:r>
      <w:r w:rsidR="00EC6747">
        <w:fldChar w:fldCharType="end"/>
      </w:r>
      <w:r>
        <w:t xml:space="preserve">, as well as employment and retirement </w:t>
      </w:r>
      <w:r w:rsidR="00EC6747">
        <w:fldChar w:fldCharType="begin"/>
      </w:r>
      <w:r w:rsidR="006A378C">
        <w:instrText xml:space="preserve"> ADDIN EN.CITE &lt;EndNote&gt;&lt;Cite&gt;&lt;Author&gt;McCausland&lt;/Author&gt;&lt;Year&gt;2021&lt;/Year&gt;&lt;RecNum&gt;395&lt;/RecNum&gt;&lt;DisplayText&gt;(McCausland et al., 2021a)&lt;/DisplayText&gt;&lt;record&gt;&lt;rec-number&gt;395&lt;/rec-number&gt;&lt;foreign-keys&gt;&lt;key app="EN" db-id="xtwfdzde5ttr0zevxrh5sf0c2wfzw5zf2vra" timestamp="1643290955" guid="4e75ea09-189a-4c34-a7cf-b600fcb67683"&gt;395&lt;/key&gt;&lt;/foreign-keys&gt;&lt;ref-type name="Journal Article"&gt;17&lt;/ref-type&gt;&lt;contributors&gt;&lt;authors&gt;&lt;author&gt;McCausland, Darren&lt;/author&gt;&lt;author&gt;Guerin, Suzanne&lt;/author&gt;&lt;author&gt;Tyrrell, Janette&lt;/author&gt;&lt;author&gt;Donohoe, Clare&lt;/author&gt;&lt;author&gt;O&amp;apos;Donoghue, Isabelle&lt;/author&gt;&lt;author&gt;Dodd, Philip&lt;/author&gt;&lt;/authors&gt;&lt;/contributors&gt;&lt;titles&gt;&lt;title&gt;A qualitative study of the needs of older adults with intellectual disabilities&lt;/title&gt;&lt;secondary-title&gt;Journal of Applied Research in Intellectual Disabilities&lt;/secondary-title&gt;&lt;short-title&gt;A qualitative study of the needs of older adults with intellectual disabilities&lt;/short-title&gt;&lt;/titles&gt;&lt;periodical&gt;&lt;full-title&gt;Journal of Applied Research in Intellectual Disabilities&lt;/full-title&gt;&lt;/periodical&gt;&lt;pages&gt;1560-1568&lt;/pages&gt;&lt;volume&gt;34&lt;/volume&gt;&lt;number&gt;6&lt;/number&gt;&lt;dates&gt;&lt;year&gt;2021&lt;/year&gt;&lt;/dates&gt;&lt;urls&gt;&lt;related-urls&gt;&lt;url&gt;https://onlinelibrary.wiley.com/doi/10.1111/jar.12900&lt;/url&gt;&lt;/related-urls&gt;&lt;/urls&gt;&lt;electronic-resource-num&gt;10.1111/jar.12900&lt;/electronic-resource-num&gt;&lt;/record&gt;&lt;/Cite&gt;&lt;/EndNote&gt;</w:instrText>
      </w:r>
      <w:r w:rsidR="00EC6747">
        <w:fldChar w:fldCharType="separate"/>
      </w:r>
      <w:r>
        <w:rPr>
          <w:noProof/>
        </w:rPr>
        <w:t>(McCausland et al., 2021a)</w:t>
      </w:r>
      <w:r w:rsidR="00EC6747">
        <w:fldChar w:fldCharType="end"/>
      </w:r>
      <w:r>
        <w:t xml:space="preserve">. As older adults are affected by age-related changes and secondary health conditions, these challenges may become more pronounced </w:t>
      </w:r>
      <w:r w:rsidR="00EC6747">
        <w:fldChar w:fldCharType="begin"/>
      </w:r>
      <w:r w:rsidR="006A378C">
        <w:instrText xml:space="preserve"> ADDIN EN.CITE &lt;EndNote&gt;&lt;Cite&gt;&lt;Author&gt;Janicki&lt;/Author&gt;&lt;Year&gt;2010&lt;/Year&gt;&lt;RecNum&gt;371&lt;/RecNum&gt;&lt;DisplayText&gt;(Janicki, 2010)&lt;/DisplayText&gt;&lt;record&gt;&lt;rec-number&gt;371&lt;/rec-number&gt;&lt;foreign-keys&gt;&lt;key app="EN" db-id="xtwfdzde5ttr0zevxrh5sf0c2wfzw5zf2vra" timestamp="1643290955" guid="325d8400-d339-4c42-a9b4-e79e3f32a941"&gt;371&lt;/key&gt;&lt;/foreign-keys&gt;&lt;ref-type name="Journal Article"&gt;17&lt;/ref-type&gt;&lt;contributors&gt;&lt;authors&gt;&lt;author&gt;Janicki, Matthew P.&lt;/author&gt;&lt;/authors&gt;&lt;/contributors&gt;&lt;titles&gt;&lt;title&gt;Aging adults with intellectual disabilities: Perspectives on emerging service concerns&lt;/title&gt;&lt;secondary-title&gt;Journal of Special Education and Rehabilitation&lt;/secondary-title&gt;&lt;short-title&gt;Aging adults with intellectual disabilities: Perspectives on emerging service concerns&lt;/short-title&gt;&lt;/titles&gt;&lt;periodical&gt;&lt;full-title&gt;Journal of Special Education and Rehabilitation&lt;/full-title&gt;&lt;/periodical&gt;&lt;pages&gt;114-129&lt;/pages&gt;&lt;volume&gt;11&lt;/volume&gt;&lt;number&gt;1-2&lt;/number&gt;&lt;dates&gt;&lt;year&gt;2010&lt;/year&gt;&lt;/dates&gt;&lt;urls&gt;&lt;related-urls&gt;&lt;url&gt;https://zenodo.org/record/28340/files/114-129_ISKUSTVA_I_NOVINI_OD_SVETOT_Matthew_Janicki.pdf&lt;/url&gt;&lt;/related-urls&gt;&lt;/urls&gt;&lt;electronic-resource-num&gt;10.5281/zenodo.28340&lt;/electronic-resource-num&gt;&lt;/record&gt;&lt;/Cite&gt;&lt;/EndNote&gt;</w:instrText>
      </w:r>
      <w:r w:rsidR="00EC6747">
        <w:fldChar w:fldCharType="separate"/>
      </w:r>
      <w:r>
        <w:rPr>
          <w:noProof/>
        </w:rPr>
        <w:t>(Janicki, 2010)</w:t>
      </w:r>
      <w:r w:rsidR="00EC6747">
        <w:fldChar w:fldCharType="end"/>
      </w:r>
      <w:r>
        <w:t>.</w:t>
      </w:r>
    </w:p>
    <w:p w14:paraId="70A68946" w14:textId="7505F6C2" w:rsidR="00EC6747" w:rsidRPr="00906B8B" w:rsidRDefault="00EC6747" w:rsidP="11C55A92">
      <w:pPr>
        <w:pStyle w:val="Heading4"/>
        <w:rPr>
          <w:color w:val="auto"/>
        </w:rPr>
      </w:pPr>
      <w:bookmarkStart w:id="83" w:name="_Toc116045685"/>
      <w:r w:rsidRPr="00906B8B">
        <w:rPr>
          <w:color w:val="auto"/>
        </w:rPr>
        <w:t>Housing</w:t>
      </w:r>
      <w:bookmarkEnd w:id="83"/>
      <w:r w:rsidR="00931A42" w:rsidRPr="00906B8B">
        <w:rPr>
          <w:color w:val="auto"/>
        </w:rPr>
        <w:t xml:space="preserve"> and the Built Environment</w:t>
      </w:r>
    </w:p>
    <w:p w14:paraId="3FED45B4" w14:textId="09B28958" w:rsidR="00EC6747" w:rsidRDefault="00EC6747" w:rsidP="00EC6747">
      <w:r>
        <w:t>According to the 2016 Census, approximately 66,500 people with intellectual disabilit</w:t>
      </w:r>
      <w:r w:rsidR="007B4A0C">
        <w:t>ies</w:t>
      </w:r>
      <w:r>
        <w:t xml:space="preserve"> are living in Ireland. These people live in a variety of housing types including in family homes, independent settings in the community, group homes, and in larger residential centres</w:t>
      </w:r>
      <w:r w:rsidR="393BF6C2">
        <w:t xml:space="preserve"> </w:t>
      </w:r>
      <w:r w:rsidR="3A07CA2F">
        <w:t>and institutions</w:t>
      </w:r>
      <w:r w:rsidR="0033493C">
        <w:t xml:space="preserve"> </w:t>
      </w:r>
      <w:r>
        <w:fldChar w:fldCharType="begin">
          <w:fldData xml:space="preserve">PEVuZE5vdGU+PENpdGU+PEF1dGhvcj5JbmNsdXNpb24gSXJlbGFuZDwvQXV0aG9yPjxZZWFyPjIw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</w:fldData>
        </w:fldChar>
      </w:r>
      <w:r w:rsidR="00B26CBF">
        <w:instrText xml:space="preserve"> ADDIN EN.CITE </w:instrText>
      </w:r>
      <w:r w:rsidR="00B26CBF">
        <w:fldChar w:fldCharType="begin">
          <w:fldData xml:space="preserve">PEVuZE5vdGU+PENpdGU+PEF1dGhvcj5JbmNsdXNpb24gSXJlbGFuZDwvQXV0aG9yPjxZZWFyPjIw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</w:fldData>
        </w:fldChar>
      </w:r>
      <w:r w:rsidR="00B26CBF">
        <w:instrText xml:space="preserve"> ADDIN EN.CITE.DATA </w:instrText>
      </w:r>
      <w:r w:rsidR="00B26CBF">
        <w:fldChar w:fldCharType="end"/>
      </w:r>
      <w:r>
        <w:fldChar w:fldCharType="separate"/>
      </w:r>
      <w:r w:rsidR="00B26CBF">
        <w:rPr>
          <w:noProof/>
        </w:rPr>
        <w:t>(Roebuck, 2021; Inclusion Ireland, 2019; Mansell &amp; Beadle-Brown, 2009)</w:t>
      </w:r>
      <w:r>
        <w:fldChar w:fldCharType="end"/>
      </w:r>
      <w:r>
        <w:t xml:space="preserve"> </w:t>
      </w:r>
      <w:r w:rsidRPr="00F1569B">
        <w:t>(See Table 1 for description of housing types).</w:t>
      </w:r>
      <w:r>
        <w:t xml:space="preserve"> </w:t>
      </w:r>
    </w:p>
    <w:p w14:paraId="157541A6" w14:textId="252CFD6A" w:rsidR="00C43251" w:rsidRDefault="00C43251" w:rsidP="11C55A92">
      <w:pPr>
        <w:rPr>
          <w:rFonts w:eastAsia="Gill Sans MT" w:cs="Gill Sans MT"/>
          <w:szCs w:val="26"/>
        </w:rPr>
      </w:pPr>
      <w:r>
        <w:t xml:space="preserve">Although there has been a significant policy shift in housing to support older people </w:t>
      </w:r>
      <w:r w:rsidR="007B4A0C">
        <w:t>with intellectual disabilities</w:t>
      </w:r>
      <w:r>
        <w:t xml:space="preserve"> to move from congregated settings toward living independently in the community</w:t>
      </w:r>
      <w:r w:rsidR="00B31A9D">
        <w:t xml:space="preserve"> </w:t>
      </w:r>
      <w:r w:rsidR="00B31A9D">
        <w:fldChar w:fldCharType="begin"/>
      </w:r>
      <w:r w:rsidR="00AD24C0">
        <w:instrText xml:space="preserve"> ADDIN EN.CITE &lt;EndNote&gt;&lt;Cite ExcludeAuth="1"&gt;&lt;Author&gt;HSE&lt;/Author&gt;&lt;Year&gt;2011&lt;/Year&gt;&lt;RecNum&gt;482&lt;/RecNum&gt;&lt;Prefix&gt;HSE`, &lt;/Prefix&gt;&lt;DisplayText&gt;(HSE, 2011)&lt;/DisplayText&gt;&lt;record&gt;&lt;rec-number&gt;482&lt;/rec-number&gt;&lt;foreign-keys&gt;&lt;key app="EN" db-id="xtwfdzde5ttr0zevxrh5sf0c2wfzw5zf2vra" timestamp="1646829731" guid="5c1be10c-e081-4c41-989a-cd8997c335da"&gt;482&lt;/key&gt;&lt;/foreign-keys&gt;&lt;ref-type name="Report"&gt;27&lt;/ref-type&gt;&lt;contributors&gt;&lt;authors&gt;&lt;author&gt;HSE, &lt;/author&gt;&lt;/authors&gt;&lt;/contributors&gt;&lt;titles&gt;&lt;title&gt;Time to Move on from Congregated Settings, A strategy for Community Inclusion&lt;/title&gt;&lt;/titles&gt;&lt;dates&gt;&lt;year&gt;2011&lt;/year&gt;&lt;pub-dates&gt;&lt;date&gt;June&lt;/date&gt;&lt;/pub-dates&gt;&lt;/dates&gt;&lt;pub-location&gt;Dublin&lt;/pub-location&gt;&lt;publisher&gt;Health Service Executive&lt;/publisher&gt;&lt;urls&gt;&lt;/urls&gt;&lt;/record&gt;&lt;/Cite&gt;&lt;/EndNote&gt;</w:instrText>
      </w:r>
      <w:r w:rsidR="00B31A9D">
        <w:fldChar w:fldCharType="separate"/>
      </w:r>
      <w:r w:rsidR="00B31A9D">
        <w:rPr>
          <w:noProof/>
        </w:rPr>
        <w:t>(HSE, 2011)</w:t>
      </w:r>
      <w:r w:rsidR="00B31A9D">
        <w:fldChar w:fldCharType="end"/>
      </w:r>
      <w:r w:rsidR="12F3C63F">
        <w:t>. How</w:t>
      </w:r>
      <w:r w:rsidR="6937A5F0">
        <w:t>e</w:t>
      </w:r>
      <w:r w:rsidR="12F3C63F">
        <w:t>ver as of the end of 2019</w:t>
      </w:r>
      <w:r w:rsidR="14894A58">
        <w:t xml:space="preserve"> 1,953 people</w:t>
      </w:r>
      <w:r w:rsidR="6F1A0A32">
        <w:t xml:space="preserve"> with intellectual disabilit</w:t>
      </w:r>
      <w:r w:rsidR="00A000DA">
        <w:t>ies</w:t>
      </w:r>
      <w:r w:rsidR="6F1A0A32">
        <w:t xml:space="preserve"> remained in congregated settings</w:t>
      </w:r>
      <w:r w:rsidR="00986D41">
        <w:t xml:space="preserve"> </w:t>
      </w:r>
      <w:r w:rsidR="00AD24C0">
        <w:fldChar w:fldCharType="begin"/>
      </w:r>
      <w:r w:rsidR="00F17727">
        <w:instrText xml:space="preserve"> ADDIN EN.CITE &lt;EndNote&gt;&lt;Cite&gt;&lt;Author&gt;HSE&lt;/Author&gt;&lt;Year&gt;2019&lt;/Year&gt;&lt;RecNum&gt;781&lt;/RecNum&gt;&lt;DisplayText&gt;(HSE, 2019b)&lt;/DisplayText&gt;&lt;record&gt;&lt;rec-number&gt;781&lt;/rec-number&gt;&lt;foreign-keys&gt;&lt;key app="EN" db-id="xtwfdzde5ttr0zevxrh5sf0c2wfzw5zf2vra" timestamp="1669639067" guid="8e475b14-decb-4419-941a-731d17fd5dde"&gt;781&lt;/key&gt;&lt;/foreign-keys&gt;&lt;ref-type name="Report"&gt;27&lt;/ref-type&gt;&lt;contributors&gt;&lt;authors&gt;&lt;author&gt;HSE, &lt;/author&gt;&lt;/authors&gt;&lt;/contributors&gt;&lt;titles&gt;&lt;title&gt;Time to Move on from Congregated Settings: annual progress report 2019&lt;/title&gt;&lt;/titles&gt;&lt;dates&gt;&lt;year&gt;2019&lt;/year&gt;&lt;/dates&gt;&lt;pub-location&gt;Dublin&lt;/pub-location&gt;&lt;publisher&gt;Health Service Executive&lt;/publisher&gt;&lt;urls&gt;&lt;/urls&gt;&lt;/record&gt;&lt;/Cite&gt;&lt;/EndNote&gt;</w:instrText>
      </w:r>
      <w:r w:rsidR="00AD24C0">
        <w:fldChar w:fldCharType="separate"/>
      </w:r>
      <w:r w:rsidR="00AD24C0">
        <w:rPr>
          <w:noProof/>
        </w:rPr>
        <w:t>(HSE, 2019b)</w:t>
      </w:r>
      <w:r w:rsidR="00AD24C0">
        <w:fldChar w:fldCharType="end"/>
      </w:r>
      <w:r w:rsidR="00EA4CEA">
        <w:t>.</w:t>
      </w:r>
      <w:r w:rsidR="6F1A0A32">
        <w:t xml:space="preserve"> </w:t>
      </w:r>
      <w:r w:rsidR="14894A58">
        <w:t xml:space="preserve"> </w:t>
      </w:r>
      <w:r>
        <w:t xml:space="preserve"> </w:t>
      </w:r>
    </w:p>
    <w:p w14:paraId="557F040B" w14:textId="316D5432" w:rsidR="00C43251" w:rsidRDefault="00C43251" w:rsidP="00F3649D">
      <w:pPr>
        <w:spacing w:after="0"/>
      </w:pPr>
    </w:p>
    <w:p w14:paraId="053CBC70" w14:textId="3473D569" w:rsidR="00ED5941" w:rsidRPr="00ED640F" w:rsidRDefault="00B3487F" w:rsidP="00B3487F">
      <w:pPr>
        <w:pStyle w:val="Caption"/>
      </w:pPr>
      <w:bookmarkStart w:id="84" w:name="_Toc121830412"/>
      <w:r>
        <w:t xml:space="preserve">Table </w:t>
      </w:r>
      <w:r>
        <w:fldChar w:fldCharType="begin"/>
      </w:r>
      <w:r>
        <w:instrText>SEQ Table \* ARABIC</w:instrText>
      </w:r>
      <w:r>
        <w:fldChar w:fldCharType="separate"/>
      </w:r>
      <w:r w:rsidR="00430214">
        <w:rPr>
          <w:noProof/>
        </w:rPr>
        <w:t>1</w:t>
      </w:r>
      <w:r>
        <w:fldChar w:fldCharType="end"/>
      </w:r>
      <w:r w:rsidR="008B5BF8" w:rsidRPr="008B5BF8">
        <w:t>: Housing types</w:t>
      </w:r>
      <w:bookmarkEnd w:id="84"/>
      <w:r w:rsidR="009A3856" w:rsidRPr="008B5BF8">
        <w:t xml:space="preserve"> </w:t>
      </w:r>
    </w:p>
    <w:tbl>
      <w:tblPr>
        <w:tblStyle w:val="TableGridLight"/>
        <w:tblW w:w="5000" w:type="pct"/>
        <w:tblLook w:val="04A0" w:firstRow="1" w:lastRow="0" w:firstColumn="1" w:lastColumn="0" w:noHBand="0" w:noVBand="1"/>
        <w:tblCaption w:val="Table 1. Housing Types"/>
      </w:tblPr>
      <w:tblGrid>
        <w:gridCol w:w="2378"/>
        <w:gridCol w:w="6450"/>
      </w:tblGrid>
      <w:tr w:rsidR="00ED5941" w:rsidRPr="00F3649D" w14:paraId="0BEE3DA0" w14:textId="77777777" w:rsidTr="00284BF2">
        <w:tc>
          <w:tcPr>
            <w:tcW w:w="1347" w:type="pct"/>
            <w:vAlign w:val="center"/>
          </w:tcPr>
          <w:p w14:paraId="0615D607" w14:textId="30F96293" w:rsidR="00ED5941" w:rsidRPr="00F3649D" w:rsidRDefault="00ED5941" w:rsidP="00863F38">
            <w:pPr>
              <w:spacing w:after="120"/>
              <w:rPr>
                <w:b/>
                <w:sz w:val="22"/>
                <w:szCs w:val="22"/>
              </w:rPr>
            </w:pPr>
            <w:r w:rsidRPr="00F3649D">
              <w:rPr>
                <w:b/>
                <w:sz w:val="22"/>
                <w:szCs w:val="22"/>
              </w:rPr>
              <w:t>Housing Type</w:t>
            </w:r>
          </w:p>
        </w:tc>
        <w:tc>
          <w:tcPr>
            <w:tcW w:w="3653" w:type="pct"/>
            <w:vAlign w:val="center"/>
          </w:tcPr>
          <w:p w14:paraId="0EC08D02" w14:textId="77777777" w:rsidR="00ED5941" w:rsidRPr="00F3649D" w:rsidRDefault="00ED5941" w:rsidP="00863F38">
            <w:pPr>
              <w:spacing w:after="120"/>
              <w:rPr>
                <w:b/>
                <w:sz w:val="22"/>
                <w:szCs w:val="22"/>
              </w:rPr>
            </w:pPr>
            <w:r w:rsidRPr="00F3649D">
              <w:rPr>
                <w:b/>
                <w:sz w:val="22"/>
                <w:szCs w:val="22"/>
              </w:rPr>
              <w:t>Description</w:t>
            </w:r>
          </w:p>
        </w:tc>
      </w:tr>
      <w:tr w:rsidR="00ED5941" w:rsidRPr="00F3649D" w14:paraId="06F77595" w14:textId="77777777" w:rsidTr="00284BF2">
        <w:trPr>
          <w:trHeight w:val="510"/>
        </w:trPr>
        <w:tc>
          <w:tcPr>
            <w:tcW w:w="1347" w:type="pct"/>
            <w:vAlign w:val="center"/>
          </w:tcPr>
          <w:p w14:paraId="4DBEE9EF" w14:textId="77777777" w:rsidR="00ED5941" w:rsidRPr="00F3649D" w:rsidRDefault="00ED5941" w:rsidP="00863F38">
            <w:pPr>
              <w:spacing w:after="120"/>
              <w:rPr>
                <w:b/>
                <w:sz w:val="22"/>
                <w:szCs w:val="22"/>
              </w:rPr>
            </w:pPr>
            <w:r w:rsidRPr="00F3649D">
              <w:rPr>
                <w:sz w:val="22"/>
                <w:szCs w:val="22"/>
              </w:rPr>
              <w:t>Family home</w:t>
            </w:r>
          </w:p>
        </w:tc>
        <w:tc>
          <w:tcPr>
            <w:tcW w:w="3653" w:type="pct"/>
            <w:shd w:val="clear" w:color="auto" w:fill="DEEAF6" w:themeFill="accent1" w:themeFillTint="33"/>
          </w:tcPr>
          <w:p w14:paraId="30214241" w14:textId="35AB30CD" w:rsidR="00ED5941" w:rsidRPr="00F3649D" w:rsidRDefault="00ED5941" w:rsidP="00863F38">
            <w:pPr>
              <w:spacing w:after="120"/>
              <w:rPr>
                <w:sz w:val="22"/>
                <w:szCs w:val="22"/>
              </w:rPr>
            </w:pPr>
            <w:r w:rsidRPr="00F3649D">
              <w:rPr>
                <w:sz w:val="22"/>
                <w:szCs w:val="22"/>
              </w:rPr>
              <w:t xml:space="preserve">Person </w:t>
            </w:r>
            <w:r w:rsidR="007B4A0C" w:rsidRPr="00F3649D">
              <w:rPr>
                <w:sz w:val="22"/>
                <w:szCs w:val="22"/>
              </w:rPr>
              <w:t>with intellectual disabilities</w:t>
            </w:r>
            <w:r w:rsidRPr="00F3649D">
              <w:rPr>
                <w:sz w:val="22"/>
                <w:szCs w:val="22"/>
              </w:rPr>
              <w:t xml:space="preserve"> (ID) lives in family home, often with family members including parents and/or siblings.</w:t>
            </w:r>
          </w:p>
        </w:tc>
      </w:tr>
      <w:tr w:rsidR="00284BF2" w:rsidRPr="00F3649D" w14:paraId="6A5D276F" w14:textId="77777777" w:rsidTr="00284BF2">
        <w:trPr>
          <w:trHeight w:val="680"/>
        </w:trPr>
        <w:tc>
          <w:tcPr>
            <w:tcW w:w="1347" w:type="pct"/>
            <w:vMerge w:val="restart"/>
            <w:vAlign w:val="center"/>
          </w:tcPr>
          <w:p w14:paraId="5E6690EC" w14:textId="07D36FFF" w:rsidR="00284BF2" w:rsidRPr="00F3649D" w:rsidRDefault="00284BF2" w:rsidP="00863F38">
            <w:pPr>
              <w:spacing w:after="120"/>
              <w:rPr>
                <w:sz w:val="22"/>
                <w:szCs w:val="22"/>
              </w:rPr>
            </w:pPr>
            <w:r w:rsidRPr="00F3649D">
              <w:rPr>
                <w:sz w:val="22"/>
                <w:szCs w:val="22"/>
              </w:rPr>
              <w:t>Independent living in the community</w:t>
            </w:r>
          </w:p>
        </w:tc>
        <w:tc>
          <w:tcPr>
            <w:tcW w:w="3653" w:type="pct"/>
            <w:shd w:val="clear" w:color="auto" w:fill="DEEAF6" w:themeFill="accent1" w:themeFillTint="33"/>
          </w:tcPr>
          <w:p w14:paraId="1FD285A1" w14:textId="77777777" w:rsidR="00284BF2" w:rsidRPr="00F3649D" w:rsidRDefault="00284BF2" w:rsidP="00863F38">
            <w:pPr>
              <w:spacing w:after="120"/>
              <w:rPr>
                <w:sz w:val="22"/>
                <w:szCs w:val="22"/>
              </w:rPr>
            </w:pPr>
            <w:r w:rsidRPr="00F3649D">
              <w:rPr>
                <w:b/>
                <w:sz w:val="22"/>
                <w:szCs w:val="22"/>
              </w:rPr>
              <w:t>Supported living:</w:t>
            </w:r>
            <w:r w:rsidRPr="00F3649D">
              <w:rPr>
                <w:sz w:val="22"/>
                <w:szCs w:val="22"/>
              </w:rPr>
              <w:t xml:space="preserve"> Person with ID rents/owns a house of their choosing among the general population, which they may share with people they choose. Staff support provided by agency of their choosing and separate from housing provider. </w:t>
            </w:r>
          </w:p>
        </w:tc>
      </w:tr>
      <w:tr w:rsidR="00284BF2" w:rsidRPr="00F3649D" w14:paraId="274B431E" w14:textId="77777777" w:rsidTr="00284BF2">
        <w:trPr>
          <w:trHeight w:val="680"/>
        </w:trPr>
        <w:tc>
          <w:tcPr>
            <w:tcW w:w="1347" w:type="pct"/>
            <w:vMerge/>
            <w:vAlign w:val="center"/>
          </w:tcPr>
          <w:p w14:paraId="12BEC523" w14:textId="1FF9C3C4" w:rsidR="00284BF2" w:rsidRPr="00F3649D" w:rsidRDefault="00284BF2" w:rsidP="00863F38">
            <w:pPr>
              <w:spacing w:after="120"/>
              <w:rPr>
                <w:b/>
                <w:sz w:val="22"/>
                <w:szCs w:val="22"/>
              </w:rPr>
            </w:pPr>
          </w:p>
        </w:tc>
        <w:tc>
          <w:tcPr>
            <w:tcW w:w="3653" w:type="pct"/>
            <w:shd w:val="clear" w:color="auto" w:fill="DEEAF6" w:themeFill="accent1" w:themeFillTint="33"/>
          </w:tcPr>
          <w:p w14:paraId="3B9D9433" w14:textId="77777777" w:rsidR="00284BF2" w:rsidRPr="00F3649D" w:rsidRDefault="00284BF2" w:rsidP="00863F38">
            <w:pPr>
              <w:spacing w:after="120"/>
              <w:rPr>
                <w:i/>
                <w:sz w:val="22"/>
                <w:szCs w:val="22"/>
              </w:rPr>
            </w:pPr>
            <w:r w:rsidRPr="00F3649D">
              <w:rPr>
                <w:b/>
                <w:sz w:val="22"/>
                <w:szCs w:val="22"/>
              </w:rPr>
              <w:t>Home sharing:</w:t>
            </w:r>
            <w:r w:rsidRPr="00F3649D">
              <w:rPr>
                <w:sz w:val="22"/>
                <w:szCs w:val="22"/>
              </w:rPr>
              <w:t xml:space="preserve"> People with ID share a home with another person who is paid to provide support as needed.</w:t>
            </w:r>
          </w:p>
        </w:tc>
      </w:tr>
      <w:tr w:rsidR="00ED5941" w:rsidRPr="00F3649D" w14:paraId="22F41977" w14:textId="77777777" w:rsidTr="00284BF2">
        <w:trPr>
          <w:trHeight w:val="680"/>
        </w:trPr>
        <w:tc>
          <w:tcPr>
            <w:tcW w:w="1347" w:type="pct"/>
            <w:vMerge w:val="restart"/>
            <w:vAlign w:val="center"/>
          </w:tcPr>
          <w:p w14:paraId="0D5AA088" w14:textId="77777777" w:rsidR="00ED5941" w:rsidRPr="00F3649D" w:rsidRDefault="00ED5941" w:rsidP="00863F38">
            <w:pPr>
              <w:spacing w:after="120"/>
              <w:rPr>
                <w:b/>
                <w:sz w:val="22"/>
                <w:szCs w:val="22"/>
              </w:rPr>
            </w:pPr>
            <w:r w:rsidRPr="00F3649D">
              <w:rPr>
                <w:sz w:val="22"/>
                <w:szCs w:val="22"/>
              </w:rPr>
              <w:t>Community group homes</w:t>
            </w:r>
          </w:p>
        </w:tc>
        <w:tc>
          <w:tcPr>
            <w:tcW w:w="3653" w:type="pct"/>
            <w:shd w:val="clear" w:color="auto" w:fill="DEEAF6" w:themeFill="accent1" w:themeFillTint="33"/>
          </w:tcPr>
          <w:p w14:paraId="68CD3195" w14:textId="77777777" w:rsidR="00ED5941" w:rsidRPr="00F3649D" w:rsidRDefault="00ED5941" w:rsidP="00863F38">
            <w:pPr>
              <w:spacing w:after="120"/>
              <w:rPr>
                <w:sz w:val="22"/>
                <w:szCs w:val="22"/>
              </w:rPr>
            </w:pPr>
            <w:r w:rsidRPr="00F3649D">
              <w:rPr>
                <w:b/>
                <w:sz w:val="22"/>
                <w:szCs w:val="22"/>
              </w:rPr>
              <w:t xml:space="preserve">Dispersed housing: </w:t>
            </w:r>
            <w:r w:rsidRPr="00F3649D">
              <w:rPr>
                <w:sz w:val="22"/>
                <w:szCs w:val="22"/>
              </w:rPr>
              <w:t>Apartments and houses of the same types and sizes as the majority of the population live in, scattered throughout neighbourhoods among the rest of the population.</w:t>
            </w:r>
            <w:r w:rsidRPr="00F3649D">
              <w:rPr>
                <w:b/>
                <w:sz w:val="22"/>
                <w:szCs w:val="22"/>
              </w:rPr>
              <w:t xml:space="preserve"> </w:t>
            </w:r>
            <w:r w:rsidRPr="00F3649D">
              <w:rPr>
                <w:sz w:val="22"/>
                <w:szCs w:val="22"/>
              </w:rPr>
              <w:t xml:space="preserve">Typically owned by service providers. House a small number of people with ID and support staff are provided according to assessed needs. </w:t>
            </w:r>
          </w:p>
        </w:tc>
      </w:tr>
      <w:tr w:rsidR="00ED5941" w:rsidRPr="00F3649D" w14:paraId="59BE64F8" w14:textId="77777777" w:rsidTr="00284BF2">
        <w:trPr>
          <w:trHeight w:val="680"/>
        </w:trPr>
        <w:tc>
          <w:tcPr>
            <w:tcW w:w="1347" w:type="pct"/>
            <w:vMerge/>
            <w:vAlign w:val="center"/>
          </w:tcPr>
          <w:p w14:paraId="0981B922" w14:textId="77777777" w:rsidR="00ED5941" w:rsidRPr="00F3649D" w:rsidRDefault="00ED5941" w:rsidP="00863F38">
            <w:pPr>
              <w:spacing w:after="120"/>
              <w:rPr>
                <w:sz w:val="22"/>
                <w:szCs w:val="22"/>
              </w:rPr>
            </w:pPr>
          </w:p>
        </w:tc>
        <w:tc>
          <w:tcPr>
            <w:tcW w:w="3653" w:type="pct"/>
            <w:shd w:val="clear" w:color="auto" w:fill="DEEAF6" w:themeFill="accent1" w:themeFillTint="33"/>
          </w:tcPr>
          <w:p w14:paraId="50A80B17" w14:textId="7B3AAFDC" w:rsidR="00ED5941" w:rsidRPr="00F3649D" w:rsidRDefault="00ED5941" w:rsidP="00863F38">
            <w:pPr>
              <w:spacing w:after="120"/>
              <w:rPr>
                <w:sz w:val="22"/>
                <w:szCs w:val="22"/>
              </w:rPr>
            </w:pPr>
            <w:r w:rsidRPr="00F3649D">
              <w:rPr>
                <w:b/>
                <w:sz w:val="22"/>
                <w:szCs w:val="22"/>
              </w:rPr>
              <w:t xml:space="preserve">Clustered housing: </w:t>
            </w:r>
            <w:r w:rsidRPr="00F3649D">
              <w:rPr>
                <w:sz w:val="22"/>
                <w:szCs w:val="22"/>
              </w:rPr>
              <w:t>More than one home or housing unit on the same site forming a separate community from the surrounding population. House a small</w:t>
            </w:r>
            <w:r w:rsidR="00F54F5C" w:rsidRPr="00F3649D">
              <w:rPr>
                <w:sz w:val="22"/>
                <w:szCs w:val="22"/>
              </w:rPr>
              <w:t>er</w:t>
            </w:r>
            <w:r w:rsidRPr="00F3649D">
              <w:rPr>
                <w:sz w:val="22"/>
                <w:szCs w:val="22"/>
              </w:rPr>
              <w:t xml:space="preserve"> number of people</w:t>
            </w:r>
            <w:r w:rsidR="00F54F5C" w:rsidRPr="00F3649D">
              <w:rPr>
                <w:sz w:val="22"/>
                <w:szCs w:val="22"/>
              </w:rPr>
              <w:t>.</w:t>
            </w:r>
          </w:p>
        </w:tc>
      </w:tr>
      <w:tr w:rsidR="00ED5941" w:rsidRPr="00F3649D" w14:paraId="02658968" w14:textId="77777777" w:rsidTr="00284BF2">
        <w:trPr>
          <w:trHeight w:val="680"/>
        </w:trPr>
        <w:tc>
          <w:tcPr>
            <w:tcW w:w="1347" w:type="pct"/>
            <w:vMerge/>
            <w:vAlign w:val="center"/>
          </w:tcPr>
          <w:p w14:paraId="78346258" w14:textId="77777777" w:rsidR="00ED5941" w:rsidRPr="00F3649D" w:rsidRDefault="00ED5941" w:rsidP="00863F38">
            <w:pPr>
              <w:spacing w:after="120"/>
              <w:rPr>
                <w:sz w:val="22"/>
                <w:szCs w:val="22"/>
              </w:rPr>
            </w:pPr>
          </w:p>
        </w:tc>
        <w:tc>
          <w:tcPr>
            <w:tcW w:w="3653" w:type="pct"/>
            <w:shd w:val="clear" w:color="auto" w:fill="DEEAF6" w:themeFill="accent1" w:themeFillTint="33"/>
          </w:tcPr>
          <w:p w14:paraId="0CADCB86" w14:textId="77777777" w:rsidR="00ED5941" w:rsidRPr="00F3649D" w:rsidRDefault="00ED5941" w:rsidP="00863F38">
            <w:pPr>
              <w:spacing w:after="120"/>
              <w:rPr>
                <w:i/>
                <w:color w:val="5B9BD5" w:themeColor="accent1"/>
                <w:sz w:val="22"/>
                <w:szCs w:val="22"/>
              </w:rPr>
            </w:pPr>
            <w:r w:rsidRPr="00F3649D">
              <w:rPr>
                <w:b/>
                <w:sz w:val="22"/>
                <w:szCs w:val="22"/>
              </w:rPr>
              <w:t>Clustered supported living</w:t>
            </w:r>
            <w:r w:rsidRPr="00607C2F">
              <w:rPr>
                <w:sz w:val="22"/>
                <w:szCs w:val="22"/>
              </w:rPr>
              <w:t>:</w:t>
            </w:r>
            <w:r w:rsidRPr="00F3649D">
              <w:rPr>
                <w:sz w:val="22"/>
                <w:szCs w:val="22"/>
              </w:rPr>
              <w:t xml:space="preserve"> Specially built groupings of houses/apartments on the same site with shared staffing across houses. Up to 15 people may live in the same cluster, either in single-person or shared housing.</w:t>
            </w:r>
          </w:p>
        </w:tc>
      </w:tr>
      <w:tr w:rsidR="00ED5941" w:rsidRPr="00F3649D" w14:paraId="5CA99C75" w14:textId="77777777" w:rsidTr="00284BF2">
        <w:trPr>
          <w:trHeight w:val="867"/>
        </w:trPr>
        <w:tc>
          <w:tcPr>
            <w:tcW w:w="1347" w:type="pct"/>
            <w:vMerge w:val="restart"/>
            <w:vAlign w:val="center"/>
          </w:tcPr>
          <w:p w14:paraId="0C551754" w14:textId="77777777" w:rsidR="00ED5941" w:rsidRPr="00F3649D" w:rsidRDefault="00ED5941" w:rsidP="00863F38">
            <w:pPr>
              <w:spacing w:after="120"/>
              <w:rPr>
                <w:b/>
                <w:sz w:val="22"/>
                <w:szCs w:val="22"/>
              </w:rPr>
            </w:pPr>
            <w:r w:rsidRPr="00F3649D">
              <w:rPr>
                <w:sz w:val="22"/>
                <w:szCs w:val="22"/>
              </w:rPr>
              <w:t>Residential centres/institutions</w:t>
            </w:r>
          </w:p>
        </w:tc>
        <w:tc>
          <w:tcPr>
            <w:tcW w:w="3653" w:type="pct"/>
            <w:shd w:val="clear" w:color="auto" w:fill="DEEAF6" w:themeFill="accent1" w:themeFillTint="33"/>
          </w:tcPr>
          <w:p w14:paraId="376C9C01" w14:textId="77777777" w:rsidR="00ED5941" w:rsidRPr="00F3649D" w:rsidRDefault="00ED5941" w:rsidP="00863F38">
            <w:pPr>
              <w:spacing w:after="120"/>
              <w:rPr>
                <w:sz w:val="22"/>
                <w:szCs w:val="22"/>
              </w:rPr>
            </w:pPr>
            <w:r w:rsidRPr="00F3649D">
              <w:rPr>
                <w:b/>
                <w:sz w:val="22"/>
                <w:szCs w:val="22"/>
              </w:rPr>
              <w:t xml:space="preserve">Disability-specific residential facilities: </w:t>
            </w:r>
            <w:r w:rsidRPr="00F3649D">
              <w:rPr>
                <w:sz w:val="22"/>
                <w:szCs w:val="22"/>
              </w:rPr>
              <w:t xml:space="preserve">Large group homes or multiple houses on a campus for people with ID, separated from the general population. House a larger number of people (ranging from 8-300) and full-time support is provided. </w:t>
            </w:r>
          </w:p>
        </w:tc>
      </w:tr>
      <w:tr w:rsidR="00ED5941" w:rsidRPr="00F3649D" w14:paraId="64847C60" w14:textId="77777777" w:rsidTr="00284BF2">
        <w:trPr>
          <w:trHeight w:val="447"/>
        </w:trPr>
        <w:tc>
          <w:tcPr>
            <w:tcW w:w="1347" w:type="pct"/>
            <w:vMerge/>
          </w:tcPr>
          <w:p w14:paraId="71E417B5" w14:textId="77777777" w:rsidR="00ED5941" w:rsidRPr="00F3649D" w:rsidRDefault="00ED5941" w:rsidP="00863F38">
            <w:pPr>
              <w:spacing w:after="120"/>
              <w:rPr>
                <w:sz w:val="22"/>
                <w:szCs w:val="22"/>
              </w:rPr>
            </w:pPr>
          </w:p>
        </w:tc>
        <w:tc>
          <w:tcPr>
            <w:tcW w:w="3653" w:type="pct"/>
            <w:shd w:val="clear" w:color="auto" w:fill="DEEAF6" w:themeFill="accent1" w:themeFillTint="33"/>
          </w:tcPr>
          <w:p w14:paraId="566E6779" w14:textId="31DDD986" w:rsidR="00ED5941" w:rsidRPr="00F3649D" w:rsidRDefault="00ED5941" w:rsidP="00863F38">
            <w:pPr>
              <w:spacing w:after="120"/>
              <w:rPr>
                <w:i/>
                <w:color w:val="5B9BD5" w:themeColor="accent1"/>
                <w:sz w:val="22"/>
                <w:szCs w:val="22"/>
              </w:rPr>
            </w:pPr>
            <w:r w:rsidRPr="00F3649D">
              <w:rPr>
                <w:b/>
                <w:sz w:val="22"/>
                <w:szCs w:val="22"/>
              </w:rPr>
              <w:t>Mainstream residential facilities for older people</w:t>
            </w:r>
            <w:r w:rsidRPr="00F3649D">
              <w:rPr>
                <w:color w:val="5B9BD5" w:themeColor="accent1"/>
                <w:sz w:val="22"/>
                <w:szCs w:val="22"/>
              </w:rPr>
              <w:t xml:space="preserve"> </w:t>
            </w:r>
            <w:r w:rsidRPr="00F3649D">
              <w:rPr>
                <w:sz w:val="22"/>
                <w:szCs w:val="22"/>
              </w:rPr>
              <w:t>(nursing home).</w:t>
            </w:r>
          </w:p>
        </w:tc>
      </w:tr>
    </w:tbl>
    <w:p w14:paraId="4833C5EC" w14:textId="38D95718" w:rsidR="00ED5941" w:rsidRPr="0098492C" w:rsidRDefault="0098492C" w:rsidP="008B5BF8">
      <w:pPr>
        <w:spacing w:before="120"/>
        <w:jc w:val="center"/>
        <w:rPr>
          <w:sz w:val="22"/>
          <w:szCs w:val="22"/>
        </w:rPr>
      </w:pPr>
      <w:r w:rsidRPr="0098492C">
        <w:rPr>
          <w:sz w:val="22"/>
          <w:szCs w:val="22"/>
        </w:rPr>
        <w:t xml:space="preserve">Source: </w:t>
      </w:r>
      <w:r w:rsidRPr="0098492C">
        <w:rPr>
          <w:sz w:val="22"/>
          <w:szCs w:val="22"/>
        </w:rPr>
        <w:fldChar w:fldCharType="begin">
          <w:fldData xml:space="preserve">PEVuZE5vdGU+PENpdGU+PEF1dGhvcj5JbmNsdXNpb24gSXJlbGFuZDwvQXV0aG9yPjxZZWFyPjIw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</w:fldData>
        </w:fldChar>
      </w:r>
      <w:r w:rsidR="00B26CBF">
        <w:rPr>
          <w:sz w:val="22"/>
          <w:szCs w:val="22"/>
        </w:rPr>
        <w:instrText xml:space="preserve"> ADDIN EN.CITE </w:instrText>
      </w:r>
      <w:r w:rsidR="00B26CBF">
        <w:rPr>
          <w:sz w:val="22"/>
          <w:szCs w:val="22"/>
        </w:rPr>
        <w:fldChar w:fldCharType="begin">
          <w:fldData xml:space="preserve">PEVuZE5vdGU+PENpdGU+PEF1dGhvcj5JbmNsdXNpb24gSXJlbGFuZDwvQXV0aG9yPjxZZWFyPjIw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</w:fldData>
        </w:fldChar>
      </w:r>
      <w:r w:rsidR="00B26CBF">
        <w:rPr>
          <w:sz w:val="22"/>
          <w:szCs w:val="22"/>
        </w:rPr>
        <w:instrText xml:space="preserve"> ADDIN EN.CITE.DATA </w:instrText>
      </w:r>
      <w:r w:rsidR="00B26CBF">
        <w:rPr>
          <w:sz w:val="22"/>
          <w:szCs w:val="22"/>
        </w:rPr>
      </w:r>
      <w:r w:rsidR="00B26CBF">
        <w:rPr>
          <w:sz w:val="22"/>
          <w:szCs w:val="22"/>
        </w:rPr>
        <w:fldChar w:fldCharType="end"/>
      </w:r>
      <w:r w:rsidRPr="0098492C">
        <w:rPr>
          <w:sz w:val="22"/>
          <w:szCs w:val="22"/>
        </w:rPr>
      </w:r>
      <w:r w:rsidRPr="0098492C">
        <w:rPr>
          <w:sz w:val="22"/>
          <w:szCs w:val="22"/>
        </w:rPr>
        <w:fldChar w:fldCharType="separate"/>
      </w:r>
      <w:r w:rsidR="00B26CBF">
        <w:rPr>
          <w:noProof/>
          <w:sz w:val="22"/>
          <w:szCs w:val="22"/>
        </w:rPr>
        <w:t>(Roebuck, 2021; Inclusion Ireland, 2019; Mansell &amp; Beadle-Brown, 2009)</w:t>
      </w:r>
      <w:r w:rsidRPr="0098492C">
        <w:rPr>
          <w:sz w:val="22"/>
          <w:szCs w:val="22"/>
        </w:rPr>
        <w:fldChar w:fldCharType="end"/>
      </w:r>
    </w:p>
    <w:p w14:paraId="72C49E3D" w14:textId="641BACB9" w:rsidR="00C43251" w:rsidRDefault="034705E5" w:rsidP="00C43251">
      <w:r>
        <w:t xml:space="preserve">Currently statistics on the housing circumstances of people </w:t>
      </w:r>
      <w:r w:rsidR="68D0F1EE">
        <w:t>with intellectual disabilities</w:t>
      </w:r>
      <w:r>
        <w:t xml:space="preserve"> in Ireland</w:t>
      </w:r>
      <w:r w:rsidR="0D033E13">
        <w:t xml:space="preserve"> are not published</w:t>
      </w:r>
      <w:r>
        <w:t xml:space="preserve"> </w:t>
      </w:r>
      <w:r w:rsidR="00C43251">
        <w:fldChar w:fldCharType="begin"/>
      </w:r>
      <w:r w:rsidR="00C43251">
        <w:instrText xml:space="preserve"> ADDIN EN.CITE &lt;EndNote&gt;&lt;Cite&gt;&lt;Author&gt;Inclusion Ireland&lt;/Author&gt;&lt;Year&gt;2019&lt;/Year&gt;&lt;RecNum&gt;689&lt;/RecNum&gt;&lt;DisplayText&gt;(Inclusion Ireland, 2019)&lt;/DisplayText&gt;&lt;record&gt;&lt;rec-number&gt;689&lt;/rec-number&gt;&lt;foreign-keys&gt;&lt;key app="EN" db-id="xtwfdzde5ttr0zevxrh5sf0c2wfzw5zf2vra" timestamp="1663934213" guid="f8acc949-362f-4daf-8b8e-fbdae7bc19c7"&gt;689&lt;/key&gt;&lt;/foreign-keys&gt;&lt;ref-type name="Report"&gt;27&lt;/ref-type&gt;&lt;contributors&gt;&lt;authors&gt;&lt;author&gt;Inclusion Ireland, &lt;/author&gt;&lt;/authors&gt;&lt;/contributors&gt;&lt;titles&gt;&lt;title&gt;Housing for people with intellectual disabilities&lt;/title&gt;&lt;/titles&gt;&lt;dates&gt;&lt;year&gt;2019&lt;/year&gt;&lt;/dates&gt;&lt;pub-location&gt;Dublin&lt;/pub-location&gt;&lt;publisher&gt;Inclusion Ireland&lt;/publisher&gt;&lt;urls&gt;&lt;related-urls&gt;&lt;url&gt;https://inclusionireland.ie/wp-content/uploads/2020/11/housing-position-report.pdf&lt;/url&gt;&lt;/related-urls&gt;&lt;/urls&gt;&lt;/record&gt;&lt;/Cite&gt;&lt;/EndNote&gt;</w:instrText>
      </w:r>
      <w:r w:rsidR="00C43251">
        <w:fldChar w:fldCharType="separate"/>
      </w:r>
      <w:r w:rsidRPr="68A51868">
        <w:rPr>
          <w:noProof/>
        </w:rPr>
        <w:t>(Inclusion Ireland, 2019)</w:t>
      </w:r>
      <w:r w:rsidR="00C43251">
        <w:fldChar w:fldCharType="end"/>
      </w:r>
      <w:r>
        <w:t>. However, the</w:t>
      </w:r>
      <w:r w:rsidR="2DCE5A31">
        <w:t xml:space="preserve"> 2017</w:t>
      </w:r>
      <w:r>
        <w:t xml:space="preserve"> National Intellectual Disability Database (NIDD) </w:t>
      </w:r>
      <w:r w:rsidR="2DCE5A31">
        <w:t>did</w:t>
      </w:r>
      <w:r>
        <w:t xml:space="preserve"> give an indication of housing statistics for people </w:t>
      </w:r>
      <w:r w:rsidR="68D0F1EE">
        <w:t>with intellectual disabilities</w:t>
      </w:r>
      <w:r>
        <w:t xml:space="preserve">, but only considers those already engaged with disability services. According to NIDD, in 2017, 55.5% of adults (aged 18 and over) </w:t>
      </w:r>
      <w:r w:rsidR="68D0F1EE">
        <w:t>with intellectual disabilities</w:t>
      </w:r>
      <w:r>
        <w:t xml:space="preserve"> lived in a family home setting; 22.2% lived in community group homes; 10.2% lived in residential centres; and 6.2% lived in an independent setting in the community</w:t>
      </w:r>
      <w:r w:rsidRPr="68A51868">
        <w:rPr>
          <w:rStyle w:val="CommentReference"/>
        </w:rPr>
        <w:t>.</w:t>
      </w:r>
      <w:r>
        <w:t xml:space="preserve"> In a sample of IDS-TILDA participants, those living at home with family and in the community tended to be younger with a mild</w:t>
      </w:r>
      <w:r w:rsidR="3E064FA8">
        <w:t xml:space="preserve"> or </w:t>
      </w:r>
      <w:r>
        <w:t xml:space="preserve">moderate range of intellectual </w:t>
      </w:r>
      <w:r w:rsidR="00C43251">
        <w:t>disabilit</w:t>
      </w:r>
      <w:r w:rsidR="00C85736">
        <w:t>ies</w:t>
      </w:r>
      <w:r>
        <w:t xml:space="preserve">, and those living in residential type centres tended to be older and with more severe to profound levels of intellectual </w:t>
      </w:r>
      <w:r w:rsidR="00C43251">
        <w:t>disabilit</w:t>
      </w:r>
      <w:r w:rsidR="00C85736">
        <w:t>ies</w:t>
      </w:r>
      <w:r>
        <w:t xml:space="preserve"> </w:t>
      </w:r>
      <w:r w:rsidR="00C43251">
        <w:fldChar w:fldCharType="begin"/>
      </w:r>
      <w:r w:rsidR="00C43251">
        <w:instrText xml:space="preserve"> ADDIN EN.CITE &lt;EndNote&gt;&lt;Cite&gt;&lt;Author&gt;McCallion&lt;/Author&gt;&lt;Year&gt;2013&lt;/Year&gt;&lt;RecNum&gt;456&lt;/RecNum&gt;&lt;DisplayText&gt;(McCallion et al., 2013b)&lt;/DisplayText&gt;&lt;record&gt;&lt;rec-number&gt;456&lt;/rec-number&gt;&lt;foreign-keys&gt;&lt;key app="EN" db-id="xtwfdzde5ttr0zevxrh5sf0c2wfzw5zf2vra" timestamp="1646126284" guid="b789009f-4aca-4aac-8608-30d29f3c271e"&gt;456&lt;/key&gt;&lt;/foreign-keys&gt;&lt;ref-type name="Book Section"&gt;5&lt;/ref-type&gt;&lt;contributors&gt;&lt;authors&gt;&lt;author&gt;McCallion, P&lt;/author&gt;&lt;author&gt;Swinburne, J&lt;/author&gt;&lt;author&gt;Burke, E&lt;/author&gt;&lt;author&gt;McGlinchey, E&lt;/author&gt;&lt;author&gt;McCarron, M&lt;/author&gt;&lt;/authors&gt;&lt;secondary-authors&gt;&lt;author&gt;Urbano, R&lt;/author&gt;&lt;/secondary-authors&gt;&lt;/contributors&gt;&lt;titles&gt;&lt;title&gt;Understanding the similarities and differences in aging with an intellectual disability: linking Irish general population and intellectual disability datasets&lt;/title&gt;&lt;secondary-title&gt;International Review of Research in Developmental Disabilities&lt;/secondary-title&gt;&lt;/titles&gt;&lt;pages&gt;225-256&lt;/pages&gt;&lt;volume&gt;45&lt;/volume&gt;&lt;dates&gt;&lt;year&gt;2013&lt;/year&gt;&lt;/dates&gt;&lt;publisher&gt;Elsevier&lt;/publisher&gt;&lt;isbn&gt;2211-6095&lt;/isbn&gt;&lt;urls&gt;&lt;/urls&gt;&lt;/record&gt;&lt;/Cite&gt;&lt;/EndNote&gt;</w:instrText>
      </w:r>
      <w:r w:rsidR="00C43251">
        <w:fldChar w:fldCharType="separate"/>
      </w:r>
      <w:r w:rsidR="27221E83" w:rsidRPr="68A51868">
        <w:rPr>
          <w:noProof/>
        </w:rPr>
        <w:t>(McCallion et al., 2013b)</w:t>
      </w:r>
      <w:r w:rsidR="00C43251">
        <w:fldChar w:fldCharType="end"/>
      </w:r>
      <w:r>
        <w:t xml:space="preserve">. However, a substantial proportion (15%) of those aged 35 years and older, and almost a third of those aged 35 years and older with moderate, severe or profound intellectual </w:t>
      </w:r>
      <w:r w:rsidR="2505BD50">
        <w:t xml:space="preserve">disabilities </w:t>
      </w:r>
      <w:r>
        <w:t xml:space="preserve">continue to live at home with family </w:t>
      </w:r>
      <w:r w:rsidR="00C43251">
        <w:fldChar w:fldCharType="begin"/>
      </w:r>
      <w:r w:rsidR="00C43251">
        <w:instrText xml:space="preserve"> ADDIN EN.CITE &lt;EndNote&gt;&lt;Cite&gt;&lt;Author&gt;Hourigan&lt;/Author&gt;&lt;Year&gt;2018&lt;/Year&gt;&lt;RecNum&gt;479&lt;/RecNum&gt;&lt;DisplayText&gt;(Hourigan et al., 2018)&lt;/DisplayText&gt;&lt;record&gt;&lt;rec-number&gt;479&lt;/rec-number&gt;&lt;foreign-keys&gt;&lt;key app="EN" db-id="xtwfdzde5ttr0zevxrh5sf0c2wfzw5zf2vra" timestamp="1646828663" guid="71cb6446-58ef-4fe1-b4dd-868e2ebe5873"&gt;479&lt;/key&gt;&lt;/foreign-keys&gt;&lt;ref-type name="Report"&gt;27&lt;/ref-type&gt;&lt;contributors&gt;&lt;authors&gt;&lt;author&gt;Hourigan, Sarah&lt;/author&gt;&lt;author&gt;Fanagan, Sarah&lt;/author&gt;&lt;author&gt;Kelly, Caraíosa&lt;/author&gt;&lt;/authors&gt;&lt;/contributors&gt;&lt;titles&gt;&lt;title&gt;Annual Report of the National Intellectual Disability Database Committee 2017 Main Findings&lt;/title&gt;&lt;/titles&gt;&lt;dates&gt;&lt;year&gt;2018&lt;/year&gt;&lt;/dates&gt;&lt;pub-location&gt;Dublin&lt;/pub-location&gt;&lt;publisher&gt;Health Research Board &lt;/publisher&gt;&lt;urls&gt;&lt;/urls&gt;&lt;/record&gt;&lt;/Cite&gt;&lt;/EndNote&gt;</w:instrText>
      </w:r>
      <w:r w:rsidR="00C43251">
        <w:fldChar w:fldCharType="separate"/>
      </w:r>
      <w:r w:rsidRPr="68A51868">
        <w:rPr>
          <w:noProof/>
        </w:rPr>
        <w:t>(Hourigan et al., 2018)</w:t>
      </w:r>
      <w:r w:rsidR="00C43251">
        <w:fldChar w:fldCharType="end"/>
      </w:r>
      <w:r>
        <w:t xml:space="preserve">. </w:t>
      </w:r>
      <w:r w:rsidR="010FD6E5">
        <w:t>The National</w:t>
      </w:r>
      <w:r w:rsidR="58EC4680">
        <w:t xml:space="preserve"> Housing Strategy for Disabled People 2022-2027</w:t>
      </w:r>
      <w:r w:rsidR="698BC4FD">
        <w:t xml:space="preserve"> </w:t>
      </w:r>
      <w:r w:rsidR="00C43251">
        <w:fldChar w:fldCharType="begin"/>
      </w:r>
      <w:r w:rsidR="00C43251">
        <w:instrText xml:space="preserve"> ADDIN EN.CITE &lt;EndNote&gt;&lt;Cite&gt;&lt;Author&gt;Government of Ireland&lt;/Author&gt;&lt;Year&gt;2022&lt;/Year&gt;&lt;RecNum&gt;783&lt;/RecNum&gt;&lt;DisplayText&gt;(Government of Ireland, 2022)&lt;/DisplayText&gt;&lt;record&gt;&lt;rec-number&gt;783&lt;/rec-number&gt;&lt;foreign-keys&gt;&lt;key app="EN" db-id="xtwfdzde5ttr0zevxrh5sf0c2wfzw5zf2vra" timestamp="1669641063" guid="369336f4-adf5-4685-a34b-925d78d331a0"&gt;783&lt;/key&gt;&lt;/foreign-keys&gt;&lt;ref-type name="Report"&gt;27&lt;/ref-type&gt;&lt;contributors&gt;&lt;authors&gt;&lt;author&gt;Government of Ireland,&lt;/author&gt;&lt;/authors&gt;&lt;/contributors&gt;&lt;titles&gt;&lt;title&gt;The National Housing Strategy for Disabled People 2022-2027&lt;/title&gt;&lt;/titles&gt;&lt;dates&gt;&lt;year&gt;2022&lt;/year&gt;&lt;/dates&gt;&lt;pub-location&gt;Dublin&lt;/pub-location&gt;&lt;publisher&gt;Government of Ireland&lt;/publisher&gt;&lt;urls&gt;&lt;/urls&gt;&lt;/record&gt;&lt;/Cite&gt;&lt;/EndNote&gt;</w:instrText>
      </w:r>
      <w:r w:rsidR="00C43251">
        <w:fldChar w:fldCharType="separate"/>
      </w:r>
      <w:r w:rsidR="698BC4FD" w:rsidRPr="68A51868">
        <w:rPr>
          <w:noProof/>
        </w:rPr>
        <w:t>(Government of Ireland, 2022)</w:t>
      </w:r>
      <w:r w:rsidR="00C43251">
        <w:fldChar w:fldCharType="end"/>
      </w:r>
      <w:r w:rsidR="58EC4680">
        <w:t xml:space="preserve"> </w:t>
      </w:r>
      <w:r w:rsidR="650ABB63">
        <w:t xml:space="preserve">noted that over the period 2016-2020, </w:t>
      </w:r>
      <w:r w:rsidR="042848E1">
        <w:t xml:space="preserve">just under 2000 homes were allocated to </w:t>
      </w:r>
      <w:r w:rsidR="0A94C03C">
        <w:t>people with intellectual disabilities at a rate of about 200 per year</w:t>
      </w:r>
      <w:r w:rsidR="1DCBA66D">
        <w:t>, despite the fact that they account for ‘about 90% of those in disability residential care’ (ibid.</w:t>
      </w:r>
      <w:r w:rsidR="23CDC5BD">
        <w:t xml:space="preserve"> p.</w:t>
      </w:r>
      <w:r w:rsidR="57D7ACCA">
        <w:t xml:space="preserve"> 25).</w:t>
      </w:r>
    </w:p>
    <w:p w14:paraId="7BF77023" w14:textId="1EF3D048" w:rsidR="00C43251" w:rsidRDefault="00C43251" w:rsidP="001466E9">
      <w:r>
        <w:t xml:space="preserve">One of the primary challenges in response to ageing in people </w:t>
      </w:r>
      <w:r w:rsidR="007B4A0C">
        <w:t>with intellectual disabilities</w:t>
      </w:r>
      <w:r>
        <w:t xml:space="preserve"> is meeting their complex care needs, and supporting them to age in place in their homes or communities when this preference is expressed </w:t>
      </w:r>
      <w:r>
        <w:fldChar w:fldCharType="begin"/>
      </w:r>
      <w:r>
        <w:instrText xml:space="preserve"> ADDIN EN.CITE &lt;EndNote&gt;&lt;Cite&gt;&lt;Author&gt;Wu&lt;/Author&gt;&lt;Year&gt;2021&lt;/Year&gt;&lt;RecNum&gt;495&lt;/RecNum&gt;&lt;DisplayText&gt;(Wu et al., 2021)&lt;/DisplayText&gt;&lt;record&gt;&lt;rec-number&gt;495&lt;/rec-number&gt;&lt;foreign-keys&gt;&lt;key app="EN" db-id="xtwfdzde5ttr0zevxrh5sf0c2wfzw5zf2vra" timestamp="1648126110" guid="66284e92-3560-47eb-9304-d8793cba256c"&gt;495&lt;/key&gt;&lt;/foreign-keys&gt;&lt;ref-type name="Journal Article"&gt;17&lt;/ref-type&gt;&lt;contributors&gt;&lt;authors&gt;&lt;author&gt;Wu, Danxian&lt;/author&gt;&lt;author&gt;Gao, Xiaolu&lt;/author&gt;&lt;author&gt;Xie, Zhifei&lt;/author&gt;&lt;author&gt;Xu, Zening&lt;/author&gt;&lt;/authors&gt;&lt;/contributors&gt;&lt;titles&gt;&lt;title&gt;Understanding the unmet needs among community-dwelling disabled older people from a linkage perspective&lt;/title&gt;&lt;secondary-title&gt;International Journal of Environmental Research and Public Health&lt;/secondary-title&gt;&lt;/titles&gt;&lt;periodical&gt;&lt;full-title&gt;International Journal of Environmental Research and Public Health&lt;/full-title&gt;&lt;/periodical&gt;&lt;pages&gt;389&lt;/pages&gt;&lt;volume&gt;18&lt;/volume&gt;&lt;number&gt;2&lt;/number&gt;&lt;dates&gt;&lt;year&gt;2021&lt;/year&gt;&lt;/dates&gt;&lt;urls&gt;&lt;/urls&gt;&lt;/record&gt;&lt;/Cite&gt;&lt;/EndNote&gt;</w:instrText>
      </w:r>
      <w:r>
        <w:fldChar w:fldCharType="separate"/>
      </w:r>
      <w:r>
        <w:rPr>
          <w:noProof/>
        </w:rPr>
        <w:t>(Wu et al., 2021)</w:t>
      </w:r>
      <w:r>
        <w:fldChar w:fldCharType="end"/>
      </w:r>
      <w:r>
        <w:t xml:space="preserve">. While there has been progress in terms of deinstitutionalisation and moving people into the community, older people still face many barriers to accessing care and report a range of unmet housing and support needs </w:t>
      </w:r>
      <w:r>
        <w:fldChar w:fldCharType="begin">
          <w:fldData xml:space="preserve">PEVuZE5vdGU+PENpdGU+PEF1dGhvcj5CaWVuPC9BdXRob3I+PFllYXI+MjAxMzwvWWVhcj48UmVj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</w:fldData>
        </w:fldChar>
      </w:r>
      <w:r w:rsidR="00B26CBF">
        <w:instrText xml:space="preserve"> ADDIN EN.CITE </w:instrText>
      </w:r>
      <w:r w:rsidR="00B26CBF">
        <w:fldChar w:fldCharType="begin">
          <w:fldData xml:space="preserve">PEVuZE5vdGU+PENpdGU+PEF1dGhvcj5CaWVuPC9BdXRob3I+PFllYXI+MjAxMzwvWWVhcj48UmVj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</w:fldData>
        </w:fldChar>
      </w:r>
      <w:r w:rsidR="00B26CBF">
        <w:instrText xml:space="preserve"> ADDIN EN.CITE.DATA </w:instrText>
      </w:r>
      <w:r w:rsidR="00B26CBF">
        <w:fldChar w:fldCharType="end"/>
      </w:r>
      <w:r>
        <w:fldChar w:fldCharType="separate"/>
      </w:r>
      <w:r w:rsidR="00B26CBF">
        <w:rPr>
          <w:noProof/>
        </w:rPr>
        <w:t>(Wu et al., 2021; Bien et al., 2013)</w:t>
      </w:r>
      <w:r>
        <w:fldChar w:fldCharType="end"/>
      </w:r>
      <w:r>
        <w:t xml:space="preserve">. </w:t>
      </w:r>
      <w:r w:rsidR="0030120E">
        <w:t xml:space="preserve">This may </w:t>
      </w:r>
      <w:r w:rsidR="00EE60F1">
        <w:t xml:space="preserve">be related to the lack of national policy in respect of </w:t>
      </w:r>
      <w:r w:rsidR="00617358">
        <w:t>older with complex needs</w:t>
      </w:r>
      <w:r w:rsidR="00387033">
        <w:t xml:space="preserve"> highlighted by the NDA in their </w:t>
      </w:r>
      <w:r w:rsidR="00EF0EDD">
        <w:t xml:space="preserve">guidelines on </w:t>
      </w:r>
      <w:r w:rsidR="00164E4E">
        <w:t>enhancing residential care setting</w:t>
      </w:r>
      <w:r w:rsidR="00D0417A">
        <w:t xml:space="preserve"> </w:t>
      </w:r>
      <w:r w:rsidR="00D0417A">
        <w:fldChar w:fldCharType="begin"/>
      </w:r>
      <w:r w:rsidR="00D0417A">
        <w:instrText xml:space="preserve"> ADDIN EN.CITE &lt;EndNote&gt;&lt;Cite&gt;&lt;Author&gt;NDA&lt;/Author&gt;&lt;Year&gt;2022&lt;/Year&gt;&lt;RecNum&gt;784&lt;/RecNum&gt;&lt;DisplayText&gt;(NDA, 2022b)&lt;/DisplayText&gt;&lt;record&gt;&lt;rec-number&gt;784&lt;/rec-number&gt;&lt;foreign-keys&gt;&lt;key app="EN" db-id="xtwfdzde5ttr0zevxrh5sf0c2wfzw5zf2vra" timestamp="1669641257" guid="cc4da33e-c2cb-4f22-898f-8af728366fb0"&gt;784&lt;/key&gt;&lt;/foreign-keys&gt;&lt;ref-type name="Report"&gt;27&lt;/ref-type&gt;&lt;contributors&gt;&lt;authors&gt;&lt;author&gt;NDA,&lt;/author&gt;&lt;/authors&gt;&lt;/contributors&gt;&lt;titles&gt;&lt;title&gt;Improving Quality of Life and Enhancing COVID-19 Infection Control in Existing Residential Care Settings for Older People: Universal Design Guidelines&lt;/title&gt;&lt;/titles&gt;&lt;dates&gt;&lt;year&gt;2022&lt;/year&gt;&lt;/dates&gt;&lt;pub-location&gt;Dublin&lt;/pub-location&gt;&lt;publisher&gt;National Disability Authority&lt;/publisher&gt;&lt;urls&gt;&lt;/urls&gt;&lt;/record&gt;&lt;/Cite&gt;&lt;/EndNote&gt;</w:instrText>
      </w:r>
      <w:r w:rsidR="00D0417A">
        <w:fldChar w:fldCharType="separate"/>
      </w:r>
      <w:r w:rsidR="00D0417A">
        <w:rPr>
          <w:noProof/>
        </w:rPr>
        <w:t>(NDA, 2022b)</w:t>
      </w:r>
      <w:r w:rsidR="00D0417A">
        <w:fldChar w:fldCharType="end"/>
      </w:r>
      <w:r w:rsidR="00083CBC">
        <w:t>.</w:t>
      </w:r>
      <w:r w:rsidR="00E76CF2">
        <w:t xml:space="preserve"> </w:t>
      </w:r>
      <w:r w:rsidR="00164E4E">
        <w:t xml:space="preserve">These </w:t>
      </w:r>
      <w:r w:rsidR="00567D85">
        <w:t>are grounded in</w:t>
      </w:r>
      <w:r w:rsidR="00164E4E">
        <w:t xml:space="preserve"> H</w:t>
      </w:r>
      <w:r w:rsidR="00567D85">
        <w:t xml:space="preserve">ealth Quality and Standards Authority standards and in </w:t>
      </w:r>
      <w:r w:rsidR="00CA30F5">
        <w:t>state regulations</w:t>
      </w:r>
      <w:r w:rsidR="007709E9">
        <w:t xml:space="preserve">, but </w:t>
      </w:r>
      <w:r w:rsidR="00CA30F5">
        <w:t>also draw heavily on the concept of universal design</w:t>
      </w:r>
      <w:r w:rsidR="00414EE4">
        <w:t xml:space="preserve">, a </w:t>
      </w:r>
      <w:r w:rsidR="00AE2894">
        <w:t>key principle of</w:t>
      </w:r>
      <w:r w:rsidR="00CA30F5">
        <w:t xml:space="preserve"> the UNCRPD (United Nations 2006).</w:t>
      </w:r>
      <w:r w:rsidR="007709E9">
        <w:t xml:space="preserve"> The guidelines acknowledge </w:t>
      </w:r>
      <w:r w:rsidR="002B4C5B">
        <w:t xml:space="preserve">the </w:t>
      </w:r>
      <w:r w:rsidR="00E958A8">
        <w:t xml:space="preserve">scale of costs </w:t>
      </w:r>
      <w:r w:rsidR="007709E9">
        <w:t xml:space="preserve">that </w:t>
      </w:r>
      <w:r w:rsidR="00E958A8">
        <w:t xml:space="preserve">are associated with </w:t>
      </w:r>
      <w:r w:rsidR="002B4C5B">
        <w:t>different levels of design and retrofit</w:t>
      </w:r>
      <w:r w:rsidR="00FF6BBD">
        <w:t xml:space="preserve">, with significant spatial </w:t>
      </w:r>
      <w:r w:rsidR="00653723">
        <w:t>development requiring significant funding.</w:t>
      </w:r>
      <w:r w:rsidR="006A5114">
        <w:t xml:space="preserve"> </w:t>
      </w:r>
      <w:r w:rsidR="00AE3B40">
        <w:t xml:space="preserve">It is clear from the </w:t>
      </w:r>
      <w:r w:rsidR="004B077C">
        <w:t>guidelines and from the associated research report</w:t>
      </w:r>
      <w:r w:rsidR="00D0417A">
        <w:t xml:space="preserve"> </w:t>
      </w:r>
      <w:r w:rsidR="00D0417A">
        <w:fldChar w:fldCharType="begin"/>
      </w:r>
      <w:r w:rsidR="00D0417A">
        <w:instrText xml:space="preserve"> ADDIN EN.CITE &lt;EndNote&gt;&lt;Cite&gt;&lt;Author&gt;NDA&lt;/Author&gt;&lt;Year&gt;2022&lt;/Year&gt;&lt;RecNum&gt;785&lt;/RecNum&gt;&lt;DisplayText&gt;(NDA, 2022a)&lt;/DisplayText&gt;&lt;record&gt;&lt;rec-number&gt;785&lt;/rec-number&gt;&lt;foreign-keys&gt;&lt;key app="EN" db-id="xtwfdzde5ttr0zevxrh5sf0c2wfzw5zf2vra" timestamp="1669641358" guid="a9d4a75d-b2d6-44ea-8eca-d37b50ff2c5e"&gt;785&lt;/key&gt;&lt;/foreign-keys&gt;&lt;ref-type name="Report"&gt;27&lt;/ref-type&gt;&lt;contributors&gt;&lt;authors&gt;&lt;author&gt;NDA,&lt;/author&gt;&lt;/authors&gt;&lt;/contributors&gt;&lt;titles&gt;&lt;title&gt;Improving Quality of Life and Enhancing COVID-19 Infection Control in Existing Residential Care Settings for Older People: Research Report&lt;/title&gt;&lt;/titles&gt;&lt;dates&gt;&lt;year&gt;2022&lt;/year&gt;&lt;/dates&gt;&lt;pub-location&gt;Dublin&lt;/pub-location&gt;&lt;publisher&gt;National Disability Authority&lt;/publisher&gt;&lt;urls&gt;&lt;/urls&gt;&lt;/record&gt;&lt;/Cite&gt;&lt;/EndNote&gt;</w:instrText>
      </w:r>
      <w:r w:rsidR="00D0417A">
        <w:fldChar w:fldCharType="separate"/>
      </w:r>
      <w:r w:rsidR="00D0417A">
        <w:rPr>
          <w:noProof/>
        </w:rPr>
        <w:t>(NDA, 2022a)</w:t>
      </w:r>
      <w:r w:rsidR="00D0417A">
        <w:fldChar w:fldCharType="end"/>
      </w:r>
      <w:r w:rsidR="000A52D3">
        <w:t xml:space="preserve"> </w:t>
      </w:r>
      <w:r w:rsidR="00332617">
        <w:t xml:space="preserve">that some voluntary and HSE services </w:t>
      </w:r>
      <w:r w:rsidR="00367734">
        <w:t xml:space="preserve">have been engaged in </w:t>
      </w:r>
      <w:r w:rsidR="00357863">
        <w:t xml:space="preserve">new-builds and in retrofitting extant residential accommodation but others may find the costs prohibitive, especially as they highlight the </w:t>
      </w:r>
      <w:r w:rsidR="00936623">
        <w:t>deficits in the funding model</w:t>
      </w:r>
      <w:r w:rsidR="003656F1">
        <w:t xml:space="preserve"> </w:t>
      </w:r>
      <w:r w:rsidR="003656F1">
        <w:fldChar w:fldCharType="begin"/>
      </w:r>
      <w:r w:rsidR="003656F1">
        <w:instrText xml:space="preserve"> ADDIN EN.CITE &lt;EndNote&gt;&lt;Cite&gt;&lt;Author&gt;National Federation of Voluntary Bodies&lt;/Author&gt;&lt;Year&gt;2019&lt;/Year&gt;&lt;RecNum&gt;775&lt;/RecNum&gt;&lt;DisplayText&gt;(National Federation of Voluntary Bodies, 2019)&lt;/DisplayText&gt;&lt;record&gt;&lt;rec-number&gt;775&lt;/rec-number&gt;&lt;foreign-keys&gt;&lt;key app="EN" db-id="xtwfdzde5ttr0zevxrh5sf0c2wfzw5zf2vra" timestamp="1667690708" guid="82be3de9-6734-47aa-a3a8-8ccafa065c9f"&gt;775&lt;/key&gt;&lt;/foreign-keys&gt;&lt;ref-type name="Web Page"&gt;12&lt;/ref-type&gt;&lt;contributors&gt;&lt;authors&gt;&lt;author&gt;National Federation of Voluntary Bodies,&lt;/author&gt;&lt;/authors&gt;&lt;/contributors&gt;&lt;titles&gt;&lt;title&gt;Funding Crisis in Disability Services&lt;/title&gt;&lt;/titles&gt;&lt;volume&gt;2022&lt;/volume&gt;&lt;number&gt;04/11/2022&lt;/number&gt;&lt;dates&gt;&lt;year&gt;2019&lt;/year&gt;&lt;/dates&gt;&lt;urls&gt;&lt;related-urls&gt;&lt;url&gt;http://www.fedvol.ie/_fileupload/Publications/NFVSP%20Drivers%20and%20Deficits%20in%20ID%20Services%20June_2019.pdf&lt;/url&gt;&lt;/related-urls&gt;&lt;/urls&gt;&lt;/record&gt;&lt;/Cite&gt;&lt;/EndNote&gt;</w:instrText>
      </w:r>
      <w:r w:rsidR="003656F1">
        <w:fldChar w:fldCharType="separate"/>
      </w:r>
      <w:r w:rsidR="003656F1">
        <w:rPr>
          <w:noProof/>
        </w:rPr>
        <w:t>(National Federation of Voluntary Bodies, 2019)</w:t>
      </w:r>
      <w:r w:rsidR="003656F1">
        <w:fldChar w:fldCharType="end"/>
      </w:r>
      <w:r w:rsidR="00CB5251">
        <w:t>.</w:t>
      </w:r>
      <w:r w:rsidR="00936623">
        <w:t xml:space="preserve"> </w:t>
      </w:r>
    </w:p>
    <w:p w14:paraId="5E95DC55" w14:textId="77777777" w:rsidR="00C43251" w:rsidRPr="00906B8B" w:rsidRDefault="00C43251" w:rsidP="11C55A92">
      <w:pPr>
        <w:pStyle w:val="Heading4"/>
        <w:rPr>
          <w:color w:val="auto"/>
        </w:rPr>
      </w:pPr>
      <w:bookmarkStart w:id="85" w:name="_Toc116045686"/>
      <w:r w:rsidRPr="00906B8B">
        <w:rPr>
          <w:color w:val="auto"/>
        </w:rPr>
        <w:t>Living arrangement</w:t>
      </w:r>
      <w:bookmarkEnd w:id="85"/>
    </w:p>
    <w:p w14:paraId="36329F31" w14:textId="75000A85" w:rsidR="00C43251" w:rsidRDefault="00C43251" w:rsidP="11C55A92">
      <w:r>
        <w:t>A person’s living arrangement plays a key role in respect of meeting their care needs</w:t>
      </w:r>
      <w:r w:rsidR="392E8942">
        <w:t xml:space="preserve">. </w:t>
      </w:r>
      <w:r w:rsidR="392E8942" w:rsidRPr="00423E1C">
        <w:t>A</w:t>
      </w:r>
      <w:r w:rsidR="2137C389" w:rsidRPr="00423E1C">
        <w:t xml:space="preserve"> recent</w:t>
      </w:r>
      <w:r w:rsidR="392E8942" w:rsidRPr="00423E1C">
        <w:t xml:space="preserve"> </w:t>
      </w:r>
      <w:r w:rsidR="6EF9BDAD" w:rsidRPr="00423E1C">
        <w:t xml:space="preserve">outcomes </w:t>
      </w:r>
      <w:r w:rsidR="392E8942" w:rsidRPr="00423E1C">
        <w:t>evaluation</w:t>
      </w:r>
      <w:r w:rsidR="62F8E2AA" w:rsidRPr="00423E1C">
        <w:t xml:space="preserve"> of models of service in the disability sector</w:t>
      </w:r>
      <w:r w:rsidR="62F8E2AA" w:rsidRPr="00423E1C">
        <w:rPr>
          <w:rFonts w:eastAsia="IBM Plex Sans"/>
        </w:rPr>
        <w:t xml:space="preserve"> indicated that quality of life outcomes improved for people with intellectual disabilit</w:t>
      </w:r>
      <w:r w:rsidR="00C85736">
        <w:rPr>
          <w:rFonts w:eastAsia="IBM Plex Sans"/>
        </w:rPr>
        <w:t>ies</w:t>
      </w:r>
      <w:r w:rsidR="62F8E2AA" w:rsidRPr="00423E1C">
        <w:rPr>
          <w:rFonts w:eastAsia="IBM Plex Sans"/>
        </w:rPr>
        <w:t xml:space="preserve"> after they moved from congregated settings to the community</w:t>
      </w:r>
      <w:r w:rsidR="002373D4" w:rsidRPr="00423E1C">
        <w:rPr>
          <w:rFonts w:eastAsia="IBM Plex Sans"/>
        </w:rPr>
        <w:t xml:space="preserve"> </w:t>
      </w:r>
      <w:r w:rsidR="002373D4" w:rsidRPr="00423E1C">
        <w:rPr>
          <w:rFonts w:eastAsia="IBM Plex Sans"/>
        </w:rPr>
        <w:fldChar w:fldCharType="begin"/>
      </w:r>
      <w:r w:rsidR="00760F40">
        <w:rPr>
          <w:rFonts w:eastAsia="IBM Plex Sans"/>
        </w:rPr>
        <w:instrText xml:space="preserve"> ADDIN EN.CITE &lt;EndNote&gt;&lt;Cite&gt;&lt;Author&gt;NDA&lt;/Author&gt;&lt;Year&gt;2021&lt;/Year&gt;&lt;RecNum&gt;786&lt;/RecNum&gt;&lt;DisplayText&gt;(NDA, 2021a)&lt;/DisplayText&gt;&lt;record&gt;&lt;rec-number&gt;786&lt;/rec-number&gt;&lt;foreign-keys&gt;&lt;key app="EN" db-id="xtwfdzde5ttr0zevxrh5sf0c2wfzw5zf2vra" timestamp="1669642744" guid="de59d277-c05b-455e-a788-34fda6645e9b"&gt;786&lt;/key&gt;&lt;/foreign-keys&gt;&lt;ref-type name="Report"&gt;27&lt;/ref-type&gt;&lt;contributors&gt;&lt;authors&gt;&lt;author&gt;NDA,&lt;/author&gt;&lt;/authors&gt;&lt;/contributors&gt;&lt;titles&gt;&lt;title&gt;Moving In, Moving On. An evaluation of the outcomes and costs of congregated and community models of service in the disability sector&lt;/title&gt;&lt;/titles&gt;&lt;dates&gt;&lt;year&gt;2021&lt;/year&gt;&lt;/dates&gt;&lt;pub-location&gt;Dublin&lt;/pub-location&gt;&lt;publisher&gt;National Disability Authority&lt;/publisher&gt;&lt;urls&gt;&lt;/urls&gt;&lt;/record&gt;&lt;/Cite&gt;&lt;/EndNote&gt;</w:instrText>
      </w:r>
      <w:r w:rsidR="002373D4" w:rsidRPr="00423E1C">
        <w:rPr>
          <w:rFonts w:eastAsia="IBM Plex Sans"/>
        </w:rPr>
        <w:fldChar w:fldCharType="separate"/>
      </w:r>
      <w:r w:rsidR="00760F40">
        <w:rPr>
          <w:rFonts w:eastAsia="IBM Plex Sans"/>
          <w:noProof/>
        </w:rPr>
        <w:t>(NDA, 2021a)</w:t>
      </w:r>
      <w:r w:rsidR="002373D4" w:rsidRPr="00423E1C">
        <w:rPr>
          <w:rFonts w:eastAsia="IBM Plex Sans"/>
        </w:rPr>
        <w:fldChar w:fldCharType="end"/>
      </w:r>
      <w:r w:rsidR="62F8E2AA" w:rsidRPr="00423E1C">
        <w:rPr>
          <w:rFonts w:eastAsia="IBM Plex Sans"/>
        </w:rPr>
        <w:t xml:space="preserve"> </w:t>
      </w:r>
      <w:r w:rsidRPr="00423E1C">
        <w:t>as reflected in the literature on service users’ satisfaction with their living situation.</w:t>
      </w:r>
      <w:r>
        <w:t xml:space="preserve"> In one study, service users identified the physical features of living arrangements and the provision of activities and staff as the main contributors to satisfaction </w:t>
      </w:r>
      <w:r>
        <w:fldChar w:fldCharType="begin"/>
      </w:r>
      <w:r w:rsidR="006A378C">
        <w:instrText xml:space="preserve"> ADDIN EN.CITE &lt;EndNote&gt;&lt;Cite&gt;&lt;Author&gt;O&amp;apos;Rourke&lt;/Author&gt;&lt;Year&gt;2004&lt;/Year&gt;&lt;RecNum&gt;410&lt;/RecNum&gt;&lt;DisplayText&gt;(O&amp;apos;Rourke et al., 2004)&lt;/DisplayText&gt;&lt;record&gt;&lt;rec-number&gt;410&lt;/rec-number&gt;&lt;foreign-keys&gt;&lt;key app="EN" db-id="xtwfdzde5ttr0zevxrh5sf0c2wfzw5zf2vra" timestamp="1643290955" guid="1c6de63d-13fe-45f5-b155-a543dde434c2"&gt;410&lt;/key&gt;&lt;/foreign-keys&gt;&lt;ref-type name="Journal Article"&gt;17&lt;/ref-type&gt;&lt;contributors&gt;&lt;authors&gt;&lt;author&gt;O&amp;apos;Rourke, Anne.&lt;/author&gt;&lt;author&gt;Grey, Ian M.&lt;/author&gt;&lt;author&gt;Fuller, Ray&lt;/author&gt;&lt;author&gt;McClean, Brian&lt;/author&gt;&lt;/authors&gt;&lt;/contributors&gt;&lt;titles&gt;&lt;title&gt;Satisfaction with living arrangements of older adults with intellectual disability: Service users&amp;apos; and carers&amp;apos; views&lt;/title&gt;&lt;secondary-title&gt;Journal of Learning Disabilities&lt;/secondary-title&gt;&lt;short-title&gt;Satisfaction with living arrangements of older adults with intellectual disability: Service users&amp;apos; and carers&amp;apos; views&lt;/short-title&gt;&lt;/titles&gt;&lt;periodical&gt;&lt;full-title&gt;Journal of Learning Disabilities&lt;/full-title&gt;&lt;/periodical&gt;&lt;pages&gt;12-29&lt;/pages&gt;&lt;volume&gt;8&lt;/volume&gt;&lt;number&gt;1&lt;/number&gt;&lt;dates&gt;&lt;year&gt;2004&lt;/year&gt;&lt;/dates&gt;&lt;urls&gt;&lt;/urls&gt;&lt;electronic-resource-num&gt;10.1177/1469004704039306&lt;/electronic-resource-num&gt;&lt;/record&gt;&lt;/Cite&gt;&lt;/EndNote&gt;</w:instrText>
      </w:r>
      <w:r>
        <w:fldChar w:fldCharType="separate"/>
      </w:r>
      <w:r>
        <w:rPr>
          <w:noProof/>
        </w:rPr>
        <w:t>(O'Rourke et al., 2004)</w:t>
      </w:r>
      <w:r>
        <w:fldChar w:fldCharType="end"/>
      </w:r>
      <w:r>
        <w:t>. Staff issues such as restrictions on personal independence, staff impatience, and staff shortages, were identified as the primary contributors to dissatisfaction. However, experiences vary according to the type of accommodation, with service users living in their family home more likely to report being happy, but also more likely to report feeling lonely,</w:t>
      </w:r>
      <w:r w:rsidDel="004F7D8F">
        <w:t xml:space="preserve"> </w:t>
      </w:r>
      <w:r>
        <w:t>compared to those living in group homes</w:t>
      </w:r>
      <w:r w:rsidR="008B445F">
        <w:t xml:space="preserve"> (ibid., 2004)</w:t>
      </w:r>
      <w:r>
        <w:t xml:space="preserve">. In contrast, other studies have reported that older people </w:t>
      </w:r>
      <w:r w:rsidR="007B4A0C">
        <w:t>with intellectual disabilities</w:t>
      </w:r>
      <w:r>
        <w:t xml:space="preserve"> are more likely to want to move out of their family home to gain more independence </w:t>
      </w:r>
      <w:r>
        <w:fldChar w:fldCharType="begin"/>
      </w:r>
      <w:r>
        <w:instrText xml:space="preserve"> ADDIN EN.CITE &lt;EndNote&gt;&lt;Cite&gt;&lt;Author&gt;McGlaughlin&lt;/Author&gt;&lt;Year&gt;2004&lt;/Year&gt;&lt;RecNum&gt;488&lt;/RecNum&gt;&lt;DisplayText&gt;(McGlaughlin, 2004)&lt;/DisplayText&gt;&lt;record&gt;&lt;rec-number&gt;488&lt;/rec-number&gt;&lt;foreign-keys&gt;&lt;key app="EN" db-id="xtwfdzde5ttr0zevxrh5sf0c2wfzw5zf2vra" timestamp="1646921243" guid="63e15ab9-3c1b-495c-9e0e-ecc444f4d8ed"&gt;488&lt;/key&gt;&lt;/foreign-keys&gt;&lt;ref-type name="Journal Article"&gt;17&lt;/ref-type&gt;&lt;contributors&gt;&lt;authors&gt;&lt;author&gt;McGlaughlin, A.&lt;/author&gt;&lt;/authors&gt;&lt;/contributors&gt;&lt;titles&gt;&lt;title&gt;Enabling Adults with Learning Disabilities to Articulate their Housing Needs&lt;/title&gt;&lt;secondary-title&gt;British Journal of Social Work&lt;/secondary-title&gt;&lt;/titles&gt;&lt;periodical&gt;&lt;full-title&gt;British Journal of Social Work&lt;/full-title&gt;&lt;/periodical&gt;&lt;pages&gt;709-726&lt;/pages&gt;&lt;volume&gt;34&lt;/volume&gt;&lt;number&gt;5&lt;/number&gt;&lt;dates&gt;&lt;year&gt;2004&lt;/year&gt;&lt;/dates&gt;&lt;publisher&gt;Oxford University Press (OUP)&lt;/publisher&gt;&lt;isbn&gt;0045-3102&lt;/isbn&gt;&lt;urls&gt;&lt;related-urls&gt;&lt;url&gt;https://dx.doi.org/10.1093/bjsw/bch086&lt;/url&gt;&lt;/related-urls&gt;&lt;/urls&gt;&lt;electronic-resource-num&gt;10.1093/bjsw/bch086&lt;/electronic-resource-num&gt;&lt;/record&gt;&lt;/Cite&gt;&lt;/EndNote&gt;</w:instrText>
      </w:r>
      <w:r>
        <w:fldChar w:fldCharType="separate"/>
      </w:r>
      <w:r>
        <w:rPr>
          <w:noProof/>
        </w:rPr>
        <w:t>(McGlaughlin, 2004)</w:t>
      </w:r>
      <w:r>
        <w:fldChar w:fldCharType="end"/>
      </w:r>
      <w:r>
        <w:t xml:space="preserve">. Keyworkers and family carers also highlight the need for more accessible accommodation, especially for people with reduced mobility, as well as the requirement for more residential supports </w:t>
      </w:r>
      <w:r>
        <w:fldChar w:fldCharType="begin">
          <w:fldData xml:space="preserve">PEVuZE5vdGU+PENpdGU+PEF1dGhvcj5CcmVubmFuPC9BdXRob3I+PFllYXI+MjAxODwvWWVhcj48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</w:fldData>
        </w:fldChar>
      </w:r>
      <w:r w:rsidR="00B26CBF">
        <w:instrText xml:space="preserve"> ADDIN EN.CITE </w:instrText>
      </w:r>
      <w:r w:rsidR="00B26CBF">
        <w:fldChar w:fldCharType="begin">
          <w:fldData xml:space="preserve">PEVuZE5vdGU+PENpdGU+PEF1dGhvcj5CcmVubmFuPC9BdXRob3I+PFllYXI+MjAxODwvWWVhcj48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</w:fldData>
        </w:fldChar>
      </w:r>
      <w:r w:rsidR="00B26CBF">
        <w:instrText xml:space="preserve"> ADDIN EN.CITE.DATA </w:instrText>
      </w:r>
      <w:r w:rsidR="00B26CBF">
        <w:fldChar w:fldCharType="end"/>
      </w:r>
      <w:r>
        <w:fldChar w:fldCharType="separate"/>
      </w:r>
      <w:r w:rsidR="00B26CBF">
        <w:rPr>
          <w:noProof/>
        </w:rPr>
        <w:t>(McCausland et al., 2021a; Brennan et al., 2018)</w:t>
      </w:r>
      <w:r>
        <w:fldChar w:fldCharType="end"/>
      </w:r>
      <w:r>
        <w:t>.</w:t>
      </w:r>
    </w:p>
    <w:p w14:paraId="4F11ED5F" w14:textId="77777777" w:rsidR="00C43251" w:rsidRPr="00906B8B" w:rsidRDefault="00C43251" w:rsidP="11C55A92">
      <w:pPr>
        <w:pStyle w:val="Heading4"/>
        <w:rPr>
          <w:color w:val="auto"/>
        </w:rPr>
      </w:pPr>
      <w:bookmarkStart w:id="86" w:name="_Toc116045687"/>
      <w:r w:rsidRPr="00906B8B">
        <w:rPr>
          <w:color w:val="auto"/>
        </w:rPr>
        <w:t>Choice</w:t>
      </w:r>
      <w:bookmarkEnd w:id="86"/>
    </w:p>
    <w:p w14:paraId="7DCC35CB" w14:textId="3555CDEA" w:rsidR="00C43251" w:rsidRDefault="5F3FEE4D" w:rsidP="00C43251">
      <w:r>
        <w:t xml:space="preserve">Article 19 of the UNCRPD affirms the right of people with disability </w:t>
      </w:r>
      <w:r w:rsidR="15450942">
        <w:t xml:space="preserve">to </w:t>
      </w:r>
      <w:r w:rsidR="15450942" w:rsidRPr="7F45FF05">
        <w:rPr>
          <w:rFonts w:eastAsia="Gill Sans MT" w:cs="Gill Sans MT"/>
          <w:szCs w:val="26"/>
        </w:rPr>
        <w:t>choose their place of residence and where and with whom they live, however c</w:t>
      </w:r>
      <w:r w:rsidR="00C43251">
        <w:t xml:space="preserve">hoice, or lack thereof, is a key issue identified in the literature relating to older adults </w:t>
      </w:r>
      <w:r w:rsidR="007B4A0C">
        <w:t>with intellectual disabilities</w:t>
      </w:r>
      <w:r w:rsidR="00C43251">
        <w:t xml:space="preserve"> </w:t>
      </w:r>
      <w:r w:rsidR="00C43251">
        <w:fldChar w:fldCharType="begin">
          <w:fldData xml:space="preserve">PEVuZE5vdGU+PENpdGU+PEF1dGhvcj5Cb3dleTwvQXV0aG9yPjxZZWFyPjIwMDU8L1llYXI+PFJl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</w:fldData>
        </w:fldChar>
      </w:r>
      <w:r w:rsidR="00B26CBF">
        <w:instrText xml:space="preserve"> ADDIN EN.CITE </w:instrText>
      </w:r>
      <w:r w:rsidR="00B26CBF">
        <w:fldChar w:fldCharType="begin">
          <w:fldData xml:space="preserve">PEVuZE5vdGU+PENpdGU+PEF1dGhvcj5Cb3dleTwvQXV0aG9yPjxZZWFyPjIwMDU8L1llYXI+PFJl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</w:fldData>
        </w:fldChar>
      </w:r>
      <w:r w:rsidR="00B26CBF">
        <w:instrText xml:space="preserve"> ADDIN EN.CITE.DATA </w:instrText>
      </w:r>
      <w:r w:rsidR="00B26CBF">
        <w:fldChar w:fldCharType="end"/>
      </w:r>
      <w:r w:rsidR="00C43251">
        <w:fldChar w:fldCharType="separate"/>
      </w:r>
      <w:r w:rsidR="00B26CBF">
        <w:rPr>
          <w:noProof/>
        </w:rPr>
        <w:t>(HSE, 2011; Bowey, 2005; McGlaughlin, 2004)</w:t>
      </w:r>
      <w:r w:rsidR="00C43251">
        <w:fldChar w:fldCharType="end"/>
      </w:r>
      <w:r w:rsidR="00C43251">
        <w:t xml:space="preserve">. While ageing in place, the option to remain living in one’s home of choice with appropriate support, is crucial for people </w:t>
      </w:r>
      <w:r w:rsidR="007B4A0C">
        <w:t>with intellectual disabilities</w:t>
      </w:r>
      <w:r w:rsidR="00C43251">
        <w:t xml:space="preserve"> as they age, adults </w:t>
      </w:r>
      <w:r w:rsidR="007B4A0C">
        <w:t>with intellectual disabilities</w:t>
      </w:r>
      <w:r w:rsidR="00C43251">
        <w:t xml:space="preserve"> are often given limited choices in relation to their living arrangements </w:t>
      </w:r>
      <w:r w:rsidR="00C43251">
        <w:fldChar w:fldCharType="begin">
          <w:fldData xml:space="preserve">PEVuZE5vdGU+PENpdGU+PEF1dGhvcj5Jbm5lczwvQXV0aG9yPjxZZWFyPjIwMTI8L1llYXI+PFJl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</w:fldData>
        </w:fldChar>
      </w:r>
      <w:r w:rsidR="00B26CBF">
        <w:instrText xml:space="preserve"> ADDIN EN.CITE </w:instrText>
      </w:r>
      <w:r w:rsidR="00B26CBF">
        <w:fldChar w:fldCharType="begin">
          <w:fldData xml:space="preserve">PEVuZE5vdGU+PENpdGU+PEF1dGhvcj5Jbm5lczwvQXV0aG9yPjxZZWFyPjIwMTI8L1llYXI+PFJl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</w:fldData>
        </w:fldChar>
      </w:r>
      <w:r w:rsidR="00B26CBF">
        <w:instrText xml:space="preserve"> ADDIN EN.CITE.DATA </w:instrText>
      </w:r>
      <w:r w:rsidR="00B26CBF">
        <w:fldChar w:fldCharType="end"/>
      </w:r>
      <w:r w:rsidR="00C43251">
        <w:fldChar w:fldCharType="separate"/>
      </w:r>
      <w:r w:rsidR="00B26CBF">
        <w:rPr>
          <w:noProof/>
        </w:rPr>
        <w:t>(McCallion et al., 2013b; Innes et al., 2012)</w:t>
      </w:r>
      <w:r w:rsidR="00C43251">
        <w:fldChar w:fldCharType="end"/>
      </w:r>
      <w:r w:rsidR="00C43251">
        <w:t>. IDS-TILDA found that</w:t>
      </w:r>
      <w:r w:rsidR="00C43251" w:rsidDel="00183872">
        <w:t xml:space="preserve"> </w:t>
      </w:r>
      <w:r w:rsidR="00C43251">
        <w:t xml:space="preserve">three-quarters of adults </w:t>
      </w:r>
      <w:r w:rsidR="007B4A0C">
        <w:t>with intellectual disabilities</w:t>
      </w:r>
      <w:r w:rsidR="00C43251">
        <w:t xml:space="preserve"> (75%) reported having no choice in relation to where they lived, 85% had no choice in relation to who they lived with, and nearly half of participants said they had no choice over what time they went to bed </w:t>
      </w:r>
      <w:r w:rsidR="00C43251">
        <w:fldChar w:fldCharType="begin"/>
      </w:r>
      <w:r w:rsidR="00C472AE">
        <w:instrText xml:space="preserve"> ADDIN EN.CITE &lt;EndNote&gt;&lt;Cite&gt;&lt;Author&gt;McCallion&lt;/Author&gt;&lt;Year&gt;2013&lt;/Year&gt;&lt;RecNum&gt;456&lt;/RecNum&gt;&lt;DisplayText&gt;(McCallion et al., 2013b)&lt;/DisplayText&gt;&lt;record&gt;&lt;rec-number&gt;456&lt;/rec-number&gt;&lt;foreign-keys&gt;&lt;key app="EN" db-id="xtwfdzde5ttr0zevxrh5sf0c2wfzw5zf2vra" timestamp="1646126284" guid="b789009f-4aca-4aac-8608-30d29f3c271e"&gt;456&lt;/key&gt;&lt;/foreign-keys&gt;&lt;ref-type name="Book Section"&gt;5&lt;/ref-type&gt;&lt;contributors&gt;&lt;authors&gt;&lt;author&gt;McCallion, P&lt;/author&gt;&lt;author&gt;Swinburne, J&lt;/author&gt;&lt;author&gt;Burke, E&lt;/author&gt;&lt;author&gt;McGlinchey, E&lt;/author&gt;&lt;author&gt;McCarron, M&lt;/author&gt;&lt;/authors&gt;&lt;secondary-authors&gt;&lt;author&gt;Urbano, R&lt;/author&gt;&lt;/secondary-authors&gt;&lt;/contributors&gt;&lt;titles&gt;&lt;title&gt;Understanding the similarities and differences in aging with an intellectual disability: linking Irish general population and intellectual disability datasets&lt;/title&gt;&lt;secondary-title&gt;International Review of Research in Developmental Disabilities&lt;/secondary-title&gt;&lt;/titles&gt;&lt;pages&gt;225-256&lt;/pages&gt;&lt;volume&gt;45&lt;/volume&gt;&lt;dates&gt;&lt;year&gt;2013&lt;/year&gt;&lt;/dates&gt;&lt;publisher&gt;Elsevier&lt;/publisher&gt;&lt;isbn&gt;2211-6095&lt;/isbn&gt;&lt;urls&gt;&lt;/urls&gt;&lt;/record&gt;&lt;/Cite&gt;&lt;/EndNote&gt;</w:instrText>
      </w:r>
      <w:r w:rsidR="00C43251">
        <w:fldChar w:fldCharType="separate"/>
      </w:r>
      <w:r w:rsidR="00B84314">
        <w:rPr>
          <w:noProof/>
        </w:rPr>
        <w:t>(McCallion et al., 2013b)</w:t>
      </w:r>
      <w:r w:rsidR="00C43251">
        <w:fldChar w:fldCharType="end"/>
      </w:r>
      <w:r w:rsidR="00C43251">
        <w:t xml:space="preserve">. Overall, participants did, however, report having a good level of choice regarding other basic day-to-day activities such as how they spend their free time, the food they eat, and the clothes they wear </w:t>
      </w:r>
      <w:r w:rsidR="00C43251">
        <w:fldChar w:fldCharType="begin"/>
      </w:r>
      <w:r w:rsidR="00C472AE">
        <w:instrText xml:space="preserve"> ADDIN EN.CITE &lt;EndNote&gt;&lt;Cite&gt;&lt;Author&gt;McCallion&lt;/Author&gt;&lt;Year&gt;2013&lt;/Year&gt;&lt;RecNum&gt;456&lt;/RecNum&gt;&lt;DisplayText&gt;(McCallion et al., 2013b)&lt;/DisplayText&gt;&lt;record&gt;&lt;rec-number&gt;456&lt;/rec-number&gt;&lt;foreign-keys&gt;&lt;key app="EN" db-id="xtwfdzde5ttr0zevxrh5sf0c2wfzw5zf2vra" timestamp="1646126284" guid="b789009f-4aca-4aac-8608-30d29f3c271e"&gt;456&lt;/key&gt;&lt;/foreign-keys&gt;&lt;ref-type name="Book Section"&gt;5&lt;/ref-type&gt;&lt;contributors&gt;&lt;authors&gt;&lt;author&gt;McCallion, P&lt;/author&gt;&lt;author&gt;Swinburne, J&lt;/author&gt;&lt;author&gt;Burke, E&lt;/author&gt;&lt;author&gt;McGlinchey, E&lt;/author&gt;&lt;author&gt;McCarron, M&lt;/author&gt;&lt;/authors&gt;&lt;secondary-authors&gt;&lt;author&gt;Urbano, R&lt;/author&gt;&lt;/secondary-authors&gt;&lt;/contributors&gt;&lt;titles&gt;&lt;title&gt;Understanding the similarities and differences in aging with an intellectual disability: linking Irish general population and intellectual disability datasets&lt;/title&gt;&lt;secondary-title&gt;International Review of Research in Developmental Disabilities&lt;/secondary-title&gt;&lt;/titles&gt;&lt;pages&gt;225-256&lt;/pages&gt;&lt;volume&gt;45&lt;/volume&gt;&lt;dates&gt;&lt;year&gt;2013&lt;/year&gt;&lt;/dates&gt;&lt;publisher&gt;Elsevier&lt;/publisher&gt;&lt;isbn&gt;2211-6095&lt;/isbn&gt;&lt;urls&gt;&lt;/urls&gt;&lt;/record&gt;&lt;/Cite&gt;&lt;/EndNote&gt;</w:instrText>
      </w:r>
      <w:r w:rsidR="00C43251">
        <w:fldChar w:fldCharType="separate"/>
      </w:r>
      <w:r w:rsidR="00B84314">
        <w:rPr>
          <w:noProof/>
        </w:rPr>
        <w:t>(McCallion et al., 2013b)</w:t>
      </w:r>
      <w:r w:rsidR="00C43251">
        <w:fldChar w:fldCharType="end"/>
      </w:r>
      <w:r w:rsidR="00C43251">
        <w:t xml:space="preserve">. Lack of choice and control may be experienced by both older people living at home with family and in residential facilities (10-12 residents) </w:t>
      </w:r>
      <w:r w:rsidR="00C43251">
        <w:fldChar w:fldCharType="begin"/>
      </w:r>
      <w:r w:rsidR="005C576E">
        <w:instrText xml:space="preserve"> ADDIN EN.CITE &lt;EndNote&gt;&lt;Cite&gt;&lt;Author&gt;Eley&lt;/Author&gt;&lt;Year&gt;2009&lt;/Year&gt;&lt;RecNum&gt;340&lt;/RecNum&gt;&lt;DisplayText&gt;(Eley et al., 2009)&lt;/DisplayText&gt;&lt;record&gt;&lt;rec-number&gt;340&lt;/rec-number&gt;&lt;foreign-keys&gt;&lt;key app="EN" db-id="xtwfdzde5ttr0zevxrh5sf0c2wfzw5zf2vra" timestamp="1643290955" guid="5b78e35f-5f2c-47a8-aa61-66bfa91786b8"&gt;340&lt;/key&gt;&lt;/foreign-keys&gt;&lt;ref-type name="Journal Article"&gt;17&lt;/ref-type&gt;&lt;contributors&gt;&lt;authors&gt;&lt;author&gt;Eley, D. S.&lt;/author&gt;&lt;author&gt;Boyes, J.&lt;/author&gt;&lt;author&gt;Young, L.&lt;/author&gt;&lt;author&gt;Hegney, D. G.&lt;/author&gt;&lt;/authors&gt;&lt;/contributors&gt;&lt;titles&gt;&lt;title&gt;Accommodation needs for carers of and adults with intellectual disability in regional Australia: their hopes for and perceptions of the future&lt;/title&gt;&lt;secondary-title&gt;Rural and remote health&lt;/secondary-title&gt;&lt;short-title&gt;Accommodation needs for carers of and adults with intellectual disability in regional Australia: their hopes for and perceptions of the future&lt;/short-title&gt;&lt;/titles&gt;&lt;periodical&gt;&lt;full-title&gt;Rural and remote health&lt;/full-title&gt;&lt;/periodical&gt;&lt;pages&gt;1-13&lt;/pages&gt;&lt;volume&gt;9&lt;/volume&gt;&lt;number&gt;3&lt;/number&gt;&lt;dates&gt;&lt;year&gt;2009&lt;/year&gt;&lt;/dates&gt;&lt;urls&gt;&lt;/urls&gt;&lt;electronic-resource-num&gt;10.22605/rrh1239&lt;/electronic-resource-num&gt;&lt;/record&gt;&lt;/Cite&gt;&lt;/EndNote&gt;</w:instrText>
      </w:r>
      <w:r w:rsidR="00C43251">
        <w:fldChar w:fldCharType="separate"/>
      </w:r>
      <w:r w:rsidR="00C43251">
        <w:rPr>
          <w:noProof/>
        </w:rPr>
        <w:t>(Eley et al., 2009</w:t>
      </w:r>
      <w:r w:rsidR="00573F7E">
        <w:rPr>
          <w:noProof/>
        </w:rPr>
        <w:t>)</w:t>
      </w:r>
      <w:r w:rsidR="00C43251">
        <w:fldChar w:fldCharType="end"/>
      </w:r>
      <w:r w:rsidR="008B445F">
        <w:t xml:space="preserve">. </w:t>
      </w:r>
      <w:r w:rsidR="0CEDE68F">
        <w:t>H</w:t>
      </w:r>
      <w:r w:rsidR="00C43251">
        <w:t xml:space="preserve">owever increased choice has been associated with community-based and smaller settings, compared to larger congregated settings such as residential centres </w:t>
      </w:r>
      <w:r w:rsidR="00C43251">
        <w:fldChar w:fldCharType="begin"/>
      </w:r>
      <w:r w:rsidR="00AD24C0">
        <w:instrText xml:space="preserve"> ADDIN EN.CITE &lt;EndNote&gt;&lt;Cite ExcludeAuth="1"&gt;&lt;Author&gt;HSE&lt;/Author&gt;&lt;Year&gt;2011&lt;/Year&gt;&lt;RecNum&gt;482&lt;/RecNum&gt;&lt;Prefix&gt;HSE`, &lt;/Prefix&gt;&lt;DisplayText&gt;(HSE, 2011)&lt;/DisplayText&gt;&lt;record&gt;&lt;rec-number&gt;482&lt;/rec-number&gt;&lt;foreign-keys&gt;&lt;key app="EN" db-id="xtwfdzde5ttr0zevxrh5sf0c2wfzw5zf2vra" timestamp="1646829731" guid="5c1be10c-e081-4c41-989a-cd8997c335da"&gt;482&lt;/key&gt;&lt;/foreign-keys&gt;&lt;ref-type name="Report"&gt;27&lt;/ref-type&gt;&lt;contributors&gt;&lt;authors&gt;&lt;author&gt;HSE, &lt;/author&gt;&lt;/authors&gt;&lt;/contributors&gt;&lt;titles&gt;&lt;title&gt;Time to Move on from Congregated Settings, A strategy for Community Inclusion&lt;/title&gt;&lt;/titles&gt;&lt;dates&gt;&lt;year&gt;2011&lt;/year&gt;&lt;pub-dates&gt;&lt;date&gt;June&lt;/date&gt;&lt;/pub-dates&gt;&lt;/dates&gt;&lt;pub-location&gt;Dublin&lt;/pub-location&gt;&lt;publisher&gt;Health Service Executive&lt;/publisher&gt;&lt;urls&gt;&lt;/urls&gt;&lt;/record&gt;&lt;/Cite&gt;&lt;/EndNote&gt;</w:instrText>
      </w:r>
      <w:r w:rsidR="00C43251">
        <w:fldChar w:fldCharType="separate"/>
      </w:r>
      <w:r w:rsidR="00FF5F49">
        <w:rPr>
          <w:noProof/>
        </w:rPr>
        <w:t>(HSE, 2011)</w:t>
      </w:r>
      <w:r w:rsidR="00C43251">
        <w:fldChar w:fldCharType="end"/>
      </w:r>
      <w:r w:rsidR="00C43251">
        <w:t xml:space="preserve">. Older people </w:t>
      </w:r>
      <w:r w:rsidR="007B4A0C">
        <w:t>with intellectual disabilities</w:t>
      </w:r>
      <w:r w:rsidR="00C43251">
        <w:t xml:space="preserve">, caregivers and staff, have also expressed concern over a lack of choice and information regarding future accommodation </w:t>
      </w:r>
      <w:r w:rsidR="00C43251">
        <w:fldChar w:fldCharType="begin"/>
      </w:r>
      <w:r w:rsidR="006A378C">
        <w:instrText xml:space="preserve"> ADDIN EN.CITE &lt;EndNote&gt;&lt;Cite&gt;&lt;Author&gt;Innes&lt;/Author&gt;&lt;Year&gt;2012&lt;/Year&gt;&lt;RecNum&gt;367&lt;/RecNum&gt;&lt;DisplayText&gt;(Innes et al., 2012)&lt;/DisplayText&gt;&lt;record&gt;&lt;rec-number&gt;367&lt;/rec-number&gt;&lt;foreign-keys&gt;&lt;key app="EN" db-id="xtwfdzde5ttr0zevxrh5sf0c2wfzw5zf2vra" timestamp="1643290955" guid="9e433083-79ce-4437-8479-7a08886d73cc"&gt;367&lt;/key&gt;&lt;/foreign-keys&gt;&lt;ref-type name="Journal Article"&gt;17&lt;/ref-type&gt;&lt;contributors&gt;&lt;authors&gt;&lt;author&gt;Innes, Anthea&lt;/author&gt;&lt;author&gt;McCabe, Louise&lt;/author&gt;&lt;author&gt;Watchman, Karen&lt;/author&gt;&lt;/authors&gt;&lt;/contributors&gt;&lt;titles&gt;&lt;title&gt;Caring for older people with an intellectual disability: A systematic review&lt;/title&gt;&lt;secondary-title&gt;Maturitas&lt;/secondary-title&gt;&lt;short-title&gt;Caring for older people with an intellectual disability: A systematic review&lt;/short-title&gt;&lt;/titles&gt;&lt;periodical&gt;&lt;full-title&gt;Maturitas&lt;/full-title&gt;&lt;/periodical&gt;&lt;pages&gt;286-295&lt;/pages&gt;&lt;volume&gt;72&lt;/volume&gt;&lt;number&gt;4&lt;/number&gt;&lt;dates&gt;&lt;year&gt;2012&lt;/year&gt;&lt;/dates&gt;&lt;urls&gt;&lt;related-urls&gt;&lt;url&gt;https://www.researchgate.net/profile/Karen-Watchman/publication/225295309_Caring_for_older_people_with_an_intellectual_disability_A_systematic_review/links/5b8ce79f299bf1d5a73a11a2/Caring-for-older-people-with-an-intellectual-disability-A-systematic-review.pdf&lt;/url&gt;&lt;/related-urls&gt;&lt;/urls&gt;&lt;electronic-resource-num&gt;10.1016/j.maturitas.2012.05.008&lt;/electronic-resource-num&gt;&lt;/record&gt;&lt;/Cite&gt;&lt;/EndNote&gt;</w:instrText>
      </w:r>
      <w:r w:rsidR="00C43251">
        <w:fldChar w:fldCharType="separate"/>
      </w:r>
      <w:r w:rsidR="00C43251">
        <w:rPr>
          <w:noProof/>
        </w:rPr>
        <w:t>(Innes et al., 2012)</w:t>
      </w:r>
      <w:r w:rsidR="00C43251">
        <w:fldChar w:fldCharType="end"/>
      </w:r>
      <w:r w:rsidR="00C43251">
        <w:t xml:space="preserve">. </w:t>
      </w:r>
    </w:p>
    <w:p w14:paraId="1E38963F" w14:textId="77777777" w:rsidR="00C43251" w:rsidRPr="00906B8B" w:rsidRDefault="00C43251" w:rsidP="11C55A92">
      <w:pPr>
        <w:pStyle w:val="Heading4"/>
        <w:rPr>
          <w:color w:val="auto"/>
        </w:rPr>
      </w:pPr>
      <w:bookmarkStart w:id="87" w:name="_Toc116045688"/>
      <w:r w:rsidRPr="00906B8B">
        <w:rPr>
          <w:color w:val="auto"/>
        </w:rPr>
        <w:t>Caregiving</w:t>
      </w:r>
      <w:bookmarkEnd w:id="87"/>
    </w:p>
    <w:p w14:paraId="6B4B6131" w14:textId="1CBFA7E7" w:rsidR="00C43251" w:rsidRPr="00B636E6" w:rsidRDefault="00C43251" w:rsidP="00C43251">
      <w:r>
        <w:t xml:space="preserve">Another major concern related to the social care needs of older people </w:t>
      </w:r>
      <w:r w:rsidR="007B4A0C">
        <w:t>with intellectual disabilities</w:t>
      </w:r>
      <w:r>
        <w:t xml:space="preserve"> identified in the literature is the burden</w:t>
      </w:r>
      <w:r w:rsidDel="009D6DF1">
        <w:t xml:space="preserve"> </w:t>
      </w:r>
      <w:r>
        <w:t xml:space="preserve">of care experienced by older caregivers living with older people </w:t>
      </w:r>
      <w:r w:rsidR="007B4A0C">
        <w:t>with intellectual disabilities</w:t>
      </w:r>
      <w:r>
        <w:t xml:space="preserve"> </w:t>
      </w:r>
      <w:r>
        <w:fldChar w:fldCharType="begin"/>
      </w:r>
      <w:r w:rsidR="006A378C">
        <w:instrText xml:space="preserve"> ADDIN EN.CITE &lt;EndNote&gt;&lt;Cite&gt;&lt;Author&gt;McCausland&lt;/Author&gt;&lt;Year&gt;2021&lt;/Year&gt;&lt;RecNum&gt;395&lt;/RecNum&gt;&lt;DisplayText&gt;(McCausland et al., 2021a)&lt;/DisplayText&gt;&lt;record&gt;&lt;rec-number&gt;395&lt;/rec-number&gt;&lt;foreign-keys&gt;&lt;key app="EN" db-id="xtwfdzde5ttr0zevxrh5sf0c2wfzw5zf2vra" timestamp="1643290955" guid="4e75ea09-189a-4c34-a7cf-b600fcb67683"&gt;395&lt;/key&gt;&lt;/foreign-keys&gt;&lt;ref-type name="Journal Article"&gt;17&lt;/ref-type&gt;&lt;contributors&gt;&lt;authors&gt;&lt;author&gt;McCausland, Darren&lt;/author&gt;&lt;author&gt;Guerin, Suzanne&lt;/author&gt;&lt;author&gt;Tyrrell, Janette&lt;/author&gt;&lt;author&gt;Donohoe, Clare&lt;/author&gt;&lt;author&gt;O&amp;apos;Donoghue, Isabelle&lt;/author&gt;&lt;author&gt;Dodd, Philip&lt;/author&gt;&lt;/authors&gt;&lt;/contributors&gt;&lt;titles&gt;&lt;title&gt;A qualitative study of the needs of older adults with intellectual disabilities&lt;/title&gt;&lt;secondary-title&gt;Journal of Applied Research in Intellectual Disabilities&lt;/secondary-title&gt;&lt;short-title&gt;A qualitative study of the needs of older adults with intellectual disabilities&lt;/short-title&gt;&lt;/titles&gt;&lt;periodical&gt;&lt;full-title&gt;Journal of Applied Research in Intellectual Disabilities&lt;/full-title&gt;&lt;/periodical&gt;&lt;pages&gt;1560-1568&lt;/pages&gt;&lt;volume&gt;34&lt;/volume&gt;&lt;number&gt;6&lt;/number&gt;&lt;dates&gt;&lt;year&gt;2021&lt;/year&gt;&lt;/dates&gt;&lt;urls&gt;&lt;related-urls&gt;&lt;url&gt;https://onlinelibrary.wiley.com/doi/10.1111/jar.12900&lt;/url&gt;&lt;/related-urls&gt;&lt;/urls&gt;&lt;electronic-resource-num&gt;10.1111/jar.12900&lt;/electronic-resource-num&gt;&lt;/record&gt;&lt;/Cite&gt;&lt;/EndNote&gt;</w:instrText>
      </w:r>
      <w:r>
        <w:fldChar w:fldCharType="separate"/>
      </w:r>
      <w:r>
        <w:rPr>
          <w:noProof/>
        </w:rPr>
        <w:t>(McCausland et al., 2021a)</w:t>
      </w:r>
      <w:r>
        <w:fldChar w:fldCharType="end"/>
      </w:r>
      <w:r>
        <w:t xml:space="preserve">. Caregiving in the family home has many advantages, such as facilitating the desires of older people </w:t>
      </w:r>
      <w:r w:rsidR="007B4A0C">
        <w:t>with intellectual disabilities</w:t>
      </w:r>
      <w:r>
        <w:t xml:space="preserve"> to age in place, and has been linked to a greater quality of life and financial benefits </w:t>
      </w:r>
      <w:r>
        <w:fldChar w:fldCharType="begin"/>
      </w:r>
      <w:r>
        <w:instrText xml:space="preserve"> ADDIN EN.CITE &lt;EndNote&gt;&lt;Cite&gt;&lt;Author&gt;Brennan&lt;/Author&gt;&lt;Year&gt;2018&lt;/Year&gt;&lt;RecNum&gt;316&lt;/RecNum&gt;&lt;DisplayText&gt;(Brennan et al., 2018)&lt;/DisplayText&gt;&lt;record&gt;&lt;rec-number&gt;316&lt;/rec-number&gt;&lt;foreign-keys&gt;&lt;key app="EN" db-id="xtwfdzde5ttr0zevxrh5sf0c2wfzw5zf2vra" timestamp="1643290955" guid="a7de8211-1f2f-4b2c-8c9c-072fa63d3c60"&gt;316&lt;/key&gt;&lt;/foreign-keys&gt;&lt;ref-type name="Journal Article"&gt;17&lt;/ref-type&gt;&lt;contributors&gt;&lt;authors&gt;&lt;author&gt;Brennan, Damien&lt;/author&gt;&lt;author&gt;Murphy, Rebecca&lt;/author&gt;&lt;author&gt;McCallion, Philip&lt;/author&gt;&lt;author&gt;McCarron, Mary&lt;/author&gt;&lt;/authors&gt;&lt;/contributors&gt;&lt;titles&gt;&lt;title&gt;“What&amp;apos;s going to happen when we&amp;apos;re gone?” Family caregiving capacity for older people with an intellectual disability in Ireland&lt;/title&gt;&lt;secondary-title&gt;Journal of Applied Research in Intellectual Disabilities&lt;/secondary-title&gt;&lt;short-title&gt;“What&amp;apos;s going to happen when we&amp;apos;re gone?” Family caregiving capacity for older people with an intellectual disability in Ireland&lt;/short-title&gt;&lt;/titles&gt;&lt;periodical&gt;&lt;full-title&gt;Journal of Applied Research in Intellectual Disabilities&lt;/full-title&gt;&lt;/periodical&gt;&lt;volume&gt;31&lt;/volume&gt;&lt;number&gt;2&lt;/number&gt;&lt;dates&gt;&lt;year&gt;2018&lt;/year&gt;&lt;/dates&gt;&lt;urls&gt;&lt;related-urls&gt;&lt;url&gt;https://onlinelibrary.wiley.com/doi/10.1111/jar.12379&lt;/url&gt;&lt;/related-urls&gt;&lt;/urls&gt;&lt;electronic-resource-num&gt;10.1111/jar.12379&lt;/electronic-resource-num&gt;&lt;/record&gt;&lt;/Cite&gt;&lt;/EndNote&gt;</w:instrText>
      </w:r>
      <w:r>
        <w:fldChar w:fldCharType="separate"/>
      </w:r>
      <w:r>
        <w:rPr>
          <w:noProof/>
        </w:rPr>
        <w:t>(Brennan et al., 2018)</w:t>
      </w:r>
      <w:r>
        <w:fldChar w:fldCharType="end"/>
      </w:r>
      <w:r w:rsidRPr="008877D4">
        <w:rPr>
          <w:b/>
          <w:bCs/>
        </w:rPr>
        <w:t>.</w:t>
      </w:r>
      <w:r>
        <w:t xml:space="preserve"> In addition, ageing family caregivers may benefit from the mutual caregiving relationship which often develops between themselves and those whom they are caring for </w:t>
      </w:r>
      <w:r>
        <w:fldChar w:fldCharType="begin"/>
      </w:r>
      <w:r w:rsidR="00FF5F49">
        <w:instrText xml:space="preserve"> ADDIN EN.CITE &lt;EndNote&gt;&lt;Cite&gt;&lt;Author&gt;Grant&lt;/Author&gt;&lt;Year&gt;2001&lt;/Year&gt;&lt;RecNum&gt;502&lt;/RecNum&gt;&lt;DisplayText&gt;(Grant &amp;amp; Ramcharan, 2001; Williams &amp;amp; Robinson, 2001)&lt;/DisplayText&gt;&lt;record&gt;&lt;rec-number&gt;502&lt;/rec-number&gt;&lt;foreign-keys&gt;&lt;key app="EN" db-id="xtwfdzde5ttr0zevxrh5sf0c2wfzw5zf2vra" timestamp="1648132328" guid="23d366e3-0c9f-4d13-b8d5-ae90b9e86eb2"&gt;502&lt;/key&gt;&lt;/foreign-keys&gt;&lt;ref-type name="Journal Article"&gt;17&lt;/ref-type&gt;&lt;contributors&gt;&lt;authors&gt;&lt;author&gt;Grant, Gordon&lt;/author&gt;&lt;author&gt;Ramcharan, Paul&lt;/author&gt;&lt;/authors&gt;&lt;/contributors&gt;&lt;titles&gt;&lt;title&gt;Views and experiences of people with intellectual disabilities and their families.(2) The family perspective&lt;/title&gt;&lt;secondary-title&gt;Journal of applied research in intellectual disabilities&lt;/secondary-title&gt;&lt;/titles&gt;&lt;periodical&gt;&lt;full-title&gt;Journal of Applied Research in Intellectual Disabilities&lt;/full-title&gt;&lt;/periodical&gt;&lt;pages&gt;364-380&lt;/pages&gt;&lt;volume&gt;14&lt;/volume&gt;&lt;number&gt;4&lt;/number&gt;&lt;dates&gt;&lt;year&gt;2001&lt;/year&gt;&lt;/dates&gt;&lt;isbn&gt;1360-2322&lt;/isbn&gt;&lt;urls&gt;&lt;/urls&gt;&lt;/record&gt;&lt;/Cite&gt;&lt;Cite&gt;&lt;Author&gt;Williams&lt;/Author&gt;&lt;Year&gt;2001&lt;/Year&gt;&lt;RecNum&gt;501&lt;/RecNum&gt;&lt;record&gt;&lt;rec-number&gt;501&lt;/rec-number&gt;&lt;foreign-keys&gt;&lt;key app="EN" db-id="xtwfdzde5ttr0zevxrh5sf0c2wfzw5zf2vra" timestamp="1648132299" guid="31230467-b1a0-40cb-883e-adaf8f9ffbaa"&gt;501&lt;/key&gt;&lt;/foreign-keys&gt;&lt;ref-type name="Journal Article"&gt;17&lt;/ref-type&gt;&lt;contributors&gt;&lt;authors&gt;&lt;author&gt;Williams, Val&lt;/author&gt;&lt;author&gt;Robinson, Carol&lt;/author&gt;&lt;/authors&gt;&lt;/contributors&gt;&lt;titles&gt;&lt;title&gt;‘He will finish up caring for me’: people with learning disabilities and mutual care&lt;/title&gt;&lt;secondary-title&gt;British Journal of Learning Disabilities&lt;/secondary-title&gt;&lt;/titles&gt;&lt;periodical&gt;&lt;full-title&gt;British Journal of Learning Disabilities&lt;/full-title&gt;&lt;/periodical&gt;&lt;pages&gt;56-62&lt;/pages&gt;&lt;volume&gt;29&lt;/volume&gt;&lt;number&gt;2&lt;/number&gt;&lt;dates&gt;&lt;year&gt;2001&lt;/year&gt;&lt;/dates&gt;&lt;isbn&gt;1354-4187&lt;/isbn&gt;&lt;urls&gt;&lt;/urls&gt;&lt;/record&gt;&lt;/Cite&gt;&lt;/EndNote&gt;</w:instrText>
      </w:r>
      <w:r>
        <w:fldChar w:fldCharType="separate"/>
      </w:r>
      <w:r w:rsidR="00FF5F49">
        <w:rPr>
          <w:noProof/>
        </w:rPr>
        <w:t>(Grant &amp; Ramcharan, 2001; Williams &amp; Robinson, 2001)</w:t>
      </w:r>
      <w:r>
        <w:fldChar w:fldCharType="end"/>
      </w:r>
      <w:r>
        <w:t xml:space="preserve">. </w:t>
      </w:r>
    </w:p>
    <w:p w14:paraId="4CB5E822" w14:textId="4504CFE0" w:rsidR="00C43251" w:rsidRPr="00B636E6" w:rsidRDefault="00C43251" w:rsidP="00C43251">
      <w:r>
        <w:t xml:space="preserve">Despite these benefits, both older people </w:t>
      </w:r>
      <w:r w:rsidR="007B4A0C">
        <w:t>with intellectual disabilities</w:t>
      </w:r>
      <w:r>
        <w:t xml:space="preserve"> and their family caregivers have expressed concern about the burden of caregiving, due to the complexity of the health needs of people </w:t>
      </w:r>
      <w:r w:rsidR="007B4A0C">
        <w:t>with intellectual disabilities</w:t>
      </w:r>
      <w:r>
        <w:t xml:space="preserve"> and the challenges faced by carers to support these needs as they age </w:t>
      </w:r>
      <w:r>
        <w:fldChar w:fldCharType="begin"/>
      </w:r>
      <w:r>
        <w:instrText xml:space="preserve"> ADDIN EN.CITE &lt;EndNote&gt;&lt;Cite&gt;&lt;Author&gt;Ryan&lt;/Author&gt;&lt;Year&gt;2014&lt;/Year&gt;&lt;RecNum&gt;529&lt;/RecNum&gt;&lt;DisplayText&gt;(Ryan et al., 2014)&lt;/DisplayText&gt;&lt;record&gt;&lt;rec-number&gt;529&lt;/rec-number&gt;&lt;foreign-keys&gt;&lt;key app="EN" db-id="xtwfdzde5ttr0zevxrh5sf0c2wfzw5zf2vra" timestamp="1649175308" guid="7d363844-8cbb-47aa-afb5-22a46599daca"&gt;529&lt;/key&gt;&lt;/foreign-keys&gt;&lt;ref-type name="Journal Article"&gt;17&lt;/ref-type&gt;&lt;contributors&gt;&lt;authors&gt;&lt;author&gt;Ryan, Assumpta&lt;/author&gt;&lt;author&gt;Taggart, Laurence&lt;/author&gt;&lt;author&gt;Truesdale-Kennedy, Maria&lt;/author&gt;&lt;author&gt;Slevin, Eamonn&lt;/author&gt;&lt;/authors&gt;&lt;/contributors&gt;&lt;titles&gt;&lt;title&gt;Issues in caregiving for older people with intellectual disabilities and their ageing family carers: a review and commentary&lt;/title&gt;&lt;secondary-title&gt;International Journal of Older People Nursing&lt;/secondary-title&gt;&lt;/titles&gt;&lt;periodical&gt;&lt;full-title&gt;International Journal of Older People Nursing&lt;/full-title&gt;&lt;/periodical&gt;&lt;pages&gt;217-226&lt;/pages&gt;&lt;volume&gt;9&lt;/volume&gt;&lt;number&gt;3&lt;/number&gt;&lt;dates&gt;&lt;year&gt;2014&lt;/year&gt;&lt;/dates&gt;&lt;publisher&gt;Wiley&lt;/publisher&gt;&lt;isbn&gt;1748-3735&lt;/isbn&gt;&lt;urls&gt;&lt;related-urls&gt;&lt;url&gt;https://dx.doi.org/10.1111/opn.12021&lt;/url&gt;&lt;/related-urls&gt;&lt;/urls&gt;&lt;electronic-resource-num&gt;10.1111/opn.12021&lt;/electronic-resource-num&gt;&lt;/record&gt;&lt;/Cite&gt;&lt;/EndNote&gt;</w:instrText>
      </w:r>
      <w:r>
        <w:fldChar w:fldCharType="separate"/>
      </w:r>
      <w:r>
        <w:rPr>
          <w:noProof/>
        </w:rPr>
        <w:t>(Ryan et al., 2014)</w:t>
      </w:r>
      <w:r>
        <w:fldChar w:fldCharType="end"/>
      </w:r>
      <w:r w:rsidRPr="008877D4">
        <w:rPr>
          <w:b/>
          <w:bCs/>
        </w:rPr>
        <w:t>.</w:t>
      </w:r>
      <w:r>
        <w:t xml:space="preserve"> While some ageing family caregivers may want to continue caring for people </w:t>
      </w:r>
      <w:r w:rsidR="007B4A0C">
        <w:t>with intellectual disabilities</w:t>
      </w:r>
      <w:r>
        <w:t xml:space="preserve"> as they age, many are concerned about the future of those they are caring for, in particular how their loved ones will be cared for after they pass away </w:t>
      </w:r>
      <w:r>
        <w:fldChar w:fldCharType="begin">
          <w:fldData xml:space="preserve">PEVuZE5vdGU+PENpdGU+PEF1dGhvcj5Cb3dleTwvQXV0aG9yPjxZZWFyPjIwMDU8L1llYXI+PFJl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==
</w:fldData>
        </w:fldChar>
      </w:r>
      <w:r w:rsidR="00B26CBF">
        <w:instrText xml:space="preserve"> ADDIN EN.CITE </w:instrText>
      </w:r>
      <w:r w:rsidR="00B26CBF">
        <w:fldChar w:fldCharType="begin">
          <w:fldData xml:space="preserve">PEVuZE5vdGU+PENpdGU+PEF1dGhvcj5Cb3dleTwvQXV0aG9yPjxZZWFyPjIwMDU8L1llYXI+PFJl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==
</w:fldData>
        </w:fldChar>
      </w:r>
      <w:r w:rsidR="00B26CBF">
        <w:instrText xml:space="preserve"> ADDIN EN.CITE.DATA </w:instrText>
      </w:r>
      <w:r w:rsidR="00B26CBF">
        <w:fldChar w:fldCharType="end"/>
      </w:r>
      <w:r>
        <w:fldChar w:fldCharType="separate"/>
      </w:r>
      <w:r w:rsidR="00B26CBF">
        <w:rPr>
          <w:noProof/>
        </w:rPr>
        <w:t>(Ryan et al., 2014; Innes et al., 2012; Bowey, 2005)</w:t>
      </w:r>
      <w:r>
        <w:fldChar w:fldCharType="end"/>
      </w:r>
      <w:r>
        <w:t xml:space="preserve">. Deterioration in the health of the person </w:t>
      </w:r>
      <w:r w:rsidR="007B4A0C">
        <w:t>with intellectual disabilities</w:t>
      </w:r>
      <w:r>
        <w:t xml:space="preserve"> and persistent behaviours that challenge, may lead to family carers reluctantly exploring alternative care options as they can no longer provide care </w:t>
      </w:r>
      <w:r>
        <w:fldChar w:fldCharType="begin"/>
      </w:r>
      <w:r w:rsidR="006A378C">
        <w:instrText xml:space="preserve"> ADDIN EN.CITE &lt;EndNote&gt;&lt;Cite&gt;&lt;Author&gt;Taggart&lt;/Author&gt;&lt;Year&gt;2012&lt;/Year&gt;&lt;RecNum&gt;424&lt;/RecNum&gt;&lt;DisplayText&gt;(Taggart et al., 2012)&lt;/DisplayText&gt;&lt;record&gt;&lt;rec-number&gt;424&lt;/rec-number&gt;&lt;foreign-keys&gt;&lt;key app="EN" db-id="xtwfdzde5ttr0zevxrh5sf0c2wfzw5zf2vra" timestamp="1643290955" guid="90b99f41-0bd9-4846-9977-0c7df47d4f53"&gt;424&lt;/key&gt;&lt;/foreign-keys&gt;&lt;ref-type name="Journal Article"&gt;17&lt;/ref-type&gt;&lt;contributors&gt;&lt;authors&gt;&lt;author&gt;Taggart, Laurence&lt;/author&gt;&lt;author&gt;Truesdale-Kennedy, Maria&lt;/author&gt;&lt;author&gt;Ryan, Assumpta&lt;/author&gt;&lt;author&gt;McConkey, Roy&lt;/author&gt;&lt;/authors&gt;&lt;/contributors&gt;&lt;titles&gt;&lt;title&gt;Examining the support needs of ageing family carers in developing future plans for a relative with an intellectual disability&lt;/title&gt;&lt;secondary-title&gt;Journal of Intellectual Disabilities&lt;/secondary-title&gt;&lt;short-title&gt;Examining the support needs of ageing family carers in developing future plans for a relative with an intellectual disability&lt;/short-title&gt;&lt;/titles&gt;&lt;periodical&gt;&lt;full-title&gt;Journal of Intellectual Disabilities&lt;/full-title&gt;&lt;/periodical&gt;&lt;pages&gt;217-234&lt;/pages&gt;&lt;volume&gt;16&lt;/volume&gt;&lt;number&gt;3&lt;/number&gt;&lt;dates&gt;&lt;year&gt;2012&lt;/year&gt;&lt;/dates&gt;&lt;urls&gt;&lt;related-urls&gt;&lt;url&gt;https://journals.sagepub.com/doi/10.1177/1744629512456465&lt;/url&gt;&lt;/related-urls&gt;&lt;/urls&gt;&lt;electronic-resource-num&gt;10.1177/1744629512456465&lt;/electronic-resource-num&gt;&lt;/record&gt;&lt;/Cite&gt;&lt;/EndNote&gt;</w:instrText>
      </w:r>
      <w:r>
        <w:fldChar w:fldCharType="separate"/>
      </w:r>
      <w:r>
        <w:rPr>
          <w:noProof/>
        </w:rPr>
        <w:t>(Taggart et al., 2012)</w:t>
      </w:r>
      <w:r>
        <w:fldChar w:fldCharType="end"/>
      </w:r>
      <w:r>
        <w:t xml:space="preserve">. </w:t>
      </w:r>
    </w:p>
    <w:p w14:paraId="7BE8BF22" w14:textId="25F4076C" w:rsidR="00C43251" w:rsidRPr="00B636E6" w:rsidRDefault="00C43251" w:rsidP="11C55A92">
      <w:pPr>
        <w:rPr>
          <w:rFonts w:eastAsia="Calibri"/>
        </w:rPr>
      </w:pPr>
      <w:r>
        <w:t xml:space="preserve">Several explanations have been proposed to account for ageing family carers’ reluctance to explore alternative care arrangements including denial about their capacity to provide long-term care, the emotional impact of relinquishing care on all concerned, the absence of future planning, and a lack of support </w:t>
      </w:r>
      <w:r>
        <w:fldChar w:fldCharType="begin">
          <w:fldData xml:space="preserve">PEVuZE5vdGU+PENpdGU+PEF1dGhvcj5UYWdnYXJ0PC9BdXRob3I+PFllYXI+MjAxMjwvWWVhcj48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=
</w:fldData>
        </w:fldChar>
      </w:r>
      <w:r w:rsidR="00B26CBF">
        <w:instrText xml:space="preserve"> ADDIN EN.CITE </w:instrText>
      </w:r>
      <w:r w:rsidR="00B26CBF">
        <w:fldChar w:fldCharType="begin">
          <w:fldData xml:space="preserve">PEVuZE5vdGU+PENpdGU+PEF1dGhvcj5UYWdnYXJ0PC9BdXRob3I+PFllYXI+MjAxMjwvWWVhcj48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=
</w:fldData>
        </w:fldChar>
      </w:r>
      <w:r w:rsidR="00B26CBF">
        <w:instrText xml:space="preserve"> ADDIN EN.CITE.DATA </w:instrText>
      </w:r>
      <w:r w:rsidR="00B26CBF">
        <w:fldChar w:fldCharType="end"/>
      </w:r>
      <w:r>
        <w:fldChar w:fldCharType="separate"/>
      </w:r>
      <w:r w:rsidR="00B26CBF">
        <w:rPr>
          <w:noProof/>
        </w:rPr>
        <w:t>(Garnham et al., 2019; Walker &amp; Hutchinson, 2017; Ryan et al., 2014; Taggart et al., 2012)</w:t>
      </w:r>
      <w:r>
        <w:fldChar w:fldCharType="end"/>
      </w:r>
      <w:r>
        <w:t xml:space="preserve">. According to Taggart et al. </w:t>
      </w:r>
      <w:r>
        <w:fldChar w:fldCharType="begin"/>
      </w:r>
      <w:r w:rsidR="006A378C">
        <w:instrText xml:space="preserve"> ADDIN EN.CITE &lt;EndNote&gt;&lt;Cite ExcludeAuth="1"&gt;&lt;Author&gt;Taggart&lt;/Author&gt;&lt;Year&gt;2012&lt;/Year&gt;&lt;RecNum&gt;424&lt;/RecNum&gt;&lt;DisplayText&gt;(2012)&lt;/DisplayText&gt;&lt;record&gt;&lt;rec-number&gt;424&lt;/rec-number&gt;&lt;foreign-keys&gt;&lt;key app="EN" db-id="xtwfdzde5ttr0zevxrh5sf0c2wfzw5zf2vra" timestamp="1643290955" guid="90b99f41-0bd9-4846-9977-0c7df47d4f53"&gt;424&lt;/key&gt;&lt;/foreign-keys&gt;&lt;ref-type name="Journal Article"&gt;17&lt;/ref-type&gt;&lt;contributors&gt;&lt;authors&gt;&lt;author&gt;Taggart, Laurence&lt;/author&gt;&lt;author&gt;Truesdale-Kennedy, Maria&lt;/author&gt;&lt;author&gt;Ryan, Assumpta&lt;/author&gt;&lt;author&gt;McConkey, Roy&lt;/author&gt;&lt;/authors&gt;&lt;/contributors&gt;&lt;titles&gt;&lt;title&gt;Examining the support needs of ageing family carers in developing future plans for a relative with an intellectual disability&lt;/title&gt;&lt;secondary-title&gt;Journal of Intellectual Disabilities&lt;/secondary-title&gt;&lt;short-title&gt;Examining the support needs of ageing family carers in developing future plans for a relative with an intellectual disability&lt;/short-title&gt;&lt;/titles&gt;&lt;periodical&gt;&lt;full-title&gt;Journal of Intellectual Disabilities&lt;/full-title&gt;&lt;/periodical&gt;&lt;pages&gt;217-234&lt;/pages&gt;&lt;volume&gt;16&lt;/volume&gt;&lt;number&gt;3&lt;/number&gt;&lt;dates&gt;&lt;year&gt;2012&lt;/year&gt;&lt;/dates&gt;&lt;urls&gt;&lt;related-urls&gt;&lt;url&gt;https://journals.sagepub.com/doi/10.1177/1744629512456465&lt;/url&gt;&lt;/related-urls&gt;&lt;/urls&gt;&lt;electronic-resource-num&gt;10.1177/1744629512456465&lt;/electronic-resource-num&gt;&lt;/record&gt;&lt;/Cite&gt;&lt;/EndNote&gt;</w:instrText>
      </w:r>
      <w:r>
        <w:fldChar w:fldCharType="separate"/>
      </w:r>
      <w:r>
        <w:rPr>
          <w:noProof/>
        </w:rPr>
        <w:t>(2012)</w:t>
      </w:r>
      <w:r>
        <w:fldChar w:fldCharType="end"/>
      </w:r>
      <w:r>
        <w:t xml:space="preserve">, carers may find it difficult to accept their own mortality and the realisation that they may not be able to continue to provide care. They may have difficulty letting their loved ones go due to concerns about feeling lonely without them and may also have concerns about how out-of-home placements may impact negatively on their loved ones </w:t>
      </w:r>
      <w:r w:rsidRPr="001466E9">
        <w:fldChar w:fldCharType="begin"/>
      </w:r>
      <w:r w:rsidR="006A378C">
        <w:instrText xml:space="preserve"> ADDIN EN.CITE &lt;EndNote&gt;&lt;Cite&gt;&lt;Author&gt;Taggart&lt;/Author&gt;&lt;Year&gt;2012&lt;/Year&gt;&lt;RecNum&gt;424&lt;/RecNum&gt;&lt;DisplayText&gt;(Taggart et al., 2012)&lt;/DisplayText&gt;&lt;record&gt;&lt;rec-number&gt;424&lt;/rec-number&gt;&lt;foreign-keys&gt;&lt;key app="EN" db-id="xtwfdzde5ttr0zevxrh5sf0c2wfzw5zf2vra" timestamp="1643290955" guid="90b99f41-0bd9-4846-9977-0c7df47d4f53"&gt;424&lt;/key&gt;&lt;/foreign-keys&gt;&lt;ref-type name="Journal Article"&gt;17&lt;/ref-type&gt;&lt;contributors&gt;&lt;authors&gt;&lt;author&gt;Taggart, Laurence&lt;/author&gt;&lt;author&gt;Truesdale-Kennedy, Maria&lt;/author&gt;&lt;author&gt;Ryan, Assumpta&lt;/author&gt;&lt;author&gt;McConkey, Roy&lt;/author&gt;&lt;/authors&gt;&lt;/contributors&gt;&lt;titles&gt;&lt;title&gt;Examining the support needs of ageing family carers in developing future plans for a relative with an intellectual disability&lt;/title&gt;&lt;secondary-title&gt;Journal of Intellectual Disabilities&lt;/secondary-title&gt;&lt;short-title&gt;Examining the support needs of ageing family carers in developing future plans for a relative with an intellectual disability&lt;/short-title&gt;&lt;/titles&gt;&lt;periodical&gt;&lt;full-title&gt;Journal of Intellectual Disabilities&lt;/full-title&gt;&lt;/periodical&gt;&lt;pages&gt;217-234&lt;/pages&gt;&lt;volume&gt;16&lt;/volume&gt;&lt;number&gt;3&lt;/number&gt;&lt;dates&gt;&lt;year&gt;2012&lt;/year&gt;&lt;/dates&gt;&lt;urls&gt;&lt;related-urls&gt;&lt;url&gt;https://journals.sagepub.com/doi/10.1177/1744629512456465&lt;/url&gt;&lt;/related-urls&gt;&lt;/urls&gt;&lt;electronic-resource-num&gt;10.1177/1744629512456465&lt;/electronic-resource-num&gt;&lt;/record&gt;&lt;/Cite&gt;&lt;/EndNote&gt;</w:instrText>
      </w:r>
      <w:r w:rsidRPr="001466E9">
        <w:fldChar w:fldCharType="separate"/>
      </w:r>
      <w:r w:rsidRPr="001466E9">
        <w:rPr>
          <w:noProof/>
        </w:rPr>
        <w:t>(Taggart et al., 2012)</w:t>
      </w:r>
      <w:r w:rsidRPr="001466E9">
        <w:fldChar w:fldCharType="end"/>
      </w:r>
      <w:r w:rsidRPr="001466E9">
        <w:t>. Family carers</w:t>
      </w:r>
      <w:r w:rsidRPr="001466E9">
        <w:rPr>
          <w:rFonts w:eastAsia="Calibri"/>
        </w:rPr>
        <w:t xml:space="preserve"> report a lack of engagement by service providers to initiate or facilitate future planning, leaving parents without formal support with this sensitive issue </w:t>
      </w:r>
      <w:r w:rsidRPr="001466E9">
        <w:rPr>
          <w:rFonts w:eastAsia="Calibri"/>
        </w:rPr>
        <w:fldChar w:fldCharType="begin"/>
      </w:r>
      <w:r w:rsidR="00FF5F49">
        <w:rPr>
          <w:rFonts w:eastAsia="Calibri"/>
        </w:rPr>
        <w:instrText xml:space="preserve"> ADDIN EN.CITE &lt;EndNote&gt;&lt;Cite&gt;&lt;Author&gt;Walker&lt;/Author&gt;&lt;Year&gt;2017&lt;/Year&gt;&lt;RecNum&gt;704&lt;/RecNum&gt;&lt;DisplayText&gt;(Walker &amp;amp; Hutchinson, 2017)&lt;/DisplayText&gt;&lt;record&gt;&lt;rec-number&gt;704&lt;/rec-number&gt;&lt;foreign-keys&gt;&lt;key app="EN" db-id="xtwfdzde5ttr0zevxrh5sf0c2wfzw5zf2vra" timestamp="1664878454" guid="cf2aac3b-42f5-4308-8438-5a10b79508bb"&gt;704&lt;/key&gt;&lt;/foreign-keys&gt;&lt;ref-type name="Journal Article"&gt;17&lt;/ref-type&gt;&lt;contributors&gt;&lt;authors&gt;&lt;author&gt;Walker, Ruth&lt;/author&gt;&lt;author&gt;Hutchinson, Claire&lt;/author&gt;&lt;/authors&gt;&lt;/contributors&gt;&lt;titles&gt;&lt;title&gt;Planning for the future among older parents of adult offspring with intellectual disability living at home and in the community: A systematic review of qualitative studies&lt;/title&gt;&lt;secondary-title&gt;Journal of Intellectual &amp;amp;amp; Developmental Disability&lt;/secondary-title&gt;&lt;/titles&gt;&lt;periodical&gt;&lt;full-title&gt;Journal of Intellectual &amp;amp;amp; Developmental Disability&lt;/full-title&gt;&lt;/periodical&gt;&lt;pages&gt;453-462&lt;/pages&gt;&lt;volume&gt;43&lt;/volume&gt;&lt;number&gt;4&lt;/number&gt;&lt;dates&gt;&lt;year&gt;2017&lt;/year&gt;&lt;/dates&gt;&lt;publisher&gt;Informa UK Limited&lt;/publisher&gt;&lt;isbn&gt;1366-8250&lt;/isbn&gt;&lt;urls&gt;&lt;related-urls&gt;&lt;url&gt;https://dx.doi.org/10.3109/13668250.2017.1310823&lt;/url&gt;&lt;/related-urls&gt;&lt;/urls&gt;&lt;electronic-resource-num&gt;10.3109/13668250.2017.1310823&lt;/electronic-resource-num&gt;&lt;/record&gt;&lt;/Cite&gt;&lt;/EndNote&gt;</w:instrText>
      </w:r>
      <w:r w:rsidRPr="001466E9">
        <w:rPr>
          <w:rFonts w:eastAsia="Calibri"/>
        </w:rPr>
        <w:fldChar w:fldCharType="separate"/>
      </w:r>
      <w:r w:rsidR="00FF5F49">
        <w:rPr>
          <w:rFonts w:eastAsia="Calibri"/>
          <w:noProof/>
        </w:rPr>
        <w:t>(Walker &amp; Hutchinson, 2017)</w:t>
      </w:r>
      <w:r w:rsidRPr="001466E9">
        <w:rPr>
          <w:rFonts w:eastAsia="Calibri"/>
        </w:rPr>
        <w:fldChar w:fldCharType="end"/>
      </w:r>
      <w:r w:rsidRPr="001466E9">
        <w:rPr>
          <w:rFonts w:eastAsia="Calibri"/>
        </w:rPr>
        <w:t xml:space="preserve">. </w:t>
      </w:r>
      <w:r w:rsidR="00E95186">
        <w:rPr>
          <w:rFonts w:eastAsia="Calibri"/>
        </w:rPr>
        <w:fldChar w:fldCharType="begin"/>
      </w:r>
      <w:r w:rsidR="00614E03">
        <w:rPr>
          <w:rFonts w:eastAsia="Calibri"/>
        </w:rPr>
        <w:instrText xml:space="preserve"> ADDIN EN.CITE &lt;EndNote&gt;&lt;Cite AuthorYear="1"&gt;&lt;Author&gt;Brennan&lt;/Author&gt;&lt;Year&gt;2020&lt;/Year&gt;&lt;RecNum&gt;787&lt;/RecNum&gt;&lt;DisplayText&gt;Brennan et al. (2020)&lt;/DisplayText&gt;&lt;record&gt;&lt;rec-number&gt;787&lt;/rec-number&gt;&lt;foreign-keys&gt;&lt;key app="EN" db-id="xtwfdzde5ttr0zevxrh5sf0c2wfzw5zf2vra" timestamp="1669643064" guid="c812452d-063b-40a5-a468-20ba4011ee19"&gt;787&lt;/key&gt;&lt;/foreign-keys&gt;&lt;ref-type name="Journal Article"&gt;17&lt;/ref-type&gt;&lt;contributors&gt;&lt;authors&gt;&lt;author&gt;Brennan, Damien&lt;/author&gt;&lt;author&gt;McCausland, Darren&lt;/author&gt;&lt;author&gt;O’Donovan, Mary Ann&lt;/author&gt;&lt;author&gt;Eustace</w:instrText>
      </w:r>
      <w:r w:rsidR="00614E03">
        <w:rPr>
          <w:rFonts w:ascii="Cambria Math" w:eastAsia="Calibri" w:hAnsi="Cambria Math" w:cs="Cambria Math"/>
        </w:rPr>
        <w:instrText>‐</w:instrText>
      </w:r>
      <w:r w:rsidR="00614E03">
        <w:rPr>
          <w:rFonts w:eastAsia="Calibri"/>
        </w:rPr>
        <w:instrText>Cook, Jessica&lt;/author&gt;&lt;author&gt;McCallion, Philip&lt;/author&gt;&lt;author&gt;McCarron, Mary&lt;/author&gt;&lt;/authors&gt;&lt;/contributors&gt;&lt;titles&gt;&lt;title&gt;Approaches to and outcomes of future planning for family carers of adults with an intellectual disability: a systematic review&lt;/title&gt;&lt;secondary-title&gt;Journal of Applied Research in Intellectual Disabilities&lt;/secondary-title&gt;&lt;/titles&gt;&lt;periodical&gt;&lt;full-title&gt;Journal of Applied Research in Intellectual Disabilities&lt;/full-title&gt;&lt;/periodical&gt;&lt;pages&gt;1221-1233&lt;/pages&gt;&lt;volume&gt;33&lt;/volume&gt;&lt;number&gt;6&lt;/number&gt;&lt;dates&gt;&lt;year&gt;2020&lt;/year&gt;&lt;/dates&gt;&lt;isbn&gt;1360-2322&lt;/isbn&gt;&lt;urls&gt;&lt;/urls&gt;&lt;/record&gt;&lt;/Cite&gt;&lt;/EndNote&gt;</w:instrText>
      </w:r>
      <w:r w:rsidR="00E95186">
        <w:rPr>
          <w:rFonts w:eastAsia="Calibri"/>
        </w:rPr>
        <w:fldChar w:fldCharType="separate"/>
      </w:r>
      <w:r w:rsidR="00251FEB">
        <w:rPr>
          <w:rFonts w:eastAsia="Calibri"/>
          <w:noProof/>
        </w:rPr>
        <w:t>Brennan et al. (2020)</w:t>
      </w:r>
      <w:r w:rsidR="00E95186">
        <w:rPr>
          <w:rFonts w:eastAsia="Calibri"/>
        </w:rPr>
        <w:fldChar w:fldCharType="end"/>
      </w:r>
      <w:r w:rsidR="5EF2BC84" w:rsidRPr="001466E9">
        <w:rPr>
          <w:rFonts w:eastAsia="Calibri"/>
        </w:rPr>
        <w:t xml:space="preserve"> reported the potential for very positive outcomes for families who engage in a future planning process</w:t>
      </w:r>
      <w:r w:rsidR="3B190078" w:rsidRPr="001466E9">
        <w:rPr>
          <w:rFonts w:eastAsia="Calibri"/>
        </w:rPr>
        <w:t xml:space="preserve"> while acknowledging the importance of the readiness of families to take action in this regard</w:t>
      </w:r>
      <w:r w:rsidR="7325317D" w:rsidRPr="001466E9">
        <w:rPr>
          <w:rFonts w:eastAsia="Calibri"/>
        </w:rPr>
        <w:t>. However</w:t>
      </w:r>
      <w:r w:rsidRPr="001466E9">
        <w:rPr>
          <w:rFonts w:eastAsia="Calibri"/>
        </w:rPr>
        <w:t xml:space="preserve">, </w:t>
      </w:r>
      <w:r w:rsidRPr="001466E9">
        <w:rPr>
          <w:rFonts w:eastAsia="Calibri"/>
        </w:rPr>
        <w:fldChar w:fldCharType="begin"/>
      </w:r>
      <w:r w:rsidRPr="001466E9">
        <w:rPr>
          <w:rFonts w:eastAsia="Calibri"/>
        </w:rPr>
        <w:instrText xml:space="preserve"> ADDIN EN.CITE &lt;EndNote&gt;&lt;Cite AuthorYear="1"&gt;&lt;Author&gt;Garnham&lt;/Author&gt;&lt;Year&gt;2019&lt;/Year&gt;&lt;RecNum&gt;705&lt;/RecNum&gt;&lt;DisplayText&gt;Garnham et al. (2019)&lt;/DisplayText&gt;&lt;record&gt;&lt;rec-number&gt;705&lt;/rec-number&gt;&lt;foreign-keys&gt;&lt;key app="EN" db-id="xtwfdzde5ttr0zevxrh5sf0c2wfzw5zf2vra" timestamp="1664878491" guid="6372a90f-3544-4d27-a7c3-8d0332c9be60"&gt;705&lt;/key&gt;&lt;/foreign-keys&gt;&lt;ref-type name="Journal Article"&gt;17&lt;/ref-type&gt;&lt;contributors&gt;&lt;authors&gt;&lt;author&gt;Garnham, Bridget&lt;/author&gt;&lt;author&gt;Bryant, Lia&lt;/author&gt;&lt;author&gt;Ramcharan, Paul&lt;/author&gt;&lt;author&gt;Yu, Nilan&lt;/author&gt;&lt;author&gt;Adams, Valerie&lt;/author&gt;&lt;/authors&gt;&lt;/contributors&gt;&lt;titles&gt;&lt;title&gt;Policy, plans and pathways: the ‘crisis’ transition to post-parental care for people ageing with intellectual disabilities in rural Australian carescapes&lt;/title&gt;&lt;secondary-title&gt;Ageing and Society&lt;/secondary-title&gt;&lt;/titles&gt;&lt;periodical&gt;&lt;full-title&gt;Ageing and Society&lt;/full-title&gt;&lt;/periodical&gt;&lt;pages&gt;836-850&lt;/pages&gt;&lt;volume&gt;39&lt;/volume&gt;&lt;number&gt;4&lt;/number&gt;&lt;dates&gt;&lt;year&gt;2019&lt;/year&gt;&lt;/dates&gt;&lt;publisher&gt;Cambridge University Press (CUP)&lt;/publisher&gt;&lt;isbn&gt;0144-686X&lt;/isbn&gt;&lt;urls&gt;&lt;related-urls&gt;&lt;url&gt;https://dx.doi.org/10.1017/s0144686x17001258&lt;/url&gt;&lt;/related-urls&gt;&lt;/urls&gt;&lt;electronic-resource-num&gt;10.1017/s0144686x17001258&lt;/electronic-resource-num&gt;&lt;/record&gt;&lt;/Cite&gt;&lt;/EndNote&gt;</w:instrText>
      </w:r>
      <w:r w:rsidRPr="001466E9">
        <w:rPr>
          <w:rFonts w:eastAsia="Calibri"/>
        </w:rPr>
        <w:fldChar w:fldCharType="separate"/>
      </w:r>
      <w:r w:rsidRPr="001466E9">
        <w:rPr>
          <w:rFonts w:eastAsia="Calibri"/>
        </w:rPr>
        <w:t>Garnham et al. (2019)</w:t>
      </w:r>
      <w:r w:rsidRPr="001466E9">
        <w:rPr>
          <w:rFonts w:eastAsia="Calibri"/>
        </w:rPr>
        <w:fldChar w:fldCharType="end"/>
      </w:r>
      <w:r w:rsidRPr="001466E9">
        <w:rPr>
          <w:rFonts w:eastAsia="Calibri"/>
        </w:rPr>
        <w:t xml:space="preserve"> argues that a lack of adequate or ongoing support services, inadequate support and a limited supply of quality community residential provision ensures that the disability sector functions in a context of crisis which neither funds nor supports families to confidently plan for a timely transition from family-based care.</w:t>
      </w:r>
    </w:p>
    <w:p w14:paraId="2AF969CC" w14:textId="2E908755" w:rsidR="00C43251" w:rsidRPr="003219A7" w:rsidRDefault="00C43251" w:rsidP="00C43251">
      <w:pPr>
        <w:rPr>
          <w:highlight w:val="yellow"/>
        </w:rPr>
      </w:pPr>
      <w:r w:rsidRPr="00FB7486">
        <w:t xml:space="preserve">Research emphasises the need for proactive planning and more information on alternative housing in meeting the current and future needs of older people </w:t>
      </w:r>
      <w:r w:rsidR="007B4A0C">
        <w:t>with intellectual disabilities</w:t>
      </w:r>
      <w:r>
        <w:t>.</w:t>
      </w:r>
      <w:r w:rsidRPr="00FB7486">
        <w:t xml:space="preserve"> In one study, early planning was viewed as essential for </w:t>
      </w:r>
      <w:r>
        <w:t xml:space="preserve">ageing family </w:t>
      </w:r>
      <w:r w:rsidRPr="00FB7486">
        <w:t>carers</w:t>
      </w:r>
      <w:r>
        <w:t>,</w:t>
      </w:r>
      <w:r w:rsidRPr="00FB7486">
        <w:t xml:space="preserve"> </w:t>
      </w:r>
      <w:r>
        <w:t>who highlighted</w:t>
      </w:r>
      <w:r w:rsidRPr="00FB7486">
        <w:t xml:space="preserve"> the long timescales involved</w:t>
      </w:r>
      <w:r>
        <w:t xml:space="preserve"> in both</w:t>
      </w:r>
      <w:r w:rsidRPr="00FB7486">
        <w:t xml:space="preserve"> letting ageing people</w:t>
      </w:r>
      <w:r>
        <w:t xml:space="preserve"> </w:t>
      </w:r>
      <w:r w:rsidR="007B4A0C">
        <w:t>with intellectual disabilities</w:t>
      </w:r>
      <w:r w:rsidRPr="00FB7486">
        <w:t xml:space="preserve"> go from their place of residence and in securing suitable accommodation</w:t>
      </w:r>
      <w:r>
        <w:t xml:space="preserve"> </w:t>
      </w:r>
      <w:r>
        <w:fldChar w:fldCharType="begin"/>
      </w:r>
      <w:r w:rsidR="00FF5F49">
        <w:instrText xml:space="preserve"> ADDIN EN.CITE &lt;EndNote&gt;&lt;Cite&gt;&lt;Author&gt;Bowey&lt;/Author&gt;&lt;Year&gt;2007&lt;/Year&gt;&lt;RecNum&gt;497&lt;/RecNum&gt;&lt;DisplayText&gt;(Bowey &amp;amp; McGlaughlin, 2007)&lt;/DisplayText&gt;&lt;record&gt;&lt;rec-number&gt;497&lt;/rec-number&gt;&lt;foreign-keys&gt;&lt;key app="EN" db-id="xtwfdzde5ttr0zevxrh5sf0c2wfzw5zf2vra" timestamp="1648127092" guid="ce4cf493-1966-401d-94a5-2e199e5dd52b"&gt;497&lt;/key&gt;&lt;/foreign-keys&gt;&lt;ref-type name="Journal Article"&gt;17&lt;/ref-type&gt;&lt;contributors&gt;&lt;authors&gt;&lt;author&gt;Bowey, Laura&lt;/author&gt;&lt;author&gt;McGlaughlin, Alex&lt;/author&gt;&lt;/authors&gt;&lt;/contributors&gt;&lt;titles&gt;&lt;title&gt;Older carers of adults with a learning disability confront the future: Issues and preferences in planning&lt;/title&gt;&lt;secondary-title&gt;British Journal of Social Work&lt;/secondary-title&gt;&lt;/titles&gt;&lt;periodical&gt;&lt;full-title&gt;British Journal of Social Work&lt;/full-title&gt;&lt;/periodical&gt;&lt;pages&gt;39-54&lt;/pages&gt;&lt;volume&gt;37&lt;/volume&gt;&lt;number&gt;1&lt;/number&gt;&lt;dates&gt;&lt;year&gt;2007&lt;/year&gt;&lt;/dates&gt;&lt;isbn&gt;1468-263X&lt;/isbn&gt;&lt;urls&gt;&lt;/urls&gt;&lt;/record&gt;&lt;/Cite&gt;&lt;/EndNote&gt;</w:instrText>
      </w:r>
      <w:r>
        <w:fldChar w:fldCharType="separate"/>
      </w:r>
      <w:r w:rsidR="00FF5F49">
        <w:rPr>
          <w:noProof/>
        </w:rPr>
        <w:t>(Bowey &amp; McGlaughlin, 2007)</w:t>
      </w:r>
      <w:r>
        <w:fldChar w:fldCharType="end"/>
      </w:r>
      <w:r>
        <w:t xml:space="preserve">. Family carers in this study </w:t>
      </w:r>
      <w:r w:rsidRPr="00FB7486">
        <w:t xml:space="preserve">also stated that many </w:t>
      </w:r>
      <w:r>
        <w:t>moves</w:t>
      </w:r>
      <w:r w:rsidRPr="00FB7486">
        <w:t xml:space="preserve"> occur in response to </w:t>
      </w:r>
      <w:r>
        <w:t xml:space="preserve">a </w:t>
      </w:r>
      <w:r w:rsidRPr="00FB7486">
        <w:t xml:space="preserve">crisis, resulting in service users being </w:t>
      </w:r>
      <w:r>
        <w:t>placed in</w:t>
      </w:r>
      <w:r w:rsidRPr="00FB7486">
        <w:t xml:space="preserve"> an emergency placement that </w:t>
      </w:r>
      <w:r>
        <w:t xml:space="preserve">is not suited to their needs. This further illustrates the need for older people </w:t>
      </w:r>
      <w:r w:rsidR="007B4A0C">
        <w:t>with intellectual disabilities</w:t>
      </w:r>
      <w:r>
        <w:t xml:space="preserve"> to have more choice and control over their living arrangements and for them to be fully involved in planning processes before the need arises for a change of residence.  </w:t>
      </w:r>
    </w:p>
    <w:p w14:paraId="3D5C870F" w14:textId="77777777" w:rsidR="00C43251" w:rsidRPr="004722E6" w:rsidRDefault="00C43251" w:rsidP="11C55A92">
      <w:pPr>
        <w:pStyle w:val="Heading4"/>
        <w:rPr>
          <w:color w:val="000000" w:themeColor="text1"/>
        </w:rPr>
      </w:pPr>
      <w:bookmarkStart w:id="88" w:name="_Toc116045689"/>
      <w:r w:rsidRPr="004722E6">
        <w:rPr>
          <w:color w:val="000000" w:themeColor="text1"/>
        </w:rPr>
        <w:t>Social inclusion and social networks</w:t>
      </w:r>
      <w:bookmarkEnd w:id="88"/>
      <w:r w:rsidRPr="004722E6">
        <w:rPr>
          <w:color w:val="000000" w:themeColor="text1"/>
        </w:rPr>
        <w:t xml:space="preserve"> </w:t>
      </w:r>
    </w:p>
    <w:p w14:paraId="21B61D06" w14:textId="50F9D684" w:rsidR="00C43251" w:rsidRDefault="00C43251" w:rsidP="00C43251">
      <w:r>
        <w:t>The quality</w:t>
      </w:r>
      <w:r w:rsidR="00D5306A">
        <w:t xml:space="preserve"> </w:t>
      </w:r>
      <w:r>
        <w:t>of</w:t>
      </w:r>
      <w:r w:rsidR="00D5306A">
        <w:t xml:space="preserve"> </w:t>
      </w:r>
      <w:r>
        <w:t xml:space="preserve">life implications of social inclusion and participation are far-reaching for both the general population and older people </w:t>
      </w:r>
      <w:r w:rsidR="007B4A0C">
        <w:t>with intellectual disabilities</w:t>
      </w:r>
      <w:r>
        <w:t xml:space="preserve"> </w:t>
      </w:r>
      <w:r>
        <w:fldChar w:fldCharType="begin">
          <w:fldData xml:space="preserve">PEVuZE5vdGU+PENpdGU+PEF1dGhvcj5CaWdieTwvQXV0aG9yPjxZZWFyPjIwMDg8L1llYXI+PFJl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</w:fldData>
        </w:fldChar>
      </w:r>
      <w:r w:rsidR="00B26CBF">
        <w:instrText xml:space="preserve"> ADDIN EN.CITE </w:instrText>
      </w:r>
      <w:r w:rsidR="00B26CBF">
        <w:fldChar w:fldCharType="begin">
          <w:fldData xml:space="preserve">PEVuZE5vdGU+PENpdGU+PEF1dGhvcj5CaWdieTwvQXV0aG9yPjxZZWFyPjIwMDg8L1llYXI+PFJl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</w:fldData>
        </w:fldChar>
      </w:r>
      <w:r w:rsidR="00B26CBF">
        <w:instrText xml:space="preserve"> ADDIN EN.CITE.DATA </w:instrText>
      </w:r>
      <w:r w:rsidR="00B26CBF">
        <w:fldChar w:fldCharType="end"/>
      </w:r>
      <w:r>
        <w:fldChar w:fldCharType="separate"/>
      </w:r>
      <w:r w:rsidR="00B26CBF">
        <w:rPr>
          <w:noProof/>
        </w:rPr>
        <w:t>(McCausland et al., 2021b; Bigby, 2008b)</w:t>
      </w:r>
      <w:r>
        <w:fldChar w:fldCharType="end"/>
      </w:r>
      <w:r>
        <w:t>Fundamental to the concepts of social inclusion and participation are informal relationships and friendships, as well as good social networks and connectivity, all of which have been associated with quality</w:t>
      </w:r>
      <w:r w:rsidR="00D5306A">
        <w:t xml:space="preserve"> </w:t>
      </w:r>
      <w:r>
        <w:t>of</w:t>
      </w:r>
      <w:r w:rsidR="00D5306A">
        <w:t xml:space="preserve"> </w:t>
      </w:r>
      <w:r>
        <w:t xml:space="preserve">life outcomes for people </w:t>
      </w:r>
      <w:r w:rsidR="007B4A0C">
        <w:t>with intellectual disabilities</w:t>
      </w:r>
      <w:r>
        <w:t xml:space="preserve"> </w:t>
      </w:r>
      <w:r>
        <w:fldChar w:fldCharType="begin"/>
      </w:r>
      <w:r>
        <w:instrText xml:space="preserve"> ADDIN EN.CITE &lt;EndNote&gt;&lt;Cite&gt;&lt;Author&gt;McCausland&lt;/Author&gt;&lt;Year&gt;2021&lt;/Year&gt;&lt;RecNum&gt;476&lt;/RecNum&gt;&lt;DisplayText&gt;(McCausland et al., 2021b)&lt;/DisplayText&gt;&lt;record&gt;&lt;rec-number&gt;476&lt;/rec-number&gt;&lt;foreign-keys&gt;&lt;key app="EN" db-id="xtwfdzde5ttr0zevxrh5sf0c2wfzw5zf2vra" timestamp="1646758475" guid="66f1e739-e0aa-443f-a299-34eaa0ed22f2"&gt;476&lt;/key&gt;&lt;/foreign-keys&gt;&lt;ref-type name="Journal Article"&gt;17&lt;/ref-type&gt;&lt;contributors&gt;&lt;authors&gt;&lt;author&gt;McCausland, Darren&lt;/author&gt;&lt;author&gt;McCallion, Philip&lt;/author&gt;&lt;author&gt;Carroll, Rachael&lt;/author&gt;&lt;author&gt;McCarron, Mary&lt;/author&gt;&lt;/authors&gt;&lt;/contributors&gt;&lt;titles&gt;&lt;title&gt;The nature and quality of friendship for older adults with an intellectual disability in Ireland&lt;/title&gt;&lt;secondary-title&gt;Journal of Applied Research in Intellectual Disabilities&lt;/secondary-title&gt;&lt;/titles&gt;&lt;periodical&gt;&lt;full-title&gt;Journal of Applied Research in Intellectual Disabilities&lt;/full-title&gt;&lt;/periodical&gt;&lt;pages&gt;763-776&lt;/pages&gt;&lt;volume&gt;34&lt;/volume&gt;&lt;number&gt;3&lt;/number&gt;&lt;dates&gt;&lt;year&gt;2021&lt;/year&gt;&lt;/dates&gt;&lt;publisher&gt;Wiley&lt;/publisher&gt;&lt;isbn&gt;1360-2322&lt;/isbn&gt;&lt;urls&gt;&lt;related-urls&gt;&lt;url&gt;https://dx.doi.org/10.1111/jar.12851&lt;/url&gt;&lt;/related-urls&gt;&lt;/urls&gt;&lt;electronic-resource-num&gt;10.1111/jar.12851&lt;/electronic-resource-num&gt;&lt;/record&gt;&lt;/Cite&gt;&lt;/EndNote&gt;</w:instrText>
      </w:r>
      <w:r>
        <w:fldChar w:fldCharType="separate"/>
      </w:r>
      <w:r>
        <w:rPr>
          <w:noProof/>
        </w:rPr>
        <w:t>(McCausland et al., 2021b)</w:t>
      </w:r>
      <w:r>
        <w:fldChar w:fldCharType="end"/>
      </w:r>
      <w:r>
        <w:t xml:space="preserve">. </w:t>
      </w:r>
    </w:p>
    <w:p w14:paraId="62842919" w14:textId="2CB76DDE" w:rsidR="00C43251" w:rsidRDefault="00C43251" w:rsidP="00C43251">
      <w:r>
        <w:t xml:space="preserve">A review highlighting the value of social relationships and interactions </w:t>
      </w:r>
      <w:r>
        <w:fldChar w:fldCharType="begin"/>
      </w:r>
      <w:r>
        <w:instrText xml:space="preserve"> ADDIN EN.CITE &lt;EndNote&gt;&lt;Cite&gt;&lt;Author&gt;Abdi&lt;/Author&gt;&lt;Year&gt;2019&lt;/Year&gt;&lt;RecNum&gt;498&lt;/RecNum&gt;&lt;DisplayText&gt;(Abdi et al., 2019)&lt;/DisplayText&gt;&lt;record&gt;&lt;rec-number&gt;498&lt;/rec-number&gt;&lt;foreign-keys&gt;&lt;key app="EN" db-id="xtwfdzde5ttr0zevxrh5sf0c2wfzw5zf2vra" timestamp="1648127337" guid="0cc82c5e-a948-4f2d-94cb-c524d68c115d"&gt;498&lt;/key&gt;&lt;/foreign-keys&gt;&lt;ref-type name="Journal Article"&gt;17&lt;/ref-type&gt;&lt;contributors&gt;&lt;authors&gt;&lt;author&gt;Abdi, Sarah&lt;/author&gt;&lt;author&gt;Spann, Alice&lt;/author&gt;&lt;author&gt;Borilovic, Jacinta&lt;/author&gt;&lt;author&gt;De Witte, Luc&lt;/author&gt;&lt;author&gt;Hawley, Mark&lt;/author&gt;&lt;/authors&gt;&lt;/contributors&gt;&lt;titles&gt;&lt;title&gt;Understanding the care and support needs of older people: a scoping review and categorisation using the WHO international classification of functioning, disability and health framework (ICF)&lt;/title&gt;&lt;secondary-title&gt;BMC Geriatrics&lt;/secondary-title&gt;&lt;/titles&gt;&lt;periodical&gt;&lt;full-title&gt;BMC Geriatrics&lt;/full-title&gt;&lt;/periodical&gt;&lt;volume&gt;19&lt;/volume&gt;&lt;number&gt;1&lt;/number&gt;&lt;dates&gt;&lt;year&gt;2019&lt;/year&gt;&lt;/dates&gt;&lt;publisher&gt;Springer Science and Business Media LLC&lt;/publisher&gt;&lt;isbn&gt;1471-2318&lt;/isbn&gt;&lt;urls&gt;&lt;related-urls&gt;&lt;url&gt;https://dx.doi.org/10.1186/s12877-019-1189-9&lt;/url&gt;&lt;/related-urls&gt;&lt;/urls&gt;&lt;electronic-resource-num&gt;10.1186/s12877-019-1189-9&lt;/electronic-resource-num&gt;&lt;/record&gt;&lt;/Cite&gt;&lt;/EndNote&gt;</w:instrText>
      </w:r>
      <w:r>
        <w:fldChar w:fldCharType="separate"/>
      </w:r>
      <w:r>
        <w:rPr>
          <w:noProof/>
        </w:rPr>
        <w:t>(Abdi et al., 2019)</w:t>
      </w:r>
      <w:r>
        <w:fldChar w:fldCharType="end"/>
      </w:r>
      <w:r>
        <w:t xml:space="preserve"> found that, for some older people </w:t>
      </w:r>
      <w:r w:rsidR="007B4A0C">
        <w:t>with intellectual disabilities</w:t>
      </w:r>
      <w:r>
        <w:t>, relationships with family and friends were identified as the most important thing in their lives and that their families and close friends provided companionship and facilitated social and pleasurable activities. In several studies, participants reported experiencing social isolation and feelings of loneliness when the ability to sustain relationships and engage in social activities was lost due to physical impairments such as frailty</w:t>
      </w:r>
      <w:r w:rsidR="37AB3AC3">
        <w:t>,</w:t>
      </w:r>
      <w:r>
        <w:t xml:space="preserve"> a lack of independence, and ill-health </w:t>
      </w:r>
      <w:r>
        <w:fldChar w:fldCharType="begin">
          <w:fldData xml:space="preserve">PEVuZE5vdGU+PENpdGU+PEF1dGhvcj5DZW50cmUgZm9yIEFnZWluZyBCZXR0ZXI8L0F1dGhvcj48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</w:fldData>
        </w:fldChar>
      </w:r>
      <w:r w:rsidR="00FF5F49">
        <w:instrText xml:space="preserve"> ADDIN EN.CITE </w:instrText>
      </w:r>
      <w:r w:rsidR="00FF5F49">
        <w:fldChar w:fldCharType="begin">
          <w:fldData xml:space="preserve">PEVuZE5vdGU+PENpdGU+PEF1dGhvcj5DZW50cmUgZm9yIEFnZWluZyBCZXR0ZXI8L0F1dGhvcj48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</w:fldData>
        </w:fldChar>
      </w:r>
      <w:r w:rsidR="00FF5F49">
        <w:instrText xml:space="preserve"> ADDIN EN.CITE.DATA </w:instrText>
      </w:r>
      <w:r w:rsidR="00FF5F49">
        <w:fldChar w:fldCharType="end"/>
      </w:r>
      <w:r>
        <w:fldChar w:fldCharType="separate"/>
      </w:r>
      <w:r w:rsidR="00FF5F49">
        <w:rPr>
          <w:noProof/>
        </w:rPr>
        <w:t>(Bunn et al., 2017; Centre for Ageing Better, 2015; Nicholson et al., 2012)</w:t>
      </w:r>
      <w:r>
        <w:fldChar w:fldCharType="end"/>
      </w:r>
      <w:r>
        <w:t xml:space="preserve">. Participants also reported being unable to enjoy social activities and hobbies due to these impairments </w:t>
      </w:r>
      <w:r>
        <w:fldChar w:fldCharType="begin"/>
      </w:r>
      <w:r w:rsidR="00FF5F49">
        <w:instrText xml:space="preserve"> ADDIN EN.CITE &lt;EndNote&gt;&lt;Cite&gt;&lt;Author&gt;Lawrence&lt;/Author&gt;&lt;Year&gt;2009&lt;/Year&gt;&lt;RecNum&gt;644&lt;/RecNum&gt;&lt;DisplayText&gt;(Nyman et al., 2017; Lawrence et al., 2009)&lt;/DisplayText&gt;&lt;record&gt;&lt;rec-number&gt;644&lt;/rec-number&gt;&lt;foreign-keys&gt;&lt;key app="EN" db-id="xtwfdzde5ttr0zevxrh5sf0c2wfzw5zf2vra" timestamp="1656328560" guid="b558617e-d86b-4e68-a02d-ab748aa27222"&gt;644&lt;/key&gt;&lt;/foreign-keys&gt;&lt;ref-type name="Journal Article"&gt;17&lt;/ref-type&gt;&lt;contributors&gt;&lt;authors&gt;&lt;author&gt;Lawrence, Vanessa&lt;/author&gt;&lt;author&gt;Murray, Joanna&lt;/author&gt;&lt;author&gt;Banerjee, Sube&lt;/author&gt;&lt;/authors&gt;&lt;/contributors&gt;&lt;titles&gt;&lt;title&gt;“Out of sight, out of mind”: a qualitative study of visual impairment and dementia from three perspectives&lt;/title&gt;&lt;secondary-title&gt;International psychogeriatrics&lt;/secondary-title&gt;&lt;/titles&gt;&lt;periodical&gt;&lt;full-title&gt;International psychogeriatrics&lt;/full-title&gt;&lt;/periodical&gt;&lt;pages&gt;511-518&lt;/pages&gt;&lt;volume&gt;21&lt;/volume&gt;&lt;number&gt;3&lt;/number&gt;&lt;dates&gt;&lt;year&gt;2009&lt;/year&gt;&lt;/dates&gt;&lt;isbn&gt;1741-203X&lt;/isbn&gt;&lt;urls&gt;&lt;/urls&gt;&lt;/record&gt;&lt;/Cite&gt;&lt;Cite&gt;&lt;Author&gt;Nyman&lt;/Author&gt;&lt;Year&gt;2017&lt;/Year&gt;&lt;RecNum&gt;645&lt;/RecNum&gt;&lt;record&gt;&lt;rec-number&gt;645&lt;/rec-number&gt;&lt;foreign-keys&gt;&lt;key app="EN" db-id="xtwfdzde5ttr0zevxrh5sf0c2wfzw5zf2vra" timestamp="1656328568" guid="a0aba146-bd49-4afa-aa9d-8f2c1c773e2b"&gt;645&lt;/key&gt;&lt;/foreign-keys&gt;&lt;ref-type name="Journal Article"&gt;17&lt;/ref-type&gt;&lt;contributors&gt;&lt;authors&gt;&lt;author&gt;Nyman, Samuel Robert&lt;/author&gt;&lt;author&gt;Innes, Anthea&lt;/author&gt;&lt;author&gt;Heward, Michelle&lt;/author&gt;&lt;/authors&gt;&lt;/contributors&gt;&lt;titles&gt;&lt;title&gt;Social care and support needs of community-dwelling people with dementia and concurrent visual impairment&lt;/title&gt;&lt;secondary-title&gt;Aging &amp;amp; Mental Health&lt;/secondary-title&gt;&lt;/titles&gt;&lt;periodical&gt;&lt;full-title&gt;Aging &amp;amp; mental health&lt;/full-title&gt;&lt;/periodical&gt;&lt;pages&gt;961-967&lt;/pages&gt;&lt;volume&gt;21&lt;/volume&gt;&lt;number&gt;9&lt;/number&gt;&lt;dates&gt;&lt;year&gt;2017&lt;/year&gt;&lt;/dates&gt;&lt;isbn&gt;1360-7863&lt;/isbn&gt;&lt;urls&gt;&lt;/urls&gt;&lt;/record&gt;&lt;/Cite&gt;&lt;/EndNote&gt;</w:instrText>
      </w:r>
      <w:r>
        <w:fldChar w:fldCharType="separate"/>
      </w:r>
      <w:r w:rsidR="00FF5F49">
        <w:rPr>
          <w:noProof/>
        </w:rPr>
        <w:t>(Nyman et al., 2017; Lawrence et al., 2009)</w:t>
      </w:r>
      <w:r>
        <w:fldChar w:fldCharType="end"/>
      </w:r>
      <w:r>
        <w:t xml:space="preserve">. </w:t>
      </w:r>
    </w:p>
    <w:p w14:paraId="03298D96" w14:textId="0A3FBF29" w:rsidR="00C43251" w:rsidRDefault="00C43251" w:rsidP="00C43251">
      <w:r>
        <w:t xml:space="preserve">Recent research by </w:t>
      </w:r>
      <w:r>
        <w:fldChar w:fldCharType="begin"/>
      </w:r>
      <w:r>
        <w:instrText xml:space="preserve"> ADDIN EN.CITE &lt;EndNote&gt;&lt;Cite AuthorYear="1"&gt;&lt;Author&gt;McCausland&lt;/Author&gt;&lt;Year&gt;2021&lt;/Year&gt;&lt;RecNum&gt;476&lt;/RecNum&gt;&lt;DisplayText&gt;McCausland et al. (2021b)&lt;/DisplayText&gt;&lt;record&gt;&lt;rec-number&gt;476&lt;/rec-number&gt;&lt;foreign-keys&gt;&lt;key app="EN" db-id="xtwfdzde5ttr0zevxrh5sf0c2wfzw5zf2vra" timestamp="1646758475" guid="66f1e739-e0aa-443f-a299-34eaa0ed22f2"&gt;476&lt;/key&gt;&lt;/foreign-keys&gt;&lt;ref-type name="Journal Article"&gt;17&lt;/ref-type&gt;&lt;contributors&gt;&lt;authors&gt;&lt;author&gt;McCausland, Darren&lt;/author&gt;&lt;author&gt;McCallion, Philip&lt;/author&gt;&lt;author&gt;Carroll, Rachael&lt;/author&gt;&lt;author&gt;McCarron, Mary&lt;/author&gt;&lt;/authors&gt;&lt;/contributors&gt;&lt;titles&gt;&lt;title&gt;The nature and quality of friendship for older adults with an intellectual disability in Ireland&lt;/title&gt;&lt;secondary-title&gt;Journal of Applied Research in Intellectual Disabilities&lt;/secondary-title&gt;&lt;/titles&gt;&lt;periodical&gt;&lt;full-title&gt;Journal of Applied Research in Intellectual Disabilities&lt;/full-title&gt;&lt;/periodical&gt;&lt;pages&gt;763-776&lt;/pages&gt;&lt;volume&gt;34&lt;/volume&gt;&lt;number&gt;3&lt;/number&gt;&lt;dates&gt;&lt;year&gt;2021&lt;/year&gt;&lt;/dates&gt;&lt;publisher&gt;Wiley&lt;/publisher&gt;&lt;isbn&gt;1360-2322&lt;/isbn&gt;&lt;urls&gt;&lt;related-urls&gt;&lt;url&gt;https://dx.doi.org/10.1111/jar.12851&lt;/url&gt;&lt;/related-urls&gt;&lt;/urls&gt;&lt;electronic-resource-num&gt;10.1111/jar.12851&lt;/electronic-resource-num&gt;&lt;/record&gt;&lt;/Cite&gt;&lt;/EndNote&gt;</w:instrText>
      </w:r>
      <w:r>
        <w:fldChar w:fldCharType="separate"/>
      </w:r>
      <w:r w:rsidRPr="11C55A92">
        <w:rPr>
          <w:noProof/>
        </w:rPr>
        <w:t>McCausland et al. (2021b)</w:t>
      </w:r>
      <w:r>
        <w:fldChar w:fldCharType="end"/>
      </w:r>
      <w:r>
        <w:t xml:space="preserve">, examining the nature and quality of friendship for older people </w:t>
      </w:r>
      <w:r w:rsidR="007B4A0C">
        <w:t>with intellectual disabilities</w:t>
      </w:r>
      <w:r>
        <w:t xml:space="preserve"> living in Ireland, found that a large majority of participants (92.4%) had friends</w:t>
      </w:r>
      <w:r w:rsidR="64A1C2D0">
        <w:t>.</w:t>
      </w:r>
      <w:r>
        <w:t xml:space="preserve"> </w:t>
      </w:r>
      <w:r w:rsidR="39A4462F">
        <w:t>H</w:t>
      </w:r>
      <w:r>
        <w:t>owever, half of the participants reported not having a close friendship or a ‘best friend’. Furthermore, support staff were found to play an important social role in the lives of older people and a carer</w:t>
      </w:r>
      <w:r w:rsidR="624DF0AE">
        <w:t xml:space="preserve"> or </w:t>
      </w:r>
      <w:r>
        <w:t xml:space="preserve">service provider was the second most common best friend reported </w:t>
      </w:r>
      <w:r>
        <w:fldChar w:fldCharType="begin"/>
      </w:r>
      <w:r>
        <w:instrText xml:space="preserve"> ADDIN EN.CITE &lt;EndNote&gt;&lt;Cite&gt;&lt;Author&gt;McCausland&lt;/Author&gt;&lt;Year&gt;2021&lt;/Year&gt;&lt;RecNum&gt;476&lt;/RecNum&gt;&lt;DisplayText&gt;(McCausland et al., 2021b)&lt;/DisplayText&gt;&lt;record&gt;&lt;rec-number&gt;476&lt;/rec-number&gt;&lt;foreign-keys&gt;&lt;key app="EN" db-id="xtwfdzde5ttr0zevxrh5sf0c2wfzw5zf2vra" timestamp="1646758475" guid="66f1e739-e0aa-443f-a299-34eaa0ed22f2"&gt;476&lt;/key&gt;&lt;/foreign-keys&gt;&lt;ref-type name="Journal Article"&gt;17&lt;/ref-type&gt;&lt;contributors&gt;&lt;authors&gt;&lt;author&gt;McCausland, Darren&lt;/author&gt;&lt;author&gt;McCallion, Philip&lt;/author&gt;&lt;author&gt;Carroll, Rachael&lt;/author&gt;&lt;author&gt;McCarron, Mary&lt;/author&gt;&lt;/authors&gt;&lt;/contributors&gt;&lt;titles&gt;&lt;title&gt;The nature and quality of friendship for older adults with an intellectual disability in Ireland&lt;/title&gt;&lt;secondary-title&gt;Journal of Applied Research in Intellectual Disabilities&lt;/secondary-title&gt;&lt;/titles&gt;&lt;periodical&gt;&lt;full-title&gt;Journal of Applied Research in Intellectual Disabilities&lt;/full-title&gt;&lt;/periodical&gt;&lt;pages&gt;763-776&lt;/pages&gt;&lt;volume&gt;34&lt;/volume&gt;&lt;number&gt;3&lt;/number&gt;&lt;dates&gt;&lt;year&gt;2021&lt;/year&gt;&lt;/dates&gt;&lt;publisher&gt;Wiley&lt;/publisher&gt;&lt;isbn&gt;1360-2322&lt;/isbn&gt;&lt;urls&gt;&lt;related-urls&gt;&lt;url&gt;https://dx.doi.org/10.1111/jar.12851&lt;/url&gt;&lt;/related-urls&gt;&lt;/urls&gt;&lt;electronic-resource-num&gt;10.1111/jar.12851&lt;/electronic-resource-num&gt;&lt;/record&gt;&lt;/Cite&gt;&lt;/EndNote&gt;</w:instrText>
      </w:r>
      <w:r>
        <w:fldChar w:fldCharType="separate"/>
      </w:r>
      <w:r w:rsidRPr="11C55A92">
        <w:rPr>
          <w:noProof/>
        </w:rPr>
        <w:t>(McCausland et al., 2021b)</w:t>
      </w:r>
      <w:r>
        <w:fldChar w:fldCharType="end"/>
      </w:r>
      <w:r>
        <w:t xml:space="preserve">. However, the authors suggest that there is a uniquely precarious nature to the friendships of older people </w:t>
      </w:r>
      <w:r w:rsidR="007B4A0C">
        <w:t>with intellectual disabilities</w:t>
      </w:r>
      <w:r>
        <w:t xml:space="preserve"> </w:t>
      </w:r>
      <w:r w:rsidR="33D01B07">
        <w:t>for reasons</w:t>
      </w:r>
      <w:r w:rsidR="5E6BEB83">
        <w:t xml:space="preserve"> that includ</w:t>
      </w:r>
      <w:r w:rsidR="06D992FA">
        <w:t>e</w:t>
      </w:r>
      <w:r>
        <w:t xml:space="preserve"> a </w:t>
      </w:r>
      <w:r w:rsidR="7182056C">
        <w:t xml:space="preserve">small social network, a </w:t>
      </w:r>
      <w:r>
        <w:t>lack of choice about who they interact with</w:t>
      </w:r>
      <w:r w:rsidR="317E4DFD">
        <w:t>,</w:t>
      </w:r>
      <w:r>
        <w:t xml:space="preserve"> limited opportunity to meet people outside of their family, co-resident peers, and paid support staff</w:t>
      </w:r>
      <w:r w:rsidR="6652DF06">
        <w:t xml:space="preserve"> and </w:t>
      </w:r>
      <w:r>
        <w:t>the transfer of staff who they consider to be their friends</w:t>
      </w:r>
      <w:r w:rsidR="5A600CB0">
        <w:t xml:space="preserve">. </w:t>
      </w:r>
    </w:p>
    <w:p w14:paraId="6C295D60" w14:textId="745C7A96" w:rsidR="00C43251" w:rsidRDefault="00C43251" w:rsidP="00C43251">
      <w:r>
        <w:t xml:space="preserve">The extent of older people with intellectual disabilities’ involvement with their friends and family, and with the community, has been associated with their type of residence, the severity of their disability, the complexity of their needs, and their age </w:t>
      </w:r>
      <w:r>
        <w:fldChar w:fldCharType="begin"/>
      </w:r>
      <w:r w:rsidR="006A378C">
        <w:instrText xml:space="preserve"> ADDIN EN.CITE &lt;EndNote&gt;&lt;Cite&gt;&lt;Author&gt;McCarron&lt;/Author&gt;&lt;Year&gt;2017&lt;/Year&gt;&lt;RecNum&gt;459&lt;/RecNum&gt;&lt;DisplayText&gt;(McCarron et al., 2017b)&lt;/DisplayText&gt;&lt;record&gt;&lt;rec-number&gt;459&lt;/rec-number&gt;&lt;foreign-keys&gt;&lt;key app="EN" db-id="xtwfdzde5ttr0zevxrh5sf0c2wfzw5zf2vra" timestamp="1646131747" guid="a375753f-315a-46ab-abce-35f19b39f85c"&gt;459&lt;/key&gt;&lt;/foreign-keys&gt;&lt;ref-type name="Report"&gt;27&lt;/ref-type&gt;&lt;contributors&gt;&lt;authors&gt;&lt;author&gt;McCarron, Mary&lt;/author&gt;&lt;author&gt;Haigh, Margaret&lt;/author&gt;&lt;author&gt;McCallion, Philip&lt;/author&gt;&lt;author&gt;McCallion, Philip&lt;/author&gt;&lt;author&gt;Carroll, Rachael&lt;/author&gt;&lt;author&gt;Burke, Eilish&lt;/author&gt;&lt;author&gt;McGlinchey, Eimear&lt;/author&gt;&lt;author&gt;O’Donovan, Mary-Ann&lt;/author&gt;&lt;author&gt;McCausland, Darren&lt;/author&gt;&lt;author&gt;Sheerin, Fintan&lt;/author&gt;&lt;/authors&gt;&lt;/contributors&gt;&lt;titles&gt;&lt;title&gt;Health, wellbeing and social inclusion: Ageing with an intellectual disability in Ireland: Evidence from the first ten years of The Intellectual Disability Supplement to The Irish Longitudinal Study on Ageing (IDS-TILDA)&lt;/title&gt;&lt;/titles&gt;&lt;dates&gt;&lt;year&gt;2017&lt;/year&gt;&lt;/dates&gt;&lt;pub-location&gt;Dublin&lt;/pub-location&gt;&lt;publisher&gt;Trinity College Dublin&lt;/publisher&gt;&lt;urls&gt;&lt;/urls&gt;&lt;/record&gt;&lt;/Cite&gt;&lt;/EndNote&gt;</w:instrText>
      </w:r>
      <w:r>
        <w:fldChar w:fldCharType="separate"/>
      </w:r>
      <w:r>
        <w:rPr>
          <w:noProof/>
        </w:rPr>
        <w:t>(McCarron et al., 2017b)</w:t>
      </w:r>
      <w:r>
        <w:fldChar w:fldCharType="end"/>
      </w:r>
      <w:r>
        <w:t>. For example, IDS-TILDA has found that older people with more severe</w:t>
      </w:r>
      <w:r w:rsidR="1DF45B58">
        <w:t xml:space="preserve"> to </w:t>
      </w:r>
      <w:r>
        <w:fldChar w:fldCharType="begin"/>
      </w:r>
      <w:r w:rsidR="006A378C">
        <w:instrText xml:space="preserve"> ADDIN EN.CITE &lt;EndNote&gt;&lt;Cite&gt;&lt;Author&gt;McCarron&lt;/Author&gt;&lt;Year&gt;2017&lt;/Year&gt;&lt;RecNum&gt;459&lt;/RecNum&gt;&lt;DisplayText&gt;(McCarron et al., 2017b)&lt;/DisplayText&gt;&lt;record&gt;&lt;rec-number&gt;459&lt;/rec-number&gt;&lt;foreign-keys&gt;&lt;key app="EN" db-id="xtwfdzde5ttr0zevxrh5sf0c2wfzw5zf2vra" timestamp="1646131747" guid="a375753f-315a-46ab-abce-35f19b39f85c"&gt;459&lt;/key&gt;&lt;/foreign-keys&gt;&lt;ref-type name="Report"&gt;27&lt;/ref-type&gt;&lt;contributors&gt;&lt;authors&gt;&lt;author&gt;McCarron, Mary&lt;/author&gt;&lt;author&gt;Haigh, Margaret&lt;/author&gt;&lt;author&gt;McCallion, Philip&lt;/author&gt;&lt;author&gt;McCallion, Philip&lt;/author&gt;&lt;author&gt;Carroll, Rachael&lt;/author&gt;&lt;author&gt;Burke, Eilish&lt;/author&gt;&lt;author&gt;McGlinchey, Eimear&lt;/author&gt;&lt;author&gt;O’Donovan, Mary-Ann&lt;/author&gt;&lt;author&gt;McCausland, Darren&lt;/author&gt;&lt;author&gt;Sheerin, Fintan&lt;/author&gt;&lt;/authors&gt;&lt;/contributors&gt;&lt;titles&gt;&lt;title&gt;Health, wellbeing and social inclusion: Ageing with an intellectual disability in Ireland: Evidence from the first ten years of The Intellectual Disability Supplement to The Irish Longitudinal Study on Ageing (IDS-TILDA)&lt;/title&gt;&lt;/titles&gt;&lt;dates&gt;&lt;year&gt;2017&lt;/year&gt;&lt;/dates&gt;&lt;pub-location&gt;Dublin&lt;/pub-location&gt;&lt;publisher&gt;Trinity College Dublin&lt;/publisher&gt;&lt;urls&gt;&lt;/urls&gt;&lt;/record&gt;&lt;/Cite&gt;&lt;/EndNote&gt;</w:instrText>
      </w:r>
      <w:r>
        <w:fldChar w:fldCharType="separate"/>
      </w:r>
      <w:r>
        <w:rPr>
          <w:noProof/>
        </w:rPr>
        <w:t>(McCarron et al., 2017b)</w:t>
      </w:r>
      <w:r>
        <w:fldChar w:fldCharType="end"/>
      </w:r>
      <w:r>
        <w:t xml:space="preserve">. Studies have reported that those living in dispersed housing and in smaller community-based group home settings, compared to larger group home settings, had larger social networks and more friendships with those who were not support staff, their family, or co-resident peers </w:t>
      </w:r>
      <w:r>
        <w:fldChar w:fldCharType="begin">
          <w:fldData xml:space="preserve">PEVuZE5vdGU+PENpdGU+PEF1dGhvcj5FbWVyc29uPC9BdXRob3I+PFllYXI+MjAwMTwvWWVhcj48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</w:fldData>
        </w:fldChar>
      </w:r>
      <w:r w:rsidR="00FF5F49">
        <w:instrText xml:space="preserve"> ADDIN EN.CITE </w:instrText>
      </w:r>
      <w:r w:rsidR="00FF5F49">
        <w:fldChar w:fldCharType="begin">
          <w:fldData xml:space="preserve">PEVuZE5vdGU+PENpdGU+PEF1dGhvcj5FbWVyc29uPC9BdXRob3I+PFllYXI+MjAwMTwvWWVhcj48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</w:fldData>
        </w:fldChar>
      </w:r>
      <w:r w:rsidR="00FF5F49">
        <w:instrText xml:space="preserve"> ADDIN EN.CITE.DATA </w:instrText>
      </w:r>
      <w:r w:rsidR="00FF5F49">
        <w:fldChar w:fldCharType="end"/>
      </w:r>
      <w:r>
        <w:fldChar w:fldCharType="separate"/>
      </w:r>
      <w:r w:rsidR="00FF5F49">
        <w:rPr>
          <w:noProof/>
        </w:rPr>
        <w:t>(Emerson et al., 2001; Emerson et al., 2000)</w:t>
      </w:r>
      <w:r>
        <w:fldChar w:fldCharType="end"/>
      </w:r>
      <w:r>
        <w:t>.</w:t>
      </w:r>
    </w:p>
    <w:p w14:paraId="09F01A53" w14:textId="77777777" w:rsidR="00C43251" w:rsidRPr="004722E6" w:rsidRDefault="00C43251" w:rsidP="11C55A92">
      <w:pPr>
        <w:pStyle w:val="Heading4"/>
        <w:rPr>
          <w:color w:val="000000" w:themeColor="text1"/>
        </w:rPr>
      </w:pPr>
      <w:bookmarkStart w:id="89" w:name="_Toc116045690"/>
      <w:r w:rsidRPr="004722E6">
        <w:rPr>
          <w:color w:val="000000" w:themeColor="text1"/>
        </w:rPr>
        <w:t>Employment and retirement</w:t>
      </w:r>
      <w:bookmarkEnd w:id="89"/>
    </w:p>
    <w:p w14:paraId="5B2EA2AA" w14:textId="2F3969C0" w:rsidR="00C43251" w:rsidRPr="0026063F" w:rsidRDefault="00C43251" w:rsidP="00C43251">
      <w:r>
        <w:t xml:space="preserve">Employment and participation in meaningful activities have been associated with positive physical and mental health outcomes </w:t>
      </w:r>
      <w:r>
        <w:fldChar w:fldCharType="begin">
          <w:fldData xml:space="preserve">PEVuZE5vdGU+PENpdGU+PEF1dGhvcj5GZXNrbzwvQXV0aG9yPjxZZWFyPjIwMTI8L1llYXI+PFJl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=
</w:fldData>
        </w:fldChar>
      </w:r>
      <w:r w:rsidR="00B26CBF">
        <w:instrText xml:space="preserve"> ADDIN EN.CITE </w:instrText>
      </w:r>
      <w:r w:rsidR="00B26CBF">
        <w:fldChar w:fldCharType="begin">
          <w:fldData xml:space="preserve">PEVuZE5vdGU+PENpdGU+PEF1dGhvcj5GZXNrbzwvQXV0aG9yPjxZZWFyPjIwMTI8L1llYXI+PFJl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=
</w:fldData>
        </w:fldChar>
      </w:r>
      <w:r w:rsidR="00B26CBF">
        <w:instrText xml:space="preserve"> ADDIN EN.CITE.DATA </w:instrText>
      </w:r>
      <w:r w:rsidR="00B26CBF">
        <w:fldChar w:fldCharType="end"/>
      </w:r>
      <w:r>
        <w:fldChar w:fldCharType="separate"/>
      </w:r>
      <w:r w:rsidR="00B26CBF">
        <w:rPr>
          <w:noProof/>
        </w:rPr>
        <w:t>(McCausland et al., 2020; McGlinchey et al., 2013; Fesko et al., 2012)</w:t>
      </w:r>
      <w:r>
        <w:fldChar w:fldCharType="end"/>
      </w:r>
      <w:r>
        <w:t xml:space="preserve">, higher self-esteem, self-determination </w:t>
      </w:r>
      <w:r>
        <w:fldChar w:fldCharType="begin"/>
      </w:r>
      <w:r>
        <w:instrText xml:space="preserve"> ADDIN EN.CITE &lt;EndNote&gt;&lt;Cite&gt;&lt;Author&gt;Fesko&lt;/Author&gt;&lt;Year&gt;2012&lt;/Year&gt;&lt;RecNum&gt;701&lt;/RecNum&gt;&lt;DisplayText&gt;(Fesko et al., 2012)&lt;/DisplayText&gt;&lt;record&gt;&lt;rec-number&gt;701&lt;/rec-number&gt;&lt;foreign-keys&gt;&lt;key app="EN" db-id="xtwfdzde5ttr0zevxrh5sf0c2wfzw5zf2vra" timestamp="1664552190" guid="907af876-9e93-499e-baa4-cabf834feb5a"&gt;701&lt;/key&gt;&lt;/foreign-keys&gt;&lt;ref-type name="Journal Article"&gt;17&lt;/ref-type&gt;&lt;contributors&gt;&lt;authors&gt;&lt;author&gt;Fesko, Sheila Lynch&lt;/author&gt;&lt;author&gt;Hall, Allison Cohen&lt;/author&gt;&lt;author&gt;Quinlan, Jerrilyn&lt;/author&gt;&lt;author&gt;Jockell, Catherine&lt;/author&gt;&lt;/authors&gt;&lt;/contributors&gt;&lt;titles&gt;&lt;title&gt;Active aging for individuals with intellectual disability: Meaningful community participation through employment, retirement, service, and volunteerism&lt;/title&gt;&lt;secondary-title&gt;American journal on intellectual and developmental disabilities&lt;/secondary-title&gt;&lt;/titles&gt;&lt;periodical&gt;&lt;full-title&gt;American Journal on Intellectual and Developmental Disabilities&lt;/full-title&gt;&lt;/periodical&gt;&lt;pages&gt;497-508&lt;/pages&gt;&lt;volume&gt;117&lt;/volume&gt;&lt;number&gt;6&lt;/number&gt;&lt;dates&gt;&lt;year&gt;2012&lt;/year&gt;&lt;/dates&gt;&lt;isbn&gt;1944-7558&lt;/isbn&gt;&lt;urls&gt;&lt;/urls&gt;&lt;/record&gt;&lt;/Cite&gt;&lt;/EndNote&gt;</w:instrText>
      </w:r>
      <w:r>
        <w:fldChar w:fldCharType="separate"/>
      </w:r>
      <w:r>
        <w:rPr>
          <w:noProof/>
        </w:rPr>
        <w:t>(Fesko et al., 2012)</w:t>
      </w:r>
      <w:r>
        <w:fldChar w:fldCharType="end"/>
      </w:r>
      <w:r>
        <w:t xml:space="preserve">, and a greater sense of quality of life </w:t>
      </w:r>
      <w:r>
        <w:fldChar w:fldCharType="begin"/>
      </w:r>
      <w:r>
        <w:instrText xml:space="preserve"> ADDIN EN.CITE &lt;EndNote&gt;&lt;Cite&gt;&lt;Author&gt;Burke&lt;/Author&gt;&lt;Year&gt;2022&lt;/Year&gt;&lt;RecNum&gt;698&lt;/RecNum&gt;&lt;DisplayText&gt;(Burke et al., 2022)&lt;/DisplayText&gt;&lt;record&gt;&lt;rec-number&gt;698&lt;/rec-number&gt;&lt;foreign-keys&gt;&lt;key app="EN" db-id="xtwfdzde5ttr0zevxrh5sf0c2wfzw5zf2vra" timestamp="1664545266" guid="b3c92cb2-311a-448c-85bb-d51daa3e0214"&gt;698&lt;/key&gt;&lt;/foreign-keys&gt;&lt;ref-type name="Journal Article"&gt;17&lt;/ref-type&gt;&lt;contributors&gt;&lt;authors&gt;&lt;author&gt;Burke, Tom&lt;/author&gt;&lt;author&gt;Deffew, Andrew&lt;/author&gt;&lt;author&gt;Stafford, Owen&lt;/author&gt;&lt;author&gt;Docherty, Caroline&lt;/author&gt;&lt;author&gt;Burke, Sandra&lt;/author&gt;&lt;author&gt;Mostert, Remco&lt;/author&gt;&lt;author&gt;Van Loon, Jos&lt;/author&gt;&lt;author&gt;Lombardi, Marco&lt;/author&gt;&lt;author&gt;Vaughan, Marianne&lt;/author&gt;&lt;author&gt;Brickell, Robert&lt;/author&gt;&lt;/authors&gt;&lt;/contributors&gt;&lt;titles&gt;&lt;title&gt;Quality of Life outcomes in a community cohort of adults with an intellectual disability using the Personal Outcome Scale&lt;/title&gt;&lt;secondary-title&gt;Frontiers in Rehabilitation Sciences&lt;/secondary-title&gt;&lt;/titles&gt;&lt;periodical&gt;&lt;full-title&gt;Frontiers in Rehabilitation Sciences&lt;/full-title&gt;&lt;/periodical&gt;&lt;pages&gt;33&lt;/pages&gt;&lt;dates&gt;&lt;year&gt;2022&lt;/year&gt;&lt;/dates&gt;&lt;isbn&gt;2673-6861&lt;/isbn&gt;&lt;urls&gt;&lt;/urls&gt;&lt;/record&gt;&lt;/Cite&gt;&lt;/EndNote&gt;</w:instrText>
      </w:r>
      <w:r>
        <w:fldChar w:fldCharType="separate"/>
      </w:r>
      <w:r>
        <w:rPr>
          <w:noProof/>
        </w:rPr>
        <w:t>(Burke et al., 2022)</w:t>
      </w:r>
      <w:r>
        <w:fldChar w:fldCharType="end"/>
      </w:r>
      <w:r>
        <w:t xml:space="preserve"> in adults </w:t>
      </w:r>
      <w:r w:rsidR="007B4A0C">
        <w:t>with intellectual disabilities</w:t>
      </w:r>
      <w:r>
        <w:t xml:space="preserve">. </w:t>
      </w:r>
      <w:r w:rsidR="6E317057">
        <w:t>Despite the obligation on States under the UNCRPD to safeguard and promote the realisation of the right of people with disabi</w:t>
      </w:r>
      <w:r w:rsidR="3F01B471">
        <w:t xml:space="preserve">lity to work, </w:t>
      </w:r>
      <w:r w:rsidR="5407AF66">
        <w:t xml:space="preserve">across all the age groups, </w:t>
      </w:r>
      <w:r>
        <w:t xml:space="preserve">people </w:t>
      </w:r>
      <w:r w:rsidR="007B4A0C">
        <w:t>with intellectual disabilities</w:t>
      </w:r>
      <w:r>
        <w:t xml:space="preserve"> have much lower rates of employment than </w:t>
      </w:r>
      <w:r w:rsidR="6B9870CC">
        <w:t xml:space="preserve">people without intellectual </w:t>
      </w:r>
      <w:r w:rsidR="7831F257">
        <w:t>disabilit</w:t>
      </w:r>
      <w:r w:rsidR="00C85736">
        <w:t>ies</w:t>
      </w:r>
      <w:r w:rsidR="7831F257">
        <w:t xml:space="preserve"> and</w:t>
      </w:r>
      <w:r>
        <w:t xml:space="preserve"> face barriers to engagement in occupation which increases the risk of social exclusion and poverty </w:t>
      </w:r>
      <w:r>
        <w:fldChar w:fldCharType="begin">
          <w:fldData xml:space="preserve">PEVuZE5vdGU+PENpdGU+PEF1dGhvcj5LaW5nPC9BdXRob3I+PFllYXI+MjAyMjwvWWVhcj48UmVj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</w:fldData>
        </w:fldChar>
      </w:r>
      <w:r w:rsidR="00FF5F49">
        <w:instrText xml:space="preserve"> ADDIN EN.CITE </w:instrText>
      </w:r>
      <w:r w:rsidR="00FF5F49">
        <w:fldChar w:fldCharType="begin">
          <w:fldData xml:space="preserve">PEVuZE5vdGU+PENpdGU+PEF1dGhvcj5LaW5nPC9BdXRob3I+PFllYXI+MjAyMjwvWWVhcj48UmVj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</w:fldData>
        </w:fldChar>
      </w:r>
      <w:r w:rsidR="00FF5F49">
        <w:instrText xml:space="preserve"> ADDIN EN.CITE.DATA </w:instrText>
      </w:r>
      <w:r w:rsidR="00FF5F49">
        <w:fldChar w:fldCharType="end"/>
      </w:r>
      <w:r>
        <w:fldChar w:fldCharType="separate"/>
      </w:r>
      <w:r w:rsidR="00FF5F49">
        <w:rPr>
          <w:noProof/>
        </w:rPr>
        <w:t>(King et al., 2022; McCausland et al., 2020)</w:t>
      </w:r>
      <w:r>
        <w:fldChar w:fldCharType="end"/>
      </w:r>
      <w:r>
        <w:t xml:space="preserve">. </w:t>
      </w:r>
      <w:r>
        <w:fldChar w:fldCharType="begin"/>
      </w:r>
      <w:r>
        <w:instrText xml:space="preserve"> ADDIN EN.CITE &lt;EndNote&gt;&lt;Cite AuthorYear="1"&gt;&lt;Author&gt;King&lt;/Author&gt;&lt;Year&gt;2022&lt;/Year&gt;&lt;RecNum&gt;702&lt;/RecNum&gt;&lt;DisplayText&gt;King et al. (2022)&lt;/DisplayText&gt;&lt;record&gt;&lt;rec-number&gt;702&lt;/rec-number&gt;&lt;foreign-keys&gt;&lt;key app="EN" db-id="xtwfdzde5ttr0zevxrh5sf0c2wfzw5zf2vra" timestamp="1664552196" guid="18ace9ab-038d-42c2-b380-ab9455581487"&gt;702&lt;/key&gt;&lt;/foreign-keys&gt;&lt;ref-type name="Journal Article"&gt;17&lt;/ref-type&gt;&lt;contributors&gt;&lt;authors&gt;&lt;author&gt;King, Eilish&lt;/author&gt;&lt;author&gt;Brangan, Joan&lt;/author&gt;&lt;author&gt;McCarron, Mary&lt;/author&gt;&lt;author&gt;McCallion, Philip&lt;/author&gt;&lt;author&gt;Bavussantakath, Fathima Rosmin&lt;/author&gt;&lt;author&gt;O’Donovan, Mary-Ann&lt;/author&gt;&lt;/authors&gt;&lt;/contributors&gt;&lt;titles&gt;&lt;title&gt;Predictors of Productivity and Leisure for People Aging with Intellectual Disability&lt;/title&gt;&lt;secondary-title&gt;Canadian Journal of Occupational Therapy&lt;/secondary-title&gt;&lt;/titles&gt;&lt;periodical&gt;&lt;full-title&gt;Canadian Journal of Occupational Therapy&lt;/full-title&gt;&lt;/periodical&gt;&lt;pages&gt;135-146&lt;/pages&gt;&lt;volume&gt;89&lt;/volume&gt;&lt;number&gt;2&lt;/number&gt;&lt;dates&gt;&lt;year&gt;2022&lt;/year&gt;&lt;/dates&gt;&lt;isbn&gt;0008-4174&lt;/isbn&gt;&lt;urls&gt;&lt;/urls&gt;&lt;/record&gt;&lt;/Cite&gt;&lt;/EndNote&gt;</w:instrText>
      </w:r>
      <w:r>
        <w:fldChar w:fldCharType="separate"/>
      </w:r>
      <w:r>
        <w:rPr>
          <w:noProof/>
        </w:rPr>
        <w:t>King et al. (2022)</w:t>
      </w:r>
      <w:r>
        <w:fldChar w:fldCharType="end"/>
      </w:r>
      <w:r>
        <w:t xml:space="preserve"> found that IDS-TILDA participants who had poor physical health, difficulty getting around their home environment, or older age were less likely to engage in work and leisure activities. Although people </w:t>
      </w:r>
      <w:r w:rsidR="007B4A0C">
        <w:t>with intellectual disabilities</w:t>
      </w:r>
      <w:r>
        <w:t xml:space="preserve"> have low paid employment rates, many engage in some form of regular structured occupational activity such as a day programme or volunteering, which has been associated with better emotional and mental health </w:t>
      </w:r>
      <w:r>
        <w:fldChar w:fldCharType="begin">
          <w:fldData xml:space="preserve">PEVuZE5vdGU+PENpdGU+PEF1dGhvcj5NY0NhdXNsYW5kPC9BdXRob3I+PFllYXI+MjAyMDwvWWVh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</w:fldData>
        </w:fldChar>
      </w:r>
      <w:r w:rsidR="00B26CBF">
        <w:instrText xml:space="preserve"> ADDIN EN.CITE </w:instrText>
      </w:r>
      <w:r w:rsidR="00B26CBF">
        <w:fldChar w:fldCharType="begin">
          <w:fldData xml:space="preserve">PEVuZE5vdGU+PENpdGU+PEF1dGhvcj5NY0NhdXNsYW5kPC9BdXRob3I+PFllYXI+MjAyMDwvWWVh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</w:fldData>
        </w:fldChar>
      </w:r>
      <w:r w:rsidR="00B26CBF">
        <w:instrText xml:space="preserve"> ADDIN EN.CITE.DATA </w:instrText>
      </w:r>
      <w:r w:rsidR="00B26CBF">
        <w:fldChar w:fldCharType="end"/>
      </w:r>
      <w:r>
        <w:fldChar w:fldCharType="separate"/>
      </w:r>
      <w:r w:rsidR="00B26CBF">
        <w:rPr>
          <w:noProof/>
        </w:rPr>
        <w:t>(McCausland et al., 2020; Bigby et al., 2015)</w:t>
      </w:r>
      <w:r>
        <w:fldChar w:fldCharType="end"/>
      </w:r>
      <w:r>
        <w:t xml:space="preserve">. The study by </w:t>
      </w:r>
      <w:r>
        <w:fldChar w:fldCharType="begin"/>
      </w:r>
      <w:r>
        <w:instrText xml:space="preserve"> ADDIN EN.CITE &lt;EndNote&gt;&lt;Cite AuthorYear="1"&gt;&lt;Author&gt;King&lt;/Author&gt;&lt;Year&gt;2022&lt;/Year&gt;&lt;RecNum&gt;702&lt;/RecNum&gt;&lt;DisplayText&gt;King et al. (2022)&lt;/DisplayText&gt;&lt;record&gt;&lt;rec-number&gt;702&lt;/rec-number&gt;&lt;foreign-keys&gt;&lt;key app="EN" db-id="xtwfdzde5ttr0zevxrh5sf0c2wfzw5zf2vra" timestamp="1664552196" guid="18ace9ab-038d-42c2-b380-ab9455581487"&gt;702&lt;/key&gt;&lt;/foreign-keys&gt;&lt;ref-type name="Journal Article"&gt;17&lt;/ref-type&gt;&lt;contributors&gt;&lt;authors&gt;&lt;author&gt;King, Eilish&lt;/author&gt;&lt;author&gt;Brangan, Joan&lt;/author&gt;&lt;author&gt;McCarron, Mary&lt;/author&gt;&lt;author&gt;McCallion, Philip&lt;/author&gt;&lt;author&gt;Bavussantakath, Fathima Rosmin&lt;/author&gt;&lt;author&gt;O’Donovan, Mary-Ann&lt;/author&gt;&lt;/authors&gt;&lt;/contributors&gt;&lt;titles&gt;&lt;title&gt;Predictors of Productivity and Leisure for People Aging with Intellectual Disability&lt;/title&gt;&lt;secondary-title&gt;Canadian Journal of Occupational Therapy&lt;/secondary-title&gt;&lt;/titles&gt;&lt;periodical&gt;&lt;full-title&gt;Canadian Journal of Occupational Therapy&lt;/full-title&gt;&lt;/periodical&gt;&lt;pages&gt;135-146&lt;/pages&gt;&lt;volume&gt;89&lt;/volume&gt;&lt;number&gt;2&lt;/number&gt;&lt;dates&gt;&lt;year&gt;2022&lt;/year&gt;&lt;/dates&gt;&lt;isbn&gt;0008-4174&lt;/isbn&gt;&lt;urls&gt;&lt;/urls&gt;&lt;/record&gt;&lt;/Cite&gt;&lt;/EndNote&gt;</w:instrText>
      </w:r>
      <w:r>
        <w:fldChar w:fldCharType="separate"/>
      </w:r>
      <w:r>
        <w:rPr>
          <w:noProof/>
        </w:rPr>
        <w:t>King et al. (2022)</w:t>
      </w:r>
      <w:r>
        <w:fldChar w:fldCharType="end"/>
      </w:r>
      <w:r>
        <w:t xml:space="preserve"> emphasises the importance of increasing resources and opportunities available in the community to promote engagement in meaningful activities. They also argue that occupational therapists working with people </w:t>
      </w:r>
      <w:r w:rsidR="007B4A0C">
        <w:t>with intellectual disabilities</w:t>
      </w:r>
      <w:r>
        <w:t xml:space="preserve"> may play an important role in supporting ageing in place in the community, facilitating transitions to the community from residential facilities, and supporting meaningful engagement in activities. Similarly, in another </w:t>
      </w:r>
      <w:r w:rsidR="73A86326">
        <w:t>study</w:t>
      </w:r>
      <w:r>
        <w:t xml:space="preserve"> using data from the IDS-TILDA study, </w:t>
      </w:r>
      <w:r>
        <w:fldChar w:fldCharType="begin"/>
      </w:r>
      <w:r>
        <w:instrText xml:space="preserve"> ADDIN EN.CITE &lt;EndNote&gt;&lt;Cite AuthorYear="1"&gt;&lt;Author&gt;McCausland&lt;/Author&gt;&lt;Year&gt;2020&lt;/Year&gt;&lt;RecNum&gt;697&lt;/RecNum&gt;&lt;DisplayText&gt;McCausland et al. (2020)&lt;/DisplayText&gt;&lt;record&gt;&lt;rec-number&gt;697&lt;/rec-number&gt;&lt;foreign-keys&gt;&lt;key app="EN" db-id="xtwfdzde5ttr0zevxrh5sf0c2wfzw5zf2vra" timestamp="1664540233" guid="2158c532-b4c9-4acd-9ddb-710517168991"&gt;697&lt;/key&gt;&lt;/foreign-keys&gt;&lt;ref-type name="Journal Article"&gt;17&lt;/ref-type&gt;&lt;contributors&gt;&lt;authors&gt;&lt;author&gt;McCausland, Darren&lt;/author&gt;&lt;author&gt;McCallion, Philip&lt;/author&gt;&lt;author&gt;Brennan, Damien&lt;/author&gt;&lt;author&gt;McCarron, Mary&lt;/author&gt;&lt;/authors&gt;&lt;/contributors&gt;&lt;titles&gt;&lt;title&gt;In pursuit of meaningful occupation: Employment and occupational outcomes for older Irish adults with an intellectual disability&lt;/title&gt;&lt;secondary-title&gt;Journal of Applied Research in Intellectual Disabilities&lt;/secondary-title&gt;&lt;/titles&gt;&lt;periodical&gt;&lt;full-title&gt;Journal of Applied Research in Intellectual Disabilities&lt;/full-title&gt;&lt;/periodical&gt;&lt;pages&gt;386-397&lt;/pages&gt;&lt;volume&gt;33&lt;/volume&gt;&lt;number&gt;3&lt;/number&gt;&lt;dates&gt;&lt;year&gt;2020&lt;/year&gt;&lt;/dates&gt;&lt;publisher&gt;Wiley&lt;/publisher&gt;&lt;isbn&gt;1360-2322&lt;/isbn&gt;&lt;urls&gt;&lt;related-urls&gt;&lt;url&gt;https://dx.doi.org/10.1111/jar.12681&lt;/url&gt;&lt;/related-urls&gt;&lt;/urls&gt;&lt;electronic-resource-num&gt;10.1111/jar.12681&lt;/electronic-resource-num&gt;&lt;/record&gt;&lt;/Cite&gt;&lt;/EndNote&gt;</w:instrText>
      </w:r>
      <w:r>
        <w:fldChar w:fldCharType="separate"/>
      </w:r>
      <w:r>
        <w:rPr>
          <w:noProof/>
        </w:rPr>
        <w:t>McCausland et al. (2020)</w:t>
      </w:r>
      <w:r>
        <w:fldChar w:fldCharType="end"/>
      </w:r>
      <w:r>
        <w:t xml:space="preserve"> reported that functional limitations predicted occupational status and that the social support of family and friends was strongly associated with being occupationally active. </w:t>
      </w:r>
    </w:p>
    <w:p w14:paraId="27233CA9" w14:textId="4AE0CC3A" w:rsidR="00C43251" w:rsidRDefault="00C43251" w:rsidP="00C43251">
      <w:r>
        <w:t xml:space="preserve">The transition from paid employment and engagement in structured occupational activities to retirement poses challenges for older adults </w:t>
      </w:r>
      <w:r w:rsidR="007B4A0C">
        <w:t>with intellectual disabilities</w:t>
      </w:r>
      <w:r>
        <w:t xml:space="preserve"> </w:t>
      </w:r>
      <w:r>
        <w:fldChar w:fldCharType="begin"/>
      </w:r>
      <w:r w:rsidR="006A378C">
        <w:instrText xml:space="preserve"> ADDIN EN.CITE &lt;EndNote&gt;&lt;Cite&gt;&lt;Author&gt;Innes&lt;/Author&gt;&lt;Year&gt;2012&lt;/Year&gt;&lt;RecNum&gt;367&lt;/RecNum&gt;&lt;DisplayText&gt;(Innes et al., 2012)&lt;/DisplayText&gt;&lt;record&gt;&lt;rec-number&gt;367&lt;/rec-number&gt;&lt;foreign-keys&gt;&lt;key app="EN" db-id="xtwfdzde5ttr0zevxrh5sf0c2wfzw5zf2vra" timestamp="1643290955" guid="9e433083-79ce-4437-8479-7a08886d73cc"&gt;367&lt;/key&gt;&lt;/foreign-keys&gt;&lt;ref-type name="Journal Article"&gt;17&lt;/ref-type&gt;&lt;contributors&gt;&lt;authors&gt;&lt;author&gt;Innes, Anthea&lt;/author&gt;&lt;author&gt;McCabe, Louise&lt;/author&gt;&lt;author&gt;Watchman, Karen&lt;/author&gt;&lt;/authors&gt;&lt;/contributors&gt;&lt;titles&gt;&lt;title&gt;Caring for older people with an intellectual disability: A systematic review&lt;/title&gt;&lt;secondary-title&gt;Maturitas&lt;/secondary-title&gt;&lt;short-title&gt;Caring for older people with an intellectual disability: A systematic review&lt;/short-title&gt;&lt;/titles&gt;&lt;periodical&gt;&lt;full-title&gt;Maturitas&lt;/full-title&gt;&lt;/periodical&gt;&lt;pages&gt;286-295&lt;/pages&gt;&lt;volume&gt;72&lt;/volume&gt;&lt;number&gt;4&lt;/number&gt;&lt;dates&gt;&lt;year&gt;2012&lt;/year&gt;&lt;/dates&gt;&lt;urls&gt;&lt;related-urls&gt;&lt;url&gt;https://www.researchgate.net/profile/Karen-Watchman/publication/225295309_Caring_for_older_people_with_an_intellectual_disability_A_systematic_review/links/5b8ce79f299bf1d5a73a11a2/Caring-for-older-people-with-an-intellectual-disability-A-systematic-review.pdf&lt;/url&gt;&lt;/related-urls&gt;&lt;/urls&gt;&lt;electronic-resource-num&gt;10.1016/j.maturitas.2012.05.008&lt;/electronic-resource-num&gt;&lt;/record&gt;&lt;/Cite&gt;&lt;/EndNote&gt;</w:instrText>
      </w:r>
      <w:r>
        <w:fldChar w:fldCharType="separate"/>
      </w:r>
      <w:r>
        <w:rPr>
          <w:noProof/>
        </w:rPr>
        <w:t>(Innes et al., 2012)</w:t>
      </w:r>
      <w:r>
        <w:fldChar w:fldCharType="end"/>
      </w:r>
      <w:r>
        <w:t xml:space="preserve">. In studies exploring the experiences and perspectives of staff on ageing and intellectual disability, staff expressed concern about the risks of retirement, such as the potential for emotional distress associated with a change in lifestyle and a loss of access to services </w:t>
      </w:r>
      <w:r>
        <w:fldChar w:fldCharType="begin">
          <w:fldData xml:space="preserve">PEVuZE5vdGU+PENpdGU+PEF1dGhvcj5BbGZ0YmVyZzwvQXV0aG9yPjxZZWFyPjIwMjE8L1llYXI+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</w:fldData>
        </w:fldChar>
      </w:r>
      <w:r w:rsidR="00B26CBF">
        <w:instrText xml:space="preserve"> ADDIN EN.CITE </w:instrText>
      </w:r>
      <w:r w:rsidR="00B26CBF">
        <w:fldChar w:fldCharType="begin">
          <w:fldData xml:space="preserve">PEVuZE5vdGU+PENpdGU+PEF1dGhvcj5BbGZ0YmVyZzwvQXV0aG9yPjxZZWFyPjIwMjE8L1llYXI+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</w:fldData>
        </w:fldChar>
      </w:r>
      <w:r w:rsidR="00B26CBF">
        <w:instrText xml:space="preserve"> ADDIN EN.CITE.DATA </w:instrText>
      </w:r>
      <w:r w:rsidR="00B26CBF">
        <w:fldChar w:fldCharType="end"/>
      </w:r>
      <w:r>
        <w:fldChar w:fldCharType="separate"/>
      </w:r>
      <w:r w:rsidR="00B26CBF">
        <w:rPr>
          <w:noProof/>
        </w:rPr>
        <w:t>(Alftberg et al., 2021; Innes et al., 2012; Bigby et al., 2011)</w:t>
      </w:r>
      <w:r>
        <w:fldChar w:fldCharType="end"/>
      </w:r>
      <w:r>
        <w:t xml:space="preserve">. These concerns were echoed by people </w:t>
      </w:r>
      <w:r w:rsidR="007B4A0C">
        <w:t>with intellectual disabilities</w:t>
      </w:r>
      <w:r>
        <w:t xml:space="preserve"> in another study who expressed anxiety about retirement as they move into the age of retirement, due to the potential loss of continuity and loss of social support </w:t>
      </w:r>
      <w:r>
        <w:fldChar w:fldCharType="begin"/>
      </w:r>
      <w:r>
        <w:instrText xml:space="preserve"> ADDIN EN.CITE &lt;EndNote&gt;&lt;Cite&gt;&lt;Author&gt;Judge&lt;/Author&gt;&lt;Year&gt;2010&lt;/Year&gt;&lt;RecNum&gt;472&lt;/RecNum&gt;&lt;DisplayText&gt;(Judge et al., 2010)&lt;/DisplayText&gt;&lt;record&gt;&lt;rec-number&gt;472&lt;/rec-number&gt;&lt;foreign-keys&gt;&lt;key app="EN" db-id="xtwfdzde5ttr0zevxrh5sf0c2wfzw5zf2vra" timestamp="1646757063" guid="63ace610-0ece-427a-89f5-9c3c50b222b9"&gt;472&lt;/key&gt;&lt;/foreign-keys&gt;&lt;ref-type name="Journal Article"&gt;17&lt;/ref-type&gt;&lt;contributors&gt;&lt;authors&gt;&lt;author&gt;Judge, Joe&lt;/author&gt;&lt;author&gt;Walley, Robert&lt;/author&gt;&lt;author&gt;Anderson, Bethany&lt;/author&gt;&lt;author&gt;Young, Ruth&lt;/author&gt;&lt;/authors&gt;&lt;/contributors&gt;&lt;titles&gt;&lt;title&gt;Activity, Aging, and Retirement: The Views of a Group of Scottish People With Intellectual Disabilities&lt;/title&gt;&lt;secondary-title&gt;Journal of Policy and Practice in Intellectual Disabilities&lt;/secondary-title&gt;&lt;/titles&gt;&lt;periodical&gt;&lt;full-title&gt;Journal of Policy and Practice in Intellectual Disabilities&lt;/full-title&gt;&lt;/periodical&gt;&lt;pages&gt;295-301&lt;/pages&gt;&lt;volume&gt;7&lt;/volume&gt;&lt;number&gt;4&lt;/number&gt;&lt;dates&gt;&lt;year&gt;2010&lt;/year&gt;&lt;/dates&gt;&lt;publisher&gt;Wiley&lt;/publisher&gt;&lt;isbn&gt;1741-1122&lt;/isbn&gt;&lt;urls&gt;&lt;related-urls&gt;&lt;url&gt;https://dx.doi.org/10.1111/j.1741-1130.2010.00279.x&lt;/url&gt;&lt;/related-urls&gt;&lt;/urls&gt;&lt;electronic-resource-num&gt;10.1111/j.1741-1130.2010.00279.x&lt;/electronic-resource-num&gt;&lt;/record&gt;&lt;/Cite&gt;&lt;/EndNote&gt;</w:instrText>
      </w:r>
      <w:r>
        <w:fldChar w:fldCharType="separate"/>
      </w:r>
      <w:r>
        <w:rPr>
          <w:noProof/>
        </w:rPr>
        <w:t>(Judge et al., 2010)</w:t>
      </w:r>
      <w:r>
        <w:fldChar w:fldCharType="end"/>
      </w:r>
      <w:r>
        <w:t xml:space="preserve">. Adults with disability who retire frequently lose contact with staff and peers from employment or day programme services and fail to develop new avenues for social connections and community participation </w:t>
      </w:r>
      <w:r>
        <w:fldChar w:fldCharType="begin">
          <w:fldData xml:space="preserve">PEVuZE5vdGU+PENpdGU+PEF1dGhvcj5KdWRnZTwvQXV0aG9yPjxZZWFyPjIwMTA8L1llYXI+PFJl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</w:fldData>
        </w:fldChar>
      </w:r>
      <w:r w:rsidR="00B26CBF">
        <w:instrText xml:space="preserve"> ADDIN EN.CITE </w:instrText>
      </w:r>
      <w:r w:rsidR="00B26CBF">
        <w:fldChar w:fldCharType="begin">
          <w:fldData xml:space="preserve">PEVuZE5vdGU+PENpdGU+PEF1dGhvcj5KdWRnZTwvQXV0aG9yPjxZZWFyPjIwMTA8L1llYXI+PFJl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</w:fldData>
        </w:fldChar>
      </w:r>
      <w:r w:rsidR="00B26CBF">
        <w:instrText xml:space="preserve"> ADDIN EN.CITE.DATA </w:instrText>
      </w:r>
      <w:r w:rsidR="00B26CBF">
        <w:fldChar w:fldCharType="end"/>
      </w:r>
      <w:r>
        <w:fldChar w:fldCharType="separate"/>
      </w:r>
      <w:r w:rsidR="00B26CBF">
        <w:rPr>
          <w:noProof/>
        </w:rPr>
        <w:t>(Stancliffe et al., 2015; McDermott &amp; Edwards, 2012; McCarron, 2011; Judge et al., 2010)</w:t>
      </w:r>
      <w:r>
        <w:fldChar w:fldCharType="end"/>
      </w:r>
      <w:r>
        <w:t xml:space="preserve">. Further, individuals living in group homes who retire, often require increased support at home, and due the limited availability of staff to provide such care, some older people </w:t>
      </w:r>
      <w:r w:rsidR="007B4A0C">
        <w:t>with intellectual disabilities</w:t>
      </w:r>
      <w:r>
        <w:t xml:space="preserve"> may stay in employment</w:t>
      </w:r>
      <w:r w:rsidR="1562CA35">
        <w:t xml:space="preserve"> even </w:t>
      </w:r>
      <w:r>
        <w:t>beyond the usual retirement age</w:t>
      </w:r>
      <w:r w:rsidR="732C3068">
        <w:t xml:space="preserve"> of people without intellectual disabilit</w:t>
      </w:r>
      <w:r w:rsidR="00C85736">
        <w:t>ies</w:t>
      </w:r>
      <w:r w:rsidR="732C3068">
        <w:t xml:space="preserve"> </w:t>
      </w:r>
      <w:r>
        <w:fldChar w:fldCharType="begin"/>
      </w:r>
      <w:r w:rsidR="006A378C">
        <w:instrText xml:space="preserve"> ADDIN EN.CITE &lt;EndNote&gt;&lt;Cite&gt;&lt;Author&gt;Webber&lt;/Author&gt;&lt;Year&gt;2010&lt;/Year&gt;&lt;RecNum&gt;447&lt;/RecNum&gt;&lt;DisplayText&gt;(Webber et al., 2010)&lt;/DisplayText&gt;&lt;record&gt;&lt;rec-number&gt;447&lt;/rec-number&gt;&lt;foreign-keys&gt;&lt;key app="EN" db-id="xtwfdzde5ttr0zevxrh5sf0c2wfzw5zf2vra" timestamp="1643290955" guid="40baecfb-9474-4371-9b0e-6e46d6ae2775"&gt;447&lt;/key&gt;&lt;/foreign-keys&gt;&lt;ref-type name="Journal Article"&gt;17&lt;/ref-type&gt;&lt;contributors&gt;&lt;authors&gt;&lt;author&gt;Webber, Ruth&lt;/author&gt;&lt;author&gt;Bowers, Barbara&lt;/author&gt;&lt;author&gt;McKenzie-Green, Barbara&lt;/author&gt;&lt;/authors&gt;&lt;/contributors&gt;&lt;titles&gt;&lt;title&gt;Staff responses to age-related health changes in people with an intellectual disability in group homes&lt;/title&gt;&lt;secondary-title&gt;Disability and Society&lt;/secondary-title&gt;&lt;short-title&gt;Staff responses to age-related health changes in people with an intellectual disability in group homes&lt;/short-title&gt;&lt;/titles&gt;&lt;periodical&gt;&lt;full-title&gt;Disability and Society&lt;/full-title&gt;&lt;/periodical&gt;&lt;pages&gt;657-671&lt;/pages&gt;&lt;volume&gt;25&lt;/volume&gt;&lt;number&gt;6&lt;/number&gt;&lt;dates&gt;&lt;year&gt;2010&lt;/year&gt;&lt;/dates&gt;&lt;urls&gt;&lt;/urls&gt;&lt;electronic-resource-num&gt;10.1080/09687599.2010.505736&lt;/electronic-resource-num&gt;&lt;/record&gt;&lt;/Cite&gt;&lt;/EndNote&gt;</w:instrText>
      </w:r>
      <w:r>
        <w:fldChar w:fldCharType="separate"/>
      </w:r>
      <w:r>
        <w:rPr>
          <w:noProof/>
        </w:rPr>
        <w:t>(Webber et al., 2010)</w:t>
      </w:r>
      <w:r>
        <w:fldChar w:fldCharType="end"/>
      </w:r>
      <w:r>
        <w:t xml:space="preserve">. Studies emphasise the importance of continued engagement in meaningful activity in mitigating these negative effects </w:t>
      </w:r>
      <w:r>
        <w:fldChar w:fldCharType="begin">
          <w:fldData xml:space="preserve">PEVuZE5vdGU+PENpdGU+PEF1dGhvcj5BbGZ0YmVyZzwvQXV0aG9yPjxZZWFyPjIwMjE8L1llYXI+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</w:fldData>
        </w:fldChar>
      </w:r>
      <w:r w:rsidR="00FF5F49">
        <w:instrText xml:space="preserve"> ADDIN EN.CITE </w:instrText>
      </w:r>
      <w:r w:rsidR="00FF5F49">
        <w:fldChar w:fldCharType="begin">
          <w:fldData xml:space="preserve">PEVuZE5vdGU+PENpdGU+PEF1dGhvcj5BbGZ0YmVyZzwvQXV0aG9yPjxZZWFyPjIwMjE8L1llYXI+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</w:fldData>
        </w:fldChar>
      </w:r>
      <w:r w:rsidR="00FF5F49">
        <w:instrText xml:space="preserve"> ADDIN EN.CITE.DATA </w:instrText>
      </w:r>
      <w:r w:rsidR="00FF5F49">
        <w:fldChar w:fldCharType="end"/>
      </w:r>
      <w:r>
        <w:fldChar w:fldCharType="separate"/>
      </w:r>
      <w:r w:rsidR="00FF5F49">
        <w:rPr>
          <w:noProof/>
        </w:rPr>
        <w:t>(Alftberg et al., 2021; Bigby et al., 2011)</w:t>
      </w:r>
      <w:r>
        <w:fldChar w:fldCharType="end"/>
      </w:r>
      <w:r>
        <w:t xml:space="preserve">. </w:t>
      </w:r>
      <w:r>
        <w:fldChar w:fldCharType="begin"/>
      </w:r>
      <w:r>
        <w:instrText xml:space="preserve"> ADDIN EN.CITE &lt;EndNote&gt;&lt;Cite AuthorYear="1"&gt;&lt;Author&gt;McCausland&lt;/Author&gt;&lt;Year&gt;2020&lt;/Year&gt;&lt;RecNum&gt;697&lt;/RecNum&gt;&lt;DisplayText&gt;McCausland et al. (2020)&lt;/DisplayText&gt;&lt;record&gt;&lt;rec-number&gt;697&lt;/rec-number&gt;&lt;foreign-keys&gt;&lt;key app="EN" db-id="xtwfdzde5ttr0zevxrh5sf0c2wfzw5zf2vra" timestamp="1664540233" guid="2158c532-b4c9-4acd-9ddb-710517168991"&gt;697&lt;/key&gt;&lt;/foreign-keys&gt;&lt;ref-type name="Journal Article"&gt;17&lt;/ref-type&gt;&lt;contributors&gt;&lt;authors&gt;&lt;author&gt;McCausland, Darren&lt;/author&gt;&lt;author&gt;McCallion, Philip&lt;/author&gt;&lt;author&gt;Brennan, Damien&lt;/author&gt;&lt;author&gt;McCarron, Mary&lt;/author&gt;&lt;/authors&gt;&lt;/contributors&gt;&lt;titles&gt;&lt;title&gt;In pursuit of meaningful occupation: Employment and occupational outcomes for older Irish adults with an intellectual disability&lt;/title&gt;&lt;secondary-title&gt;Journal of Applied Research in Intellectual Disabilities&lt;/secondary-title&gt;&lt;/titles&gt;&lt;periodical&gt;&lt;full-title&gt;Journal of Applied Research in Intellectual Disabilities&lt;/full-title&gt;&lt;/periodical&gt;&lt;pages&gt;386-397&lt;/pages&gt;&lt;volume&gt;33&lt;/volume&gt;&lt;number&gt;3&lt;/number&gt;&lt;dates&gt;&lt;year&gt;2020&lt;/year&gt;&lt;/dates&gt;&lt;publisher&gt;Wiley&lt;/publisher&gt;&lt;isbn&gt;1360-2322&lt;/isbn&gt;&lt;urls&gt;&lt;related-urls&gt;&lt;url&gt;https://dx.doi.org/10.1111/jar.12681&lt;/url&gt;&lt;/related-urls&gt;&lt;/urls&gt;&lt;electronic-resource-num&gt;10.1111/jar.12681&lt;/electronic-resource-num&gt;&lt;/record&gt;&lt;/Cite&gt;&lt;/EndNote&gt;</w:instrText>
      </w:r>
      <w:r>
        <w:fldChar w:fldCharType="separate"/>
      </w:r>
      <w:r>
        <w:rPr>
          <w:noProof/>
        </w:rPr>
        <w:t>McCausland et al. (2020)</w:t>
      </w:r>
      <w:r>
        <w:fldChar w:fldCharType="end"/>
      </w:r>
      <w:r>
        <w:t xml:space="preserve"> argue that more lifelong learning opportunities for older people </w:t>
      </w:r>
      <w:r w:rsidR="007B4A0C">
        <w:t>with intellectual disabilities</w:t>
      </w:r>
      <w:r>
        <w:t xml:space="preserve"> is necessary to help them plan for the future and adjust to the transition from adult to older adult, in order to avoid the potential negative consequences of retirement, such as a loss of social support, loneliness and isolation. </w:t>
      </w:r>
    </w:p>
    <w:p w14:paraId="0DDADE43" w14:textId="561385E8" w:rsidR="00C43251" w:rsidRPr="00906B8B" w:rsidRDefault="00C43251" w:rsidP="00647FED">
      <w:pPr>
        <w:pStyle w:val="Heading3"/>
        <w:rPr>
          <w:rFonts w:eastAsia="Yu Gothic Light"/>
          <w:color w:val="auto"/>
        </w:rPr>
      </w:pPr>
      <w:bookmarkStart w:id="90" w:name="_Toc116045691"/>
      <w:bookmarkStart w:id="91" w:name="_Toc118558257"/>
      <w:r w:rsidRPr="00906B8B">
        <w:rPr>
          <w:color w:val="auto"/>
        </w:rPr>
        <w:t>End</w:t>
      </w:r>
      <w:r w:rsidR="00AD236A" w:rsidRPr="00906B8B">
        <w:rPr>
          <w:color w:val="auto"/>
        </w:rPr>
        <w:t xml:space="preserve"> </w:t>
      </w:r>
      <w:r w:rsidRPr="00906B8B">
        <w:rPr>
          <w:color w:val="auto"/>
        </w:rPr>
        <w:t>of</w:t>
      </w:r>
      <w:r w:rsidR="00AD236A" w:rsidRPr="00906B8B">
        <w:rPr>
          <w:color w:val="auto"/>
        </w:rPr>
        <w:t xml:space="preserve"> </w:t>
      </w:r>
      <w:r w:rsidRPr="00906B8B">
        <w:rPr>
          <w:color w:val="auto"/>
        </w:rPr>
        <w:t>life needs</w:t>
      </w:r>
      <w:bookmarkEnd w:id="90"/>
      <w:bookmarkEnd w:id="91"/>
    </w:p>
    <w:p w14:paraId="208D7307" w14:textId="72AF728E" w:rsidR="00C43251" w:rsidRDefault="00C43251" w:rsidP="00C43251">
      <w:r>
        <w:t xml:space="preserve">The health inequalities experienced by people </w:t>
      </w:r>
      <w:r w:rsidR="007B4A0C">
        <w:t>with intellectual disabilities</w:t>
      </w:r>
      <w:r>
        <w:t xml:space="preserve"> have been well documented. As previously mentioned, the literature indicates that older adults </w:t>
      </w:r>
      <w:r w:rsidR="007B4A0C">
        <w:t>with intellectual disabilities</w:t>
      </w:r>
      <w:r>
        <w:t xml:space="preserve"> experience higher levels of multi-morbidity </w:t>
      </w:r>
      <w:r>
        <w:fldChar w:fldCharType="begin"/>
      </w:r>
      <w:r w:rsidR="006A378C">
        <w:instrText xml:space="preserve"> ADDIN EN.CITE &lt;EndNote&gt;&lt;Cite&gt;&lt;Author&gt;McCarron&lt;/Author&gt;&lt;Year&gt;2013&lt;/Year&gt;&lt;RecNum&gt;394&lt;/RecNum&gt;&lt;DisplayText&gt;(McCarron et al., 2013)&lt;/DisplayText&gt;&lt;record&gt;&lt;rec-number&gt;394&lt;/rec-number&gt;&lt;foreign-keys&gt;&lt;key app="EN" db-id="xtwfdzde5ttr0zevxrh5sf0c2wfzw5zf2vra" timestamp="1643290955" guid="bf1bbef5-2de0-4a44-989c-d5814593b401"&gt;394&lt;/key&gt;&lt;/foreign-keys&gt;&lt;ref-type name="Journal Article"&gt;17&lt;/ref-type&gt;&lt;contributors&gt;&lt;authors&gt;&lt;author&gt;McCarron, Mary&lt;/author&gt;&lt;author&gt;Swinburne, Janet&lt;/author&gt;&lt;author&gt;Burke, Eilish&lt;/author&gt;&lt;author&gt;McGlinchey, Eimear&lt;/author&gt;&lt;author&gt;Carroll, Rachael&lt;/author&gt;&lt;author&gt;McCallion, Philip&lt;/author&gt;&lt;/authors&gt;&lt;/contributors&gt;&lt;titles&gt;&lt;title&gt;Patterns of multimorbidity in an older population of persons with an intellectual disability: Results from the intellectual disability supplement to the Irish longitudinal study on aging (IDS-TILDA)&lt;/title&gt;&lt;secondary-title&gt;Research in Developmental Disabilities&lt;/secondary-title&gt;&lt;short-title&gt;Patterns of multimorbidity in an older population of persons with an intellectual disability: Results from the intellectual disability supplement to the Irish longitudinal study on aging (IDS-TILDA)&lt;/short-title&gt;&lt;/titles&gt;&lt;periodical&gt;&lt;full-title&gt;Research in Developmental Disabilities&lt;/full-title&gt;&lt;/periodical&gt;&lt;pages&gt;521-527&lt;/pages&gt;&lt;volume&gt;34&lt;/volume&gt;&lt;number&gt;1&lt;/number&gt;&lt;dates&gt;&lt;year&gt;2013&lt;/year&gt;&lt;/dates&gt;&lt;urls&gt;&lt;related-urls&gt;&lt;url&gt;https://www.sciencedirect.com/science/article/abs/pii/S0891422212001965?via%3Dihub&lt;/url&gt;&lt;/related-urls&gt;&lt;/urls&gt;&lt;electronic-resource-num&gt;10.1016/j.ridd.2012.07.029&lt;/electronic-resource-num&gt;&lt;/record&gt;&lt;/Cite&gt;&lt;/EndNote&gt;</w:instrText>
      </w:r>
      <w:r>
        <w:fldChar w:fldCharType="separate"/>
      </w:r>
      <w:r>
        <w:rPr>
          <w:noProof/>
        </w:rPr>
        <w:t>(McCarron et al., 2013)</w:t>
      </w:r>
      <w:r>
        <w:fldChar w:fldCharType="end"/>
      </w:r>
      <w:r>
        <w:t xml:space="preserve">, higher mortality rates </w:t>
      </w:r>
      <w:r>
        <w:fldChar w:fldCharType="begin">
          <w:fldData xml:space="preserve">PEVuZE5vdGU+PENpdGU+PEF1dGhvcj5NY0NhcnJvbjwvQXV0aG9yPjxZZWFyPjIwMTM8L1llYXI+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</w:fldData>
        </w:fldChar>
      </w:r>
      <w:r w:rsidR="00B26CBF">
        <w:instrText xml:space="preserve"> ADDIN EN.CITE </w:instrText>
      </w:r>
      <w:r w:rsidR="00B26CBF">
        <w:fldChar w:fldCharType="begin">
          <w:fldData xml:space="preserve">PEVuZE5vdGU+PENpdGU+PEF1dGhvcj5NY0NhcnJvbjwvQXV0aG9yPjxZZWFyPjIwMTM8L1llYXI+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</w:fldData>
        </w:fldChar>
      </w:r>
      <w:r w:rsidR="00B26CBF">
        <w:instrText xml:space="preserve"> ADDIN EN.CITE.DATA </w:instrText>
      </w:r>
      <w:r w:rsidR="00B26CBF">
        <w:fldChar w:fldCharType="end"/>
      </w:r>
      <w:r>
        <w:fldChar w:fldCharType="separate"/>
      </w:r>
      <w:r w:rsidR="00B26CBF">
        <w:rPr>
          <w:noProof/>
        </w:rPr>
        <w:t>(Reppermund et al., 2020; McCarron et al., 2013)</w:t>
      </w:r>
      <w:r>
        <w:fldChar w:fldCharType="end"/>
      </w:r>
      <w:r>
        <w:t xml:space="preserve">, a higher prevalence of early-onset dementia </w:t>
      </w:r>
      <w:r>
        <w:fldChar w:fldCharType="begin">
          <w:fldData xml:space="preserve">PEVuZE5vdGU+PENpdGU+PEF1dGhvcj5NY0NhcnJvbjwvQXV0aG9yPjxZZWFyPjIwMTQ8L1llYXI+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</w:fldData>
        </w:fldChar>
      </w:r>
      <w:r w:rsidR="00B26CBF">
        <w:instrText xml:space="preserve"> ADDIN EN.CITE </w:instrText>
      </w:r>
      <w:r w:rsidR="00B26CBF">
        <w:fldChar w:fldCharType="begin">
          <w:fldData xml:space="preserve">PEVuZE5vdGU+PENpdGU+PEF1dGhvcj5NY0NhcnJvbjwvQXV0aG9yPjxZZWFyPjIwMTQ8L1llYXI+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</w:fldData>
        </w:fldChar>
      </w:r>
      <w:r w:rsidR="00B26CBF">
        <w:instrText xml:space="preserve"> ADDIN EN.CITE.DATA </w:instrText>
      </w:r>
      <w:r w:rsidR="00B26CBF">
        <w:fldChar w:fldCharType="end"/>
      </w:r>
      <w:r>
        <w:fldChar w:fldCharType="separate"/>
      </w:r>
      <w:r w:rsidR="00B26CBF">
        <w:rPr>
          <w:noProof/>
        </w:rPr>
        <w:t>(McCarron et al., 2017c; McCarron et al., 2014; Strydom et al., 2013)</w:t>
      </w:r>
      <w:r>
        <w:fldChar w:fldCharType="end"/>
      </w:r>
      <w:r>
        <w:t xml:space="preserve">, higher rates of avoidable deaths </w:t>
      </w:r>
      <w:r>
        <w:fldChar w:fldCharType="begin">
          <w:fldData xml:space="preserve">PEVuZE5vdGU+PENpdGU+PEF1dGhvcj5IZXNsb3A8L0F1dGhvcj48WWVhcj4yMDE0PC9ZZWFyPjxS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=
</w:fldData>
        </w:fldChar>
      </w:r>
      <w:r w:rsidR="00B26CBF">
        <w:instrText xml:space="preserve"> ADDIN EN.CITE </w:instrText>
      </w:r>
      <w:r w:rsidR="00B26CBF">
        <w:fldChar w:fldCharType="begin">
          <w:fldData xml:space="preserve">PEVuZE5vdGU+PENpdGU+PEF1dGhvcj5IZXNsb3A8L0F1dGhvcj48WWVhcj4yMDE0PC9ZZWFyPjxS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=
</w:fldData>
        </w:fldChar>
      </w:r>
      <w:r w:rsidR="00B26CBF">
        <w:instrText xml:space="preserve"> ADDIN EN.CITE.DATA </w:instrText>
      </w:r>
      <w:r w:rsidR="00B26CBF">
        <w:fldChar w:fldCharType="end"/>
      </w:r>
      <w:r>
        <w:fldChar w:fldCharType="separate"/>
      </w:r>
      <w:r w:rsidR="00B26CBF">
        <w:rPr>
          <w:noProof/>
        </w:rPr>
        <w:t>(O'Leary et al., 2018; Heslop et al., 2014)</w:t>
      </w:r>
      <w:r>
        <w:fldChar w:fldCharType="end"/>
      </w:r>
      <w:r>
        <w:t xml:space="preserve"> </w:t>
      </w:r>
      <w:r>
        <w:rPr>
          <w:rStyle w:val="CommentReference"/>
          <w:sz w:val="22"/>
          <w:szCs w:val="22"/>
        </w:rPr>
        <w:t>a</w:t>
      </w:r>
      <w:r>
        <w:t>nd inequalities in access to and experience of health care services, compared to</w:t>
      </w:r>
      <w:r w:rsidDel="00A6229D">
        <w:t xml:space="preserve"> </w:t>
      </w:r>
      <w:r>
        <w:t xml:space="preserve">the general population </w:t>
      </w:r>
      <w:r>
        <w:fldChar w:fldCharType="begin"/>
      </w:r>
      <w:r w:rsidR="006A378C">
        <w:instrText xml:space="preserve"> ADDIN EN.CITE &lt;EndNote&gt;&lt;Cite&gt;&lt;Author&gt;McCarron&lt;/Author&gt;&lt;Year&gt;2017&lt;/Year&gt;&lt;RecNum&gt;628&lt;/RecNum&gt;&lt;DisplayText&gt;(McCarron et al., 2018b; McCarron et al., 2017a)&lt;/DisplayText&gt;&lt;record&gt;&lt;rec-number&gt;628&lt;/rec-number&gt;&lt;foreign-keys&gt;&lt;key app="EN" db-id="xtwfdzde5ttr0zevxrh5sf0c2wfzw5zf2vra" timestamp="1655470903" guid="51d06a72-67ac-47bc-a4c7-66d7d4965d25"&gt;628&lt;/key&gt;&lt;/foreign-keys&gt;&lt;ref-type name="Report"&gt;27&lt;/ref-type&gt;&lt;contributors&gt;&lt;authors&gt;&lt;author&gt;McCarron, M&lt;/author&gt;&lt;author&gt;Burke, E&lt;/author&gt;&lt;author&gt;White, P&lt;/author&gt;&lt;author&gt;O Dwyer, C&lt;/author&gt;&lt;author&gt;Ryan, K&lt;/author&gt;&lt;author&gt;O Farrell,&lt;/author&gt;&lt;author&gt;McCallion, P&lt;/author&gt;&lt;/authors&gt;&lt;/contributors&gt;&lt;titles&gt;&lt;title&gt;“He’d mind you, you mind him” Experiences of end of life care for people with an intellectual disability as perceived by staff carers&lt;/title&gt;&lt;/titles&gt;&lt;dates&gt;&lt;year&gt;2017&lt;/year&gt;&lt;/dates&gt;&lt;pub-location&gt;Dublin&lt;/pub-location&gt;&lt;publisher&gt;Trinity College Dublin&lt;/publisher&gt;&lt;urls&gt;&lt;/urls&gt;&lt;/record&gt;&lt;/Cite&gt;&lt;Cite&gt;&lt;Author&gt;McCarron&lt;/Author&gt;&lt;Year&gt;2018&lt;/Year&gt;&lt;RecNum&gt;490&lt;/RecNum&gt;&lt;record&gt;&lt;rec-number&gt;490&lt;/rec-number&gt;&lt;foreign-keys&gt;&lt;key app="EN" db-id="xtwfdzde5ttr0zevxrh5sf0c2wfzw5zf2vra" timestamp="1648035385" guid="47072b47-6233-437d-8023-5ef093dd12ba"&gt;490&lt;/key&gt;&lt;/foreign-keys&gt;&lt;ref-type name="Report"&gt;27&lt;/ref-type&gt;&lt;contributors&gt;&lt;authors&gt;&lt;author&gt;McCarron, M&lt;/author&gt;&lt;author&gt;Sheerin, F&lt;/author&gt;&lt;author&gt;Roche, L&lt;/author&gt;&lt;author&gt;Ryan, AM&lt;/author&gt;&lt;author&gt;Griffiths, C&lt;/author&gt;&lt;author&gt;Keenan, P&lt;/author&gt;&lt;author&gt;Doody, O&lt;/author&gt;&lt;author&gt;D&amp;apos;Eath, M&lt;/author&gt;&lt;author&gt;Burke, E&lt;/author&gt;&lt;author&gt;McCallion, P&lt;/author&gt;&lt;/authors&gt;&lt;/contributors&gt;&lt;titles&gt;&lt;title&gt;Shaping the future of intellectual disability nursing in Ireland: Supporting people with an intellectual disability to live ordinary lives in ordinary places&lt;/title&gt;&lt;/titles&gt;&lt;pages&gt;5&lt;/pages&gt;&lt;dates&gt;&lt;year&gt;2018&lt;/year&gt;&lt;/dates&gt;&lt;pub-location&gt;Ireland&lt;/pub-location&gt;&lt;publisher&gt;Health Services Executive&lt;/publisher&gt;&lt;urls&gt;&lt;/urls&gt;&lt;/record&gt;&lt;/Cite&gt;&lt;/EndNote&gt;</w:instrText>
      </w:r>
      <w:r>
        <w:fldChar w:fldCharType="separate"/>
      </w:r>
      <w:r w:rsidR="00FF5F49">
        <w:rPr>
          <w:noProof/>
        </w:rPr>
        <w:t>(McCarron et al., 2018b; McCarron et al., 2017a)</w:t>
      </w:r>
      <w:r>
        <w:fldChar w:fldCharType="end"/>
      </w:r>
      <w:r>
        <w:t>. It is also reported that these inequalities extend into the provision of end</w:t>
      </w:r>
      <w:r w:rsidR="00AD236A">
        <w:t xml:space="preserve"> of </w:t>
      </w:r>
      <w:r>
        <w:t xml:space="preserve">life and palliative care </w:t>
      </w:r>
      <w:r>
        <w:fldChar w:fldCharType="begin">
          <w:fldData xml:space="preserve">PEVuZE5vdGU+PENpdGU+PEF1dGhvcj5MYXVlcjwvQXV0aG9yPjxZZWFyPjIwMTU8L1llYXI+PFJl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</w:fldData>
        </w:fldChar>
      </w:r>
      <w:r w:rsidR="00B26CBF">
        <w:instrText xml:space="preserve"> ADDIN EN.CITE </w:instrText>
      </w:r>
      <w:r w:rsidR="00B26CBF">
        <w:fldChar w:fldCharType="begin">
          <w:fldData xml:space="preserve">PEVuZE5vdGU+PENpdGU+PEF1dGhvcj5MYXVlcjwvQXV0aG9yPjxZZWFyPjIwMTU8L1llYXI+PFJl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</w:fldData>
        </w:fldChar>
      </w:r>
      <w:r w:rsidR="00B26CBF">
        <w:instrText xml:space="preserve"> ADDIN EN.CITE.DATA </w:instrText>
      </w:r>
      <w:r w:rsidR="00B26CBF">
        <w:fldChar w:fldCharType="end"/>
      </w:r>
      <w:r>
        <w:fldChar w:fldCharType="separate"/>
      </w:r>
      <w:r w:rsidR="00B26CBF">
        <w:rPr>
          <w:noProof/>
        </w:rPr>
        <w:t>(McCarron et al., 2017a; Lauer &amp; McCallion, 2015; McCarron et al., 2015)</w:t>
      </w:r>
      <w:r>
        <w:fldChar w:fldCharType="end"/>
      </w:r>
      <w:r>
        <w:t xml:space="preserve">. A review in the UK, for example, found that people with intellectual disabilities are at greater risk of poorer quality healthcare at the end of life as some healthcare providers may lack understanding and awareness about how to support the end of life needs of older adults </w:t>
      </w:r>
      <w:r w:rsidR="007B4A0C">
        <w:t>with intellectual disabilities</w:t>
      </w:r>
      <w:r>
        <w:t xml:space="preserve"> </w:t>
      </w:r>
      <w:r>
        <w:fldChar w:fldCharType="begin"/>
      </w:r>
      <w:r w:rsidR="00855189">
        <w:instrText xml:space="preserve"> ADDIN EN.CITE &lt;EndNote&gt;&lt;Cite&gt;&lt;Author&gt;Care Quality Commission&lt;/Author&gt;&lt;Year&gt;2016&lt;/Year&gt;&lt;RecNum&gt;637&lt;/RecNum&gt;&lt;DisplayText&gt;(Care Quality Commission, 2016)&lt;/DisplayText&gt;&lt;record&gt;&lt;rec-number&gt;637&lt;/rec-number&gt;&lt;foreign-keys&gt;&lt;key app="EN" db-id="xtwfdzde5ttr0zevxrh5sf0c2wfzw5zf2vra" timestamp="1655474366" guid="c1effad6-bfc8-4a23-b2bb-68250b67b8d0"&gt;637&lt;/key&gt;&lt;/foreign-keys&gt;&lt;ref-type name="Report"&gt;27&lt;/ref-type&gt;&lt;contributors&gt;&lt;authors&gt;&lt;author&gt;Care Quality Commission,&lt;/author&gt;&lt;/authors&gt;&lt;/contributors&gt;&lt;titles&gt;&lt;title&gt;A different ending: addressing inequalities in end of life care&lt;/title&gt;&lt;/titles&gt;&lt;dates&gt;&lt;year&gt;2016&lt;/year&gt;&lt;/dates&gt;&lt;pub-location&gt;Newcastle upon Tyne&lt;/pub-location&gt;&lt;publisher&gt; CQC&lt;/publisher&gt;&lt;urls&gt;&lt;/urls&gt;&lt;/record&gt;&lt;/Cite&gt;&lt;/EndNote&gt;</w:instrText>
      </w:r>
      <w:r>
        <w:fldChar w:fldCharType="separate"/>
      </w:r>
      <w:r>
        <w:rPr>
          <w:noProof/>
        </w:rPr>
        <w:t>(Care Quality Commission, 2016)</w:t>
      </w:r>
      <w:r>
        <w:fldChar w:fldCharType="end"/>
      </w:r>
      <w:r>
        <w:t xml:space="preserve">. </w:t>
      </w:r>
    </w:p>
    <w:p w14:paraId="6D82A058" w14:textId="3AB3412E" w:rsidR="00C43251" w:rsidRPr="005C5501" w:rsidRDefault="00C43251" w:rsidP="00C43251">
      <w:r>
        <w:t xml:space="preserve">Despite the trend toward an increase in the life expectancy of people </w:t>
      </w:r>
      <w:r w:rsidR="007B4A0C">
        <w:t>with intellectual disabilities</w:t>
      </w:r>
      <w:r w:rsidRPr="005C5501">
        <w:t xml:space="preserve"> and greater awareness surrounding the inadequacy of end</w:t>
      </w:r>
      <w:r w:rsidR="00AD236A">
        <w:t xml:space="preserve"> of </w:t>
      </w:r>
      <w:r w:rsidRPr="005C5501">
        <w:t xml:space="preserve">life care </w:t>
      </w:r>
      <w:r w:rsidRPr="005C5501">
        <w:fldChar w:fldCharType="begin"/>
      </w:r>
      <w:r w:rsidR="00FF5F49">
        <w:instrText xml:space="preserve"> ADDIN EN.CITE &lt;EndNote&gt;&lt;Cite&gt;&lt;Author&gt;Ryan&lt;/Author&gt;&lt;Year&gt;2005&lt;/Year&gt;&lt;RecNum&gt;630&lt;/RecNum&gt;&lt;DisplayText&gt;(Tuffrey-Wijne &amp;amp; Davidson, 2018; Ryan &amp;amp; McQuillan, 2005)&lt;/DisplayText&gt;&lt;record&gt;&lt;rec-number&gt;630&lt;/rec-number&gt;&lt;foreign-keys&gt;&lt;key app="EN" db-id="xtwfdzde5ttr0zevxrh5sf0c2wfzw5zf2vra" timestamp="1655471312" guid="c5d25402-52a4-46f0-9ddd-4b92b3d4d10e"&gt;630&lt;/key&gt;&lt;/foreign-keys&gt;&lt;ref-type name="Journal Article"&gt;17&lt;/ref-type&gt;&lt;contributors&gt;&lt;authors&gt;&lt;author&gt;Ryan, Karen R&lt;/author&gt;&lt;author&gt;McQuillan, Regina&lt;/author&gt;&lt;/authors&gt;&lt;/contributors&gt;&lt;titles&gt;&lt;title&gt;Palliative care for disadvantaged groups: people with intellectual disabilities&lt;/title&gt;&lt;secondary-title&gt;Progress in Palliative Care&lt;/secondary-title&gt;&lt;/titles&gt;&lt;periodical&gt;&lt;full-title&gt;Progress in Palliative Care&lt;/full-title&gt;&lt;/periodical&gt;&lt;pages&gt;70-74&lt;/pages&gt;&lt;volume&gt;13&lt;/volume&gt;&lt;number&gt;2&lt;/number&gt;&lt;dates&gt;&lt;year&gt;2005&lt;/year&gt;&lt;/dates&gt;&lt;isbn&gt;0969-9260&lt;/isbn&gt;&lt;urls&gt;&lt;/urls&gt;&lt;/record&gt;&lt;/Cite&gt;&lt;Cite&gt;&lt;Author&gt;Tuffrey-Wijne&lt;/Author&gt;&lt;Year&gt;2018&lt;/Year&gt;&lt;RecNum&gt;629&lt;/RecNum&gt;&lt;record&gt;&lt;rec-number&gt;629&lt;/rec-number&gt;&lt;foreign-keys&gt;&lt;key app="EN" db-id="xtwfdzde5ttr0zevxrh5sf0c2wfzw5zf2vra" timestamp="1655471268" guid="1d05f974-7925-490c-81ed-7d2193a067ef"&gt;629&lt;/key&gt;&lt;/foreign-keys&gt;&lt;ref-type name="Journal Article"&gt;17&lt;/ref-type&gt;&lt;contributors&gt;&lt;authors&gt;&lt;author&gt;Tuffrey-Wijne, Irene&lt;/author&gt;&lt;author&gt;Davidson, Jason&lt;/author&gt;&lt;/authors&gt;&lt;/contributors&gt;&lt;titles&gt;&lt;title&gt;Excellence in palliative and end-of-life care provision for people with intellectual disability&lt;/title&gt;&lt;secondary-title&gt;International Journal of Palliative Nursing&lt;/secondary-title&gt;&lt;/titles&gt;&lt;periodical&gt;&lt;full-title&gt;International Journal of Palliative Nursing&lt;/full-title&gt;&lt;/periodical&gt;&lt;pages&gt;598-610&lt;/pages&gt;&lt;volume&gt;24&lt;/volume&gt;&lt;number&gt;12&lt;/number&gt;&lt;dates&gt;&lt;year&gt;2018&lt;/year&gt;&lt;/dates&gt;&lt;isbn&gt;1357-6321&lt;/isbn&gt;&lt;urls&gt;&lt;/urls&gt;&lt;/record&gt;&lt;/Cite&gt;&lt;/EndNote&gt;</w:instrText>
      </w:r>
      <w:r w:rsidRPr="005C5501">
        <w:fldChar w:fldCharType="separate"/>
      </w:r>
      <w:r w:rsidR="00FF5F49">
        <w:rPr>
          <w:noProof/>
        </w:rPr>
        <w:t>(Tuffrey-Wijne &amp; Davidson, 2018; Ryan &amp; McQuillan, 2005)</w:t>
      </w:r>
      <w:r w:rsidRPr="005C5501">
        <w:fldChar w:fldCharType="end"/>
      </w:r>
      <w:r w:rsidRPr="005C5501">
        <w:t xml:space="preserve">, the literature </w:t>
      </w:r>
      <w:r>
        <w:t>indicates</w:t>
      </w:r>
      <w:r w:rsidRPr="005C5501">
        <w:t xml:space="preserve"> that services and healthcare staff are </w:t>
      </w:r>
      <w:r>
        <w:t xml:space="preserve">mostly </w:t>
      </w:r>
      <w:r w:rsidRPr="005C5501">
        <w:t xml:space="preserve">unprepared to meet </w:t>
      </w:r>
      <w:r>
        <w:t>the end</w:t>
      </w:r>
      <w:r w:rsidR="00AD236A">
        <w:t xml:space="preserve"> of life</w:t>
      </w:r>
      <w:r>
        <w:t xml:space="preserve"> needs of people </w:t>
      </w:r>
      <w:r w:rsidR="007B4A0C">
        <w:t>with intellectual disabilities</w:t>
      </w:r>
      <w:r w:rsidRPr="005C5501">
        <w:t xml:space="preserve"> </w:t>
      </w:r>
      <w:r w:rsidRPr="005C5501">
        <w:fldChar w:fldCharType="begin"/>
      </w:r>
      <w:r>
        <w:instrText xml:space="preserve"> ADDIN EN.CITE &lt;EndNote&gt;&lt;Cite&gt;&lt;Author&gt;Adam&lt;/Author&gt;&lt;Year&gt;2020&lt;/Year&gt;&lt;RecNum&gt;638&lt;/RecNum&gt;&lt;DisplayText&gt;(Adam et al., 2020)&lt;/DisplayText&gt;&lt;record&gt;&lt;rec-number&gt;638&lt;/rec-number&gt;&lt;foreign-keys&gt;&lt;key app="EN" db-id="xtwfdzde5ttr0zevxrh5sf0c2wfzw5zf2vra" timestamp="1655474718" guid="87c7d639-0107-4db0-9544-e566d95350eb"&gt;638&lt;/key&gt;&lt;/foreign-keys&gt;&lt;ref-type name="Journal Article"&gt;17&lt;/ref-type&gt;&lt;contributors&gt;&lt;authors&gt;&lt;author&gt;Adam, Emily&lt;/author&gt;&lt;author&gt;Sleeman, Katherine E.&lt;/author&gt;&lt;author&gt;Brearley, Sarah&lt;/author&gt;&lt;author&gt;Hunt, Katherine&lt;/author&gt;&lt;author&gt;Tuffrey-Wijne, Irene&lt;/author&gt;&lt;/authors&gt;&lt;/contributors&gt;&lt;titles&gt;&lt;title&gt;The palliative care needs of adults with intellectual disabilities and their access to palliative care services: A systematic review&lt;/title&gt;&lt;secondary-title&gt;Palliative Medicine&lt;/secondary-title&gt;&lt;/titles&gt;&lt;periodical&gt;&lt;full-title&gt;Palliative medicine&lt;/full-title&gt;&lt;/periodical&gt;&lt;pages&gt;1006-1018&lt;/pages&gt;&lt;volume&gt;34&lt;/volume&gt;&lt;number&gt;8&lt;/number&gt;&lt;dates&gt;&lt;year&gt;2020&lt;/year&gt;&lt;/dates&gt;&lt;publisher&gt;SAGE Publications&lt;/publisher&gt;&lt;isbn&gt;0269-2163&lt;/isbn&gt;&lt;urls&gt;&lt;related-urls&gt;&lt;url&gt;https://dx.doi.org/10.1177/0269216320932774&lt;/url&gt;&lt;/related-urls&gt;&lt;/urls&gt;&lt;electronic-resource-num&gt;10.1177/0269216320932774&lt;/electronic-resource-num&gt;&lt;/record&gt;&lt;/Cite&gt;&lt;/EndNote&gt;</w:instrText>
      </w:r>
      <w:r w:rsidRPr="005C5501">
        <w:fldChar w:fldCharType="separate"/>
      </w:r>
      <w:r>
        <w:rPr>
          <w:noProof/>
        </w:rPr>
        <w:t>(Adam et al., 2020)</w:t>
      </w:r>
      <w:r w:rsidRPr="005C5501">
        <w:fldChar w:fldCharType="end"/>
      </w:r>
      <w:r w:rsidRPr="005C5501">
        <w:t xml:space="preserve">. A study by Tuffrey-Wijne and Davidson </w:t>
      </w:r>
      <w:r w:rsidRPr="005C5501">
        <w:fldChar w:fldCharType="begin"/>
      </w:r>
      <w:r>
        <w:instrText xml:space="preserve"> ADDIN EN.CITE &lt;EndNote&gt;&lt;Cite ExcludeAuth="1"&gt;&lt;Author&gt;Tuffrey-Wijne&lt;/Author&gt;&lt;Year&gt;2018&lt;/Year&gt;&lt;RecNum&gt;629&lt;/RecNum&gt;&lt;DisplayText&gt;(2018)&lt;/DisplayText&gt;&lt;record&gt;&lt;rec-number&gt;629&lt;/rec-number&gt;&lt;foreign-keys&gt;&lt;key app="EN" db-id="xtwfdzde5ttr0zevxrh5sf0c2wfzw5zf2vra" timestamp="1655471268" guid="1d05f974-7925-490c-81ed-7d2193a067ef"&gt;629&lt;/key&gt;&lt;/foreign-keys&gt;&lt;ref-type name="Journal Article"&gt;17&lt;/ref-type&gt;&lt;contributors&gt;&lt;authors&gt;&lt;author&gt;Tuffrey-Wijne, Irene&lt;/author&gt;&lt;author&gt;Davidson, Jason&lt;/author&gt;&lt;/authors&gt;&lt;/contributors&gt;&lt;titles&gt;&lt;title&gt;Excellence in palliative and end-of-life care provision for people with intellectual disability&lt;/title&gt;&lt;secondary-title&gt;International Journal of Palliative Nursing&lt;/secondary-title&gt;&lt;/titles&gt;&lt;periodical&gt;&lt;full-title&gt;International Journal of Palliative Nursing&lt;/full-title&gt;&lt;/periodical&gt;&lt;pages&gt;598-610&lt;/pages&gt;&lt;volume&gt;24&lt;/volume&gt;&lt;number&gt;12&lt;/number&gt;&lt;dates&gt;&lt;year&gt;2018&lt;/year&gt;&lt;/dates&gt;&lt;isbn&gt;1357-6321&lt;/isbn&gt;&lt;urls&gt;&lt;/urls&gt;&lt;/record&gt;&lt;/Cite&gt;&lt;/EndNote&gt;</w:instrText>
      </w:r>
      <w:r w:rsidRPr="005C5501">
        <w:fldChar w:fldCharType="separate"/>
      </w:r>
      <w:r>
        <w:rPr>
          <w:noProof/>
        </w:rPr>
        <w:t>(2018)</w:t>
      </w:r>
      <w:r w:rsidRPr="005C5501">
        <w:fldChar w:fldCharType="end"/>
      </w:r>
      <w:r w:rsidRPr="005C5501">
        <w:t xml:space="preserve"> </w:t>
      </w:r>
      <w:r>
        <w:t>highlighted</w:t>
      </w:r>
      <w:r w:rsidRPr="005C5501">
        <w:t xml:space="preserve"> the complexity of providing end</w:t>
      </w:r>
      <w:r w:rsidR="00AD236A">
        <w:t xml:space="preserve"> of life</w:t>
      </w:r>
      <w:r w:rsidRPr="005C5501">
        <w:t xml:space="preserve"> care to people </w:t>
      </w:r>
      <w:r w:rsidR="007B4A0C">
        <w:t>with intellectual disabilities</w:t>
      </w:r>
      <w:r w:rsidRPr="005C5501">
        <w:t xml:space="preserve"> and outlines the common barriers to providing such care that they identified in the literature. These include: difficulties with communication which affect all aspects of care provision including pain management and assessment; difficulties with patient understanding and insight into their condition; a lack of involvement in end</w:t>
      </w:r>
      <w:r w:rsidR="00AD236A">
        <w:t xml:space="preserve"> of life</w:t>
      </w:r>
      <w:r w:rsidRPr="005C5501">
        <w:t xml:space="preserve"> decision-making among people </w:t>
      </w:r>
      <w:r w:rsidR="007B4A0C">
        <w:t>with intellectual disabilities</w:t>
      </w:r>
      <w:r w:rsidRPr="005C5501">
        <w:t xml:space="preserve">; multi-morbidity and polypharmacy; complex social circumstances; care transitions; a lack of experience among healthcare staff of people </w:t>
      </w:r>
      <w:r w:rsidR="007B4A0C">
        <w:t>with intellectual disabilities</w:t>
      </w:r>
      <w:r w:rsidRPr="005C5501">
        <w:t>; a lack of experience of illnesses, death, and dying; and a lack of knowledge about end</w:t>
      </w:r>
      <w:r w:rsidR="00AD236A">
        <w:t xml:space="preserve"> of life</w:t>
      </w:r>
      <w:r w:rsidRPr="005C5501">
        <w:t xml:space="preserve"> care among staff </w:t>
      </w:r>
      <w:r w:rsidRPr="005C5501">
        <w:fldChar w:fldCharType="begin"/>
      </w:r>
      <w:r w:rsidR="00FF5F49">
        <w:instrText xml:space="preserve"> ADDIN EN.CITE &lt;EndNote&gt;&lt;Cite&gt;&lt;Author&gt;Tuffrey-Wijne&lt;/Author&gt;&lt;Year&gt;2018&lt;/Year&gt;&lt;RecNum&gt;629&lt;/RecNum&gt;&lt;DisplayText&gt;(Tuffrey-Wijne &amp;amp; Davidson, 2018)&lt;/DisplayText&gt;&lt;record&gt;&lt;rec-number&gt;629&lt;/rec-number&gt;&lt;foreign-keys&gt;&lt;key app="EN" db-id="xtwfdzde5ttr0zevxrh5sf0c2wfzw5zf2vra" timestamp="1655471268" guid="1d05f974-7925-490c-81ed-7d2193a067ef"&gt;629&lt;/key&gt;&lt;/foreign-keys&gt;&lt;ref-type name="Journal Article"&gt;17&lt;/ref-type&gt;&lt;contributors&gt;&lt;authors&gt;&lt;author&gt;Tuffrey-Wijne, Irene&lt;/author&gt;&lt;author&gt;Davidson, Jason&lt;/author&gt;&lt;/authors&gt;&lt;/contributors&gt;&lt;titles&gt;&lt;title&gt;Excellence in palliative and end-of-life care provision for people with intellectual disability&lt;/title&gt;&lt;secondary-title&gt;International Journal of Palliative Nursing&lt;/secondary-title&gt;&lt;/titles&gt;&lt;periodical&gt;&lt;full-title&gt;International Journal of Palliative Nursing&lt;/full-title&gt;&lt;/periodical&gt;&lt;pages&gt;598-610&lt;/pages&gt;&lt;volume&gt;24&lt;/volume&gt;&lt;number&gt;12&lt;/number&gt;&lt;dates&gt;&lt;year&gt;2018&lt;/year&gt;&lt;/dates&gt;&lt;isbn&gt;1357-6321&lt;/isbn&gt;&lt;urls&gt;&lt;/urls&gt;&lt;/record&gt;&lt;/Cite&gt;&lt;/EndNote&gt;</w:instrText>
      </w:r>
      <w:r w:rsidRPr="005C5501">
        <w:fldChar w:fldCharType="separate"/>
      </w:r>
      <w:r w:rsidR="00FF5F49">
        <w:rPr>
          <w:noProof/>
        </w:rPr>
        <w:t>(Tuffrey-Wijne &amp; Davidson, 2018)</w:t>
      </w:r>
      <w:r w:rsidRPr="005C5501">
        <w:fldChar w:fldCharType="end"/>
      </w:r>
      <w:r w:rsidRPr="005C5501">
        <w:t xml:space="preserve">. </w:t>
      </w:r>
    </w:p>
    <w:p w14:paraId="474E30C7" w14:textId="25E436E0" w:rsidR="00C43251" w:rsidRDefault="00C43251" w:rsidP="00C43251">
      <w:r w:rsidRPr="005C5501">
        <w:t xml:space="preserve">Similarly, in Ireland, </w:t>
      </w:r>
      <w:r w:rsidRPr="005C5501">
        <w:fldChar w:fldCharType="begin"/>
      </w:r>
      <w:r w:rsidR="006A378C">
        <w:instrText xml:space="preserve"> ADDIN EN.CITE &lt;EndNote&gt;&lt;Cite AuthorYear="1"&gt;&lt;Author&gt;McCarron&lt;/Author&gt;&lt;Year&gt;2021&lt;/Year&gt;&lt;RecNum&gt;600&lt;/RecNum&gt;&lt;DisplayText&gt;McCarron et al. (2021)&lt;/DisplayText&gt;&lt;record&gt;&lt;rec-number&gt;600&lt;/rec-number&gt;&lt;foreign-keys&gt;&lt;key app="EN" db-id="xtwfdzde5ttr0zevxrh5sf0c2wfzw5zf2vra" timestamp="1652714274" guid="cd869b9e-a8d6-4190-87cc-f88803ef8f80"&gt;600&lt;/key&gt;&lt;/foreign-keys&gt;&lt;ref-type name="Unpublished Work"&gt;34&lt;/ref-type&gt;&lt;contributors&gt;&lt;authors&gt;&lt;author&gt;McCarron, Mary&lt;/author&gt;&lt;author&gt;McCallion, Philip&lt;/author&gt;&lt;author&gt;Burke, Eilish&lt;/author&gt;&lt;author&gt;Timmins, Fiona&lt;/author&gt;&lt;/authors&gt;&lt;/contributors&gt;&lt;titles&gt;&lt;title&gt;End of Life Care for People with an Intellectual Disability a Qualitative Exploration of Staff Carers’ Experiences&lt;/title&gt;&lt;/titles&gt;&lt;dates&gt;&lt;year&gt;2021&lt;/year&gt;&lt;/dates&gt;&lt;publisher&gt;Research Square&lt;/publisher&gt;&lt;urls&gt;&lt;/urls&gt;&lt;electronic-resource-num&gt;https://doi.org/10.21203/rs.3.rs-1008624/v1&lt;/electronic-resource-num&gt;&lt;/record&gt;&lt;/Cite&gt;&lt;/EndNote&gt;</w:instrText>
      </w:r>
      <w:r w:rsidRPr="005C5501">
        <w:fldChar w:fldCharType="separate"/>
      </w:r>
      <w:r>
        <w:rPr>
          <w:noProof/>
        </w:rPr>
        <w:t>McCarron et al. (2021)</w:t>
      </w:r>
      <w:r w:rsidRPr="005C5501">
        <w:fldChar w:fldCharType="end"/>
      </w:r>
      <w:r w:rsidRPr="005C5501">
        <w:t xml:space="preserve"> identified pain assessment and pain management as particular challenges faced by healthcare staff providing care to people </w:t>
      </w:r>
      <w:r w:rsidR="007B4A0C">
        <w:t>with intellectual disabilities</w:t>
      </w:r>
      <w:r w:rsidRPr="005C5501">
        <w:t xml:space="preserve"> at the end of their lives, with staff describing instances where they were unsure if a person was in pain in the last 3 months of their lives. The findings also highlighted elements of care that appeared to contribute to more positive end</w:t>
      </w:r>
      <w:r w:rsidR="00AD236A">
        <w:t xml:space="preserve"> of life</w:t>
      </w:r>
      <w:r w:rsidRPr="005C5501">
        <w:t xml:space="preserve"> experiences. These included good collaboration between intellectual disability services and palliative care services, improved communication with general health care services and being supported to die in one’s own home. It is the preference of most people to remain</w:t>
      </w:r>
      <w:r w:rsidRPr="00D50903">
        <w:t xml:space="preserve"> living in their homes up to the end of their life and being cared for in a familiar environment</w:t>
      </w:r>
      <w:r>
        <w:t xml:space="preserve"> may be even more important for people </w:t>
      </w:r>
      <w:r w:rsidR="007B4A0C">
        <w:t>with intellectual disabilities</w:t>
      </w:r>
      <w:r w:rsidRPr="00D50903">
        <w:t xml:space="preserve"> </w:t>
      </w:r>
      <w:r w:rsidRPr="00D50903">
        <w:fldChar w:fldCharType="begin">
          <w:fldData xml:space="preserve">PEVuZE5vdGU+PENpdGU+PEF1dGhvcj5CZWtrZW1hPC9BdXRob3I+PFllYXI+MjAxNTwvWWVhcj48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=
</w:fldData>
        </w:fldChar>
      </w:r>
      <w:r w:rsidR="00B26CBF">
        <w:instrText xml:space="preserve"> ADDIN EN.CITE </w:instrText>
      </w:r>
      <w:r w:rsidR="00B26CBF">
        <w:fldChar w:fldCharType="begin">
          <w:fldData xml:space="preserve">PEVuZE5vdGU+PENpdGU+PEF1dGhvcj5CZWtrZW1hPC9BdXRob3I+PFllYXI+MjAxNTwvWWVhcj48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=
</w:fldData>
        </w:fldChar>
      </w:r>
      <w:r w:rsidR="00B26CBF">
        <w:instrText xml:space="preserve"> ADDIN EN.CITE.DATA </w:instrText>
      </w:r>
      <w:r w:rsidR="00B26CBF">
        <w:fldChar w:fldCharType="end"/>
      </w:r>
      <w:r w:rsidRPr="00D50903">
        <w:fldChar w:fldCharType="separate"/>
      </w:r>
      <w:r w:rsidR="00B26CBF">
        <w:rPr>
          <w:noProof/>
        </w:rPr>
        <w:t>(McCarron et al., 2017a; Bekkema et al., 2015b)</w:t>
      </w:r>
      <w:r w:rsidRPr="00D50903">
        <w:fldChar w:fldCharType="end"/>
      </w:r>
      <w:r w:rsidRPr="00D50903">
        <w:t xml:space="preserve">. While ageing and dying in place is supported by most healthcare staff, providing care in the home is often impacted by insufficient staff knowledge and experience, and a lack of equipment or resources (e.g., assistive mobility devices) </w:t>
      </w:r>
      <w:r w:rsidRPr="00D50903">
        <w:fldChar w:fldCharType="begin">
          <w:fldData xml:space="preserve">PEVuZE5vdGU+PENpdGU+PEF1dGhvcj5CZWtrZW1hPC9BdXRob3I+PFllYXI+MjAxNTwvWWVhcj48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</w:fldData>
        </w:fldChar>
      </w:r>
      <w:r w:rsidR="00B26CBF">
        <w:instrText xml:space="preserve"> ADDIN EN.CITE </w:instrText>
      </w:r>
      <w:r w:rsidR="00B26CBF">
        <w:fldChar w:fldCharType="begin">
          <w:fldData xml:space="preserve">PEVuZE5vdGU+PENpdGU+PEF1dGhvcj5CZWtrZW1hPC9BdXRob3I+PFllYXI+MjAxNTwvWWVhcj48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</w:fldData>
        </w:fldChar>
      </w:r>
      <w:r w:rsidR="00B26CBF">
        <w:instrText xml:space="preserve"> ADDIN EN.CITE.DATA </w:instrText>
      </w:r>
      <w:r w:rsidR="00B26CBF">
        <w:fldChar w:fldCharType="end"/>
      </w:r>
      <w:r w:rsidRPr="00D50903">
        <w:fldChar w:fldCharType="separate"/>
      </w:r>
      <w:r w:rsidR="00B26CBF">
        <w:rPr>
          <w:noProof/>
        </w:rPr>
        <w:t>(Bekkema et al., 2015b; Webber et al., 2010)</w:t>
      </w:r>
      <w:r w:rsidRPr="00D50903">
        <w:fldChar w:fldCharType="end"/>
      </w:r>
      <w:r w:rsidRPr="00D50903">
        <w:t xml:space="preserve">. </w:t>
      </w:r>
      <w:r w:rsidRPr="005C5501">
        <w:fldChar w:fldCharType="begin"/>
      </w:r>
      <w:r w:rsidR="006A378C">
        <w:instrText xml:space="preserve"> ADDIN EN.CITE &lt;EndNote&gt;&lt;Cite AuthorYear="1"&gt;&lt;Author&gt;McCarron&lt;/Author&gt;&lt;Year&gt;2021&lt;/Year&gt;&lt;RecNum&gt;600&lt;/RecNum&gt;&lt;DisplayText&gt;McCarron et al. (2021)&lt;/DisplayText&gt;&lt;record&gt;&lt;rec-number&gt;600&lt;/rec-number&gt;&lt;foreign-keys&gt;&lt;key app="EN" db-id="xtwfdzde5ttr0zevxrh5sf0c2wfzw5zf2vra" timestamp="1652714274" guid="cd869b9e-a8d6-4190-87cc-f88803ef8f80"&gt;600&lt;/key&gt;&lt;/foreign-keys&gt;&lt;ref-type name="Unpublished Work"&gt;34&lt;/ref-type&gt;&lt;contributors&gt;&lt;authors&gt;&lt;author&gt;McCarron, Mary&lt;/author&gt;&lt;author&gt;McCallion, Philip&lt;/author&gt;&lt;author&gt;Burke, Eilish&lt;/author&gt;&lt;author&gt;Timmins, Fiona&lt;/author&gt;&lt;/authors&gt;&lt;/contributors&gt;&lt;titles&gt;&lt;title&gt;End of Life Care for People with an Intellectual Disability a Qualitative Exploration of Staff Carers’ Experiences&lt;/title&gt;&lt;/titles&gt;&lt;dates&gt;&lt;year&gt;2021&lt;/year&gt;&lt;/dates&gt;&lt;publisher&gt;Research Square&lt;/publisher&gt;&lt;urls&gt;&lt;/urls&gt;&lt;electronic-resource-num&gt;https://doi.org/10.21203/rs.3.rs-1008624/v1&lt;/electronic-resource-num&gt;&lt;/record&gt;&lt;/Cite&gt;&lt;/EndNote&gt;</w:instrText>
      </w:r>
      <w:r w:rsidRPr="005C5501">
        <w:fldChar w:fldCharType="separate"/>
      </w:r>
      <w:r>
        <w:rPr>
          <w:noProof/>
        </w:rPr>
        <w:t>McCarron et al. (2021)</w:t>
      </w:r>
      <w:r w:rsidRPr="005C5501">
        <w:fldChar w:fldCharType="end"/>
      </w:r>
      <w:r>
        <w:t xml:space="preserve"> </w:t>
      </w:r>
      <w:r w:rsidRPr="00D50903">
        <w:t>suggest that earlier planning about end</w:t>
      </w:r>
      <w:r w:rsidR="00AD236A">
        <w:t xml:space="preserve"> of life</w:t>
      </w:r>
      <w:r w:rsidRPr="00D50903">
        <w:t xml:space="preserve"> care and earlier referral to palliative services is needed to support dying in place.</w:t>
      </w:r>
      <w:r>
        <w:t xml:space="preserve"> </w:t>
      </w:r>
    </w:p>
    <w:p w14:paraId="1DB20FD9" w14:textId="77777777" w:rsidR="00C43251" w:rsidRPr="00906B8B" w:rsidRDefault="00C43251" w:rsidP="11C55A92">
      <w:pPr>
        <w:pStyle w:val="Heading4"/>
        <w:rPr>
          <w:color w:val="auto"/>
        </w:rPr>
      </w:pPr>
      <w:bookmarkStart w:id="92" w:name="_Toc116045692"/>
      <w:r w:rsidRPr="00906B8B">
        <w:rPr>
          <w:color w:val="auto"/>
        </w:rPr>
        <w:t>Advance care planning</w:t>
      </w:r>
      <w:bookmarkEnd w:id="92"/>
    </w:p>
    <w:p w14:paraId="5316AB3B" w14:textId="2DAFBF7C" w:rsidR="00C43251" w:rsidRPr="005840AA" w:rsidRDefault="00C43251" w:rsidP="00C43251">
      <w:r>
        <w:t>Advance care planning (ACP) is one of the main approaches used in managing end</w:t>
      </w:r>
      <w:r w:rsidR="00AD236A">
        <w:t xml:space="preserve"> of </w:t>
      </w:r>
      <w:r>
        <w:t xml:space="preserve">life and palliative care needs </w:t>
      </w:r>
      <w:r>
        <w:fldChar w:fldCharType="begin"/>
      </w:r>
      <w:r w:rsidR="00FF5F49">
        <w:instrText xml:space="preserve"> ADDIN EN.CITE &lt;EndNote&gt;&lt;Cite&gt;&lt;Author&gt;Detering&lt;/Author&gt;&lt;Year&gt;2010&lt;/Year&gt;&lt;RecNum&gt;624&lt;/RecNum&gt;&lt;DisplayText&gt;(Voss et al., 2020; Detering et al., 2010)&lt;/DisplayText&gt;&lt;record&gt;&lt;rec-number&gt;624&lt;/rec-number&gt;&lt;foreign-keys&gt;&lt;key app="EN" db-id="xtwfdzde5ttr0zevxrh5sf0c2wfzw5zf2vra" timestamp="1655214046" guid="2ec7c8ed-f19d-43a7-9c68-44999432af65"&gt;624&lt;/key&gt;&lt;/foreign-keys&gt;&lt;ref-type name="Journal Article"&gt;17&lt;/ref-type&gt;&lt;contributors&gt;&lt;authors&gt;&lt;author&gt;Detering, Karen M&lt;/author&gt;&lt;author&gt;Hancock, Andrew D&lt;/author&gt;&lt;author&gt;Reade, Michael C&lt;/author&gt;&lt;author&gt;Silvester, William&lt;/author&gt;&lt;/authors&gt;&lt;/contributors&gt;&lt;titles&gt;&lt;title&gt;The impact of advance care planning on end of life care in elderly patients: randomised controlled trial&lt;/title&gt;&lt;secondary-title&gt;Bmj&lt;/secondary-title&gt;&lt;/titles&gt;&lt;periodical&gt;&lt;full-title&gt;Bmj&lt;/full-title&gt;&lt;/periodical&gt;&lt;volume&gt;340&lt;/volume&gt;&lt;dates&gt;&lt;year&gt;2010&lt;/year&gt;&lt;/dates&gt;&lt;isbn&gt;0959-8138&lt;/isbn&gt;&lt;urls&gt;&lt;/urls&gt;&lt;/record&gt;&lt;/Cite&gt;&lt;Cite&gt;&lt;Author&gt;Voss&lt;/Author&gt;&lt;Year&gt;2020&lt;/Year&gt;&lt;RecNum&gt;612&lt;/RecNum&gt;&lt;record&gt;&lt;rec-number&gt;612&lt;/rec-number&gt;&lt;foreign-keys&gt;&lt;key app="EN" db-id="xtwfdzde5ttr0zevxrh5sf0c2wfzw5zf2vra" timestamp="1652802848" guid="2b3f2e35-4366-4fde-a804-02ff074cdeae"&gt;612&lt;/key&gt;&lt;/foreign-keys&gt;&lt;ref-type name="Journal Article"&gt;17&lt;/ref-type&gt;&lt;contributors&gt;&lt;authors&gt;&lt;author&gt;Voss, Hille&lt;/author&gt;&lt;author&gt;Vogel, Anique&lt;/author&gt;&lt;author&gt;Wagemans, Annemieke MA&lt;/author&gt;&lt;author&gt;Francke, Anneke L&lt;/author&gt;&lt;author&gt;Metsemakers, Job FM&lt;/author&gt;&lt;author&gt;Courtens, Annemie M&lt;/author&gt;&lt;author&gt;de Veer, Anke JE&lt;/author&gt;&lt;/authors&gt;&lt;/contributors&gt;&lt;titles&gt;&lt;title&gt;What is important for advance care planning in the palliative phase of people with intellectual disabilities? A multi</w:instrText>
      </w:r>
      <w:r w:rsidR="00FF5F49">
        <w:rPr>
          <w:rFonts w:ascii="Cambria Math" w:hAnsi="Cambria Math" w:cs="Cambria Math"/>
        </w:rPr>
        <w:instrText>‐</w:instrText>
      </w:r>
      <w:r w:rsidR="00FF5F49">
        <w:instrText>perspective interview study&lt;/title&gt;&lt;secondary-title&gt;Journal of Applied Research in Intellectual Disabilities&lt;/secondary-title&gt;&lt;/titles&gt;&lt;periodical&gt;&lt;full-title&gt;Journal of Applied Research in Intellectual Disabilities&lt;/full-title&gt;&lt;/periodical&gt;&lt;pages&gt;160-171&lt;/pages&gt;&lt;volume&gt;33&lt;/volume&gt;&lt;number&gt;2&lt;/number&gt;&lt;dates&gt;&lt;year&gt;2020&lt;/year&gt;&lt;/dates&gt;&lt;isbn&gt;1360-2322&lt;/isbn&gt;&lt;urls&gt;&lt;/urls&gt;&lt;/record&gt;&lt;/Cite&gt;&lt;/EndNote&gt;</w:instrText>
      </w:r>
      <w:r>
        <w:fldChar w:fldCharType="separate"/>
      </w:r>
      <w:r w:rsidR="00FF5F49">
        <w:rPr>
          <w:noProof/>
        </w:rPr>
        <w:t>(Voss et al., 2020; Detering et al., 2010)</w:t>
      </w:r>
      <w:r>
        <w:fldChar w:fldCharType="end"/>
      </w:r>
      <w:r>
        <w:t xml:space="preserve">. It is a process of planning and documenting one’s own </w:t>
      </w:r>
      <w:r w:rsidDel="00AD236A">
        <w:t>end</w:t>
      </w:r>
      <w:r w:rsidR="00AD236A">
        <w:t xml:space="preserve"> of </w:t>
      </w:r>
      <w:r>
        <w:t xml:space="preserve">life preferences </w:t>
      </w:r>
      <w:r>
        <w:fldChar w:fldCharType="begin"/>
      </w:r>
      <w:r>
        <w:instrText xml:space="preserve"> ADDIN EN.CITE &lt;EndNote&gt;&lt;Cite&gt;&lt;Author&gt;McKenzie&lt;/Author&gt;&lt;Year&gt;2017&lt;/Year&gt;&lt;RecNum&gt;627&lt;/RecNum&gt;&lt;DisplayText&gt;(McKenzie et al., 2017)&lt;/DisplayText&gt;&lt;record&gt;&lt;rec-number&gt;627&lt;/rec-number&gt;&lt;foreign-keys&gt;&lt;key app="EN" db-id="xtwfdzde5ttr0zevxrh5sf0c2wfzw5zf2vra" timestamp="1655467701" guid="8f5ac8b5-47b6-439e-b62d-1e6e7a529753"&gt;627&lt;/key&gt;&lt;/foreign-keys&gt;&lt;ref-type name="Journal Article"&gt;17&lt;/ref-type&gt;&lt;contributors&gt;&lt;authors&gt;&lt;author&gt;McKenzie, Nicola&lt;/author&gt;&lt;author&gt;Mirfin</w:instrText>
      </w:r>
      <w:r>
        <w:rPr>
          <w:rFonts w:ascii="Cambria Math" w:hAnsi="Cambria Math" w:cs="Cambria Math"/>
        </w:rPr>
        <w:instrText>‐</w:instrText>
      </w:r>
      <w:r>
        <w:instrText>Veitch, Brigit&lt;/author&gt;&lt;author&gt;Conder, Jennifer&lt;/author&gt;&lt;author&gt;Brandford, Sharon&lt;/author&gt;&lt;/authors&gt;&lt;/contributors&gt;&lt;titles&gt;&lt;title&gt;</w:instrText>
      </w:r>
      <w:r>
        <w:rPr>
          <w:rFonts w:cs="Gill Sans MT"/>
        </w:rPr>
        <w:instrText>“</w:instrText>
      </w:r>
      <w:r>
        <w:instrText>I&amp;apos;m still here</w:instrText>
      </w:r>
      <w:r>
        <w:rPr>
          <w:rFonts w:cs="Gill Sans MT"/>
        </w:rPr>
        <w:instrText>”</w:instrText>
      </w:r>
      <w:r>
        <w:instrText>: Exploring what matters to people with intellectual disability during advance care planning&lt;/title&gt;&lt;secondary-title&gt;Journal of Applied Research in Intellectual Disabilities&lt;/secondary-title&gt;&lt;/titles&gt;&lt;periodical&gt;&lt;full-title&gt;Journal of Applied Research in Intellectual Disabilities&lt;/full-title&gt;&lt;/periodical&gt;&lt;pages&gt;1089-1098&lt;/pages&gt;&lt;volume&gt;30&lt;/volume&gt;&lt;number&gt;6&lt;/number&gt;&lt;dates&gt;&lt;year&gt;2017&lt;/year&gt;&lt;/dates&gt;&lt;publisher&gt;Wiley&lt;/publisher&gt;&lt;isbn&gt;1360-2322&lt;/isbn&gt;&lt;urls&gt;&lt;related-urls&gt;&lt;url&gt;https://dx.doi.org/10.1111/jar.12355&lt;/url&gt;&lt;/related-urls&gt;&lt;/urls&gt;&lt;electronic-resource-num&gt;10.1111/jar.12355&lt;/electronic-resource-num&gt;&lt;/record&gt;&lt;/Cite&gt;&lt;/EndNote&gt;</w:instrText>
      </w:r>
      <w:r>
        <w:fldChar w:fldCharType="separate"/>
      </w:r>
      <w:r>
        <w:rPr>
          <w:noProof/>
        </w:rPr>
        <w:t>(McKenzie et al., 2017)</w:t>
      </w:r>
      <w:r>
        <w:fldChar w:fldCharType="end"/>
      </w:r>
      <w:r>
        <w:t xml:space="preserve"> and is defined </w:t>
      </w:r>
      <w:r w:rsidRPr="00EC46EC">
        <w:t xml:space="preserve">as a </w:t>
      </w:r>
      <w:r>
        <w:t>“person-centred</w:t>
      </w:r>
      <w:r w:rsidRPr="00EC46EC">
        <w:t>, ongoing process of communication that facilitates patients' understanding, reflection, and discussion of goals, values, and preferences for future care</w:t>
      </w:r>
      <w:r>
        <w:t xml:space="preserve">” </w:t>
      </w:r>
      <w:r>
        <w:fldChar w:fldCharType="begin"/>
      </w:r>
      <w:r w:rsidR="00B5335A">
        <w:instrText xml:space="preserve"> ADDIN EN.CITE &lt;EndNote&gt;&lt;Cite&gt;&lt;Author&gt;Rogne&lt;/Author&gt;&lt;Year&gt;2013&lt;/Year&gt;&lt;RecNum&gt;634&lt;/RecNum&gt;&lt;Pages&gt;228&lt;/Pages&gt;&lt;DisplayText&gt;(Rogne &amp;amp; McCune, 2013, p. 228)&lt;/DisplayText&gt;&lt;record&gt;&lt;rec-number&gt;634&lt;/rec-number&gt;&lt;foreign-keys&gt;&lt;key app="EN" db-id="xtwfdzde5ttr0zevxrh5sf0c2wfzw5zf2vra" timestamp="1655473659" guid="a456b949-bccd-4f45-a58d-d3809693c9f3"&gt;634&lt;/key&gt;&lt;/foreign-keys&gt;&lt;ref-type name="Book"&gt;6&lt;/ref-type&gt;&lt;contributors&gt;&lt;authors&gt;&lt;author&gt;Rogne, Leah&lt;/author&gt;&lt;author&gt;McCune, Susana Lauraine&lt;/author&gt;&lt;/authors&gt;&lt;/contributors&gt;&lt;titles&gt;&lt;title&gt;Advance care planning: Communicating about matters of life and death&lt;/title&gt;&lt;/titles&gt;&lt;section&gt;228&lt;/section&gt;&lt;dates&gt;&lt;year&gt;2013&lt;/year&gt;&lt;/dates&gt;&lt;pub-location&gt;New York&lt;/pub-location&gt;&lt;publisher&gt;Springer Publishing Company&lt;/publisher&gt;&lt;isbn&gt;0826110223&lt;/isbn&gt;&lt;urls&gt;&lt;/urls&gt;&lt;/record&gt;&lt;/Cite&gt;&lt;/EndNote&gt;</w:instrText>
      </w:r>
      <w:r>
        <w:fldChar w:fldCharType="separate"/>
      </w:r>
      <w:r w:rsidR="00FF5F49">
        <w:rPr>
          <w:noProof/>
        </w:rPr>
        <w:t>(Rogne &amp; McCune, 2013, p. 228)</w:t>
      </w:r>
      <w:r>
        <w:fldChar w:fldCharType="end"/>
      </w:r>
      <w:r>
        <w:t>. ACP has been shown to improve end</w:t>
      </w:r>
      <w:r w:rsidR="00AD236A">
        <w:t xml:space="preserve"> of </w:t>
      </w:r>
      <w:r>
        <w:t xml:space="preserve">life care and patient and family satisfaction and reduce stress, anxiety and depression in the family members of deceased individuals </w:t>
      </w:r>
      <w:r>
        <w:fldChar w:fldCharType="begin"/>
      </w:r>
      <w:r w:rsidR="00FF5F49">
        <w:instrText xml:space="preserve"> ADDIN EN.CITE &lt;EndNote&gt;&lt;Cite&gt;&lt;Author&gt;Bernacki&lt;/Author&gt;&lt;Year&gt;2014&lt;/Year&gt;&lt;RecNum&gt;635&lt;/RecNum&gt;&lt;DisplayText&gt;(Bernacki &amp;amp; Block, 2014; Detering et al., 2010)&lt;/DisplayText&gt;&lt;record&gt;&lt;rec-number&gt;635&lt;/rec-number&gt;&lt;foreign-keys&gt;&lt;key app="EN" db-id="xtwfdzde5ttr0zevxrh5sf0c2wfzw5zf2vra" timestamp="1655474178" guid="e7e28dc3-a2ba-4b76-9dc4-89bf204a6e47"&gt;635&lt;/key&gt;&lt;/foreign-keys&gt;&lt;ref-type name="Journal Article"&gt;17&lt;/ref-type&gt;&lt;contributors&gt;&lt;authors&gt;&lt;author&gt;Bernacki, Rachelle E&lt;/author&gt;&lt;author&gt;Block, Susan D&lt;/author&gt;&lt;/authors&gt;&lt;/contributors&gt;&lt;titles&gt;&lt;title&gt;Communication about serious illness care goals: a review and synthesis of best practices&lt;/title&gt;&lt;secondary-title&gt;JAMA internal medicine&lt;/secondary-title&gt;&lt;/titles&gt;&lt;periodical&gt;&lt;full-title&gt;JAMA internal medicine&lt;/full-title&gt;&lt;/periodical&gt;&lt;pages&gt;1994-2003&lt;/pages&gt;&lt;volume&gt;174&lt;/volume&gt;&lt;number&gt;12&lt;/number&gt;&lt;dates&gt;&lt;year&gt;2014&lt;/year&gt;&lt;/dates&gt;&lt;isbn&gt;2168-6106&lt;/isbn&gt;&lt;urls&gt;&lt;/urls&gt;&lt;/record&gt;&lt;/Cite&gt;&lt;Cite&gt;&lt;Author&gt;Detering&lt;/Author&gt;&lt;Year&gt;2010&lt;/Year&gt;&lt;RecNum&gt;624&lt;/RecNum&gt;&lt;record&gt;&lt;rec-number&gt;624&lt;/rec-number&gt;&lt;foreign-keys&gt;&lt;key app="EN" db-id="xtwfdzde5ttr0zevxrh5sf0c2wfzw5zf2vra" timestamp="1655214046" guid="2ec7c8ed-f19d-43a7-9c68-44999432af65"&gt;624&lt;/key&gt;&lt;/foreign-keys&gt;&lt;ref-type name="Journal Article"&gt;17&lt;/ref-type&gt;&lt;contributors&gt;&lt;authors&gt;&lt;author&gt;Detering, Karen M&lt;/author&gt;&lt;author&gt;Hancock, Andrew D&lt;/author&gt;&lt;author&gt;Reade, Michael C&lt;/author&gt;&lt;author&gt;Silvester, William&lt;/author&gt;&lt;/authors&gt;&lt;/contributors&gt;&lt;titles&gt;&lt;title&gt;The impact of advance care planning on end of life care in elderly patients: randomised controlled trial&lt;/title&gt;&lt;secondary-title&gt;Bmj&lt;/secondary-title&gt;&lt;/titles&gt;&lt;periodical&gt;&lt;full-title&gt;Bmj&lt;/full-title&gt;&lt;/periodical&gt;&lt;volume&gt;340&lt;/volume&gt;&lt;dates&gt;&lt;year&gt;2010&lt;/year&gt;&lt;/dates&gt;&lt;isbn&gt;0959-8138&lt;/isbn&gt;&lt;urls&gt;&lt;/urls&gt;&lt;/record&gt;&lt;/Cite&gt;&lt;/EndNote&gt;</w:instrText>
      </w:r>
      <w:r>
        <w:fldChar w:fldCharType="separate"/>
      </w:r>
      <w:r w:rsidR="00FF5F49">
        <w:rPr>
          <w:noProof/>
        </w:rPr>
        <w:t>(Bernacki &amp; Block, 2014; Detering et al., 2010)</w:t>
      </w:r>
      <w:r>
        <w:fldChar w:fldCharType="end"/>
      </w:r>
      <w:r>
        <w:t xml:space="preserve">. A systematic review carried out by </w:t>
      </w:r>
      <w:r>
        <w:fldChar w:fldCharType="begin"/>
      </w:r>
      <w:r>
        <w:instrText xml:space="preserve"> ADDIN EN.CITE &lt;EndNote&gt;&lt;Cite AuthorYear="1"&gt;&lt;Author&gt;Martin&lt;/Author&gt;&lt;Year&gt;2016&lt;/Year&gt;&lt;RecNum&gt;636&lt;/RecNum&gt;&lt;DisplayText&gt;Martin et al. (2016)&lt;/DisplayText&gt;&lt;record&gt;&lt;rec-number&gt;636&lt;/rec-number&gt;&lt;foreign-keys&gt;&lt;key app="EN" db-id="xtwfdzde5ttr0zevxrh5sf0c2wfzw5zf2vra" timestamp="1655474245" guid="4054564d-3cca-45fa-842b-ca859cb80fc6"&gt;636&lt;/key&gt;&lt;/foreign-keys&gt;&lt;ref-type name="Journal Article"&gt;17&lt;/ref-type&gt;&lt;contributors&gt;&lt;authors&gt;&lt;author&gt;Martin, Ruth S&lt;/author&gt;&lt;author&gt;Hayes, Barbara&lt;/author&gt;&lt;author&gt;Gregorevic, Kate&lt;/author&gt;&lt;author&gt;Lim, Wen Kwang&lt;/author&gt;&lt;/authors&gt;&lt;/contributors&gt;&lt;titles&gt;&lt;title&gt;The effects of advance care planning interventions on nursing home residents: a systematic review&lt;/title&gt;&lt;secondary-title&gt;Journal of the American Medical Directors Association&lt;/secondary-title&gt;&lt;/titles&gt;&lt;periodical&gt;&lt;full-title&gt;Journal of the American Medical Directors Association&lt;/full-title&gt;&lt;/periodical&gt;&lt;pages&gt;284-293&lt;/pages&gt;&lt;volume&gt;17&lt;/volume&gt;&lt;number&gt;4&lt;/number&gt;&lt;dates&gt;&lt;year&gt;2016&lt;/year&gt;&lt;/dates&gt;&lt;isbn&gt;1525-8610&lt;/isbn&gt;&lt;urls&gt;&lt;/urls&gt;&lt;/record&gt;&lt;/Cite&gt;&lt;/EndNote&gt;</w:instrText>
      </w:r>
      <w:r>
        <w:fldChar w:fldCharType="separate"/>
      </w:r>
      <w:r>
        <w:rPr>
          <w:noProof/>
        </w:rPr>
        <w:t>Martin et al. (2016)</w:t>
      </w:r>
      <w:r>
        <w:fldChar w:fldCharType="end"/>
      </w:r>
      <w:r>
        <w:t xml:space="preserve"> among nursing home residents showed that ACP led to a reduction in unwanted medical interventions at the end of life and to more actions that supported the wishes of residents. While ACP could potentially improve end</w:t>
      </w:r>
      <w:r w:rsidR="00AD236A">
        <w:t xml:space="preserve"> of </w:t>
      </w:r>
      <w:r>
        <w:t xml:space="preserve">life care, the tools and methods used are varied and the outcome measures used in existing studies are highly variable </w:t>
      </w:r>
      <w:r>
        <w:fldChar w:fldCharType="begin"/>
      </w:r>
      <w:r w:rsidR="00FF5F49">
        <w:instrText xml:space="preserve"> ADDIN EN.CITE &lt;EndNote&gt;&lt;Cite&gt;&lt;Author&gt;Detering&lt;/Author&gt;&lt;Year&gt;2010&lt;/Year&gt;&lt;RecNum&gt;624&lt;/RecNum&gt;&lt;DisplayText&gt;(Martin et al., 2016; Detering et al., 2010)&lt;/DisplayText&gt;&lt;record&gt;&lt;rec-number&gt;624&lt;/rec-number&gt;&lt;foreign-keys&gt;&lt;key app="EN" db-id="xtwfdzde5ttr0zevxrh5sf0c2wfzw5zf2vra" timestamp="1655214046" guid="2ec7c8ed-f19d-43a7-9c68-44999432af65"&gt;624&lt;/key&gt;&lt;/foreign-keys&gt;&lt;ref-type name="Journal Article"&gt;17&lt;/ref-type&gt;&lt;contributors&gt;&lt;authors&gt;&lt;author&gt;Detering, Karen M&lt;/author&gt;&lt;author&gt;Hancock, Andrew D&lt;/author&gt;&lt;author&gt;Reade, Michael C&lt;/author&gt;&lt;author&gt;Silvester, William&lt;/author&gt;&lt;/authors&gt;&lt;/contributors&gt;&lt;titles&gt;&lt;title&gt;The impact of advance care planning on end of life care in elderly patients: randomised controlled trial&lt;/title&gt;&lt;secondary-title&gt;Bmj&lt;/secondary-title&gt;&lt;/titles&gt;&lt;periodical&gt;&lt;full-title&gt;Bmj&lt;/full-title&gt;&lt;/periodical&gt;&lt;volume&gt;340&lt;/volume&gt;&lt;dates&gt;&lt;year&gt;2010&lt;/year&gt;&lt;/dates&gt;&lt;isbn&gt;0959-8138&lt;/isbn&gt;&lt;urls&gt;&lt;/urls&gt;&lt;/record&gt;&lt;/Cite&gt;&lt;Cite&gt;&lt;Author&gt;Martin&lt;/Author&gt;&lt;Year&gt;2016&lt;/Year&gt;&lt;RecNum&gt;636&lt;/RecNum&gt;&lt;record&gt;&lt;rec-number&gt;636&lt;/rec-number&gt;&lt;foreign-keys&gt;&lt;key app="EN" db-id="xtwfdzde5ttr0zevxrh5sf0c2wfzw5zf2vra" timestamp="1655474245" guid="4054564d-3cca-45fa-842b-ca859cb80fc6"&gt;636&lt;/key&gt;&lt;/foreign-keys&gt;&lt;ref-type name="Journal Article"&gt;17&lt;/ref-type&gt;&lt;contributors&gt;&lt;authors&gt;&lt;author&gt;Martin, Ruth S&lt;/author&gt;&lt;author&gt;Hayes, Barbara&lt;/author&gt;&lt;author&gt;Gregorevic, Kate&lt;/author&gt;&lt;author&gt;Lim, Wen Kwang&lt;/author&gt;&lt;/authors&gt;&lt;/contributors&gt;&lt;titles&gt;&lt;title&gt;The effects of advance care planning interventions on nursing home residents: a systematic review&lt;/title&gt;&lt;secondary-title&gt;Journal of the American Medical Directors Association&lt;/secondary-title&gt;&lt;/titles&gt;&lt;periodical&gt;&lt;full-title&gt;Journal of the American Medical Directors Association&lt;/full-title&gt;&lt;/periodical&gt;&lt;pages&gt;284-293&lt;/pages&gt;&lt;volume&gt;17&lt;/volume&gt;&lt;number&gt;4&lt;/number&gt;&lt;dates&gt;&lt;year&gt;2016&lt;/year&gt;&lt;/dates&gt;&lt;isbn&gt;1525-8610&lt;/isbn&gt;&lt;urls&gt;&lt;/urls&gt;&lt;/record&gt;&lt;/Cite&gt;&lt;/EndNote&gt;</w:instrText>
      </w:r>
      <w:r>
        <w:fldChar w:fldCharType="separate"/>
      </w:r>
      <w:r w:rsidR="00FF5F49">
        <w:rPr>
          <w:noProof/>
        </w:rPr>
        <w:t>(Martin et al., 2016; Detering et al., 2010)</w:t>
      </w:r>
      <w:r>
        <w:fldChar w:fldCharType="end"/>
      </w:r>
      <w:r>
        <w:t xml:space="preserve">. </w:t>
      </w:r>
      <w:r w:rsidRPr="00AC37F0">
        <w:t xml:space="preserve">Furthermore, the literature </w:t>
      </w:r>
      <w:r>
        <w:t>indicates</w:t>
      </w:r>
      <w:r w:rsidRPr="00AC37F0">
        <w:t xml:space="preserve"> that</w:t>
      </w:r>
      <w:r>
        <w:t xml:space="preserve"> intellectual disability</w:t>
      </w:r>
      <w:r w:rsidRPr="00AC37F0">
        <w:t xml:space="preserve"> services are </w:t>
      </w:r>
      <w:r>
        <w:t xml:space="preserve">largely </w:t>
      </w:r>
      <w:r w:rsidRPr="00AC37F0">
        <w:t>unprepared to meet the end</w:t>
      </w:r>
      <w:r w:rsidR="00AD236A">
        <w:t xml:space="preserve"> of </w:t>
      </w:r>
      <w:r w:rsidRPr="00AC37F0">
        <w:t xml:space="preserve">life needs of people </w:t>
      </w:r>
      <w:r w:rsidR="007B4A0C">
        <w:t>with intellectual disabilities</w:t>
      </w:r>
      <w:r w:rsidRPr="00AC37F0">
        <w:t xml:space="preserve"> and that healthcare staff and families are unsure about how and when to approach end</w:t>
      </w:r>
      <w:r w:rsidR="00AD236A">
        <w:t xml:space="preserve"> of life</w:t>
      </w:r>
      <w:r w:rsidRPr="00AC37F0">
        <w:t xml:space="preserve"> conversations </w:t>
      </w:r>
      <w:r w:rsidRPr="00AC37F0">
        <w:fldChar w:fldCharType="begin"/>
      </w:r>
      <w:r w:rsidR="006A378C">
        <w:instrText xml:space="preserve"> ADDIN EN.CITE &lt;EndNote&gt;&lt;Cite&gt;&lt;Author&gt;McCarron&lt;/Author&gt;&lt;Year&gt;2017&lt;/Year&gt;&lt;RecNum&gt;628&lt;/RecNum&gt;&lt;DisplayText&gt;(McCarron et al., 2017a)&lt;/DisplayText&gt;&lt;record&gt;&lt;rec-number&gt;628&lt;/rec-number&gt;&lt;foreign-keys&gt;&lt;key app="EN" db-id="xtwfdzde5ttr0zevxrh5sf0c2wfzw5zf2vra" timestamp="1655470903" guid="51d06a72-67ac-47bc-a4c7-66d7d4965d25"&gt;628&lt;/key&gt;&lt;/foreign-keys&gt;&lt;ref-type name="Report"&gt;27&lt;/ref-type&gt;&lt;contributors&gt;&lt;authors&gt;&lt;author&gt;McCarron, M&lt;/author&gt;&lt;author&gt;Burke, E&lt;/author&gt;&lt;author&gt;White, P&lt;/author&gt;&lt;author&gt;O Dwyer, C&lt;/author&gt;&lt;author&gt;Ryan, K&lt;/author&gt;&lt;author&gt;O Farrell,&lt;/author&gt;&lt;author&gt;McCallion, P&lt;/author&gt;&lt;/authors&gt;&lt;/contributors&gt;&lt;titles&gt;&lt;title&gt;“He’d mind you, you mind him” Experiences of end of life care for people with an intellectual disability as perceived by staff carers&lt;/title&gt;&lt;/titles&gt;&lt;dates&gt;&lt;year&gt;2017&lt;/year&gt;&lt;/dates&gt;&lt;pub-location&gt;Dublin&lt;/pub-location&gt;&lt;publisher&gt;Trinity College Dublin&lt;/publisher&gt;&lt;urls&gt;&lt;/urls&gt;&lt;/record&gt;&lt;/Cite&gt;&lt;/EndNote&gt;</w:instrText>
      </w:r>
      <w:r w:rsidRPr="00AC37F0">
        <w:fldChar w:fldCharType="separate"/>
      </w:r>
      <w:r>
        <w:rPr>
          <w:noProof/>
        </w:rPr>
        <w:t>(McCarron et al., 2017a)</w:t>
      </w:r>
      <w:r w:rsidRPr="00AC37F0">
        <w:fldChar w:fldCharType="end"/>
      </w:r>
      <w:r w:rsidRPr="00AC37F0">
        <w:t xml:space="preserve">. In </w:t>
      </w:r>
      <w:r>
        <w:t>response to this, IDS-TILDA developed the ‘Glancing Back, Looking Forward’ planning toolkit for health care staff which includes a suite of easy-to-read materials to facilitate end</w:t>
      </w:r>
      <w:r w:rsidR="00AD236A">
        <w:t xml:space="preserve"> of life</w:t>
      </w:r>
      <w:r>
        <w:t xml:space="preserve"> conversations with the individual, and to enable autonomy regarding their own death </w:t>
      </w:r>
      <w:r>
        <w:fldChar w:fldCharType="begin"/>
      </w:r>
      <w:r w:rsidR="006A378C">
        <w:instrText xml:space="preserve"> ADDIN EN.CITE &lt;EndNote&gt;&lt;Cite&gt;&lt;Author&gt;McCarron&lt;/Author&gt;&lt;Year&gt;2017&lt;/Year&gt;&lt;RecNum&gt;628&lt;/RecNum&gt;&lt;DisplayText&gt;(McCarron et al., 2017a)&lt;/DisplayText&gt;&lt;record&gt;&lt;rec-number&gt;628&lt;/rec-number&gt;&lt;foreign-keys&gt;&lt;key app="EN" db-id="xtwfdzde5ttr0zevxrh5sf0c2wfzw5zf2vra" timestamp="1655470903" guid="51d06a72-67ac-47bc-a4c7-66d7d4965d25"&gt;628&lt;/key&gt;&lt;/foreign-keys&gt;&lt;ref-type name="Report"&gt;27&lt;/ref-type&gt;&lt;contributors&gt;&lt;authors&gt;&lt;author&gt;McCarron, M&lt;/author&gt;&lt;author&gt;Burke, E&lt;/author&gt;&lt;author&gt;White, P&lt;/author&gt;&lt;author&gt;O Dwyer, C&lt;/author&gt;&lt;author&gt;Ryan, K&lt;/author&gt;&lt;author&gt;O Farrell,&lt;/author&gt;&lt;author&gt;McCallion, P&lt;/author&gt;&lt;/authors&gt;&lt;/contributors&gt;&lt;titles&gt;&lt;title&gt;“He’d mind you, you mind him” Experiences of end of life care for people with an intellectual disability as perceived by staff carers&lt;/title&gt;&lt;/titles&gt;&lt;dates&gt;&lt;year&gt;2017&lt;/year&gt;&lt;/dates&gt;&lt;pub-location&gt;Dublin&lt;/pub-location&gt;&lt;publisher&gt;Trinity College Dublin&lt;/publisher&gt;&lt;urls&gt;&lt;/urls&gt;&lt;/record&gt;&lt;/Cite&gt;&lt;/EndNote&gt;</w:instrText>
      </w:r>
      <w:r>
        <w:fldChar w:fldCharType="separate"/>
      </w:r>
      <w:r>
        <w:rPr>
          <w:noProof/>
        </w:rPr>
        <w:t>(McCarron et al., 2017a)</w:t>
      </w:r>
      <w:r>
        <w:fldChar w:fldCharType="end"/>
      </w:r>
      <w:r>
        <w:t xml:space="preserve">. </w:t>
      </w:r>
    </w:p>
    <w:p w14:paraId="2A42E401" w14:textId="7C193C68" w:rsidR="00DC41B2" w:rsidRPr="00906B8B" w:rsidRDefault="00DC41B2" w:rsidP="001466E9">
      <w:pPr>
        <w:pStyle w:val="Heading2"/>
      </w:pPr>
      <w:bookmarkStart w:id="93" w:name="_Toc118555191"/>
      <w:bookmarkStart w:id="94" w:name="_Toc118558258"/>
      <w:bookmarkStart w:id="95" w:name="_Toc118558349"/>
      <w:bookmarkStart w:id="96" w:name="_Toc121830604"/>
      <w:bookmarkStart w:id="97" w:name="_Toc116045693"/>
      <w:r w:rsidRPr="00906B8B">
        <w:t>Measuring outcomes of service</w:t>
      </w:r>
      <w:bookmarkEnd w:id="93"/>
      <w:bookmarkEnd w:id="94"/>
      <w:bookmarkEnd w:id="95"/>
      <w:bookmarkEnd w:id="96"/>
    </w:p>
    <w:p w14:paraId="24698C99" w14:textId="77777777" w:rsidR="003E41CA" w:rsidRDefault="003E41CA" w:rsidP="003E41CA">
      <w:pPr>
        <w:rPr>
          <w:b/>
        </w:rPr>
      </w:pPr>
      <w:r w:rsidRPr="006B08B8">
        <w:t xml:space="preserve">The following section provides an overview of outcome measurement in disability services, including the purpose of measuring outcomes, what it encompasses, and the </w:t>
      </w:r>
      <w:r>
        <w:t>related challenges</w:t>
      </w:r>
      <w:r w:rsidRPr="006B08B8">
        <w:t>.</w:t>
      </w:r>
    </w:p>
    <w:p w14:paraId="219F74BF" w14:textId="02C17452" w:rsidR="00F62AD9" w:rsidRDefault="003E41CA" w:rsidP="003E41CA">
      <w:r w:rsidRPr="006B08B8">
        <w:t xml:space="preserve">Existing research </w:t>
      </w:r>
      <w:r w:rsidR="00484231">
        <w:t>suggests</w:t>
      </w:r>
      <w:r w:rsidRPr="006B08B8">
        <w:t xml:space="preserve"> that care systems </w:t>
      </w:r>
      <w:r w:rsidR="007C0395">
        <w:t>do not always</w:t>
      </w:r>
      <w:r w:rsidRPr="006B08B8">
        <w:t xml:space="preserve"> adequately meet the needs of people with intellectual disabilities highlight</w:t>
      </w:r>
      <w:r w:rsidR="007C0395">
        <w:t>ing</w:t>
      </w:r>
      <w:r w:rsidRPr="006B08B8">
        <w:t xml:space="preserve"> the need within the intellectual disability service system for more consistent and responsive services that support positive outcomes </w:t>
      </w:r>
      <w:r w:rsidR="004A5BC5">
        <w:fldChar w:fldCharType="begin"/>
      </w:r>
      <w:r w:rsidR="004A5BC5">
        <w:instrText xml:space="preserve"> ADDIN EN.CITE &lt;EndNote&gt;&lt;Cite&gt;&lt;Author&gt;Townsend</w:instrText>
      </w:r>
      <w:r w:rsidR="004A5BC5">
        <w:rPr>
          <w:rFonts w:ascii="Cambria Math" w:hAnsi="Cambria Math" w:cs="Cambria Math"/>
        </w:rPr>
        <w:instrText>‐</w:instrText>
      </w:r>
      <w:r w:rsidR="004A5BC5">
        <w:instrText>White&lt;/Author&gt;&lt;Year&gt;2012&lt;/Year&gt;&lt;RecNum&gt;721&lt;/RecNum&gt;&lt;DisplayText&gt;(Townsend</w:instrText>
      </w:r>
      <w:r w:rsidR="004A5BC5">
        <w:rPr>
          <w:rFonts w:ascii="Cambria Math" w:hAnsi="Cambria Math" w:cs="Cambria Math"/>
        </w:rPr>
        <w:instrText>‐</w:instrText>
      </w:r>
      <w:r w:rsidR="004A5BC5">
        <w:instrText>White et al., 2012)&lt;/DisplayText&gt;&lt;record&gt;&lt;rec-number&gt;721&lt;/rec-number&gt;&lt;foreign-keys&gt;&lt;key app="EN" db-id="xtwfdzde5ttr0zevxrh5sf0c2wfzw5zf2vra" timestamp="1667245482" guid="87b6feb2-dfaf-4a76-8a74-168ae85d459b"&gt;721&lt;/key&gt;&lt;/foreign-keys&gt;&lt;ref-type name="Journal Article"&gt;17&lt;/ref-type&gt;&lt;contributors&gt;&lt;authors&gt;&lt;author&gt;Townsend</w:instrText>
      </w:r>
      <w:r w:rsidR="004A5BC5">
        <w:rPr>
          <w:rFonts w:ascii="Cambria Math" w:hAnsi="Cambria Math" w:cs="Cambria Math"/>
        </w:rPr>
        <w:instrText>‐</w:instrText>
      </w:r>
      <w:r w:rsidR="004A5BC5">
        <w:instrText>White, Clare&lt;/author&gt;&lt;author&gt;Pham, ANT&lt;/author&gt;&lt;author&gt;Vassos, MV&lt;/author&gt;&lt;/authors&gt;&lt;/contributors&gt;&lt;titles&gt;&lt;title&gt;A systematic review of quality of life measures for people with intellectual disabilities and challenging behaviours&lt;/title&gt;&lt;secondary-title&gt;Journal of Intellectual Disability Research&lt;/secondary-title&gt;&lt;/titles&gt;&lt;periodical&gt;&lt;full-title&gt;Journal of Intellectual Disability Research&lt;/full-title&gt;&lt;/periodical&gt;&lt;pages&gt;270-284&lt;/pages&gt;&lt;volume&gt;56&lt;/volume&gt;&lt;number&gt;3&lt;/number&gt;&lt;dates&gt;&lt;year&gt;2012&lt;/year&gt;&lt;/dates&gt;&lt;isbn&gt;0964-2633&lt;/isbn&gt;&lt;urls&gt;&lt;/urls&gt;&lt;/record&gt;&lt;/Cite&gt;&lt;/EndNote&gt;</w:instrText>
      </w:r>
      <w:r w:rsidR="004A5BC5">
        <w:fldChar w:fldCharType="separate"/>
      </w:r>
      <w:r w:rsidR="004A5BC5">
        <w:t>(Townsend</w:t>
      </w:r>
      <w:r w:rsidR="004A5BC5">
        <w:rPr>
          <w:rFonts w:ascii="Cambria Math" w:hAnsi="Cambria Math" w:cs="Cambria Math"/>
        </w:rPr>
        <w:t>‐</w:t>
      </w:r>
      <w:r w:rsidR="004A5BC5">
        <w:t>White et al., 2012)</w:t>
      </w:r>
      <w:r w:rsidR="004A5BC5">
        <w:fldChar w:fldCharType="end"/>
      </w:r>
      <w:r w:rsidR="004A5BC5">
        <w:t>.</w:t>
      </w:r>
      <w:r w:rsidRPr="006B08B8">
        <w:t xml:space="preserve"> </w:t>
      </w:r>
      <w:r w:rsidR="00AE64D7">
        <w:t xml:space="preserve">Prior to the </w:t>
      </w:r>
      <w:r w:rsidR="00AE64D7" w:rsidRPr="0011292C">
        <w:rPr>
          <w:rFonts w:cs="Calibri"/>
          <w:szCs w:val="26"/>
          <w:lang w:eastAsia="en-IE"/>
        </w:rPr>
        <w:t>development of national standards for disability services</w:t>
      </w:r>
      <w:r w:rsidR="00AE64D7">
        <w:rPr>
          <w:rFonts w:cs="Calibri"/>
          <w:szCs w:val="26"/>
          <w:lang w:eastAsia="en-IE"/>
        </w:rPr>
        <w:t xml:space="preserve"> </w:t>
      </w:r>
      <w:r w:rsidR="00AE64D7" w:rsidRPr="0011292C">
        <w:rPr>
          <w:rFonts w:cs="Calibri"/>
          <w:szCs w:val="26"/>
          <w:lang w:eastAsia="en-IE"/>
        </w:rPr>
        <w:t>(HIQA</w:t>
      </w:r>
      <w:r w:rsidR="00AE64D7">
        <w:rPr>
          <w:rFonts w:cs="Calibri"/>
          <w:szCs w:val="26"/>
          <w:lang w:eastAsia="en-IE"/>
        </w:rPr>
        <w:t xml:space="preserve">, </w:t>
      </w:r>
      <w:r w:rsidR="00AE64D7" w:rsidRPr="0011292C">
        <w:rPr>
          <w:rFonts w:cs="Calibri"/>
          <w:szCs w:val="26"/>
          <w:lang w:eastAsia="en-IE"/>
        </w:rPr>
        <w:t>2013</w:t>
      </w:r>
      <w:r w:rsidR="00AE64D7">
        <w:rPr>
          <w:rFonts w:cs="Calibri"/>
          <w:szCs w:val="26"/>
          <w:lang w:eastAsia="en-IE"/>
        </w:rPr>
        <w:t xml:space="preserve">) </w:t>
      </w:r>
      <w:r w:rsidR="00AE64D7">
        <w:t>t</w:t>
      </w:r>
      <w:r w:rsidRPr="006B08B8">
        <w:t>here ha</w:t>
      </w:r>
      <w:r w:rsidR="00AE64D7">
        <w:t>d</w:t>
      </w:r>
      <w:r w:rsidRPr="006B08B8">
        <w:t xml:space="preserve"> been limited formal regulation of disability services in Ireland, with a lack of mandatory standards and no external oversight</w:t>
      </w:r>
      <w:r w:rsidR="00F62AD9">
        <w:t xml:space="preserve"> </w:t>
      </w:r>
      <w:r w:rsidR="00F62AD9">
        <w:fldChar w:fldCharType="begin"/>
      </w:r>
      <w:r w:rsidR="00F62AD9">
        <w:instrText xml:space="preserve"> ADDIN EN.CITE &lt;EndNote&gt;&lt;Cite&gt;&lt;Author&gt;National Economic Social Council&lt;/Author&gt;&lt;Year&gt;2012&lt;/Year&gt;&lt;RecNum&gt;512&lt;/RecNum&gt;&lt;DisplayText&gt;(National Economic Social Council, 2012)&lt;/DisplayText&gt;&lt;record&gt;&lt;rec-number&gt;512&lt;/rec-number&gt;&lt;foreign-keys&gt;&lt;key app="EN" db-id="xtwfdzde5ttr0zevxrh5sf0c2wfzw5zf2vra" timestamp="1648653944" guid="59b9019f-5194-4ea1-88b7-52c39bbd9997"&gt;512&lt;/key&gt;&lt;/foreign-keys&gt;&lt;ref-type name="Report"&gt;27&lt;/ref-type&gt;&lt;contributors&gt;&lt;authors&gt;&lt;author&gt;National Economic Social Council, &lt;/author&gt;&lt;/authors&gt;&lt;/contributors&gt;&lt;titles&gt;&lt;title&gt;Quality and standards in human services in Ireland: Disability services&lt;/title&gt;&lt;/titles&gt;&lt;dates&gt;&lt;year&gt;2012&lt;/year&gt;&lt;/dates&gt;&lt;pub-location&gt;Ireland&lt;/pub-location&gt;&lt;publisher&gt;National Economic Social Council&lt;/publisher&gt;&lt;urls&gt;&lt;/urls&gt;&lt;/record&gt;&lt;/Cite&gt;&lt;/EndNote&gt;</w:instrText>
      </w:r>
      <w:r w:rsidR="00F62AD9">
        <w:fldChar w:fldCharType="separate"/>
      </w:r>
      <w:r w:rsidR="00F62AD9" w:rsidRPr="0482FF18">
        <w:rPr>
          <w:noProof/>
        </w:rPr>
        <w:t>(</w:t>
      </w:r>
      <w:r w:rsidR="00F62AD9">
        <w:t>National Economic Social Council, 2012)</w:t>
      </w:r>
      <w:r w:rsidR="00F62AD9">
        <w:fldChar w:fldCharType="end"/>
      </w:r>
      <w:r w:rsidRPr="006B08B8">
        <w:t>. There has also been a lack of focus on outcomes, which ‘are the effects on the individual of the services or supports received’</w:t>
      </w:r>
      <w:r w:rsidR="00F740FB">
        <w:t xml:space="preserve"> </w:t>
      </w:r>
      <w:r w:rsidR="00F740FB">
        <w:fldChar w:fldCharType="begin"/>
      </w:r>
      <w:r w:rsidR="00F740FB">
        <w:instrText xml:space="preserve"> ADDIN EN.CITE &lt;EndNote&gt;&lt;Cite&gt;&lt;Author&gt;National Economic Social Council&lt;/Author&gt;&lt;Year&gt;2012&lt;/Year&gt;&lt;RecNum&gt;512&lt;/RecNum&gt;&lt;Pages&gt;ix&lt;/Pages&gt;&lt;DisplayText&gt;(National Economic Social Council, 2012, p. ix)&lt;/DisplayText&gt;&lt;record&gt;&lt;rec-number&gt;512&lt;/rec-number&gt;&lt;foreign-keys&gt;&lt;key app="EN" db-id="xtwfdzde5ttr0zevxrh5sf0c2wfzw5zf2vra" timestamp="1648653944" guid="59b9019f-5194-4ea1-88b7-52c39bbd9997"&gt;512&lt;/key&gt;&lt;/foreign-keys&gt;&lt;ref-type name="Report"&gt;27&lt;/ref-type&gt;&lt;contributors&gt;&lt;authors&gt;&lt;author&gt;National Economic Social Council, &lt;/author&gt;&lt;/authors&gt;&lt;/contributors&gt;&lt;titles&gt;&lt;title&gt;Quality and standards in human services in Ireland: Disability services&lt;/title&gt;&lt;/titles&gt;&lt;dates&gt;&lt;year&gt;2012&lt;/year&gt;&lt;/dates&gt;&lt;pub-location&gt;Ireland&lt;/pub-location&gt;&lt;publisher&gt;National Economic Social Council&lt;/publisher&gt;&lt;urls&gt;&lt;/urls&gt;&lt;/record&gt;&lt;/Cite&gt;&lt;/EndNote&gt;</w:instrText>
      </w:r>
      <w:r w:rsidR="00F740FB">
        <w:fldChar w:fldCharType="separate"/>
      </w:r>
      <w:r w:rsidR="00F740FB">
        <w:t>(National Economic Social Council, 2012, p. ix)</w:t>
      </w:r>
      <w:r w:rsidR="00F740FB">
        <w:fldChar w:fldCharType="end"/>
      </w:r>
      <w:r w:rsidRPr="006B08B8">
        <w:t xml:space="preserve"> and little accountability in terms of the quality of service delivered in Ireland</w:t>
      </w:r>
      <w:r w:rsidR="007C2B2A">
        <w:t xml:space="preserve">. </w:t>
      </w:r>
    </w:p>
    <w:p w14:paraId="594FBADE" w14:textId="7A4BE6A4" w:rsidR="004C2E24" w:rsidRPr="004C2E24" w:rsidRDefault="003E41CA" w:rsidP="00F50D05">
      <w:r w:rsidRPr="006B08B8">
        <w:t>Historically, funding bodies and service providers monitored public services by measuring inputs, which measure resources related to a certain program</w:t>
      </w:r>
      <w:r w:rsidR="00F81F21">
        <w:t>me</w:t>
      </w:r>
      <w:r w:rsidRPr="006B08B8">
        <w:t xml:space="preserve"> (e.g., funding; staffing) and outputs, which measure the results achieved through the provision of services (e.g., number of people supported) </w:t>
      </w:r>
      <w:r w:rsidR="009F717C">
        <w:fldChar w:fldCharType="begin"/>
      </w:r>
      <w:r w:rsidR="00AC544A">
        <w:instrText xml:space="preserve"> ADDIN EN.CITE &lt;EndNote&gt;&lt;Cite&gt;&lt;Author&gt;NDA&lt;/Author&gt;&lt;Year&gt;2019&lt;/Year&gt;&lt;RecNum&gt;731&lt;/RecNum&gt;&lt;DisplayText&gt;(NDA, 2019; Quilliam &amp;amp; Wilson, 2011)&lt;/DisplayText&gt;&lt;record&gt;&lt;rec-number&gt;731&lt;/rec-number&gt;&lt;foreign-keys&gt;&lt;key app="EN" db-id="xtwfdzde5ttr0zevxrh5sf0c2wfzw5zf2vra" timestamp="1667405507" guid="89a7deb2-ca72-4fd0-aaf6-7ca2cbb0f830"&gt;731&lt;/key&gt;&lt;/foreign-keys&gt;&lt;ref-type name="Report"&gt;27&lt;/ref-type&gt;&lt;contributors&gt;&lt;authors&gt;&lt;author&gt;NDA, &lt;/author&gt;&lt;/authors&gt;&lt;/contributors&gt;&lt;titles&gt;&lt;title&gt;Outcome Measurement in evaluating the Quality of Disability Services&lt;/title&gt;&lt;/titles&gt;&lt;dates&gt;&lt;year&gt;2019&lt;/year&gt;&lt;/dates&gt;&lt;pub-location&gt;Dublin&lt;/pub-location&gt;&lt;publisher&gt;National Disability Authority&lt;/publisher&gt;&lt;urls&gt;&lt;/urls&gt;&lt;/record&gt;&lt;/Cite&gt;&lt;Cite&gt;&lt;Author&gt;Quilliam&lt;/Author&gt;&lt;Year&gt;2011&lt;/Year&gt;&lt;RecNum&gt;732&lt;/RecNum&gt;&lt;record&gt;&lt;rec-number&gt;732&lt;/rec-number&gt;&lt;foreign-keys&gt;&lt;key app="EN" db-id="xtwfdzde5ttr0zevxrh5sf0c2wfzw5zf2vra" timestamp="1667405639" guid="00b9b6de-2048-4919-8000-3ef5cf78b173"&gt;732&lt;/key&gt;&lt;/foreign-keys&gt;&lt;ref-type name="Report"&gt;27&lt;/ref-type&gt;&lt;contributors&gt;&lt;authors&gt;&lt;author&gt;Quilliam, C&lt;/author&gt;&lt;author&gt;Wilson, E&lt;/author&gt;&lt;/authors&gt;&lt;/contributors&gt;&lt;titles&gt;&lt;title&gt;Literature Review Outcomes Measurement in Disability Services: A review of policy contexts, measurement approaches and selected measurement tools&lt;/title&gt;&lt;/titles&gt;&lt;dates&gt;&lt;year&gt;2011&lt;/year&gt;&lt;/dates&gt;&lt;pub-location&gt;Melbourne&lt;/pub-location&gt;&lt;publisher&gt;Deakin University&lt;/publisher&gt;&lt;urls&gt;&lt;/urls&gt;&lt;/record&gt;&lt;/Cite&gt;&lt;/EndNote&gt;</w:instrText>
      </w:r>
      <w:r w:rsidR="009F717C">
        <w:fldChar w:fldCharType="separate"/>
      </w:r>
      <w:r w:rsidR="009F717C">
        <w:t>(NDA, 2019; Quilliam &amp; Wilson, 2011)</w:t>
      </w:r>
      <w:r w:rsidR="009F717C">
        <w:fldChar w:fldCharType="end"/>
      </w:r>
      <w:r w:rsidRPr="006B08B8">
        <w:t xml:space="preserve">. </w:t>
      </w:r>
      <w:r w:rsidR="00BA1CF9" w:rsidRPr="006B08B8">
        <w:t xml:space="preserve">However, in recent years, with the </w:t>
      </w:r>
      <w:r w:rsidR="00BA1CF9">
        <w:t>shift</w:t>
      </w:r>
      <w:r w:rsidR="00BA1CF9" w:rsidRPr="006B08B8">
        <w:t xml:space="preserve"> toward person-centred care, </w:t>
      </w:r>
      <w:r w:rsidR="00BA1CF9">
        <w:t>there is increasing empha</w:t>
      </w:r>
      <w:r w:rsidR="00BA1CF9" w:rsidRPr="00BA1CF9">
        <w:t>sis being placed on supporting individuals to achieve personal outcomes and</w:t>
      </w:r>
      <w:r w:rsidDel="00BA1CF9">
        <w:t xml:space="preserve"> </w:t>
      </w:r>
      <w:r w:rsidR="44229CD8" w:rsidRPr="00BA1CF9">
        <w:t>a greater</w:t>
      </w:r>
      <w:r w:rsidR="00BA1CF9" w:rsidRPr="00BA1CF9">
        <w:t xml:space="preserve"> interest in determining the outcomes of services and supports </w:t>
      </w:r>
      <w:r w:rsidR="00C366EC">
        <w:fldChar w:fldCharType="begin"/>
      </w:r>
      <w:r w:rsidR="00AC544A">
        <w:instrText xml:space="preserve"> ADDIN EN.CITE &lt;EndNote&gt;&lt;Cite&gt;&lt;Author&gt;NDA&lt;/Author&gt;&lt;Year&gt;2019&lt;/Year&gt;&lt;RecNum&gt;731&lt;/RecNum&gt;&lt;DisplayText&gt;(NDA, 2019)&lt;/DisplayText&gt;&lt;record&gt;&lt;rec-number&gt;731&lt;/rec-number&gt;&lt;foreign-keys&gt;&lt;key app="EN" db-id="xtwfdzde5ttr0zevxrh5sf0c2wfzw5zf2vra" timestamp="1667405507" guid="89a7deb2-ca72-4fd0-aaf6-7ca2cbb0f830"&gt;731&lt;/key&gt;&lt;/foreign-keys&gt;&lt;ref-type name="Report"&gt;27&lt;/ref-type&gt;&lt;contributors&gt;&lt;authors&gt;&lt;author&gt;NDA, &lt;/author&gt;&lt;/authors&gt;&lt;/contributors&gt;&lt;titles&gt;&lt;title&gt;Outcome Measurement in evaluating the Quality of Disability Services&lt;/title&gt;&lt;/titles&gt;&lt;dates&gt;&lt;year&gt;2019&lt;/year&gt;&lt;/dates&gt;&lt;pub-location&gt;Dublin&lt;/pub-location&gt;&lt;publisher&gt;National Disability Authority&lt;/publisher&gt;&lt;urls&gt;&lt;/urls&gt;&lt;/record&gt;&lt;/Cite&gt;&lt;/EndNote&gt;</w:instrText>
      </w:r>
      <w:r w:rsidR="00C366EC">
        <w:fldChar w:fldCharType="separate"/>
      </w:r>
      <w:r w:rsidR="00C366EC">
        <w:t>(NDA, 2019)</w:t>
      </w:r>
      <w:r w:rsidR="00C366EC">
        <w:fldChar w:fldCharType="end"/>
      </w:r>
      <w:r>
        <w:t xml:space="preserve">. </w:t>
      </w:r>
      <w:r w:rsidR="004C2E24" w:rsidRPr="004C2E24">
        <w:t xml:space="preserve">According to the </w:t>
      </w:r>
      <w:r w:rsidR="00C2464C">
        <w:fldChar w:fldCharType="begin"/>
      </w:r>
      <w:r w:rsidR="00C2464C">
        <w:instrText xml:space="preserve"> ADDIN EN.CITE &lt;EndNote&gt;&lt;Cite AuthorYear="1"&gt;&lt;Author&gt;NDA&lt;/Author&gt;&lt;Year&gt;2016&lt;/Year&gt;&lt;RecNum&gt;743&lt;/RecNum&gt;&lt;Pages&gt;2&lt;/Pages&gt;&lt;DisplayText&gt;NDA (2016, p. 2)&lt;/DisplayText&gt;&lt;record&gt;&lt;rec-number&gt;743&lt;/rec-number&gt;&lt;foreign-keys&gt;&lt;key app="EN" db-id="xtwfdzde5ttr0zevxrh5sf0c2wfzw5zf2vra" timestamp="1667473565" guid="59a78915-4247-4151-b089-9ecb9850ab9e"&gt;743&lt;/key&gt;&lt;/foreign-keys&gt;&lt;ref-type name="Report"&gt;27&lt;/ref-type&gt;&lt;contributors&gt;&lt;authors&gt;&lt;author&gt;NDA, &lt;/author&gt;&lt;/authors&gt;&lt;/contributors&gt;&lt;titles&gt;&lt;title&gt;Outcomes for Disability Services&lt;/title&gt;&lt;/titles&gt;&lt;dates&gt;&lt;year&gt;2016&lt;/year&gt;&lt;/dates&gt;&lt;pub-location&gt;Dublin&lt;/pub-location&gt;&lt;publisher&gt;National Disability Authority&lt;/publisher&gt;&lt;urls&gt;&lt;/urls&gt;&lt;/record&gt;&lt;/Cite&gt;&lt;/EndNote&gt;</w:instrText>
      </w:r>
      <w:r w:rsidR="00C2464C">
        <w:fldChar w:fldCharType="separate"/>
      </w:r>
      <w:r w:rsidR="00C2464C">
        <w:rPr>
          <w:noProof/>
        </w:rPr>
        <w:t>NDA (2016, p. 2)</w:t>
      </w:r>
      <w:r w:rsidR="00C2464C">
        <w:fldChar w:fldCharType="end"/>
      </w:r>
      <w:r w:rsidR="004C2E24" w:rsidRPr="004C2E24">
        <w:t xml:space="preserve">: </w:t>
      </w:r>
    </w:p>
    <w:p w14:paraId="62C0CA09" w14:textId="52B06FE1" w:rsidR="004C2E24" w:rsidRPr="004C2E24" w:rsidRDefault="004C2E24" w:rsidP="00793CE4">
      <w:pPr>
        <w:ind w:left="720"/>
      </w:pPr>
      <w:r w:rsidRPr="005852BC">
        <w:rPr>
          <w:i/>
        </w:rPr>
        <w:t>An outcomes focus shifts the emphasis to achieving outcomes and not only to undertaking activities and delivering services. Outcome indicators seek to measure the impact of disability services on the lives of people with disabilities. This is different from measurement of inputs (such as number of staff) or measurement of activities (such as number of personal assistance hours delivered)</w:t>
      </w:r>
      <w:r w:rsidR="0082251C">
        <w:t>.</w:t>
      </w:r>
    </w:p>
    <w:p w14:paraId="3641B74A" w14:textId="03F20C2D" w:rsidR="003E41CA" w:rsidRPr="00906B8B" w:rsidRDefault="003E41CA" w:rsidP="00A42D81">
      <w:pPr>
        <w:pStyle w:val="Heading3"/>
        <w:rPr>
          <w:color w:val="auto"/>
        </w:rPr>
      </w:pPr>
      <w:bookmarkStart w:id="98" w:name="_Toc118558259"/>
      <w:r w:rsidRPr="00906B8B">
        <w:rPr>
          <w:color w:val="auto"/>
        </w:rPr>
        <w:t xml:space="preserve">Purpose of </w:t>
      </w:r>
      <w:r w:rsidR="0066753B" w:rsidRPr="00906B8B">
        <w:rPr>
          <w:color w:val="auto"/>
        </w:rPr>
        <w:t>o</w:t>
      </w:r>
      <w:r w:rsidRPr="00906B8B">
        <w:rPr>
          <w:color w:val="auto"/>
        </w:rPr>
        <w:t xml:space="preserve">utcome </w:t>
      </w:r>
      <w:r w:rsidR="0066753B" w:rsidRPr="00906B8B">
        <w:rPr>
          <w:color w:val="auto"/>
        </w:rPr>
        <w:t>m</w:t>
      </w:r>
      <w:r w:rsidRPr="00906B8B">
        <w:rPr>
          <w:color w:val="auto"/>
        </w:rPr>
        <w:t>easurement</w:t>
      </w:r>
      <w:bookmarkEnd w:id="98"/>
      <w:r w:rsidRPr="00906B8B">
        <w:rPr>
          <w:color w:val="auto"/>
        </w:rPr>
        <w:t xml:space="preserve"> </w:t>
      </w:r>
    </w:p>
    <w:p w14:paraId="12216428" w14:textId="72E0BD94" w:rsidR="003E41CA" w:rsidRPr="001C35DC" w:rsidRDefault="003E41CA" w:rsidP="003E41CA">
      <w:r w:rsidRPr="006B08B8">
        <w:rPr>
          <w:rFonts w:cstheme="minorHAnsi"/>
          <w:szCs w:val="26"/>
        </w:rPr>
        <w:t>While the overall purpose of outcome measurement in disability services is to ensure that each individual receives the care and support that is needed to meet their personal goals and have a good quality of life, outcomes can be measured at different levels and for different purposes</w:t>
      </w:r>
      <w:r w:rsidR="00730588">
        <w:rPr>
          <w:rFonts w:cstheme="minorHAnsi"/>
          <w:szCs w:val="26"/>
        </w:rPr>
        <w:t>:</w:t>
      </w:r>
      <w:r w:rsidR="003F2D9B" w:rsidRPr="00F50D05">
        <w:t xml:space="preserve"> </w:t>
      </w:r>
    </w:p>
    <w:p w14:paraId="260C16F1" w14:textId="5F3E1E38" w:rsidR="003E41CA" w:rsidRPr="006B08B8" w:rsidRDefault="003E41CA" w:rsidP="002A24F0">
      <w:pPr>
        <w:pStyle w:val="ListParagraph"/>
        <w:numPr>
          <w:ilvl w:val="0"/>
          <w:numId w:val="25"/>
        </w:numPr>
        <w:spacing w:after="120"/>
        <w:ind w:left="714" w:hanging="357"/>
        <w:contextualSpacing w:val="0"/>
        <w:rPr>
          <w:rFonts w:cstheme="minorHAnsi"/>
          <w:b/>
          <w:bCs/>
          <w:szCs w:val="26"/>
        </w:rPr>
      </w:pPr>
      <w:r w:rsidRPr="006B08B8">
        <w:rPr>
          <w:rFonts w:cstheme="minorHAnsi"/>
          <w:szCs w:val="26"/>
        </w:rPr>
        <w:t>At the individual level, outcome measurement can be used to monitor individual progress towards accomplishing personal goals on the quality</w:t>
      </w:r>
      <w:r w:rsidR="00A276BF">
        <w:rPr>
          <w:rFonts w:cstheme="minorHAnsi"/>
          <w:szCs w:val="26"/>
        </w:rPr>
        <w:t xml:space="preserve"> </w:t>
      </w:r>
      <w:r w:rsidRPr="006B08B8">
        <w:rPr>
          <w:rFonts w:cstheme="minorHAnsi"/>
          <w:szCs w:val="26"/>
        </w:rPr>
        <w:t>of</w:t>
      </w:r>
      <w:r w:rsidR="00A276BF">
        <w:rPr>
          <w:rFonts w:cstheme="minorHAnsi"/>
          <w:szCs w:val="26"/>
        </w:rPr>
        <w:t xml:space="preserve"> </w:t>
      </w:r>
      <w:r w:rsidRPr="006B08B8">
        <w:rPr>
          <w:rFonts w:cstheme="minorHAnsi"/>
          <w:szCs w:val="26"/>
        </w:rPr>
        <w:t>life outcome domains;</w:t>
      </w:r>
    </w:p>
    <w:p w14:paraId="38D8EF2C" w14:textId="77777777" w:rsidR="003E41CA" w:rsidRPr="006B08B8" w:rsidRDefault="003E41CA" w:rsidP="002A24F0">
      <w:pPr>
        <w:pStyle w:val="ListParagraph"/>
        <w:numPr>
          <w:ilvl w:val="0"/>
          <w:numId w:val="25"/>
        </w:numPr>
        <w:spacing w:after="120"/>
        <w:ind w:left="714" w:hanging="357"/>
        <w:contextualSpacing w:val="0"/>
        <w:rPr>
          <w:rFonts w:cstheme="minorHAnsi"/>
          <w:b/>
          <w:bCs/>
          <w:szCs w:val="26"/>
        </w:rPr>
      </w:pPr>
      <w:r w:rsidRPr="006B08B8">
        <w:rPr>
          <w:rFonts w:cstheme="minorHAnsi"/>
          <w:szCs w:val="26"/>
        </w:rPr>
        <w:t xml:space="preserve">At the service level, standardised outcome measurements or indicators can be used to evaluate service quality and to assess value for money; </w:t>
      </w:r>
    </w:p>
    <w:p w14:paraId="755C39BB" w14:textId="77777777" w:rsidR="003E41CA" w:rsidRPr="006B08B8" w:rsidRDefault="003E41CA" w:rsidP="002A24F0">
      <w:pPr>
        <w:pStyle w:val="ListParagraph"/>
        <w:numPr>
          <w:ilvl w:val="0"/>
          <w:numId w:val="25"/>
        </w:numPr>
        <w:spacing w:after="120"/>
        <w:ind w:left="714" w:hanging="357"/>
        <w:contextualSpacing w:val="0"/>
        <w:rPr>
          <w:rFonts w:cstheme="minorHAnsi"/>
          <w:b/>
          <w:bCs/>
          <w:szCs w:val="26"/>
        </w:rPr>
      </w:pPr>
      <w:r w:rsidRPr="006B08B8">
        <w:rPr>
          <w:rFonts w:cstheme="minorHAnsi"/>
          <w:szCs w:val="26"/>
        </w:rPr>
        <w:t>Data from outcome measurement at the individual and service level can be used to support quality improvement systems in disability services by identifying gaps in service provision;</w:t>
      </w:r>
    </w:p>
    <w:p w14:paraId="51CE25DF" w14:textId="306B4310" w:rsidR="003E41CA" w:rsidRPr="006B08B8" w:rsidRDefault="003E41CA" w:rsidP="002A24F0">
      <w:pPr>
        <w:pStyle w:val="ListParagraph"/>
        <w:numPr>
          <w:ilvl w:val="0"/>
          <w:numId w:val="25"/>
        </w:numPr>
        <w:ind w:left="714" w:hanging="357"/>
        <w:contextualSpacing w:val="0"/>
        <w:rPr>
          <w:rFonts w:cstheme="minorHAnsi"/>
          <w:b/>
          <w:bCs/>
          <w:szCs w:val="26"/>
        </w:rPr>
      </w:pPr>
      <w:r w:rsidRPr="006B08B8">
        <w:rPr>
          <w:rFonts w:cstheme="minorHAnsi"/>
          <w:szCs w:val="26"/>
        </w:rPr>
        <w:t xml:space="preserve">Outcome measurement can also be used for quality assurance purposes to ensure that services deliver outcomes and demonstrate compliance with policies, standards and regulations. </w:t>
      </w:r>
      <w:r w:rsidR="00730588">
        <w:rPr>
          <w:rFonts w:cstheme="minorHAnsi"/>
          <w:szCs w:val="26"/>
        </w:rPr>
        <w:fldChar w:fldCharType="begin"/>
      </w:r>
      <w:r w:rsidR="00730588">
        <w:rPr>
          <w:rFonts w:cstheme="minorHAnsi"/>
          <w:szCs w:val="26"/>
        </w:rPr>
        <w:instrText xml:space="preserve"> ADDIN EN.CITE &lt;EndNote&gt;&lt;Cite&gt;&lt;Author&gt;NDA&lt;/Author&gt;&lt;Year&gt;2019&lt;/Year&gt;&lt;RecNum&gt;731&lt;/RecNum&gt;&lt;DisplayText&gt;(NDA, 2019)&lt;/DisplayText&gt;&lt;record&gt;&lt;rec-number&gt;731&lt;/rec-number&gt;&lt;foreign-keys&gt;&lt;key app="EN" db-id="xtwfdzde5ttr0zevxrh5sf0c2wfzw5zf2vra" timestamp="1667405507" guid="89a7deb2-ca72-4fd0-aaf6-7ca2cbb0f830"&gt;731&lt;/key&gt;&lt;/foreign-keys&gt;&lt;ref-type name="Report"&gt;27&lt;/ref-type&gt;&lt;contributors&gt;&lt;authors&gt;&lt;author&gt;NDA, &lt;/author&gt;&lt;/authors&gt;&lt;/contributors&gt;&lt;titles&gt;&lt;title&gt;Outcome Measurement in evaluating the Quality of Disability Services&lt;/title&gt;&lt;/titles&gt;&lt;dates&gt;&lt;year&gt;2019&lt;/year&gt;&lt;/dates&gt;&lt;pub-location&gt;Dublin&lt;/pub-location&gt;&lt;publisher&gt;National Disability Authority&lt;/publisher&gt;&lt;urls&gt;&lt;/urls&gt;&lt;/record&gt;&lt;/Cite&gt;&lt;/EndNote&gt;</w:instrText>
      </w:r>
      <w:r w:rsidR="00730588">
        <w:rPr>
          <w:rFonts w:cstheme="minorHAnsi"/>
          <w:szCs w:val="26"/>
        </w:rPr>
        <w:fldChar w:fldCharType="separate"/>
      </w:r>
      <w:r w:rsidR="00730588">
        <w:rPr>
          <w:rFonts w:cstheme="minorHAnsi"/>
          <w:noProof/>
          <w:szCs w:val="26"/>
        </w:rPr>
        <w:t>(NDA, 2019)</w:t>
      </w:r>
      <w:r w:rsidR="00730588">
        <w:rPr>
          <w:rFonts w:cstheme="minorHAnsi"/>
          <w:szCs w:val="26"/>
        </w:rPr>
        <w:fldChar w:fldCharType="end"/>
      </w:r>
    </w:p>
    <w:p w14:paraId="7FA35498" w14:textId="58FFDE23" w:rsidR="00714B62" w:rsidRPr="00714B62" w:rsidRDefault="000D6BF2" w:rsidP="00714B62">
      <w:r>
        <w:t>The ‘Value for Money Policy Review’ (VFMPR)</w:t>
      </w:r>
      <w:r w:rsidR="73C24201">
        <w:t xml:space="preserve"> </w:t>
      </w:r>
      <w:r w:rsidR="00B6749B">
        <w:fldChar w:fldCharType="begin"/>
      </w:r>
      <w:r w:rsidR="00B6749B">
        <w:instrText xml:space="preserve"> ADDIN EN.CITE &lt;EndNote&gt;&lt;Cite&gt;&lt;Author&gt;Department of Health&lt;/Author&gt;&lt;Year&gt;2012&lt;/Year&gt;&lt;RecNum&gt;730&lt;/RecNum&gt;&lt;DisplayText&gt;(Department of Health, 2012)&lt;/DisplayText&gt;&lt;record&gt;&lt;rec-number&gt;730&lt;/rec-number&gt;&lt;foreign-keys&gt;&lt;key app="EN" db-id="xtwfdzde5ttr0zevxrh5sf0c2wfzw5zf2vra" timestamp="1667404918" guid="17cb0503-84eb-4e2a-a91d-39cad9c72726"&gt;730&lt;/key&gt;&lt;/foreign-keys&gt;&lt;ref-type name="Report"&gt;27&lt;/ref-type&gt;&lt;contributors&gt;&lt;authors&gt;&lt;author&gt;Department of Health, &lt;/author&gt;&lt;/authors&gt;&lt;/contributors&gt;&lt;titles&gt;&lt;title&gt;Value for Money and Policy Review of Disability Services in Ireland &lt;/title&gt;&lt;/titles&gt;&lt;dates&gt;&lt;year&gt;2012&lt;/year&gt;&lt;/dates&gt;&lt;pub-location&gt;Dublin&lt;/pub-location&gt;&lt;publisher&gt;Department of Health&lt;/publisher&gt;&lt;urls&gt;&lt;/urls&gt;&lt;/record&gt;&lt;/Cite&gt;&lt;/EndNote&gt;</w:instrText>
      </w:r>
      <w:r w:rsidR="00B6749B">
        <w:fldChar w:fldCharType="separate"/>
      </w:r>
      <w:r w:rsidR="00B6749B">
        <w:rPr>
          <w:noProof/>
        </w:rPr>
        <w:t>(Department of Health, 2012)</w:t>
      </w:r>
      <w:r w:rsidR="00B6749B">
        <w:fldChar w:fldCharType="end"/>
      </w:r>
      <w:r w:rsidR="73C24201">
        <w:t xml:space="preserve"> </w:t>
      </w:r>
      <w:r>
        <w:t xml:space="preserve">recommends outcome measurement at the personal, organisational and programme levels to improve personal outcomes for people with disability and to improve service quality in Ireland. </w:t>
      </w:r>
      <w:r w:rsidR="009D5BC9">
        <w:t>It is important that disability services</w:t>
      </w:r>
      <w:r w:rsidR="00FB0438">
        <w:t xml:space="preserve"> are accountable for the care </w:t>
      </w:r>
      <w:r w:rsidR="0068632F">
        <w:t xml:space="preserve">that </w:t>
      </w:r>
      <w:r w:rsidR="00FB0438">
        <w:t>is being delivered and</w:t>
      </w:r>
      <w:r w:rsidR="00022452">
        <w:t xml:space="preserve"> </w:t>
      </w:r>
      <w:r w:rsidR="009D5BC9">
        <w:t xml:space="preserve">know what outcomes people are achieving in relation to the </w:t>
      </w:r>
      <w:r w:rsidR="00211172">
        <w:t xml:space="preserve">public </w:t>
      </w:r>
      <w:r w:rsidR="009D5BC9">
        <w:t xml:space="preserve">money </w:t>
      </w:r>
      <w:r w:rsidR="00211172">
        <w:t>invested</w:t>
      </w:r>
      <w:r w:rsidR="003706A5">
        <w:t xml:space="preserve"> </w:t>
      </w:r>
      <w:r>
        <w:fldChar w:fldCharType="begin"/>
      </w:r>
      <w:r>
        <w:instrText xml:space="preserve"> ADDIN EN.CITE &lt;EndNote&gt;&lt;Cite&gt;&lt;Author&gt;Burgess&lt;/Author&gt;&lt;Year&gt;2015&lt;/Year&gt;&lt;RecNum&gt;744&lt;/RecNum&gt;&lt;DisplayText&gt;(NDA, 2016; Burgess et al., 2015)&lt;/DisplayText&gt;&lt;record&gt;&lt;rec-number&gt;744&lt;/rec-number&gt;&lt;foreign-keys&gt;&lt;key app="EN" db-id="xtwfdzde5ttr0zevxrh5sf0c2wfzw5zf2vra" timestamp="1667473742" guid="46b1441b-d35e-412e-9f30-1746c61e3463"&gt;744&lt;/key&gt;&lt;/foreign-keys&gt;&lt;ref-type name="Journal Article"&gt;17&lt;/ref-type&gt;&lt;contributors&gt;&lt;authors&gt;&lt;author&gt;Burgess, Philip&lt;/author&gt;&lt;author&gt;Pirkis, Jane&lt;/author&gt;&lt;author&gt;Coombs, Tim&lt;/author&gt;&lt;/authors&gt;&lt;/contributors&gt;&lt;titles&gt;&lt;title&gt;Routine outcome measurement in Australia&lt;/title&gt;&lt;secondary-title&gt;International Review of Psychiatry&lt;/secondary-title&gt;&lt;/titles&gt;&lt;periodical&gt;&lt;full-title&gt;International Review of Psychiatry&lt;/full-title&gt;&lt;/periodical&gt;&lt;pages&gt;264-275&lt;/pages&gt;&lt;volume&gt;27&lt;/volume&gt;&lt;number&gt;4&lt;/number&gt;&lt;dates&gt;&lt;year&gt;2015&lt;/year&gt;&lt;/dates&gt;&lt;isbn&gt;0954-0261&lt;/isbn&gt;&lt;urls&gt;&lt;/urls&gt;&lt;/record&gt;&lt;/Cite&gt;&lt;Cite&gt;&lt;Author&gt;NDA&lt;/Author&gt;&lt;Year&gt;2016&lt;/Year&gt;&lt;RecNum&gt;743&lt;/RecNum&gt;&lt;record&gt;&lt;rec-number&gt;743&lt;/rec-number&gt;&lt;foreign-keys&gt;&lt;key app="EN" db-id="xtwfdzde5ttr0zevxrh5sf0c2wfzw5zf2vra" timestamp="1667473565" guid="59a78915-4247-4151-b089-9ecb9850ab9e"&gt;743&lt;/key&gt;&lt;/foreign-keys&gt;&lt;ref-type name="Report"&gt;27&lt;/ref-type&gt;&lt;contributors&gt;&lt;authors&gt;&lt;author&gt;NDA, &lt;/author&gt;&lt;/authors&gt;&lt;/contributors&gt;&lt;titles&gt;&lt;title&gt;Outcomes for Disability Services&lt;/title&gt;&lt;/titles&gt;&lt;dates&gt;&lt;year&gt;2016&lt;/year&gt;&lt;/dates&gt;&lt;pub-location&gt;Dublin&lt;/pub-location&gt;&lt;publisher&gt;National Disability Authority&lt;/publisher&gt;&lt;urls&gt;&lt;/urls&gt;&lt;/record&gt;&lt;/Cite&gt;&lt;/EndNote&gt;</w:instrText>
      </w:r>
      <w:r>
        <w:fldChar w:fldCharType="separate"/>
      </w:r>
      <w:r w:rsidR="0095186C" w:rsidRPr="11C55A92">
        <w:rPr>
          <w:noProof/>
        </w:rPr>
        <w:t>(NDA, 2016; Burgess et al., 2015)</w:t>
      </w:r>
      <w:r>
        <w:fldChar w:fldCharType="end"/>
      </w:r>
      <w:r w:rsidR="0095186C">
        <w:t>.</w:t>
      </w:r>
      <w:r w:rsidR="00FB0438">
        <w:t xml:space="preserve"> </w:t>
      </w:r>
      <w:r w:rsidR="000210C2">
        <w:t>As the primary funders of disability services in Ireland, the HSE</w:t>
      </w:r>
      <w:r w:rsidR="0072370B">
        <w:t xml:space="preserve"> also needs to know </w:t>
      </w:r>
      <w:r w:rsidR="002F398F">
        <w:t>what outcomes</w:t>
      </w:r>
      <w:r w:rsidR="00352279">
        <w:t xml:space="preserve"> </w:t>
      </w:r>
      <w:r w:rsidR="00573D25">
        <w:t>are being achieved at</w:t>
      </w:r>
      <w:r w:rsidR="00BA69D2">
        <w:t xml:space="preserve"> both</w:t>
      </w:r>
      <w:r w:rsidR="00573D25">
        <w:t xml:space="preserve"> the service</w:t>
      </w:r>
      <w:r w:rsidR="00D7003E">
        <w:t xml:space="preserve"> and</w:t>
      </w:r>
      <w:r w:rsidR="00573D25">
        <w:t xml:space="preserve"> programm</w:t>
      </w:r>
      <w:r w:rsidR="00BA69D2">
        <w:t>e</w:t>
      </w:r>
      <w:r w:rsidR="00573D25">
        <w:t xml:space="preserve"> level</w:t>
      </w:r>
      <w:r w:rsidR="00BA69D2">
        <w:t>s</w:t>
      </w:r>
      <w:r w:rsidR="001B2870">
        <w:t xml:space="preserve"> </w:t>
      </w:r>
      <w:r>
        <w:fldChar w:fldCharType="begin"/>
      </w:r>
      <w:r>
        <w:instrText xml:space="preserve"> ADDIN EN.CITE &lt;EndNote&gt;&lt;Cite&gt;&lt;Author&gt;NDA&lt;/Author&gt;&lt;Year&gt;2016&lt;/Year&gt;&lt;RecNum&gt;743&lt;/RecNum&gt;&lt;DisplayText&gt;(NDA, 2016)&lt;/DisplayText&gt;&lt;record&gt;&lt;rec-number&gt;743&lt;/rec-number&gt;&lt;foreign-keys&gt;&lt;key app="EN" db-id="xtwfdzde5ttr0zevxrh5sf0c2wfzw5zf2vra" timestamp="1667473565" guid="59a78915-4247-4151-b089-9ecb9850ab9e"&gt;743&lt;/key&gt;&lt;/foreign-keys&gt;&lt;ref-type name="Report"&gt;27&lt;/ref-type&gt;&lt;contributors&gt;&lt;authors&gt;&lt;author&gt;NDA, &lt;/author&gt;&lt;/authors&gt;&lt;/contributors&gt;&lt;titles&gt;&lt;title&gt;Outcomes for Disability Services&lt;/title&gt;&lt;/titles&gt;&lt;dates&gt;&lt;year&gt;2016&lt;/year&gt;&lt;/dates&gt;&lt;pub-location&gt;Dublin&lt;/pub-location&gt;&lt;publisher&gt;National Disability Authority&lt;/publisher&gt;&lt;urls&gt;&lt;/urls&gt;&lt;/record&gt;&lt;/Cite&gt;&lt;/EndNote&gt;</w:instrText>
      </w:r>
      <w:r>
        <w:fldChar w:fldCharType="separate"/>
      </w:r>
      <w:r w:rsidR="001B2870" w:rsidRPr="11C55A92">
        <w:rPr>
          <w:noProof/>
        </w:rPr>
        <w:t>(NDA, 2016)</w:t>
      </w:r>
      <w:r>
        <w:fldChar w:fldCharType="end"/>
      </w:r>
      <w:r w:rsidR="001B2870">
        <w:t xml:space="preserve">. </w:t>
      </w:r>
    </w:p>
    <w:p w14:paraId="37F14760" w14:textId="36D2AD22" w:rsidR="00714B62" w:rsidRPr="00906B8B" w:rsidRDefault="00B53112" w:rsidP="00714B62">
      <w:pPr>
        <w:pStyle w:val="Heading3"/>
        <w:rPr>
          <w:color w:val="auto"/>
        </w:rPr>
      </w:pPr>
      <w:bookmarkStart w:id="99" w:name="_Toc118558260"/>
      <w:r w:rsidRPr="00906B8B">
        <w:rPr>
          <w:color w:val="auto"/>
        </w:rPr>
        <w:t xml:space="preserve">Quality of </w:t>
      </w:r>
      <w:r w:rsidR="00163B7A" w:rsidRPr="00906B8B">
        <w:rPr>
          <w:color w:val="auto"/>
        </w:rPr>
        <w:t>l</w:t>
      </w:r>
      <w:r w:rsidRPr="00906B8B">
        <w:rPr>
          <w:color w:val="auto"/>
        </w:rPr>
        <w:t xml:space="preserve">ife </w:t>
      </w:r>
      <w:r w:rsidR="00163B7A" w:rsidRPr="00906B8B">
        <w:rPr>
          <w:color w:val="auto"/>
        </w:rPr>
        <w:t>d</w:t>
      </w:r>
      <w:r w:rsidRPr="00906B8B">
        <w:rPr>
          <w:color w:val="auto"/>
        </w:rPr>
        <w:t xml:space="preserve">omains </w:t>
      </w:r>
      <w:r w:rsidR="00163B7A" w:rsidRPr="00906B8B">
        <w:rPr>
          <w:color w:val="auto"/>
        </w:rPr>
        <w:t>f</w:t>
      </w:r>
      <w:r w:rsidR="00C13C30" w:rsidRPr="00906B8B">
        <w:rPr>
          <w:color w:val="auto"/>
        </w:rPr>
        <w:t>ramework</w:t>
      </w:r>
      <w:bookmarkEnd w:id="99"/>
    </w:p>
    <w:p w14:paraId="298E91B0" w14:textId="213AAEED" w:rsidR="005125EB" w:rsidRDefault="00714B62" w:rsidP="00714B62">
      <w:pPr>
        <w:rPr>
          <w:rFonts w:cstheme="minorBidi"/>
        </w:rPr>
      </w:pPr>
      <w:r w:rsidRPr="42C09CC9">
        <w:rPr>
          <w:rFonts w:cstheme="minorBidi"/>
        </w:rPr>
        <w:t xml:space="preserve">Over the last decades, quality of life has been advocated as an indicator to evaluate public services and is used in service planning and delivery </w:t>
      </w:r>
      <w:r w:rsidR="00B6749B">
        <w:rPr>
          <w:rFonts w:cstheme="minorBidi"/>
        </w:rPr>
        <w:fldChar w:fldCharType="begin"/>
      </w:r>
      <w:r w:rsidR="00B6749B">
        <w:rPr>
          <w:rFonts w:cstheme="minorBidi"/>
        </w:rPr>
        <w:instrText xml:space="preserve"> ADDIN EN.CITE &lt;EndNote&gt;&lt;Cite&gt;&lt;Author&gt;Rand&lt;/Author&gt;&lt;Year&gt;2015&lt;/Year&gt;&lt;RecNum&gt;735&lt;/RecNum&gt;&lt;DisplayText&gt;(Rand &amp;amp; Caiels, 2015)&lt;/DisplayText&gt;&lt;record&gt;&lt;rec-number&gt;735&lt;/rec-number&gt;&lt;foreign-keys&gt;&lt;key app="EN" db-id="xtwfdzde5ttr0zevxrh5sf0c2wfzw5zf2vra" timestamp="1667407413" guid="5f732232-724f-48c2-a417-39ee93746004"&gt;735&lt;/key&gt;&lt;/foreign-keys&gt;&lt;ref-type name="Report"&gt;27&lt;/ref-type&gt;&lt;contributors&gt;&lt;authors&gt;&lt;author&gt;Rand, Stacey&lt;/author&gt;&lt;author&gt;Caiels, James&lt;/author&gt;&lt;/authors&gt;&lt;/contributors&gt;&lt;titles&gt;&lt;title&gt;Using Proxies to asses Quality of Life: A Review of the Issues and Challanges. Discussion Paper&lt;/title&gt;&lt;/titles&gt;&lt;dates&gt;&lt;year&gt;2015&lt;/year&gt;&lt;/dates&gt;&lt;pub-location&gt;U.K&lt;/pub-location&gt;&lt;publisher&gt;Quality and Outcomes of person-centred care policy Research Unit (QORU), Univeristy of Kent&lt;/publisher&gt;&lt;urls&gt;&lt;/urls&gt;&lt;/record&gt;&lt;/Cite&gt;&lt;/EndNote&gt;</w:instrText>
      </w:r>
      <w:r w:rsidR="00B6749B">
        <w:rPr>
          <w:rFonts w:cstheme="minorBidi"/>
        </w:rPr>
        <w:fldChar w:fldCharType="separate"/>
      </w:r>
      <w:r w:rsidR="00B6749B">
        <w:rPr>
          <w:rFonts w:cstheme="minorBidi"/>
          <w:noProof/>
        </w:rPr>
        <w:t>(Rand &amp; Caiels, 2015)</w:t>
      </w:r>
      <w:r w:rsidR="00B6749B">
        <w:rPr>
          <w:rFonts w:cstheme="minorBidi"/>
        </w:rPr>
        <w:fldChar w:fldCharType="end"/>
      </w:r>
      <w:r w:rsidRPr="42C09CC9">
        <w:rPr>
          <w:rFonts w:cstheme="minorBidi"/>
        </w:rPr>
        <w:t xml:space="preserve">. </w:t>
      </w:r>
      <w:r w:rsidRPr="006B08B8">
        <w:rPr>
          <w:rFonts w:cstheme="minorHAnsi"/>
          <w:szCs w:val="26"/>
        </w:rPr>
        <w:t xml:space="preserve">In </w:t>
      </w:r>
      <w:r w:rsidR="00484FD3">
        <w:rPr>
          <w:rFonts w:cstheme="minorHAnsi"/>
          <w:szCs w:val="26"/>
        </w:rPr>
        <w:t>2016, in</w:t>
      </w:r>
      <w:r w:rsidRPr="006B08B8">
        <w:rPr>
          <w:rFonts w:cstheme="minorHAnsi"/>
          <w:szCs w:val="26"/>
        </w:rPr>
        <w:t xml:space="preserve"> line with </w:t>
      </w:r>
      <w:r>
        <w:rPr>
          <w:rFonts w:cstheme="minorHAnsi"/>
          <w:szCs w:val="26"/>
        </w:rPr>
        <w:t>VFMPR</w:t>
      </w:r>
      <w:r w:rsidRPr="006B08B8">
        <w:rPr>
          <w:rFonts w:cstheme="minorHAnsi"/>
          <w:szCs w:val="26"/>
        </w:rPr>
        <w:t xml:space="preserve"> recommendations,</w:t>
      </w:r>
      <w:r>
        <w:rPr>
          <w:rFonts w:cstheme="minorHAnsi"/>
          <w:szCs w:val="26"/>
        </w:rPr>
        <w:t xml:space="preserve"> </w:t>
      </w:r>
      <w:r w:rsidR="00484FD3">
        <w:rPr>
          <w:rFonts w:cstheme="minorHAnsi"/>
          <w:szCs w:val="26"/>
        </w:rPr>
        <w:t>and</w:t>
      </w:r>
      <w:r w:rsidR="00C404B6" w:rsidRPr="006B08B8">
        <w:rPr>
          <w:rFonts w:cstheme="minorHAnsi"/>
          <w:szCs w:val="26"/>
        </w:rPr>
        <w:t xml:space="preserve"> following </w:t>
      </w:r>
      <w:r w:rsidR="00C404B6">
        <w:rPr>
          <w:rFonts w:cstheme="minorHAnsi"/>
          <w:szCs w:val="26"/>
        </w:rPr>
        <w:t xml:space="preserve">extensive </w:t>
      </w:r>
      <w:r w:rsidR="00C404B6" w:rsidRPr="006B08B8">
        <w:rPr>
          <w:rFonts w:cstheme="minorHAnsi"/>
          <w:szCs w:val="26"/>
        </w:rPr>
        <w:t>research and public consultation</w:t>
      </w:r>
      <w:r w:rsidR="009334EB">
        <w:rPr>
          <w:rFonts w:cstheme="minorHAnsi"/>
          <w:szCs w:val="26"/>
        </w:rPr>
        <w:t>,</w:t>
      </w:r>
      <w:r w:rsidR="009B374B">
        <w:rPr>
          <w:rFonts w:cstheme="minorHAnsi"/>
          <w:szCs w:val="26"/>
        </w:rPr>
        <w:t xml:space="preserve"> </w:t>
      </w:r>
      <w:r w:rsidRPr="006B08B8">
        <w:rPr>
          <w:rFonts w:cstheme="minorHAnsi"/>
          <w:szCs w:val="26"/>
        </w:rPr>
        <w:t>the NDA developed</w:t>
      </w:r>
      <w:r w:rsidRPr="42C09CC9">
        <w:rPr>
          <w:rFonts w:cstheme="minorBidi"/>
        </w:rPr>
        <w:t xml:space="preserve"> a Quality-of-Life Outcomes Domain Framework to assess outcomes for people using disability services in Ireland.</w:t>
      </w:r>
      <w:r w:rsidR="00B9493B">
        <w:rPr>
          <w:rFonts w:cstheme="minorHAnsi"/>
          <w:szCs w:val="26"/>
        </w:rPr>
        <w:t xml:space="preserve"> </w:t>
      </w:r>
    </w:p>
    <w:p w14:paraId="3E4C06F7" w14:textId="5D77C5F5" w:rsidR="00714B62" w:rsidRPr="00746937" w:rsidRDefault="00714B62" w:rsidP="00714B62">
      <w:pPr>
        <w:rPr>
          <w:rFonts w:cstheme="minorHAnsi"/>
          <w:b/>
          <w:bCs/>
          <w:szCs w:val="26"/>
        </w:rPr>
      </w:pPr>
      <w:r w:rsidRPr="006B08B8">
        <w:rPr>
          <w:rFonts w:cstheme="minorHAnsi"/>
          <w:szCs w:val="26"/>
        </w:rPr>
        <w:t xml:space="preserve">The framework includes nine </w:t>
      </w:r>
      <w:r w:rsidR="004300E5">
        <w:rPr>
          <w:rFonts w:cstheme="minorHAnsi"/>
          <w:szCs w:val="26"/>
        </w:rPr>
        <w:t>high-level</w:t>
      </w:r>
      <w:r w:rsidRPr="006B08B8">
        <w:rPr>
          <w:rFonts w:cstheme="minorHAnsi"/>
          <w:szCs w:val="26"/>
        </w:rPr>
        <w:t xml:space="preserve"> </w:t>
      </w:r>
      <w:r>
        <w:rPr>
          <w:rFonts w:cstheme="minorHAnsi"/>
          <w:szCs w:val="26"/>
        </w:rPr>
        <w:t>quality of life</w:t>
      </w:r>
      <w:r w:rsidRPr="006B08B8">
        <w:rPr>
          <w:rFonts w:cstheme="minorHAnsi"/>
          <w:szCs w:val="26"/>
        </w:rPr>
        <w:t xml:space="preserve"> </w:t>
      </w:r>
      <w:r>
        <w:rPr>
          <w:rFonts w:cstheme="minorHAnsi"/>
          <w:szCs w:val="26"/>
        </w:rPr>
        <w:t>domains</w:t>
      </w:r>
      <w:r w:rsidRPr="006B08B8">
        <w:rPr>
          <w:rFonts w:cstheme="minorHAnsi"/>
          <w:szCs w:val="26"/>
        </w:rPr>
        <w:t xml:space="preserve"> </w:t>
      </w:r>
      <w:r>
        <w:rPr>
          <w:rFonts w:cstheme="minorHAnsi"/>
          <w:szCs w:val="26"/>
        </w:rPr>
        <w:t>which propose</w:t>
      </w:r>
      <w:r w:rsidRPr="006B08B8">
        <w:rPr>
          <w:rFonts w:cstheme="minorHAnsi"/>
          <w:szCs w:val="26"/>
        </w:rPr>
        <w:t xml:space="preserve"> that persons who use disability services</w:t>
      </w:r>
      <w:r>
        <w:rPr>
          <w:rFonts w:cstheme="minorHAnsi"/>
          <w:szCs w:val="26"/>
        </w:rPr>
        <w:t xml:space="preserve"> </w:t>
      </w:r>
      <w:r>
        <w:rPr>
          <w:rFonts w:cstheme="minorHAnsi"/>
          <w:szCs w:val="26"/>
        </w:rPr>
        <w:fldChar w:fldCharType="begin"/>
      </w:r>
      <w:r>
        <w:rPr>
          <w:rFonts w:cstheme="minorHAnsi"/>
          <w:szCs w:val="26"/>
        </w:rPr>
        <w:instrText xml:space="preserve"> ADDIN EN.CITE &lt;EndNote&gt;&lt;Cite&gt;&lt;Author&gt;NDA&lt;/Author&gt;&lt;Year&gt;2019&lt;/Year&gt;&lt;RecNum&gt;731&lt;/RecNum&gt;&lt;DisplayText&gt;(NDA, 2019)&lt;/DisplayText&gt;&lt;record&gt;&lt;rec-number&gt;731&lt;/rec-number&gt;&lt;foreign-keys&gt;&lt;key app="EN" db-id="xtwfdzde5ttr0zevxrh5sf0c2wfzw5zf2vra" timestamp="1667405507" guid="89a7deb2-ca72-4fd0-aaf6-7ca2cbb0f830"&gt;731&lt;/key&gt;&lt;/foreign-keys&gt;&lt;ref-type name="Report"&gt;27&lt;/ref-type&gt;&lt;contributors&gt;&lt;authors&gt;&lt;author&gt;NDA, &lt;/author&gt;&lt;/authors&gt;&lt;/contributors&gt;&lt;titles&gt;&lt;title&gt;Outcome Measurement in evaluating the Quality of Disability Services&lt;/title&gt;&lt;/titles&gt;&lt;dates&gt;&lt;year&gt;2019&lt;/year&gt;&lt;/dates&gt;&lt;pub-location&gt;Dublin&lt;/pub-location&gt;&lt;publisher&gt;National Disability Authority&lt;/publisher&gt;&lt;urls&gt;&lt;/urls&gt;&lt;/record&gt;&lt;/Cite&gt;&lt;/EndNote&gt;</w:instrText>
      </w:r>
      <w:r>
        <w:rPr>
          <w:rFonts w:cstheme="minorHAnsi"/>
          <w:szCs w:val="26"/>
        </w:rPr>
        <w:fldChar w:fldCharType="separate"/>
      </w:r>
      <w:r>
        <w:rPr>
          <w:rFonts w:cstheme="minorHAnsi"/>
          <w:noProof/>
          <w:szCs w:val="26"/>
        </w:rPr>
        <w:t>(NDA, 2019)</w:t>
      </w:r>
      <w:r>
        <w:rPr>
          <w:rFonts w:cstheme="minorHAnsi"/>
          <w:szCs w:val="26"/>
        </w:rPr>
        <w:fldChar w:fldCharType="end"/>
      </w:r>
      <w:r w:rsidRPr="006B08B8">
        <w:rPr>
          <w:rFonts w:cstheme="minorHAnsi"/>
          <w:szCs w:val="26"/>
        </w:rPr>
        <w:t xml:space="preserve">: </w:t>
      </w:r>
    </w:p>
    <w:p w14:paraId="05B40A73" w14:textId="77777777" w:rsidR="00714B62" w:rsidRPr="006B08B8" w:rsidRDefault="00714B62" w:rsidP="002A24F0">
      <w:pPr>
        <w:pStyle w:val="ListParagraph"/>
        <w:numPr>
          <w:ilvl w:val="0"/>
          <w:numId w:val="26"/>
        </w:numPr>
        <w:spacing w:after="120"/>
        <w:ind w:left="714" w:hanging="357"/>
        <w:contextualSpacing w:val="0"/>
        <w:rPr>
          <w:rFonts w:cstheme="minorHAnsi"/>
          <w:b/>
          <w:bCs/>
          <w:szCs w:val="26"/>
        </w:rPr>
      </w:pPr>
      <w:r w:rsidRPr="006B08B8">
        <w:rPr>
          <w:rFonts w:cstheme="minorHAnsi"/>
          <w:szCs w:val="26"/>
        </w:rPr>
        <w:t>Are living in their own home in the community</w:t>
      </w:r>
    </w:p>
    <w:p w14:paraId="670193A6" w14:textId="77777777" w:rsidR="00714B62" w:rsidRPr="006B08B8" w:rsidRDefault="00714B62" w:rsidP="002A24F0">
      <w:pPr>
        <w:pStyle w:val="ListParagraph"/>
        <w:numPr>
          <w:ilvl w:val="0"/>
          <w:numId w:val="26"/>
        </w:numPr>
        <w:spacing w:after="120"/>
        <w:ind w:left="714" w:hanging="357"/>
        <w:contextualSpacing w:val="0"/>
        <w:rPr>
          <w:rFonts w:cstheme="minorHAnsi"/>
          <w:b/>
          <w:bCs/>
          <w:szCs w:val="26"/>
        </w:rPr>
      </w:pPr>
      <w:r w:rsidRPr="006B08B8">
        <w:rPr>
          <w:rFonts w:cstheme="minorHAnsi"/>
          <w:szCs w:val="26"/>
        </w:rPr>
        <w:t>Are exercising choice and control in their everyday lives</w:t>
      </w:r>
    </w:p>
    <w:p w14:paraId="428A3826" w14:textId="77777777" w:rsidR="00714B62" w:rsidRPr="006B08B8" w:rsidRDefault="00714B62" w:rsidP="002A24F0">
      <w:pPr>
        <w:pStyle w:val="ListParagraph"/>
        <w:numPr>
          <w:ilvl w:val="0"/>
          <w:numId w:val="26"/>
        </w:numPr>
        <w:spacing w:after="120"/>
        <w:ind w:left="714" w:hanging="357"/>
        <w:contextualSpacing w:val="0"/>
        <w:rPr>
          <w:rFonts w:cstheme="minorHAnsi"/>
          <w:b/>
          <w:bCs/>
          <w:szCs w:val="26"/>
        </w:rPr>
      </w:pPr>
      <w:r w:rsidRPr="006B08B8">
        <w:rPr>
          <w:rFonts w:cstheme="minorHAnsi"/>
          <w:szCs w:val="26"/>
        </w:rPr>
        <w:t>Are participating in social and civic life</w:t>
      </w:r>
    </w:p>
    <w:p w14:paraId="4B98D269" w14:textId="77777777" w:rsidR="00714B62" w:rsidRPr="006B08B8" w:rsidRDefault="00714B62" w:rsidP="002A24F0">
      <w:pPr>
        <w:pStyle w:val="ListParagraph"/>
        <w:numPr>
          <w:ilvl w:val="0"/>
          <w:numId w:val="26"/>
        </w:numPr>
        <w:spacing w:after="120"/>
        <w:ind w:left="714" w:hanging="357"/>
        <w:contextualSpacing w:val="0"/>
        <w:rPr>
          <w:rFonts w:cstheme="minorHAnsi"/>
          <w:b/>
          <w:bCs/>
          <w:szCs w:val="26"/>
        </w:rPr>
      </w:pPr>
      <w:r w:rsidRPr="006B08B8">
        <w:rPr>
          <w:rFonts w:cstheme="minorHAnsi"/>
          <w:szCs w:val="26"/>
        </w:rPr>
        <w:t>Have meaningful personal relationships</w:t>
      </w:r>
    </w:p>
    <w:p w14:paraId="40CCE05C" w14:textId="77777777" w:rsidR="00714B62" w:rsidRPr="006B08B8" w:rsidRDefault="00714B62" w:rsidP="002A24F0">
      <w:pPr>
        <w:pStyle w:val="ListParagraph"/>
        <w:numPr>
          <w:ilvl w:val="0"/>
          <w:numId w:val="26"/>
        </w:numPr>
        <w:spacing w:after="120"/>
        <w:ind w:left="714" w:hanging="357"/>
        <w:contextualSpacing w:val="0"/>
        <w:rPr>
          <w:rFonts w:cstheme="minorHAnsi"/>
          <w:b/>
          <w:bCs/>
          <w:szCs w:val="26"/>
        </w:rPr>
      </w:pPr>
      <w:r w:rsidRPr="006B08B8">
        <w:rPr>
          <w:rFonts w:cstheme="minorHAnsi"/>
          <w:szCs w:val="26"/>
        </w:rPr>
        <w:t>Have opportunities for personal development and fulfilment of aspirations</w:t>
      </w:r>
    </w:p>
    <w:p w14:paraId="0EC7F793" w14:textId="77777777" w:rsidR="00714B62" w:rsidRPr="006B08B8" w:rsidRDefault="00714B62" w:rsidP="002A24F0">
      <w:pPr>
        <w:pStyle w:val="ListParagraph"/>
        <w:numPr>
          <w:ilvl w:val="0"/>
          <w:numId w:val="26"/>
        </w:numPr>
        <w:spacing w:after="120"/>
        <w:ind w:left="714" w:hanging="357"/>
        <w:contextualSpacing w:val="0"/>
        <w:rPr>
          <w:rFonts w:cstheme="minorHAnsi"/>
          <w:b/>
          <w:bCs/>
          <w:szCs w:val="26"/>
        </w:rPr>
      </w:pPr>
      <w:r w:rsidRPr="006B08B8">
        <w:rPr>
          <w:rFonts w:cstheme="minorHAnsi"/>
          <w:szCs w:val="26"/>
        </w:rPr>
        <w:t>Have a job or other valued social roles</w:t>
      </w:r>
    </w:p>
    <w:p w14:paraId="28718730" w14:textId="77777777" w:rsidR="00714B62" w:rsidRPr="006B08B8" w:rsidRDefault="00714B62" w:rsidP="002A24F0">
      <w:pPr>
        <w:pStyle w:val="ListParagraph"/>
        <w:numPr>
          <w:ilvl w:val="0"/>
          <w:numId w:val="26"/>
        </w:numPr>
        <w:spacing w:after="120"/>
        <w:ind w:left="714" w:hanging="357"/>
        <w:contextualSpacing w:val="0"/>
        <w:rPr>
          <w:rFonts w:cstheme="minorHAnsi"/>
          <w:b/>
          <w:bCs/>
          <w:szCs w:val="26"/>
        </w:rPr>
      </w:pPr>
      <w:r w:rsidRPr="006B08B8">
        <w:rPr>
          <w:rFonts w:cstheme="minorHAnsi"/>
          <w:szCs w:val="26"/>
        </w:rPr>
        <w:t>Are enjoying a good quality of life and well being</w:t>
      </w:r>
    </w:p>
    <w:p w14:paraId="265C0C8A" w14:textId="77777777" w:rsidR="00714B62" w:rsidRPr="006B08B8" w:rsidRDefault="00714B62" w:rsidP="002A24F0">
      <w:pPr>
        <w:pStyle w:val="ListParagraph"/>
        <w:numPr>
          <w:ilvl w:val="0"/>
          <w:numId w:val="26"/>
        </w:numPr>
        <w:spacing w:after="120"/>
        <w:ind w:left="714" w:hanging="357"/>
        <w:contextualSpacing w:val="0"/>
        <w:rPr>
          <w:rFonts w:cstheme="minorHAnsi"/>
          <w:b/>
          <w:bCs/>
          <w:szCs w:val="26"/>
        </w:rPr>
      </w:pPr>
      <w:r w:rsidRPr="006B08B8">
        <w:rPr>
          <w:rFonts w:cstheme="minorHAnsi"/>
          <w:szCs w:val="26"/>
        </w:rPr>
        <w:t>Are achieving best possible health</w:t>
      </w:r>
    </w:p>
    <w:p w14:paraId="3459C447" w14:textId="77777777" w:rsidR="00714B62" w:rsidRPr="00295895" w:rsidRDefault="00714B62" w:rsidP="002A24F0">
      <w:pPr>
        <w:pStyle w:val="ListParagraph"/>
        <w:numPr>
          <w:ilvl w:val="0"/>
          <w:numId w:val="26"/>
        </w:numPr>
        <w:ind w:left="714" w:hanging="357"/>
        <w:contextualSpacing w:val="0"/>
        <w:rPr>
          <w:rFonts w:cstheme="minorHAnsi"/>
          <w:b/>
          <w:bCs/>
          <w:szCs w:val="26"/>
        </w:rPr>
      </w:pPr>
      <w:r w:rsidRPr="006B08B8">
        <w:rPr>
          <w:rFonts w:cstheme="minorHAnsi"/>
          <w:szCs w:val="26"/>
        </w:rPr>
        <w:t>Are safe, secure and free from abuse</w:t>
      </w:r>
    </w:p>
    <w:p w14:paraId="104B6C58" w14:textId="205C2C4B" w:rsidR="0010232D" w:rsidRPr="009F0D6F" w:rsidRDefault="00BA6392" w:rsidP="00E54C43">
      <w:r>
        <w:t>These outcome domains align with the Health Information and Quality Authority (HIQA)</w:t>
      </w:r>
      <w:r w:rsidR="00E12DA5">
        <w:t xml:space="preserve"> </w:t>
      </w:r>
      <w:r w:rsidR="000B3420">
        <w:t>R</w:t>
      </w:r>
      <w:r w:rsidR="00E12DA5">
        <w:t>esidential Standards</w:t>
      </w:r>
      <w:r w:rsidR="00304331">
        <w:t>, the Interim Standards for New Directions and the United Nations Convention on the Rights of Persons with Disabilities</w:t>
      </w:r>
      <w:r w:rsidR="00DE43B4">
        <w:t xml:space="preserve"> (UNCRPD)</w:t>
      </w:r>
      <w:r w:rsidR="000B3420">
        <w:t xml:space="preserve"> </w:t>
      </w:r>
      <w:r w:rsidRPr="11C55A92">
        <w:rPr>
          <w:rFonts w:cstheme="minorBidi"/>
        </w:rPr>
        <w:fldChar w:fldCharType="begin"/>
      </w:r>
      <w:r w:rsidRPr="11C55A92">
        <w:rPr>
          <w:rFonts w:cstheme="minorBidi"/>
        </w:rPr>
        <w:instrText xml:space="preserve"> ADDIN EN.CITE &lt;EndNote&gt;&lt;Cite&gt;&lt;Author&gt;NDA&lt;/Author&gt;&lt;Year&gt;2019&lt;/Year&gt;&lt;RecNum&gt;731&lt;/RecNum&gt;&lt;DisplayText&gt;(NDA, 2019)&lt;/DisplayText&gt;&lt;record&gt;&lt;rec-number&gt;731&lt;/rec-number&gt;&lt;foreign-keys&gt;&lt;key app="EN" db-id="xtwfdzde5ttr0zevxrh5sf0c2wfzw5zf2vra" timestamp="1667405507" guid="89a7deb2-ca72-4fd0-aaf6-7ca2cbb0f830"&gt;731&lt;/key&gt;&lt;/foreign-keys&gt;&lt;ref-type name="Report"&gt;27&lt;/ref-type&gt;&lt;contributors&gt;&lt;authors&gt;&lt;author&gt;NDA, &lt;/author&gt;&lt;/authors&gt;&lt;/contributors&gt;&lt;titles&gt;&lt;title&gt;Outcome Measurement in evaluating the Quality of Disability Services&lt;/title&gt;&lt;/titles&gt;&lt;dates&gt;&lt;year&gt;2019&lt;/year&gt;&lt;/dates&gt;&lt;pub-location&gt;Dublin&lt;/pub-location&gt;&lt;publisher&gt;National Disability Authority&lt;/publisher&gt;&lt;urls&gt;&lt;/urls&gt;&lt;/record&gt;&lt;/Cite&gt;&lt;/EndNote&gt;</w:instrText>
      </w:r>
      <w:r w:rsidRPr="11C55A92">
        <w:rPr>
          <w:rFonts w:cstheme="minorBidi"/>
        </w:rPr>
        <w:fldChar w:fldCharType="separate"/>
      </w:r>
      <w:r w:rsidR="00F537A8" w:rsidRPr="11C55A92">
        <w:rPr>
          <w:rFonts w:cstheme="minorBidi"/>
          <w:noProof/>
        </w:rPr>
        <w:t>(NDA, 2019)</w:t>
      </w:r>
      <w:r w:rsidRPr="11C55A92">
        <w:rPr>
          <w:rFonts w:cstheme="minorBidi"/>
        </w:rPr>
        <w:fldChar w:fldCharType="end"/>
      </w:r>
      <w:r w:rsidR="00F537A8">
        <w:t>.</w:t>
      </w:r>
      <w:r w:rsidR="00F56200">
        <w:t xml:space="preserve"> </w:t>
      </w:r>
      <w:r w:rsidR="0010232D" w:rsidRPr="11C55A92">
        <w:rPr>
          <w:rFonts w:cstheme="minorBidi"/>
        </w:rPr>
        <w:t>In addition to the quality of life domain framework, the NDA developed a Quality Framewor</w:t>
      </w:r>
      <w:r w:rsidR="0010232D" w:rsidRPr="7F45FF05">
        <w:rPr>
          <w:rFonts w:cstheme="minorBidi"/>
        </w:rPr>
        <w:t xml:space="preserve">k </w:t>
      </w:r>
      <w:r w:rsidR="0E093905" w:rsidRPr="7F45FF05">
        <w:rPr>
          <w:rFonts w:cstheme="minorBidi"/>
        </w:rPr>
        <w:t xml:space="preserve">for the HSE (unpublished) focusing </w:t>
      </w:r>
      <w:r w:rsidR="0010232D" w:rsidRPr="11C55A92">
        <w:rPr>
          <w:rFonts w:cstheme="minorBidi"/>
        </w:rPr>
        <w:t xml:space="preserve">on the predictors of outcomes for people with disability. These predictors include elements of services and supports that facilitate the attainment of personal </w:t>
      </w:r>
      <w:r w:rsidR="008918B4" w:rsidRPr="11C55A92">
        <w:rPr>
          <w:rFonts w:cstheme="minorBidi"/>
        </w:rPr>
        <w:t>outcomes</w:t>
      </w:r>
      <w:r w:rsidR="00F537A8" w:rsidRPr="11C55A92">
        <w:rPr>
          <w:rFonts w:cstheme="minorBidi"/>
        </w:rPr>
        <w:t xml:space="preserve"> </w:t>
      </w:r>
      <w:r w:rsidRPr="11C55A92">
        <w:rPr>
          <w:rFonts w:cstheme="minorBidi"/>
        </w:rPr>
        <w:fldChar w:fldCharType="begin"/>
      </w:r>
      <w:r w:rsidRPr="11C55A92">
        <w:rPr>
          <w:rFonts w:cstheme="minorBidi"/>
        </w:rPr>
        <w:instrText xml:space="preserve"> ADDIN EN.CITE &lt;EndNote&gt;&lt;Cite&gt;&lt;Author&gt;NDA&lt;/Author&gt;&lt;Year&gt;2019&lt;/Year&gt;&lt;RecNum&gt;731&lt;/RecNum&gt;&lt;DisplayText&gt;(NDA, 2019)&lt;/DisplayText&gt;&lt;record&gt;&lt;rec-number&gt;731&lt;/rec-number&gt;&lt;foreign-keys&gt;&lt;key app="EN" db-id="xtwfdzde5ttr0zevxrh5sf0c2wfzw5zf2vra" timestamp="1667405507" guid="89a7deb2-ca72-4fd0-aaf6-7ca2cbb0f830"&gt;731&lt;/key&gt;&lt;/foreign-keys&gt;&lt;ref-type name="Report"&gt;27&lt;/ref-type&gt;&lt;contributors&gt;&lt;authors&gt;&lt;author&gt;NDA, &lt;/author&gt;&lt;/authors&gt;&lt;/contributors&gt;&lt;titles&gt;&lt;title&gt;Outcome Measurement in evaluating the Quality of Disability Services&lt;/title&gt;&lt;/titles&gt;&lt;dates&gt;&lt;year&gt;2019&lt;/year&gt;&lt;/dates&gt;&lt;pub-location&gt;Dublin&lt;/pub-location&gt;&lt;publisher&gt;National Disability Authority&lt;/publisher&gt;&lt;urls&gt;&lt;/urls&gt;&lt;/record&gt;&lt;/Cite&gt;&lt;/EndNote&gt;</w:instrText>
      </w:r>
      <w:r w:rsidRPr="11C55A92">
        <w:rPr>
          <w:rFonts w:cstheme="minorBidi"/>
        </w:rPr>
        <w:fldChar w:fldCharType="separate"/>
      </w:r>
      <w:r w:rsidR="00F537A8" w:rsidRPr="11C55A92">
        <w:rPr>
          <w:rFonts w:cstheme="minorBidi"/>
        </w:rPr>
        <w:t>(NDA, 2019)</w:t>
      </w:r>
      <w:r w:rsidRPr="11C55A92">
        <w:rPr>
          <w:rFonts w:cstheme="minorBidi"/>
        </w:rPr>
        <w:fldChar w:fldCharType="end"/>
      </w:r>
      <w:r w:rsidR="00224E7C" w:rsidRPr="11C55A92">
        <w:rPr>
          <w:rFonts w:cstheme="minorBidi"/>
        </w:rPr>
        <w:t xml:space="preserve"> such as Active Support (enables people with intellectual disabilit</w:t>
      </w:r>
      <w:r w:rsidR="00C85736">
        <w:rPr>
          <w:rFonts w:cstheme="minorBidi"/>
        </w:rPr>
        <w:t>ies</w:t>
      </w:r>
      <w:r w:rsidR="00224E7C" w:rsidRPr="11C55A92">
        <w:rPr>
          <w:rFonts w:cstheme="minorBidi"/>
        </w:rPr>
        <w:t xml:space="preserve"> to engage in meaningful activities and relationships), person-centred planning, and access to transport.</w:t>
      </w:r>
    </w:p>
    <w:p w14:paraId="2D324897" w14:textId="3DBF4CB0" w:rsidR="00D9370C" w:rsidRPr="00906B8B" w:rsidRDefault="0066753B" w:rsidP="002E7AF6">
      <w:pPr>
        <w:pStyle w:val="Heading3"/>
        <w:rPr>
          <w:color w:val="auto"/>
        </w:rPr>
      </w:pPr>
      <w:bookmarkStart w:id="100" w:name="_Toc118558261"/>
      <w:r w:rsidRPr="00906B8B">
        <w:rPr>
          <w:color w:val="auto"/>
        </w:rPr>
        <w:t>Measurement tools</w:t>
      </w:r>
      <w:bookmarkEnd w:id="100"/>
    </w:p>
    <w:p w14:paraId="348F7550" w14:textId="65BB46C9" w:rsidR="009E667D" w:rsidRPr="00B66862" w:rsidRDefault="00B66862" w:rsidP="009E667D">
      <w:pPr>
        <w:rPr>
          <w:rFonts w:cstheme="minorHAnsi"/>
          <w:szCs w:val="26"/>
        </w:rPr>
      </w:pPr>
      <w:r>
        <w:rPr>
          <w:rFonts w:cstheme="minorHAnsi"/>
          <w:szCs w:val="26"/>
        </w:rPr>
        <w:t>Different tools are used to measure outcomes at the individual level and at the service leve</w:t>
      </w:r>
      <w:r>
        <w:rPr>
          <w:rFonts w:cstheme="minorHAnsi"/>
          <w:bCs/>
          <w:szCs w:val="26"/>
        </w:rPr>
        <w:t>l, and these</w:t>
      </w:r>
      <w:r>
        <w:rPr>
          <w:rFonts w:cstheme="minorHAnsi"/>
          <w:szCs w:val="26"/>
        </w:rPr>
        <w:t xml:space="preserve"> tools can be mapped against the Quality</w:t>
      </w:r>
      <w:r w:rsidR="00A57BB0">
        <w:rPr>
          <w:rFonts w:cstheme="minorHAnsi"/>
          <w:szCs w:val="26"/>
        </w:rPr>
        <w:t xml:space="preserve"> </w:t>
      </w:r>
      <w:r>
        <w:rPr>
          <w:rFonts w:cstheme="minorHAnsi"/>
          <w:szCs w:val="26"/>
        </w:rPr>
        <w:t>of</w:t>
      </w:r>
      <w:r w:rsidR="00A57BB0">
        <w:rPr>
          <w:rFonts w:cstheme="minorHAnsi"/>
          <w:szCs w:val="26"/>
        </w:rPr>
        <w:t xml:space="preserve"> </w:t>
      </w:r>
      <w:r>
        <w:rPr>
          <w:rFonts w:cstheme="minorHAnsi"/>
          <w:szCs w:val="26"/>
        </w:rPr>
        <w:t xml:space="preserve">Life Outcomes Domain Framework. </w:t>
      </w:r>
    </w:p>
    <w:p w14:paraId="5C5A9562" w14:textId="07BEFF09" w:rsidR="000D545C" w:rsidRPr="00906B8B" w:rsidRDefault="000D545C" w:rsidP="11C55A92">
      <w:pPr>
        <w:pStyle w:val="Heading4"/>
        <w:rPr>
          <w:color w:val="auto"/>
        </w:rPr>
      </w:pPr>
      <w:r w:rsidRPr="00906B8B">
        <w:rPr>
          <w:color w:val="auto"/>
        </w:rPr>
        <w:t>The Personal Outcome Measure</w:t>
      </w:r>
      <w:r w:rsidR="00F56200" w:rsidRPr="00906B8B">
        <w:rPr>
          <w:color w:val="auto"/>
        </w:rPr>
        <w:t>s</w:t>
      </w:r>
      <w:r w:rsidRPr="00906B8B">
        <w:rPr>
          <w:color w:val="auto"/>
        </w:rPr>
        <w:t xml:space="preserve"> Tool</w:t>
      </w:r>
    </w:p>
    <w:p w14:paraId="1A21B60F" w14:textId="5E6D2DBB" w:rsidR="000D545C" w:rsidRPr="008562F1" w:rsidRDefault="000D545C" w:rsidP="000849B1">
      <w:pPr>
        <w:spacing w:after="120"/>
      </w:pPr>
      <w:r w:rsidRPr="6D7D5EDE">
        <w:rPr>
          <w:rFonts w:cstheme="minorBidi"/>
        </w:rPr>
        <w:t>One example of a tool that is used to measure outcomes at the individual level is the Personal Outcome Measure</w:t>
      </w:r>
      <w:r w:rsidR="00C603C7">
        <w:rPr>
          <w:rFonts w:cstheme="minorBidi"/>
        </w:rPr>
        <w:t>s</w:t>
      </w:r>
      <w:r w:rsidRPr="6D7D5EDE">
        <w:rPr>
          <w:rFonts w:cstheme="minorBidi"/>
        </w:rPr>
        <w:t xml:space="preserve"> Tool (POMS) developed by the Council on Quality and Leaderships (CQL</w:t>
      </w:r>
      <w:r w:rsidR="003804A5" w:rsidRPr="6D7D5EDE">
        <w:rPr>
          <w:rFonts w:cstheme="minorBidi"/>
        </w:rPr>
        <w:t xml:space="preserve">) in the U.S. This tool </w:t>
      </w:r>
      <w:r w:rsidRPr="6D7D5EDE">
        <w:rPr>
          <w:rFonts w:cstheme="minorBidi"/>
        </w:rPr>
        <w:t xml:space="preserve">is used by some services in Ireland, </w:t>
      </w:r>
      <w:r w:rsidR="003804A5" w:rsidRPr="6D7D5EDE">
        <w:rPr>
          <w:rFonts w:cstheme="minorBidi"/>
        </w:rPr>
        <w:t xml:space="preserve">and across other jurisdictions including </w:t>
      </w:r>
      <w:r w:rsidRPr="6D7D5EDE">
        <w:rPr>
          <w:rFonts w:cstheme="minorBidi"/>
        </w:rPr>
        <w:t xml:space="preserve">the U.S., Canada and Australia </w:t>
      </w:r>
      <w:r w:rsidR="000849B1" w:rsidRPr="2A3E28C5">
        <w:rPr>
          <w:rFonts w:cstheme="minorBidi"/>
        </w:rPr>
        <w:fldChar w:fldCharType="begin"/>
      </w:r>
      <w:r w:rsidR="003804A5">
        <w:rPr>
          <w:rFonts w:cstheme="minorBidi"/>
        </w:rPr>
        <w:instrText xml:space="preserve"> ADDIN EN.CITE &lt;EndNote&gt;&lt;Cite&gt;&lt;Author&gt;NDA&lt;/Author&gt;&lt;Year&gt;2019&lt;/Year&gt;&lt;RecNum&gt;731&lt;/RecNum&gt;&lt;DisplayText&gt;(NDA, 2019; National Economic Social Council, 2012)&lt;/DisplayText&gt;&lt;record&gt;&lt;rec-number&gt;731&lt;/rec-number&gt;&lt;foreign-keys&gt;&lt;key app="EN" db-id="xtwfdzde5ttr0zevxrh5sf0c2wfzw5zf2vra" timestamp="1667405507" guid="89a7deb2-ca72-4fd0-aaf6-7ca2cbb0f830"&gt;731&lt;/key&gt;&lt;/foreign-keys&gt;&lt;ref-type name="Report"&gt;27&lt;/ref-type&gt;&lt;contributors&gt;&lt;authors&gt;&lt;author&gt;NDA, &lt;/author&gt;&lt;/authors&gt;&lt;/contributors&gt;&lt;titles&gt;&lt;title&gt;Outcome Measurement in evaluating the Quality of Disability Services&lt;/title&gt;&lt;/titles&gt;&lt;dates&gt;&lt;year&gt;2019&lt;/year&gt;&lt;/dates&gt;&lt;pub-location&gt;Dublin&lt;/pub-location&gt;&lt;publisher&gt;National Disability Authority&lt;/publisher&gt;&lt;urls&gt;&lt;/urls&gt;&lt;/record&gt;&lt;/Cite&gt;&lt;Cite&gt;&lt;Author&gt;National Economic Social Council&lt;/Author&gt;&lt;Year&gt;2012&lt;/Year&gt;&lt;RecNum&gt;512&lt;/RecNum&gt;&lt;record&gt;&lt;rec-number&gt;512&lt;/rec-number&gt;&lt;foreign-keys&gt;&lt;key app="EN" db-id="xtwfdzde5ttr0zevxrh5sf0c2wfzw5zf2vra" timestamp="1648653944" guid="59b9019f-5194-4ea1-88b7-52c39bbd9997"&gt;512&lt;/key&gt;&lt;/foreign-keys&gt;&lt;ref-type name="Report"&gt;27&lt;/ref-type&gt;&lt;contributors&gt;&lt;authors&gt;&lt;author&gt;National Economic Social Council, &lt;/author&gt;&lt;/authors&gt;&lt;/contributors&gt;&lt;titles&gt;&lt;title&gt;Quality and standards in human services in Ireland: Disability services&lt;/title&gt;&lt;/titles&gt;&lt;dates&gt;&lt;year&gt;2012&lt;/year&gt;&lt;/dates&gt;&lt;pub-location&gt;Ireland&lt;/pub-location&gt;&lt;publisher&gt;National Economic Social Council&lt;/publisher&gt;&lt;urls&gt;&lt;/urls&gt;&lt;/record&gt;&lt;/Cite&gt;&lt;/EndNote&gt;</w:instrText>
      </w:r>
      <w:r w:rsidR="000849B1" w:rsidRPr="2A3E28C5">
        <w:rPr>
          <w:rFonts w:cstheme="minorBidi"/>
        </w:rPr>
        <w:fldChar w:fldCharType="separate"/>
      </w:r>
      <w:r w:rsidR="003804A5">
        <w:rPr>
          <w:rFonts w:cstheme="minorBidi"/>
          <w:noProof/>
        </w:rPr>
        <w:t>(NDA, 2019; National Economic Social Council, 2012)</w:t>
      </w:r>
      <w:r w:rsidR="000849B1" w:rsidRPr="2A3E28C5">
        <w:rPr>
          <w:rFonts w:cstheme="minorBidi"/>
        </w:rPr>
        <w:fldChar w:fldCharType="end"/>
      </w:r>
      <w:r w:rsidR="000849B1" w:rsidRPr="2A3E28C5">
        <w:rPr>
          <w:rFonts w:cstheme="minorBidi"/>
        </w:rPr>
        <w:t>.</w:t>
      </w:r>
      <w:r w:rsidRPr="66851EA5">
        <w:rPr>
          <w:rFonts w:cstheme="minorBidi"/>
        </w:rPr>
        <w:t xml:space="preserve"> The POMS is an individualised outcomes planning and monitoring tool that can be used to guide person-centred planning and assesses quality of life as defined by a person and determines whether the supports provided by a service align with the self-defined goals of the individual </w:t>
      </w:r>
      <w:r w:rsidR="000849B1" w:rsidRPr="66851EA5">
        <w:rPr>
          <w:rFonts w:cstheme="minorBidi"/>
        </w:rPr>
        <w:fldChar w:fldCharType="begin"/>
      </w:r>
      <w:r w:rsidR="000849B1" w:rsidRPr="66851EA5">
        <w:rPr>
          <w:rFonts w:cstheme="minorBidi"/>
        </w:rPr>
        <w:instrText xml:space="preserve"> ADDIN EN.CITE &lt;EndNote&gt;&lt;Cite&gt;&lt;Author&gt;NDA&lt;/Author&gt;&lt;Year&gt;2019&lt;/Year&gt;&lt;RecNum&gt;731&lt;/RecNum&gt;&lt;DisplayText&gt;(NDA, 2019)&lt;/DisplayText&gt;&lt;record&gt;&lt;rec-number&gt;731&lt;/rec-number&gt;&lt;foreign-keys&gt;&lt;key app="EN" db-id="xtwfdzde5ttr0zevxrh5sf0c2wfzw5zf2vra" timestamp="1667405507" guid="89a7deb2-ca72-4fd0-aaf6-7ca2cbb0f830"&gt;731&lt;/key&gt;&lt;/foreign-keys&gt;&lt;ref-type name="Report"&gt;27&lt;/ref-type&gt;&lt;contributors&gt;&lt;authors&gt;&lt;author&gt;NDA, &lt;/author&gt;&lt;/authors&gt;&lt;/contributors&gt;&lt;titles&gt;&lt;title&gt;Outcome Measurement in evaluating the Quality of Disability Services&lt;/title&gt;&lt;/titles&gt;&lt;dates&gt;&lt;year&gt;2019&lt;/year&gt;&lt;/dates&gt;&lt;pub-location&gt;Dublin&lt;/pub-location&gt;&lt;publisher&gt;National Disability Authority&lt;/publisher&gt;&lt;urls&gt;&lt;/urls&gt;&lt;/record&gt;&lt;/Cite&gt;&lt;/EndNote&gt;</w:instrText>
      </w:r>
      <w:r w:rsidR="000849B1" w:rsidRPr="66851EA5">
        <w:rPr>
          <w:rFonts w:cstheme="minorBidi"/>
        </w:rPr>
        <w:fldChar w:fldCharType="separate"/>
      </w:r>
      <w:r w:rsidR="000849B1" w:rsidRPr="66851EA5">
        <w:rPr>
          <w:rFonts w:cstheme="minorBidi"/>
        </w:rPr>
        <w:t>(NDA, 2019)</w:t>
      </w:r>
      <w:r w:rsidR="000849B1" w:rsidRPr="66851EA5">
        <w:rPr>
          <w:rFonts w:cstheme="minorBidi"/>
        </w:rPr>
        <w:fldChar w:fldCharType="end"/>
      </w:r>
      <w:r w:rsidR="000849B1" w:rsidRPr="66851EA5">
        <w:rPr>
          <w:rFonts w:cstheme="minorBidi"/>
        </w:rPr>
        <w:t>.</w:t>
      </w:r>
      <w:r w:rsidR="000849B1">
        <w:t xml:space="preserve"> </w:t>
      </w:r>
      <w:r w:rsidR="00F56200">
        <w:rPr>
          <w:rFonts w:cstheme="minorBidi"/>
        </w:rPr>
        <w:t>It</w:t>
      </w:r>
      <w:r w:rsidRPr="66851EA5">
        <w:rPr>
          <w:rFonts w:cstheme="minorBidi"/>
        </w:rPr>
        <w:t xml:space="preserve"> is responsive to the </w:t>
      </w:r>
      <w:r w:rsidR="30DA2000" w:rsidRPr="6D7D5EDE">
        <w:rPr>
          <w:rFonts w:cstheme="minorBidi"/>
        </w:rPr>
        <w:t>individual</w:t>
      </w:r>
      <w:r w:rsidR="7FBC0324" w:rsidRPr="6D7D5EDE">
        <w:rPr>
          <w:rFonts w:cstheme="minorBidi"/>
        </w:rPr>
        <w:t>’</w:t>
      </w:r>
      <w:r w:rsidR="30DA2000" w:rsidRPr="6D7D5EDE">
        <w:rPr>
          <w:rFonts w:cstheme="minorBidi"/>
        </w:rPr>
        <w:t>s</w:t>
      </w:r>
      <w:r w:rsidRPr="66851EA5">
        <w:rPr>
          <w:rFonts w:cstheme="minorBidi"/>
        </w:rPr>
        <w:t xml:space="preserve"> needs, focusing entirely on their perspective and reflects the principles of self-determination. </w:t>
      </w:r>
      <w:r w:rsidRPr="2A3E28C5">
        <w:rPr>
          <w:rFonts w:cstheme="minorBidi"/>
        </w:rPr>
        <w:t>Outcomes are measured against five domains</w:t>
      </w:r>
      <w:r w:rsidR="0087262C" w:rsidRPr="2A3E28C5">
        <w:rPr>
          <w:rFonts w:cstheme="minorBidi"/>
        </w:rPr>
        <w:t xml:space="preserve"> </w:t>
      </w:r>
      <w:r w:rsidR="0087262C" w:rsidRPr="2A3E28C5">
        <w:rPr>
          <w:rFonts w:cstheme="minorBidi"/>
        </w:rPr>
        <w:fldChar w:fldCharType="begin"/>
      </w:r>
      <w:r w:rsidR="0057114E">
        <w:rPr>
          <w:rFonts w:cstheme="minorBidi"/>
        </w:rPr>
        <w:instrText xml:space="preserve"> ADDIN EN.CITE &lt;EndNote&gt;&lt;Cite&gt;&lt;Author&gt;Council on Quality and Leadership&lt;/Author&gt;&lt;Year&gt;2022&lt;/Year&gt;&lt;RecNum&gt;742&lt;/RecNum&gt;&lt;DisplayText&gt;(Council on Quality and Leadership, 2022)&lt;/DisplayText&gt;&lt;record&gt;&lt;rec-number&gt;742&lt;/rec-number&gt;&lt;foreign-keys&gt;&lt;key app="EN" db-id="xtwfdzde5ttr0zevxrh5sf0c2wfzw5zf2vra" timestamp="1667424332" guid="fba97242-a62a-46e9-9aa1-020f831470fd"&gt;742&lt;/key&gt;&lt;/foreign-keys&gt;&lt;ref-type name="Web Page"&gt;12&lt;/ref-type&gt;&lt;contributors&gt;&lt;authors&gt;&lt;author&gt;Council on Quality and Leadership,&lt;/author&gt;&lt;/authors&gt;&lt;/contributors&gt;&lt;titles&gt;&lt;title&gt;Personal Outcome Measures&lt;/title&gt;&lt;/titles&gt;&lt;volume&gt;2022&lt;/volume&gt;&lt;number&gt;02/11/22&lt;/number&gt;&lt;dates&gt;&lt;year&gt;2022&lt;/year&gt;&lt;/dates&gt;&lt;pub-location&gt;United States&lt;/pub-location&gt;&lt;urls&gt;&lt;related-urls&gt;&lt;url&gt;https://www.c-q-l.org/tools/personal-outcome-measures/&lt;/url&gt;&lt;/related-urls&gt;&lt;/urls&gt;&lt;/record&gt;&lt;/Cite&gt;&lt;/EndNote&gt;</w:instrText>
      </w:r>
      <w:r w:rsidR="0087262C" w:rsidRPr="2A3E28C5">
        <w:rPr>
          <w:rFonts w:cstheme="minorBidi"/>
        </w:rPr>
        <w:fldChar w:fldCharType="separate"/>
      </w:r>
      <w:r w:rsidR="0087262C" w:rsidRPr="2A3E28C5">
        <w:rPr>
          <w:rFonts w:cstheme="minorBidi"/>
          <w:noProof/>
        </w:rPr>
        <w:t>(Council on Quality and Leadership, 2022)</w:t>
      </w:r>
      <w:r w:rsidR="0087262C" w:rsidRPr="2A3E28C5">
        <w:rPr>
          <w:rFonts w:cstheme="minorBidi"/>
        </w:rPr>
        <w:fldChar w:fldCharType="end"/>
      </w:r>
      <w:r w:rsidR="0087262C" w:rsidRPr="2A3E28C5">
        <w:rPr>
          <w:rFonts w:cstheme="minorBidi"/>
        </w:rPr>
        <w:t>:</w:t>
      </w:r>
    </w:p>
    <w:p w14:paraId="1A520EAE" w14:textId="77777777" w:rsidR="000D545C" w:rsidRPr="000D545C" w:rsidRDefault="000D545C" w:rsidP="002A24F0">
      <w:pPr>
        <w:pStyle w:val="ListParagraph"/>
        <w:numPr>
          <w:ilvl w:val="0"/>
          <w:numId w:val="28"/>
        </w:numPr>
        <w:spacing w:after="120"/>
        <w:ind w:left="714" w:hanging="357"/>
        <w:contextualSpacing w:val="0"/>
        <w:rPr>
          <w:rFonts w:cstheme="minorHAnsi"/>
          <w:szCs w:val="26"/>
        </w:rPr>
      </w:pPr>
      <w:r w:rsidRPr="000D545C">
        <w:rPr>
          <w:rFonts w:cstheme="minorHAnsi"/>
          <w:szCs w:val="26"/>
        </w:rPr>
        <w:t>My Human Security</w:t>
      </w:r>
    </w:p>
    <w:p w14:paraId="5909E9A6" w14:textId="77777777" w:rsidR="000D545C" w:rsidRPr="000D545C" w:rsidRDefault="000D545C" w:rsidP="002A24F0">
      <w:pPr>
        <w:pStyle w:val="ListParagraph"/>
        <w:numPr>
          <w:ilvl w:val="0"/>
          <w:numId w:val="28"/>
        </w:numPr>
        <w:spacing w:after="120"/>
        <w:ind w:left="714" w:hanging="357"/>
        <w:contextualSpacing w:val="0"/>
        <w:rPr>
          <w:rFonts w:cstheme="minorHAnsi"/>
          <w:szCs w:val="26"/>
        </w:rPr>
      </w:pPr>
      <w:r w:rsidRPr="000D545C">
        <w:rPr>
          <w:rFonts w:cstheme="minorHAnsi"/>
          <w:szCs w:val="26"/>
        </w:rPr>
        <w:t>My Community</w:t>
      </w:r>
    </w:p>
    <w:p w14:paraId="6C55673C" w14:textId="77777777" w:rsidR="000D545C" w:rsidRPr="000D545C" w:rsidRDefault="000D545C" w:rsidP="002A24F0">
      <w:pPr>
        <w:pStyle w:val="ListParagraph"/>
        <w:numPr>
          <w:ilvl w:val="0"/>
          <w:numId w:val="28"/>
        </w:numPr>
        <w:spacing w:after="120"/>
        <w:ind w:left="714" w:hanging="357"/>
        <w:contextualSpacing w:val="0"/>
        <w:rPr>
          <w:rFonts w:cstheme="minorHAnsi"/>
          <w:szCs w:val="26"/>
        </w:rPr>
      </w:pPr>
      <w:r w:rsidRPr="000D545C">
        <w:rPr>
          <w:rFonts w:cstheme="minorHAnsi"/>
          <w:szCs w:val="26"/>
        </w:rPr>
        <w:t>My Relationships</w:t>
      </w:r>
    </w:p>
    <w:p w14:paraId="23665226" w14:textId="77777777" w:rsidR="000D545C" w:rsidRPr="000D545C" w:rsidRDefault="000D545C" w:rsidP="002A24F0">
      <w:pPr>
        <w:pStyle w:val="ListParagraph"/>
        <w:numPr>
          <w:ilvl w:val="0"/>
          <w:numId w:val="28"/>
        </w:numPr>
        <w:spacing w:after="120"/>
        <w:ind w:left="714" w:hanging="357"/>
        <w:contextualSpacing w:val="0"/>
        <w:rPr>
          <w:rFonts w:cstheme="minorHAnsi"/>
          <w:szCs w:val="26"/>
        </w:rPr>
      </w:pPr>
      <w:r w:rsidRPr="000D545C">
        <w:rPr>
          <w:rFonts w:cstheme="minorHAnsi"/>
          <w:szCs w:val="26"/>
        </w:rPr>
        <w:t>My Choices</w:t>
      </w:r>
    </w:p>
    <w:p w14:paraId="276A3E45" w14:textId="77777777" w:rsidR="000D545C" w:rsidRPr="000D545C" w:rsidRDefault="000D545C" w:rsidP="002A24F0">
      <w:pPr>
        <w:pStyle w:val="ListParagraph"/>
        <w:numPr>
          <w:ilvl w:val="0"/>
          <w:numId w:val="28"/>
        </w:numPr>
        <w:ind w:left="714" w:hanging="357"/>
        <w:contextualSpacing w:val="0"/>
        <w:rPr>
          <w:rFonts w:cstheme="minorHAnsi"/>
          <w:szCs w:val="26"/>
        </w:rPr>
      </w:pPr>
      <w:r w:rsidRPr="000D545C">
        <w:rPr>
          <w:rFonts w:cstheme="minorHAnsi"/>
          <w:szCs w:val="26"/>
        </w:rPr>
        <w:t>My Goals</w:t>
      </w:r>
    </w:p>
    <w:p w14:paraId="31E394F7" w14:textId="77777777" w:rsidR="000D545C" w:rsidRPr="000D545C" w:rsidRDefault="000D545C" w:rsidP="000849B1">
      <w:pPr>
        <w:spacing w:after="120"/>
        <w:rPr>
          <w:rFonts w:cstheme="minorHAnsi"/>
          <w:szCs w:val="26"/>
        </w:rPr>
      </w:pPr>
      <w:r w:rsidRPr="000D545C">
        <w:rPr>
          <w:rFonts w:cstheme="minorHAnsi"/>
          <w:szCs w:val="26"/>
        </w:rPr>
        <w:t>Within each of these domains are indicators that guide decision making about the presence of outcomes. For example, the following indicators can be found under the domain ‘My Choices”:</w:t>
      </w:r>
    </w:p>
    <w:p w14:paraId="02D68E8B" w14:textId="77777777" w:rsidR="000D545C" w:rsidRPr="000D545C" w:rsidRDefault="000D545C" w:rsidP="002A24F0">
      <w:pPr>
        <w:pStyle w:val="ListParagraph"/>
        <w:numPr>
          <w:ilvl w:val="0"/>
          <w:numId w:val="29"/>
        </w:numPr>
        <w:spacing w:after="120"/>
        <w:ind w:left="714" w:hanging="357"/>
        <w:contextualSpacing w:val="0"/>
        <w:rPr>
          <w:rFonts w:cstheme="minorHAnsi"/>
          <w:szCs w:val="26"/>
        </w:rPr>
      </w:pPr>
      <w:r w:rsidRPr="000D545C">
        <w:rPr>
          <w:rFonts w:cstheme="minorHAnsi"/>
          <w:szCs w:val="26"/>
        </w:rPr>
        <w:t>People choose where and with whom they live</w:t>
      </w:r>
    </w:p>
    <w:p w14:paraId="7C27108E" w14:textId="77777777" w:rsidR="000D545C" w:rsidRPr="000D545C" w:rsidRDefault="000D545C" w:rsidP="002A24F0">
      <w:pPr>
        <w:pStyle w:val="ListParagraph"/>
        <w:numPr>
          <w:ilvl w:val="0"/>
          <w:numId w:val="29"/>
        </w:numPr>
        <w:spacing w:after="120"/>
        <w:ind w:left="714" w:hanging="357"/>
        <w:contextualSpacing w:val="0"/>
        <w:rPr>
          <w:rFonts w:cstheme="minorHAnsi"/>
          <w:szCs w:val="26"/>
        </w:rPr>
      </w:pPr>
      <w:r w:rsidRPr="000D545C">
        <w:rPr>
          <w:rFonts w:cstheme="minorHAnsi"/>
          <w:szCs w:val="26"/>
        </w:rPr>
        <w:t>People choose where they work</w:t>
      </w:r>
    </w:p>
    <w:p w14:paraId="01B32249" w14:textId="77777777" w:rsidR="000D545C" w:rsidRPr="000D545C" w:rsidRDefault="000D545C" w:rsidP="002A24F0">
      <w:pPr>
        <w:pStyle w:val="ListParagraph"/>
        <w:numPr>
          <w:ilvl w:val="0"/>
          <w:numId w:val="29"/>
        </w:numPr>
        <w:ind w:left="714" w:hanging="357"/>
        <w:contextualSpacing w:val="0"/>
        <w:rPr>
          <w:rFonts w:cstheme="minorHAnsi"/>
          <w:szCs w:val="26"/>
        </w:rPr>
      </w:pPr>
      <w:r w:rsidRPr="000D545C">
        <w:rPr>
          <w:rFonts w:cstheme="minorHAnsi"/>
          <w:szCs w:val="26"/>
        </w:rPr>
        <w:t>People choose services</w:t>
      </w:r>
    </w:p>
    <w:p w14:paraId="57E1BDA1" w14:textId="470A0959" w:rsidR="00DF79B8" w:rsidRDefault="00811346" w:rsidP="00DF79B8">
      <w:pPr>
        <w:pStyle w:val="Heading4"/>
      </w:pPr>
      <w:r w:rsidRPr="004722E6">
        <w:rPr>
          <w:color w:val="000000" w:themeColor="text1"/>
        </w:rPr>
        <w:t>National Core Indicators</w:t>
      </w:r>
      <w:r w:rsidR="00FC5876" w:rsidRPr="004722E6">
        <w:rPr>
          <w:color w:val="000000" w:themeColor="text1"/>
        </w:rPr>
        <w:t xml:space="preserve"> Instrument</w:t>
      </w:r>
      <w:bookmarkStart w:id="101" w:name="_Hlk118319074"/>
    </w:p>
    <w:p w14:paraId="0AA89325" w14:textId="2DB2BA72" w:rsidR="0096654F" w:rsidRPr="002C636F" w:rsidRDefault="005126D6" w:rsidP="002C636F">
      <w:pPr>
        <w:rPr>
          <w:rFonts w:cstheme="minorBidi"/>
        </w:rPr>
      </w:pPr>
      <w:r w:rsidRPr="7813F5FA">
        <w:rPr>
          <w:rFonts w:cstheme="minorBidi"/>
        </w:rPr>
        <w:t xml:space="preserve">Standardised outcome measurement tools are used to assess outcomes at the service level </w:t>
      </w:r>
      <w:r w:rsidR="002270B2" w:rsidRPr="2A3E28C5">
        <w:rPr>
          <w:rFonts w:cstheme="minorBidi"/>
        </w:rPr>
        <w:fldChar w:fldCharType="begin"/>
      </w:r>
      <w:r w:rsidR="002270B2" w:rsidRPr="2A3E28C5">
        <w:rPr>
          <w:rFonts w:cstheme="minorBidi"/>
        </w:rPr>
        <w:instrText xml:space="preserve"> ADDIN EN.CITE &lt;EndNote&gt;&lt;Cite&gt;&lt;Author&gt;NDA&lt;/Author&gt;&lt;Year&gt;2019&lt;/Year&gt;&lt;RecNum&gt;731&lt;/RecNum&gt;&lt;DisplayText&gt;(NDA, 2019)&lt;/DisplayText&gt;&lt;record&gt;&lt;rec-number&gt;731&lt;/rec-number&gt;&lt;foreign-keys&gt;&lt;key app="EN" db-id="xtwfdzde5ttr0zevxrh5sf0c2wfzw5zf2vra" timestamp="1667405507" guid="89a7deb2-ca72-4fd0-aaf6-7ca2cbb0f830"&gt;731&lt;/key&gt;&lt;/foreign-keys&gt;&lt;ref-type name="Report"&gt;27&lt;/ref-type&gt;&lt;contributors&gt;&lt;authors&gt;&lt;author&gt;NDA, &lt;/author&gt;&lt;/authors&gt;&lt;/contributors&gt;&lt;titles&gt;&lt;title&gt;Outcome Measurement in evaluating the Quality of Disability Services&lt;/title&gt;&lt;/titles&gt;&lt;dates&gt;&lt;year&gt;2019&lt;/year&gt;&lt;/dates&gt;&lt;pub-location&gt;Dublin&lt;/pub-location&gt;&lt;publisher&gt;National Disability Authority&lt;/publisher&gt;&lt;urls&gt;&lt;/urls&gt;&lt;/record&gt;&lt;/Cite&gt;&lt;/EndNote&gt;</w:instrText>
      </w:r>
      <w:r w:rsidR="002270B2" w:rsidRPr="2A3E28C5">
        <w:rPr>
          <w:rFonts w:cstheme="minorBidi"/>
        </w:rPr>
        <w:fldChar w:fldCharType="separate"/>
      </w:r>
      <w:r w:rsidR="002270B2" w:rsidRPr="2A3E28C5">
        <w:rPr>
          <w:rFonts w:cstheme="minorBidi"/>
        </w:rPr>
        <w:t>(NDA, 2019)</w:t>
      </w:r>
      <w:r w:rsidR="002270B2" w:rsidRPr="2A3E28C5">
        <w:rPr>
          <w:rFonts w:cstheme="minorBidi"/>
        </w:rPr>
        <w:fldChar w:fldCharType="end"/>
      </w:r>
      <w:r w:rsidR="002270B2">
        <w:rPr>
          <w:rFonts w:cstheme="minorBidi"/>
        </w:rPr>
        <w:t xml:space="preserve">. </w:t>
      </w:r>
      <w:r w:rsidRPr="7813F5FA">
        <w:rPr>
          <w:rFonts w:cstheme="minorBidi"/>
        </w:rPr>
        <w:t xml:space="preserve">The National Core Indicators (NCI) instrument is an example of such a tool that is widely used across the U.S. to evaluate service quality for people with intellectual </w:t>
      </w:r>
      <w:r w:rsidR="005C312F">
        <w:rPr>
          <w:rFonts w:cstheme="minorBidi"/>
        </w:rPr>
        <w:t xml:space="preserve">and developmental </w:t>
      </w:r>
      <w:r w:rsidRPr="7813F5FA">
        <w:rPr>
          <w:rFonts w:cstheme="minorBidi"/>
        </w:rPr>
        <w:t>disabilities</w:t>
      </w:r>
      <w:r w:rsidR="005C312F">
        <w:rPr>
          <w:rFonts w:cstheme="minorBidi"/>
        </w:rPr>
        <w:t xml:space="preserve"> (IDD)</w:t>
      </w:r>
      <w:r w:rsidRPr="7813F5FA">
        <w:rPr>
          <w:rFonts w:cstheme="minorBidi"/>
        </w:rPr>
        <w:t>, and at the Federal level</w:t>
      </w:r>
      <w:r w:rsidR="00EA4B7D" w:rsidRPr="7813F5FA">
        <w:rPr>
          <w:rFonts w:cstheme="minorBidi"/>
        </w:rPr>
        <w:t>,</w:t>
      </w:r>
      <w:r w:rsidRPr="7813F5FA">
        <w:rPr>
          <w:rFonts w:cstheme="minorBidi"/>
        </w:rPr>
        <w:t xml:space="preserve"> is used to benchmark service quality. </w:t>
      </w:r>
      <w:bookmarkEnd w:id="101"/>
      <w:r w:rsidR="00A8343D" w:rsidRPr="7813F5FA">
        <w:rPr>
          <w:rFonts w:cstheme="minorBidi"/>
        </w:rPr>
        <w:t xml:space="preserve">The NCI </w:t>
      </w:r>
      <w:r w:rsidR="006B3EB1" w:rsidRPr="7813F5FA">
        <w:rPr>
          <w:rFonts w:cstheme="minorBidi"/>
        </w:rPr>
        <w:t xml:space="preserve">includes </w:t>
      </w:r>
      <w:r w:rsidR="00F668AE" w:rsidRPr="7813F5FA">
        <w:rPr>
          <w:rFonts w:cstheme="minorBidi"/>
        </w:rPr>
        <w:t xml:space="preserve">a range of </w:t>
      </w:r>
      <w:r w:rsidR="279E6092" w:rsidRPr="6D7D5EDE">
        <w:rPr>
          <w:rFonts w:cstheme="minorBidi"/>
        </w:rPr>
        <w:t>indicators</w:t>
      </w:r>
      <w:r w:rsidR="00F668AE" w:rsidRPr="7813F5FA">
        <w:rPr>
          <w:rFonts w:cstheme="minorBidi"/>
        </w:rPr>
        <w:t xml:space="preserve"> that are organised across key domains: Individual Outcomes; System</w:t>
      </w:r>
      <w:r w:rsidR="00533444">
        <w:rPr>
          <w:rFonts w:cstheme="minorBidi"/>
        </w:rPr>
        <w:t xml:space="preserve"> </w:t>
      </w:r>
      <w:r w:rsidR="557F6764" w:rsidRPr="52FD202D">
        <w:rPr>
          <w:rFonts w:cstheme="minorBidi"/>
        </w:rPr>
        <w:t>Performance</w:t>
      </w:r>
      <w:r w:rsidR="00F668AE" w:rsidRPr="7813F5FA">
        <w:rPr>
          <w:rFonts w:cstheme="minorBidi"/>
        </w:rPr>
        <w:t xml:space="preserve">; Health, Welfare and Rights. </w:t>
      </w:r>
      <w:r w:rsidR="00EA31C2" w:rsidRPr="7813F5FA">
        <w:rPr>
          <w:rFonts w:cstheme="minorBidi"/>
        </w:rPr>
        <w:t>Data is collected through</w:t>
      </w:r>
      <w:r w:rsidR="00F41842" w:rsidRPr="7813F5FA">
        <w:rPr>
          <w:rFonts w:cstheme="minorBidi"/>
        </w:rPr>
        <w:t xml:space="preserve"> an</w:t>
      </w:r>
      <w:r w:rsidR="00EA31C2" w:rsidRPr="7813F5FA">
        <w:rPr>
          <w:rFonts w:cstheme="minorBidi"/>
        </w:rPr>
        <w:t xml:space="preserve"> in-person</w:t>
      </w:r>
      <w:r w:rsidR="004B40CF">
        <w:rPr>
          <w:rFonts w:cstheme="minorBidi"/>
        </w:rPr>
        <w:t xml:space="preserve"> adult consumer</w:t>
      </w:r>
      <w:r w:rsidR="00EA31C2" w:rsidRPr="7813F5FA">
        <w:rPr>
          <w:rFonts w:cstheme="minorBidi"/>
        </w:rPr>
        <w:t xml:space="preserve"> </w:t>
      </w:r>
      <w:r w:rsidR="00F41842" w:rsidRPr="7813F5FA">
        <w:rPr>
          <w:rFonts w:cstheme="minorBidi"/>
        </w:rPr>
        <w:t>survey, three family surveys and a staff stability</w:t>
      </w:r>
      <w:r w:rsidR="004971F9" w:rsidRPr="7813F5FA">
        <w:rPr>
          <w:rFonts w:cstheme="minorBidi"/>
        </w:rPr>
        <w:t xml:space="preserve"> survey, which looks at issues such as staff turnover</w:t>
      </w:r>
      <w:r w:rsidR="00D13E93" w:rsidRPr="7813F5FA">
        <w:rPr>
          <w:rFonts w:cstheme="minorBidi"/>
        </w:rPr>
        <w:t xml:space="preserve"> </w:t>
      </w:r>
      <w:r w:rsidR="00AE4EA0" w:rsidRPr="7813F5FA">
        <w:rPr>
          <w:rFonts w:cstheme="minorBidi"/>
        </w:rPr>
        <w:fldChar w:fldCharType="begin"/>
      </w:r>
      <w:r w:rsidR="002902BC">
        <w:rPr>
          <w:rFonts w:cstheme="minorBidi"/>
        </w:rPr>
        <w:instrText xml:space="preserve"> ADDIN EN.CITE &lt;EndNote&gt;&lt;Cite&gt;&lt;Author&gt;NCI-IDD&lt;/Author&gt;&lt;Year&gt;2020&lt;/Year&gt;&lt;RecNum&gt;745&lt;/RecNum&gt;&lt;DisplayText&gt;(NCI-IDD, 2020)&lt;/DisplayText&gt;&lt;record&gt;&lt;rec-number&gt;745&lt;/rec-number&gt;&lt;foreign-keys&gt;&lt;key app="EN" db-id="xtwfdzde5ttr0zevxrh5sf0c2wfzw5zf2vra" timestamp="1667482557" guid="87e82e4f-bf0e-4f44-a83f-ef8153b6c3d1"&gt;745&lt;/key&gt;&lt;/foreign-keys&gt;&lt;ref-type name="Report"&gt;27&lt;/ref-type&gt;&lt;contributors&gt;&lt;authors&gt;&lt;author&gt;NCI-IDD, &lt;/author&gt;&lt;/authors&gt;&lt;/contributors&gt;&lt;titles&gt;&lt;title&gt;National Core Indicators®-Intellectual and Developmental Disabilities: 2020-21 In-Person Survey (IPS) &lt;/title&gt;&lt;/titles&gt;&lt;dates&gt;&lt;year&gt;2020&lt;/year&gt;&lt;/dates&gt;&lt;pub-location&gt;United States&lt;/pub-location&gt;&lt;publisher&gt;NationalCore Indicators—Intellectual and Developmental Disabilities&lt;/publisher&gt;&lt;urls&gt;&lt;/urls&gt;&lt;/record&gt;&lt;/Cite&gt;&lt;/EndNote&gt;</w:instrText>
      </w:r>
      <w:r w:rsidR="00AE4EA0" w:rsidRPr="7813F5FA">
        <w:rPr>
          <w:rFonts w:cstheme="minorBidi"/>
        </w:rPr>
        <w:fldChar w:fldCharType="separate"/>
      </w:r>
      <w:r w:rsidR="00AE4EA0" w:rsidRPr="7813F5FA">
        <w:rPr>
          <w:rFonts w:cstheme="minorBidi"/>
          <w:noProof/>
        </w:rPr>
        <w:t>(NCI-IDD, 2020)</w:t>
      </w:r>
      <w:r w:rsidR="00AE4EA0" w:rsidRPr="7813F5FA">
        <w:rPr>
          <w:rFonts w:cstheme="minorBidi"/>
        </w:rPr>
        <w:fldChar w:fldCharType="end"/>
      </w:r>
      <w:r w:rsidR="004971F9" w:rsidRPr="7813F5FA">
        <w:rPr>
          <w:rFonts w:cstheme="minorBidi"/>
        </w:rPr>
        <w:t xml:space="preserve">. </w:t>
      </w:r>
    </w:p>
    <w:p w14:paraId="3F071D33" w14:textId="2BDD1C67" w:rsidR="00665E13" w:rsidRPr="00701BA4" w:rsidRDefault="00701BA4" w:rsidP="00665E13">
      <w:pPr>
        <w:rPr>
          <w:rFonts w:cstheme="minorBidi"/>
          <w:b/>
        </w:rPr>
      </w:pPr>
      <w:r w:rsidRPr="6F0A8EB2">
        <w:rPr>
          <w:rFonts w:cstheme="minorBidi"/>
        </w:rPr>
        <w:t>With the POM</w:t>
      </w:r>
      <w:r w:rsidR="00F56200" w:rsidRPr="6F0A8EB2">
        <w:rPr>
          <w:rFonts w:cstheme="minorBidi"/>
        </w:rPr>
        <w:t>s</w:t>
      </w:r>
      <w:r w:rsidRPr="6F0A8EB2">
        <w:rPr>
          <w:rFonts w:cstheme="minorBidi"/>
        </w:rPr>
        <w:t xml:space="preserve">, people define their own outcomes based on their own experiences and from their own perspective. Whereas the NCI tool is a standardised tool that uses survey questions that are </w:t>
      </w:r>
      <w:r w:rsidR="002902BC" w:rsidRPr="6F0A8EB2">
        <w:rPr>
          <w:rFonts w:cstheme="minorBidi"/>
        </w:rPr>
        <w:t>universally relevant</w:t>
      </w:r>
      <w:r w:rsidRPr="6F0A8EB2">
        <w:rPr>
          <w:rFonts w:cstheme="minorBidi"/>
        </w:rPr>
        <w:t xml:space="preserve"> </w:t>
      </w:r>
      <w:r w:rsidR="009C6640" w:rsidRPr="2A3E28C5">
        <w:rPr>
          <w:rFonts w:cstheme="minorBidi"/>
        </w:rPr>
        <w:fldChar w:fldCharType="begin"/>
      </w:r>
      <w:r w:rsidR="009C6640" w:rsidRPr="2A3E28C5">
        <w:rPr>
          <w:rFonts w:cstheme="minorBidi"/>
        </w:rPr>
        <w:instrText xml:space="preserve"> ADDIN EN.CITE &lt;EndNote&gt;&lt;Cite&gt;&lt;Author&gt;NDA&lt;/Author&gt;&lt;Year&gt;2019&lt;/Year&gt;&lt;RecNum&gt;731&lt;/RecNum&gt;&lt;DisplayText&gt;(NDA, 2019)&lt;/DisplayText&gt;&lt;record&gt;&lt;rec-number&gt;731&lt;/rec-number&gt;&lt;foreign-keys&gt;&lt;key app="EN" db-id="xtwfdzde5ttr0zevxrh5sf0c2wfzw5zf2vra" timestamp="1667405507" guid="89a7deb2-ca72-4fd0-aaf6-7ca2cbb0f830"&gt;731&lt;/key&gt;&lt;/foreign-keys&gt;&lt;ref-type name="Report"&gt;27&lt;/ref-type&gt;&lt;contributors&gt;&lt;authors&gt;&lt;author&gt;NDA, &lt;/author&gt;&lt;/authors&gt;&lt;/contributors&gt;&lt;titles&gt;&lt;title&gt;Outcome Measurement in evaluating the Quality of Disability Services&lt;/title&gt;&lt;/titles&gt;&lt;dates&gt;&lt;year&gt;2019&lt;/year&gt;&lt;/dates&gt;&lt;pub-location&gt;Dublin&lt;/pub-location&gt;&lt;publisher&gt;National Disability Authority&lt;/publisher&gt;&lt;urls&gt;&lt;/urls&gt;&lt;/record&gt;&lt;/Cite&gt;&lt;/EndNote&gt;</w:instrText>
      </w:r>
      <w:r w:rsidR="009C6640" w:rsidRPr="2A3E28C5">
        <w:rPr>
          <w:rFonts w:cstheme="minorBidi"/>
        </w:rPr>
        <w:fldChar w:fldCharType="separate"/>
      </w:r>
      <w:r w:rsidR="009C6640" w:rsidRPr="2A3E28C5">
        <w:rPr>
          <w:rFonts w:cstheme="minorBidi"/>
        </w:rPr>
        <w:t>(NDA, 2019)</w:t>
      </w:r>
      <w:r w:rsidR="009C6640" w:rsidRPr="2A3E28C5">
        <w:rPr>
          <w:rFonts w:cstheme="minorBidi"/>
        </w:rPr>
        <w:fldChar w:fldCharType="end"/>
      </w:r>
      <w:r w:rsidR="009C6640">
        <w:rPr>
          <w:rFonts w:cstheme="minorBidi"/>
        </w:rPr>
        <w:t xml:space="preserve">. </w:t>
      </w:r>
      <w:r w:rsidRPr="6F0A8EB2">
        <w:rPr>
          <w:rFonts w:cstheme="minorBidi"/>
        </w:rPr>
        <w:t>Therefore, the type of tool used</w:t>
      </w:r>
      <w:r w:rsidR="00C57400" w:rsidRPr="6F0A8EB2">
        <w:rPr>
          <w:rFonts w:cstheme="minorBidi"/>
        </w:rPr>
        <w:t xml:space="preserve"> is dependent on the purpose of outcome </w:t>
      </w:r>
      <w:r w:rsidR="2C2381EE" w:rsidRPr="6F0A8EB2">
        <w:rPr>
          <w:rFonts w:cstheme="minorBidi"/>
        </w:rPr>
        <w:t>measurement</w:t>
      </w:r>
      <w:r w:rsidRPr="6F0A8EB2">
        <w:rPr>
          <w:rFonts w:cstheme="minorBidi"/>
        </w:rPr>
        <w:t xml:space="preserve">. </w:t>
      </w:r>
    </w:p>
    <w:p w14:paraId="67F4D8AC" w14:textId="5B1DB1BF" w:rsidR="003E41CA" w:rsidRPr="004722E6" w:rsidRDefault="003E41CA" w:rsidP="00A42D81">
      <w:pPr>
        <w:pStyle w:val="Heading3"/>
        <w:rPr>
          <w:color w:val="auto"/>
        </w:rPr>
      </w:pPr>
      <w:bookmarkStart w:id="102" w:name="_Toc118558262"/>
      <w:r w:rsidRPr="004722E6">
        <w:rPr>
          <w:color w:val="auto"/>
        </w:rPr>
        <w:t>Challenges</w:t>
      </w:r>
      <w:r w:rsidR="005A33CF" w:rsidRPr="004722E6">
        <w:rPr>
          <w:color w:val="auto"/>
        </w:rPr>
        <w:t xml:space="preserve"> </w:t>
      </w:r>
      <w:r w:rsidR="0070362C" w:rsidRPr="004722E6">
        <w:rPr>
          <w:color w:val="auto"/>
        </w:rPr>
        <w:t>in outcome measurement</w:t>
      </w:r>
      <w:bookmarkEnd w:id="102"/>
    </w:p>
    <w:p w14:paraId="3729280F" w14:textId="4C5762A3" w:rsidR="003E41CA" w:rsidRDefault="003E41CA" w:rsidP="11C55A92">
      <w:pPr>
        <w:rPr>
          <w:rFonts w:cstheme="minorBidi"/>
          <w:b/>
          <w:bCs/>
        </w:rPr>
      </w:pPr>
      <w:r w:rsidRPr="11C55A92">
        <w:rPr>
          <w:rFonts w:cstheme="minorBidi"/>
        </w:rPr>
        <w:t>A number of challenges associated with outcome measurement have been identified in the literature. For example, a literature review by</w:t>
      </w:r>
      <w:r w:rsidR="00B84C05" w:rsidRPr="11C55A92">
        <w:rPr>
          <w:rFonts w:cstheme="minorBidi"/>
        </w:rPr>
        <w:t xml:space="preserve"> </w:t>
      </w:r>
      <w:r w:rsidRPr="11C55A92">
        <w:rPr>
          <w:rFonts w:cstheme="minorBidi"/>
        </w:rPr>
        <w:fldChar w:fldCharType="begin"/>
      </w:r>
      <w:r w:rsidRPr="11C55A92">
        <w:rPr>
          <w:rFonts w:cstheme="minorBidi"/>
        </w:rPr>
        <w:instrText xml:space="preserve"> ADDIN EN.CITE &lt;EndNote&gt;&lt;Cite AuthorYear="1"&gt;&lt;Author&gt;Quilliam&lt;/Author&gt;&lt;Year&gt;2011&lt;/Year&gt;&lt;RecNum&gt;732&lt;/RecNum&gt;&lt;DisplayText&gt;Quilliam and Wilson (2011)&lt;/DisplayText&gt;&lt;record&gt;&lt;rec-number&gt;732&lt;/rec-number&gt;&lt;foreign-keys&gt;&lt;key app="EN" db-id="xtwfdzde5ttr0zevxrh5sf0c2wfzw5zf2vra" timestamp="1667405639" guid="00b9b6de-2048-4919-8000-3ef5cf78b173"&gt;732&lt;/key&gt;&lt;/foreign-keys&gt;&lt;ref-type name="Report"&gt;27&lt;/ref-type&gt;&lt;contributors&gt;&lt;authors&gt;&lt;author&gt;Quilliam, C&lt;/author&gt;&lt;author&gt;Wilson, E&lt;/author&gt;&lt;/authors&gt;&lt;/contributors&gt;&lt;titles&gt;&lt;title&gt;Literature Review Outcomes Measurement in Disability Services: A review of policy contexts, measurement approaches and selected measurement tools&lt;/title&gt;&lt;/titles&gt;&lt;dates&gt;&lt;year&gt;2011&lt;/year&gt;&lt;/dates&gt;&lt;pub-location&gt;Melbourne&lt;/pub-location&gt;&lt;publisher&gt;Deakin University&lt;/publisher&gt;&lt;urls&gt;&lt;/urls&gt;&lt;/record&gt;&lt;/Cite&gt;&lt;/EndNote&gt;</w:instrText>
      </w:r>
      <w:r w:rsidRPr="11C55A92">
        <w:rPr>
          <w:rFonts w:cstheme="minorBidi"/>
        </w:rPr>
        <w:fldChar w:fldCharType="separate"/>
      </w:r>
      <w:r w:rsidR="00B84C05" w:rsidRPr="11C55A92">
        <w:rPr>
          <w:rFonts w:cstheme="minorBidi"/>
          <w:noProof/>
        </w:rPr>
        <w:t>Quilliam and Wilson (2011)</w:t>
      </w:r>
      <w:r w:rsidRPr="11C55A92">
        <w:rPr>
          <w:rFonts w:cstheme="minorBidi"/>
        </w:rPr>
        <w:fldChar w:fldCharType="end"/>
      </w:r>
      <w:r w:rsidRPr="11C55A92">
        <w:rPr>
          <w:rFonts w:cstheme="minorBidi"/>
        </w:rPr>
        <w:t xml:space="preserve"> on outcome measurement in disability services illustrated that developing tools to effectively measure outcomes such as socia</w:t>
      </w:r>
      <w:r w:rsidR="08A3D687" w:rsidRPr="11C55A92">
        <w:rPr>
          <w:rFonts w:cstheme="minorBidi"/>
        </w:rPr>
        <w:t xml:space="preserve">l and </w:t>
      </w:r>
      <w:r w:rsidRPr="11C55A92">
        <w:rPr>
          <w:rFonts w:cstheme="minorBidi"/>
        </w:rPr>
        <w:t xml:space="preserve">community participation and self-determination is challenging because it is difficult to convert these abstract concepts into measurable outcomes. </w:t>
      </w:r>
    </w:p>
    <w:p w14:paraId="36BDCA15" w14:textId="10F9548E" w:rsidR="003E41CA" w:rsidRDefault="003E41CA" w:rsidP="003E41CA">
      <w:pPr>
        <w:rPr>
          <w:rFonts w:cstheme="minorBidi"/>
        </w:rPr>
      </w:pPr>
      <w:r w:rsidRPr="3E55976F">
        <w:rPr>
          <w:rFonts w:cstheme="minorBidi"/>
        </w:rPr>
        <w:t xml:space="preserve">Quality of life should ideally be measured using self-report </w:t>
      </w:r>
      <w:r w:rsidR="00901215" w:rsidRPr="3E55976F">
        <w:rPr>
          <w:rFonts w:cstheme="minorBidi"/>
        </w:rPr>
        <w:fldChar w:fldCharType="begin"/>
      </w:r>
      <w:r w:rsidR="001831C7" w:rsidRPr="3E55976F">
        <w:rPr>
          <w:rFonts w:cstheme="minorBidi"/>
        </w:rPr>
        <w:instrText xml:space="preserve"> ADDIN EN.CITE &lt;EndNote&gt;&lt;Cite&gt;&lt;Author&gt;Rand&lt;/Author&gt;&lt;Year&gt;2015&lt;/Year&gt;&lt;RecNum&gt;735&lt;/RecNum&gt;&lt;DisplayText&gt;(Rand &amp;amp; Caiels, 2015)&lt;/DisplayText&gt;&lt;record&gt;&lt;rec-number&gt;735&lt;/rec-number&gt;&lt;foreign-keys&gt;&lt;key app="EN" db-id="xtwfdzde5ttr0zevxrh5sf0c2wfzw5zf2vra" timestamp="1667407413" guid="5f732232-724f-48c2-a417-39ee93746004"&gt;735&lt;/key&gt;&lt;/foreign-keys&gt;&lt;ref-type name="Report"&gt;27&lt;/ref-type&gt;&lt;contributors&gt;&lt;authors&gt;&lt;author&gt;Rand, Stacey&lt;/author&gt;&lt;author&gt;Caiels, James&lt;/author&gt;&lt;/authors&gt;&lt;/contributors&gt;&lt;titles&gt;&lt;title&gt;Using Proxies to asses Quality of Life: A Review of the Issues and Challanges. Discussion Paper&lt;/title&gt;&lt;/titles&gt;&lt;dates&gt;&lt;year&gt;2015&lt;/year&gt;&lt;/dates&gt;&lt;pub-location&gt;U.K&lt;/pub-location&gt;&lt;publisher&gt;Quality and Outcomes of person-centred care policy Research Unit (QORU), Univeristy of Kent&lt;/publisher&gt;&lt;urls&gt;&lt;/urls&gt;&lt;/record&gt;&lt;/Cite&gt;&lt;/EndNote&gt;</w:instrText>
      </w:r>
      <w:r w:rsidR="00901215" w:rsidRPr="3E55976F">
        <w:rPr>
          <w:rFonts w:cstheme="minorBidi"/>
        </w:rPr>
        <w:fldChar w:fldCharType="separate"/>
      </w:r>
      <w:r w:rsidR="00901215" w:rsidRPr="3E55976F">
        <w:rPr>
          <w:rFonts w:cstheme="minorBidi"/>
        </w:rPr>
        <w:t>(Rand &amp; Caiels, 2015)</w:t>
      </w:r>
      <w:r w:rsidR="00901215" w:rsidRPr="3E55976F">
        <w:rPr>
          <w:rFonts w:cstheme="minorBidi"/>
        </w:rPr>
        <w:fldChar w:fldCharType="end"/>
      </w:r>
      <w:r w:rsidR="00901215" w:rsidRPr="3E55976F">
        <w:rPr>
          <w:rFonts w:cstheme="minorBidi"/>
        </w:rPr>
        <w:t>.</w:t>
      </w:r>
      <w:r w:rsidRPr="3E55976F">
        <w:rPr>
          <w:rFonts w:cstheme="minorBidi"/>
        </w:rPr>
        <w:t xml:space="preserve"> Therefore, outcome measurement for people with more severe/profound levels of intellectual disabilit</w:t>
      </w:r>
      <w:r w:rsidR="00C85736">
        <w:rPr>
          <w:rFonts w:cstheme="minorBidi"/>
        </w:rPr>
        <w:t>ies</w:t>
      </w:r>
      <w:r w:rsidRPr="3E55976F">
        <w:rPr>
          <w:rFonts w:cstheme="minorBidi"/>
        </w:rPr>
        <w:t xml:space="preserve"> is another key issue, as impaired communication may affect their ability to outline their goals, express their satisfaction with support, and evaluate the impact of services on their quality of life</w:t>
      </w:r>
      <w:r w:rsidR="00546685" w:rsidRPr="3E55976F">
        <w:rPr>
          <w:rFonts w:cstheme="minorBidi"/>
        </w:rPr>
        <w:t xml:space="preserve"> </w:t>
      </w:r>
      <w:r w:rsidR="000A15F1" w:rsidRPr="3E55976F">
        <w:rPr>
          <w:rFonts w:cstheme="minorBidi"/>
        </w:rPr>
        <w:fldChar w:fldCharType="begin"/>
      </w:r>
      <w:r w:rsidR="001831C7" w:rsidRPr="3E55976F">
        <w:rPr>
          <w:rFonts w:cstheme="minorBidi"/>
        </w:rPr>
        <w:instrText xml:space="preserve"> ADDIN EN.CITE &lt;EndNote&gt;&lt;Cite&gt;&lt;Author&gt;Nieuwenhuijse&lt;/Author&gt;&lt;Year&gt;2019&lt;/Year&gt;&lt;RecNum&gt;736&lt;/RecNum&gt;&lt;DisplayText&gt;(Nieuwenhuijse et al., 2019; Rand &amp;amp; Caiels, 2015)&lt;/DisplayText&gt;&lt;record&gt;&lt;rec-number&gt;736&lt;/rec-number&gt;&lt;foreign-keys&gt;&lt;key app="EN" db-id="xtwfdzde5ttr0zevxrh5sf0c2wfzw5zf2vra" timestamp="1667407563" guid="645f3f18-686a-4550-9b60-68cec52e2f0e"&gt;736&lt;/key&gt;&lt;/foreign-keys&gt;&lt;ref-type name="Journal Article"&gt;17&lt;/ref-type&gt;&lt;contributors&gt;&lt;authors&gt;&lt;author&gt;Nieuwenhuijse, Appolonia M&lt;/author&gt;&lt;author&gt;Willems, Dick L&lt;/author&gt;&lt;author&gt;van Goudoever, Johannes B&lt;/author&gt;&lt;author&gt;Echteld, Michael A&lt;/author&gt;&lt;author&gt;Olsman, Erik&lt;/author&gt;&lt;/authors&gt;&lt;/contributors&gt;&lt;titles&gt;&lt;title&gt;Quality of life of persons with profound intellectual and multiple disabilities: A narrative literature review of concepts, assessment methods and assessors&lt;/title&gt;&lt;secondary-title&gt;Journal of Intellectual &amp;amp; Developmental Disability&lt;/secondary-title&gt;&lt;/titles&gt;&lt;periodical&gt;&lt;full-title&gt;Journal of Intellectual &amp;amp; Developmental Disability&lt;/full-title&gt;&lt;/periodical&gt;&lt;pages&gt;261-271&lt;/pages&gt;&lt;volume&gt;44&lt;/volume&gt;&lt;number&gt;3&lt;/number&gt;&lt;dates&gt;&lt;year&gt;2019&lt;/year&gt;&lt;/dates&gt;&lt;isbn&gt;1366-8250&lt;/isbn&gt;&lt;urls&gt;&lt;/urls&gt;&lt;/record&gt;&lt;/Cite&gt;&lt;Cite&gt;&lt;Author&gt;Rand&lt;/Author&gt;&lt;Year&gt;2015&lt;/Year&gt;&lt;RecNum&gt;735&lt;/RecNum&gt;&lt;record&gt;&lt;rec-number&gt;735&lt;/rec-number&gt;&lt;foreign-keys&gt;&lt;key app="EN" db-id="xtwfdzde5ttr0zevxrh5sf0c2wfzw5zf2vra" timestamp="1667407413" guid="5f732232-724f-48c2-a417-39ee93746004"&gt;735&lt;/key&gt;&lt;/foreign-keys&gt;&lt;ref-type name="Report"&gt;27&lt;/ref-type&gt;&lt;contributors&gt;&lt;authors&gt;&lt;author&gt;Rand, Stacey&lt;/author&gt;&lt;author&gt;Caiels, James&lt;/author&gt;&lt;/authors&gt;&lt;/contributors&gt;&lt;titles&gt;&lt;title&gt;Using Proxies to asses Quality of Life: A Review of the Issues and Challanges. Discussion Paper&lt;/title&gt;&lt;/titles&gt;&lt;dates&gt;&lt;year&gt;2015&lt;/year&gt;&lt;/dates&gt;&lt;pub-location&gt;U.K&lt;/pub-location&gt;&lt;publisher&gt;Quality and Outcomes of person-centred care policy Research Unit (QORU), Univeristy of Kent&lt;/publisher&gt;&lt;urls&gt;&lt;/urls&gt;&lt;/record&gt;&lt;/Cite&gt;&lt;/EndNote&gt;</w:instrText>
      </w:r>
      <w:r w:rsidR="000A15F1" w:rsidRPr="3E55976F">
        <w:rPr>
          <w:rFonts w:cstheme="minorBidi"/>
        </w:rPr>
        <w:fldChar w:fldCharType="separate"/>
      </w:r>
      <w:r w:rsidR="000A15F1" w:rsidRPr="3E55976F">
        <w:rPr>
          <w:rFonts w:cstheme="minorBidi"/>
        </w:rPr>
        <w:t>(Nieuwenhuijse et al., 2019; Rand &amp; Caiels, 2015)</w:t>
      </w:r>
      <w:r w:rsidR="000A15F1" w:rsidRPr="3E55976F">
        <w:rPr>
          <w:rFonts w:cstheme="minorBidi"/>
        </w:rPr>
        <w:fldChar w:fldCharType="end"/>
      </w:r>
      <w:r w:rsidRPr="3E55976F">
        <w:rPr>
          <w:rFonts w:cstheme="minorBidi"/>
        </w:rPr>
        <w:t xml:space="preserve">. The measurement tools designed specifically for people with intellectual disabilities require a certain level of cognitive ability, which may lead to evaluators using proxies to assess quality of life, such as conducting interviews with family, friends or other healthcare professionals who answer questions on their behalf </w:t>
      </w:r>
      <w:r w:rsidR="00025289" w:rsidRPr="3E55976F">
        <w:rPr>
          <w:rFonts w:cstheme="minorBidi"/>
        </w:rPr>
        <w:fldChar w:fldCharType="begin"/>
      </w:r>
      <w:r w:rsidR="001831C7" w:rsidRPr="3E55976F">
        <w:rPr>
          <w:rFonts w:cstheme="minorBidi"/>
        </w:rPr>
        <w:instrText xml:space="preserve"> ADDIN EN.CITE &lt;EndNote&gt;&lt;Cite&gt;&lt;Author&gt;Bigby&lt;/Author&gt;&lt;Year&gt;2014&lt;/Year&gt;&lt;RecNum&gt;737&lt;/RecNum&gt;&lt;DisplayText&gt;(Bigby et al., 2014; Hartnett et al., 2008)&lt;/DisplayText&gt;&lt;record&gt;&lt;rec-number&gt;737&lt;/rec-number&gt;&lt;foreign-keys&gt;&lt;key app="EN" db-id="xtwfdzde5ttr0zevxrh5sf0c2wfzw5zf2vra" timestamp="1667407720" guid="18240f54-db45-4b2f-a0dc-d378240bf8a1"&gt;737&lt;/key&gt;&lt;/foreign-keys&gt;&lt;ref-type name="Journal Article"&gt;17&lt;/ref-type&gt;&lt;contributors&gt;&lt;authors&gt;&lt;author&gt;Bigby, Christine&lt;/author&gt;&lt;author&gt;Knox, Marie&lt;/author&gt;&lt;author&gt;Beadle-Brown, Julie&lt;/author&gt;&lt;author&gt;Bould, Emma&lt;/author&gt;&lt;/authors&gt;&lt;/contributors&gt;&lt;titles&gt;&lt;title&gt;Identifying good group homes: Qualitative indicators using a quality of life framework&lt;/title&gt;&lt;secondary-title&gt;Intellectual and Developmental Disabilities&lt;/secondary-title&gt;&lt;/titles&gt;&lt;periodical&gt;&lt;full-title&gt;Intellectual and Developmental Disabilities&lt;/full-title&gt;&lt;/periodical&gt;&lt;pages&gt;348-366&lt;/pages&gt;&lt;volume&gt;52&lt;/volume&gt;&lt;number&gt;5&lt;/number&gt;&lt;dates&gt;&lt;year&gt;2014&lt;/year&gt;&lt;/dates&gt;&lt;isbn&gt;1934-9556&lt;/isbn&gt;&lt;urls&gt;&lt;/urls&gt;&lt;/record&gt;&lt;/Cite&gt;&lt;Cite&gt;&lt;Author&gt;Hartnett&lt;/Author&gt;&lt;Year&gt;2008&lt;/Year&gt;&lt;RecNum&gt;738&lt;/RecNum&gt;&lt;record&gt;&lt;rec-number&gt;738&lt;/rec-number&gt;&lt;foreign-keys&gt;&lt;key app="EN" db-id="xtwfdzde5ttr0zevxrh5sf0c2wfzw5zf2vra" timestamp="1667407767" guid="8d0822d1-6082-4c56-b7b2-f3ecc7ddf750"&gt;738&lt;/key&gt;&lt;/foreign-keys&gt;&lt;ref-type name="Journal Article"&gt;17&lt;/ref-type&gt;&lt;contributors&gt;&lt;authors&gt;&lt;author&gt;Hartnett, E&lt;/author&gt;&lt;author&gt;Gallagher, P&lt;/author&gt;&lt;author&gt;Kiernan, G&lt;/author&gt;&lt;author&gt;Poulsen, C&lt;/author&gt;&lt;author&gt;Gilligan, E&lt;/author&gt;&lt;author&gt;Reynolds, M&lt;/author&gt;&lt;/authors&gt;&lt;/contributors&gt;&lt;titles&gt;&lt;title&gt;Day service programmes for people with a severe intellectual disability and quality of life: Parent and staff perspectives&lt;/title&gt;&lt;secondary-title&gt;Journal of Intellectual Disabilities&lt;/secondary-title&gt;&lt;/titles&gt;&lt;periodical&gt;&lt;full-title&gt;Journal of Intellectual Disabilities&lt;/full-title&gt;&lt;/periodical&gt;&lt;pages&gt;153-172&lt;/pages&gt;&lt;volume&gt;12&lt;/volume&gt;&lt;number&gt;2&lt;/number&gt;&lt;dates&gt;&lt;year&gt;2008&lt;/year&gt;&lt;/dates&gt;&lt;isbn&gt;1744-6295&lt;/isbn&gt;&lt;urls&gt;&lt;/urls&gt;&lt;/record&gt;&lt;/Cite&gt;&lt;/EndNote&gt;</w:instrText>
      </w:r>
      <w:r w:rsidR="00025289" w:rsidRPr="3E55976F">
        <w:rPr>
          <w:rFonts w:cstheme="minorBidi"/>
        </w:rPr>
        <w:fldChar w:fldCharType="separate"/>
      </w:r>
      <w:r w:rsidR="00025289" w:rsidRPr="3E55976F">
        <w:rPr>
          <w:rFonts w:cstheme="minorBidi"/>
        </w:rPr>
        <w:t>(Bigby et al., 2014; Hartnett et al., 2008)</w:t>
      </w:r>
      <w:r w:rsidR="00025289" w:rsidRPr="3E55976F">
        <w:rPr>
          <w:rFonts w:cstheme="minorBidi"/>
        </w:rPr>
        <w:fldChar w:fldCharType="end"/>
      </w:r>
      <w:r w:rsidR="002C5E6F" w:rsidRPr="3E55976F">
        <w:rPr>
          <w:rFonts w:cstheme="minorBidi"/>
        </w:rPr>
        <w:t xml:space="preserve">. </w:t>
      </w:r>
      <w:r w:rsidRPr="3E55976F">
        <w:rPr>
          <w:rFonts w:cstheme="minorBidi"/>
        </w:rPr>
        <w:t>However, a number of studies on measuring outcomes in people with intellectual disabilit</w:t>
      </w:r>
      <w:r w:rsidR="00C85736">
        <w:rPr>
          <w:rFonts w:cstheme="minorBidi"/>
        </w:rPr>
        <w:t>ies</w:t>
      </w:r>
      <w:r w:rsidRPr="3E55976F">
        <w:rPr>
          <w:rFonts w:cstheme="minorBidi"/>
        </w:rPr>
        <w:t xml:space="preserve"> have reported the use of a proxy as a limitation</w:t>
      </w:r>
      <w:r w:rsidR="001831C7" w:rsidRPr="3E55976F">
        <w:rPr>
          <w:rFonts w:cstheme="minorBidi"/>
        </w:rPr>
        <w:t xml:space="preserve"> </w:t>
      </w:r>
      <w:r w:rsidR="001831C7" w:rsidRPr="3E55976F">
        <w:rPr>
          <w:rFonts w:cstheme="minorBidi"/>
        </w:rPr>
        <w:fldChar w:fldCharType="begin">
          <w:fldData xml:space="preserve">PEVuZE5vdGU+PENpdGU+PEF1dGhvcj5IYXJ0bmV0dDwvQXV0aG9yPjxZZWFyPjIwMDg8L1llYXI+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</w:fldData>
        </w:fldChar>
      </w:r>
      <w:r w:rsidR="00B26CBF">
        <w:rPr>
          <w:rFonts w:cstheme="minorBidi"/>
        </w:rPr>
        <w:instrText xml:space="preserve"> ADDIN EN.CITE </w:instrText>
      </w:r>
      <w:r w:rsidR="00B26CBF">
        <w:rPr>
          <w:rFonts w:cstheme="minorBidi"/>
        </w:rPr>
        <w:fldChar w:fldCharType="begin">
          <w:fldData xml:space="preserve">PEVuZE5vdGU+PENpdGU+PEF1dGhvcj5IYXJ0bmV0dDwvQXV0aG9yPjxZZWFyPjIwMDg8L1llYXI+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</w:fldData>
        </w:fldChar>
      </w:r>
      <w:r w:rsidR="00B26CBF">
        <w:rPr>
          <w:rFonts w:cstheme="minorBidi"/>
        </w:rPr>
        <w:instrText xml:space="preserve"> ADDIN EN.CITE.DATA </w:instrText>
      </w:r>
      <w:r w:rsidR="00B26CBF">
        <w:rPr>
          <w:rFonts w:cstheme="minorBidi"/>
        </w:rPr>
      </w:r>
      <w:r w:rsidR="00B26CBF">
        <w:rPr>
          <w:rFonts w:cstheme="minorBidi"/>
        </w:rPr>
        <w:fldChar w:fldCharType="end"/>
      </w:r>
      <w:r w:rsidR="001831C7" w:rsidRPr="3E55976F">
        <w:rPr>
          <w:rFonts w:cstheme="minorBidi"/>
        </w:rPr>
      </w:r>
      <w:r w:rsidR="001831C7" w:rsidRPr="3E55976F">
        <w:rPr>
          <w:rFonts w:cstheme="minorBidi"/>
        </w:rPr>
        <w:fldChar w:fldCharType="separate"/>
      </w:r>
      <w:r w:rsidR="00B26CBF">
        <w:rPr>
          <w:rFonts w:cstheme="minorBidi"/>
          <w:noProof/>
        </w:rPr>
        <w:t>(Nieuwenhuijse et al., 2019; Verdugo et al., 2014; Petry et al., 2009; Hartnett et al., 2008)</w:t>
      </w:r>
      <w:r w:rsidR="001831C7" w:rsidRPr="3E55976F">
        <w:rPr>
          <w:rFonts w:cstheme="minorBidi"/>
        </w:rPr>
        <w:fldChar w:fldCharType="end"/>
      </w:r>
      <w:r w:rsidR="001831C7" w:rsidRPr="3E55976F">
        <w:rPr>
          <w:rFonts w:cstheme="minorBidi"/>
        </w:rPr>
        <w:t>.</w:t>
      </w:r>
      <w:r w:rsidRPr="3E55976F">
        <w:rPr>
          <w:rFonts w:cstheme="minorBidi"/>
        </w:rPr>
        <w:t xml:space="preserve"> The Special Interest Research Group of the International Association for the Scientific Study of Intellectual Disabilities recommend using behavioural observation as an alternate approach to self-report when communication is impaired</w:t>
      </w:r>
      <w:r w:rsidR="001831C7" w:rsidRPr="3E55976F">
        <w:rPr>
          <w:rFonts w:cstheme="minorBidi"/>
        </w:rPr>
        <w:t xml:space="preserve"> </w:t>
      </w:r>
      <w:r w:rsidR="001831C7" w:rsidRPr="3E55976F">
        <w:rPr>
          <w:rFonts w:cstheme="minorBidi"/>
        </w:rPr>
        <w:fldChar w:fldCharType="begin"/>
      </w:r>
      <w:r w:rsidR="001831C7" w:rsidRPr="3E55976F">
        <w:rPr>
          <w:rFonts w:cstheme="minorBidi"/>
        </w:rPr>
        <w:instrText xml:space="preserve"> ADDIN EN.CITE &lt;EndNote&gt;&lt;Cite&gt;&lt;Author&gt;NDA&lt;/Author&gt;&lt;Year&gt;2019&lt;/Year&gt;&lt;RecNum&gt;731&lt;/RecNum&gt;&lt;DisplayText&gt;(NDA, 2019)&lt;/DisplayText&gt;&lt;record&gt;&lt;rec-number&gt;731&lt;/rec-number&gt;&lt;foreign-keys&gt;&lt;key app="EN" db-id="xtwfdzde5ttr0zevxrh5sf0c2wfzw5zf2vra" timestamp="1667405507" guid="89a7deb2-ca72-4fd0-aaf6-7ca2cbb0f830"&gt;731&lt;/key&gt;&lt;/foreign-keys&gt;&lt;ref-type name="Report"&gt;27&lt;/ref-type&gt;&lt;contributors&gt;&lt;authors&gt;&lt;author&gt;NDA, &lt;/author&gt;&lt;/authors&gt;&lt;/contributors&gt;&lt;titles&gt;&lt;title&gt;Outcome Measurement in evaluating the Quality of Disability Services&lt;/title&gt;&lt;/titles&gt;&lt;dates&gt;&lt;year&gt;2019&lt;/year&gt;&lt;/dates&gt;&lt;pub-location&gt;Dublin&lt;/pub-location&gt;&lt;publisher&gt;National Disability Authority&lt;/publisher&gt;&lt;urls&gt;&lt;/urls&gt;&lt;/record&gt;&lt;/Cite&gt;&lt;/EndNote&gt;</w:instrText>
      </w:r>
      <w:r w:rsidR="001831C7" w:rsidRPr="3E55976F">
        <w:rPr>
          <w:rFonts w:cstheme="minorBidi"/>
        </w:rPr>
        <w:fldChar w:fldCharType="separate"/>
      </w:r>
      <w:r w:rsidR="001831C7" w:rsidRPr="3E55976F">
        <w:rPr>
          <w:rFonts w:cstheme="minorBidi"/>
        </w:rPr>
        <w:t>(NDA, 2019)</w:t>
      </w:r>
      <w:r w:rsidR="001831C7" w:rsidRPr="3E55976F">
        <w:rPr>
          <w:rFonts w:cstheme="minorBidi"/>
        </w:rPr>
        <w:fldChar w:fldCharType="end"/>
      </w:r>
      <w:r w:rsidR="001831C7" w:rsidRPr="3E55976F">
        <w:rPr>
          <w:rFonts w:cstheme="minorBidi"/>
        </w:rPr>
        <w:t xml:space="preserve">. </w:t>
      </w:r>
    </w:p>
    <w:p w14:paraId="1720F0CE" w14:textId="7CECF49E" w:rsidR="003E41CA" w:rsidRDefault="003E41CA" w:rsidP="003E41CA">
      <w:pPr>
        <w:rPr>
          <w:rFonts w:cstheme="minorHAnsi"/>
          <w:szCs w:val="26"/>
        </w:rPr>
      </w:pPr>
      <w:r>
        <w:rPr>
          <w:rFonts w:cstheme="minorHAnsi"/>
          <w:szCs w:val="26"/>
        </w:rPr>
        <w:t xml:space="preserve">Another key challenge in relation to outcome measurement is the issue of attributing any given activity or intervention to an outcome, as attaining outcomes is multifaceted in nature </w:t>
      </w:r>
      <w:r w:rsidR="00BC50C3">
        <w:rPr>
          <w:rFonts w:cstheme="minorHAnsi"/>
          <w:szCs w:val="26"/>
        </w:rPr>
        <w:fldChar w:fldCharType="begin"/>
      </w:r>
      <w:r w:rsidR="00F50D05">
        <w:rPr>
          <w:rFonts w:cstheme="minorHAnsi"/>
          <w:szCs w:val="26"/>
        </w:rPr>
        <w:instrText xml:space="preserve"> ADDIN EN.CITE &lt;EndNote&gt;&lt;Cite&gt;&lt;Author&gt;Cook&lt;/Author&gt;&lt;Year&gt;2017&lt;/Year&gt;&lt;RecNum&gt;741&lt;/RecNum&gt;&lt;DisplayText&gt;(Cook, 2017)&lt;/DisplayText&gt;&lt;record&gt;&lt;rec-number&gt;741&lt;/rec-number&gt;&lt;foreign-keys&gt;&lt;key app="EN" db-id="xtwfdzde5ttr0zevxrh5sf0c2wfzw5zf2vra" timestamp="1667408575" guid="9d772e02-e05a-474e-a0c3-a33e07825a3b"&gt;741&lt;/key&gt;&lt;/foreign-keys&gt;&lt;ref-type name="Report"&gt;27&lt;/ref-type&gt;&lt;contributors&gt;&lt;authors&gt;&lt;author&gt;Cook, Ailsa&lt;/author&gt;&lt;/authors&gt;&lt;/contributors&gt;&lt;titles&gt;&lt;title&gt;Outcomes based approaches in public service reform&lt;/title&gt;&lt;/titles&gt;&lt;dates&gt;&lt;year&gt;2017&lt;/year&gt;&lt;/dates&gt;&lt;pub-location&gt;Edinburgh&lt;/pub-location&gt;&lt;publisher&gt;What Works Scotland Edinburgh&lt;/publisher&gt;&lt;urls&gt;&lt;/urls&gt;&lt;/record&gt;&lt;/Cite&gt;&lt;/EndNote&gt;</w:instrText>
      </w:r>
      <w:r w:rsidR="00BC50C3">
        <w:rPr>
          <w:rFonts w:cstheme="minorHAnsi"/>
          <w:szCs w:val="26"/>
        </w:rPr>
        <w:fldChar w:fldCharType="separate"/>
      </w:r>
      <w:r w:rsidR="00BC50C3">
        <w:rPr>
          <w:rFonts w:cstheme="minorHAnsi"/>
          <w:noProof/>
          <w:szCs w:val="26"/>
        </w:rPr>
        <w:t>(Cook, 2017)</w:t>
      </w:r>
      <w:r w:rsidR="00BC50C3">
        <w:rPr>
          <w:rFonts w:cstheme="minorHAnsi"/>
          <w:szCs w:val="26"/>
        </w:rPr>
        <w:fldChar w:fldCharType="end"/>
      </w:r>
      <w:r>
        <w:rPr>
          <w:rFonts w:cstheme="minorHAnsi"/>
          <w:szCs w:val="26"/>
        </w:rPr>
        <w:t>. There are multiple interacting factors that can have an impact on a person attaining their goals, such as individual characteristics, support from social networks, financial support, health status, and the changing health and social care needs of a person with intellectual disabilit</w:t>
      </w:r>
      <w:r w:rsidR="00D95BEA">
        <w:rPr>
          <w:rFonts w:cstheme="minorHAnsi"/>
          <w:szCs w:val="26"/>
        </w:rPr>
        <w:t>ies</w:t>
      </w:r>
      <w:r>
        <w:rPr>
          <w:rFonts w:cstheme="minorHAnsi"/>
          <w:szCs w:val="26"/>
        </w:rPr>
        <w:t xml:space="preserve"> as they age. Therefore, it is </w:t>
      </w:r>
      <w:r w:rsidR="00EA18A6">
        <w:rPr>
          <w:rFonts w:cstheme="minorHAnsi"/>
          <w:szCs w:val="26"/>
        </w:rPr>
        <w:t>more helpful to assess the contribution of services to attaining outcomes</w:t>
      </w:r>
      <w:r>
        <w:rPr>
          <w:rFonts w:cstheme="minorHAnsi"/>
          <w:szCs w:val="26"/>
        </w:rPr>
        <w:t xml:space="preserve"> </w:t>
      </w:r>
      <w:r w:rsidR="00EA18A6">
        <w:rPr>
          <w:rFonts w:cstheme="minorHAnsi"/>
          <w:szCs w:val="26"/>
        </w:rPr>
        <w:t>rather than</w:t>
      </w:r>
      <w:r>
        <w:rPr>
          <w:rFonts w:cstheme="minorHAnsi"/>
          <w:szCs w:val="26"/>
        </w:rPr>
        <w:t xml:space="preserve"> attribut</w:t>
      </w:r>
      <w:r w:rsidR="00EA18A6">
        <w:rPr>
          <w:rFonts w:cstheme="minorHAnsi"/>
          <w:szCs w:val="26"/>
        </w:rPr>
        <w:t>ing</w:t>
      </w:r>
      <w:r>
        <w:rPr>
          <w:rFonts w:cstheme="minorHAnsi"/>
          <w:szCs w:val="26"/>
        </w:rPr>
        <w:t xml:space="preserve"> outcomes solely to disability services </w:t>
      </w:r>
      <w:r w:rsidR="00BC50C3">
        <w:rPr>
          <w:rFonts w:cstheme="minorHAnsi"/>
          <w:szCs w:val="26"/>
        </w:rPr>
        <w:fldChar w:fldCharType="begin"/>
      </w:r>
      <w:r w:rsidR="00F50D05">
        <w:rPr>
          <w:rFonts w:cstheme="minorHAnsi"/>
          <w:szCs w:val="26"/>
        </w:rPr>
        <w:instrText xml:space="preserve"> ADDIN EN.CITE &lt;EndNote&gt;&lt;Cite&gt;&lt;Author&gt;Cook&lt;/Author&gt;&lt;Year&gt;2017&lt;/Year&gt;&lt;RecNum&gt;741&lt;/RecNum&gt;&lt;DisplayText&gt;(NDA, 2019; Cook, 2017)&lt;/DisplayText&gt;&lt;record&gt;&lt;rec-number&gt;741&lt;/rec-number&gt;&lt;foreign-keys&gt;&lt;key app="EN" db-id="xtwfdzde5ttr0zevxrh5sf0c2wfzw5zf2vra" timestamp="1667408575" guid="9d772e02-e05a-474e-a0c3-a33e07825a3b"&gt;741&lt;/key&gt;&lt;/foreign-keys&gt;&lt;ref-type name="Report"&gt;27&lt;/ref-type&gt;&lt;contributors&gt;&lt;authors&gt;&lt;author&gt;Cook, Ailsa&lt;/author&gt;&lt;/authors&gt;&lt;/contributors&gt;&lt;titles&gt;&lt;title&gt;Outcomes based approaches in public service reform&lt;/title&gt;&lt;/titles&gt;&lt;dates&gt;&lt;year&gt;2017&lt;/year&gt;&lt;/dates&gt;&lt;pub-location&gt;Edinburgh&lt;/pub-location&gt;&lt;publisher&gt;What Works Scotland Edinburgh&lt;/publisher&gt;&lt;urls&gt;&lt;/urls&gt;&lt;/record&gt;&lt;/Cite&gt;&lt;Cite&gt;&lt;Author&gt;NDA&lt;/Author&gt;&lt;Year&gt;2019&lt;/Year&gt;&lt;RecNum&gt;731&lt;/RecNum&gt;&lt;record&gt;&lt;rec-number&gt;731&lt;/rec-number&gt;&lt;foreign-keys&gt;&lt;key app="EN" db-id="xtwfdzde5ttr0zevxrh5sf0c2wfzw5zf2vra" timestamp="1667405507" guid="89a7deb2-ca72-4fd0-aaf6-7ca2cbb0f830"&gt;731&lt;/key&gt;&lt;/foreign-keys&gt;&lt;ref-type name="Report"&gt;27&lt;/ref-type&gt;&lt;contributors&gt;&lt;authors&gt;&lt;author&gt;NDA, &lt;/author&gt;&lt;/authors&gt;&lt;/contributors&gt;&lt;titles&gt;&lt;title&gt;Outcome Measurement in evaluating the Quality of Disability Services&lt;/title&gt;&lt;/titles&gt;&lt;dates&gt;&lt;year&gt;2019&lt;/year&gt;&lt;/dates&gt;&lt;pub-location&gt;Dublin&lt;/pub-location&gt;&lt;publisher&gt;National Disability Authority&lt;/publisher&gt;&lt;urls&gt;&lt;/urls&gt;&lt;/record&gt;&lt;/Cite&gt;&lt;/EndNote&gt;</w:instrText>
      </w:r>
      <w:r w:rsidR="00BC50C3">
        <w:rPr>
          <w:rFonts w:cstheme="minorHAnsi"/>
          <w:szCs w:val="26"/>
        </w:rPr>
        <w:fldChar w:fldCharType="separate"/>
      </w:r>
      <w:r w:rsidR="00BC50C3">
        <w:rPr>
          <w:rFonts w:cstheme="minorHAnsi"/>
          <w:noProof/>
          <w:szCs w:val="26"/>
        </w:rPr>
        <w:t>(NDA, 2019; Cook, 2017)</w:t>
      </w:r>
      <w:r w:rsidR="00BC50C3">
        <w:rPr>
          <w:rFonts w:cstheme="minorHAnsi"/>
          <w:szCs w:val="26"/>
        </w:rPr>
        <w:fldChar w:fldCharType="end"/>
      </w:r>
      <w:r>
        <w:rPr>
          <w:rFonts w:cstheme="minorHAnsi"/>
          <w:szCs w:val="26"/>
        </w:rPr>
        <w:t xml:space="preserve">. However, many tools used for outcome measurement do not directly assess the contribution of a service to attaining outcomes. </w:t>
      </w:r>
    </w:p>
    <w:p w14:paraId="583ED8B8" w14:textId="54CF8F94" w:rsidR="00704C12" w:rsidRPr="004722E6" w:rsidRDefault="00704C12" w:rsidP="00704C12">
      <w:pPr>
        <w:pStyle w:val="Heading3"/>
        <w:rPr>
          <w:color w:val="auto"/>
        </w:rPr>
      </w:pPr>
      <w:bookmarkStart w:id="103" w:name="_Toc118558263"/>
      <w:r w:rsidRPr="004722E6">
        <w:rPr>
          <w:color w:val="auto"/>
        </w:rPr>
        <w:t>Recommendations for improvement</w:t>
      </w:r>
      <w:bookmarkEnd w:id="103"/>
    </w:p>
    <w:p w14:paraId="0B38E09F" w14:textId="2BA55492" w:rsidR="00704C12" w:rsidRDefault="00704C12" w:rsidP="00704C12">
      <w:r>
        <w:t xml:space="preserve">The </w:t>
      </w:r>
      <w:r w:rsidR="00CD5E45" w:rsidRPr="3E55976F">
        <w:rPr>
          <w:rFonts w:cstheme="minorBidi"/>
        </w:rPr>
        <w:fldChar w:fldCharType="begin"/>
      </w:r>
      <w:r w:rsidR="00CD5E45">
        <w:rPr>
          <w:rFonts w:cstheme="minorBidi"/>
        </w:rPr>
        <w:instrText xml:space="preserve"> ADDIN EN.CITE &lt;EndNote&gt;&lt;Cite AuthorYear="1"&gt;&lt;Author&gt;NDA&lt;/Author&gt;&lt;Year&gt;2019&lt;/Year&gt;&lt;RecNum&gt;731&lt;/RecNum&gt;&lt;DisplayText&gt;NDA (2019)&lt;/DisplayText&gt;&lt;record&gt;&lt;rec-number&gt;731&lt;/rec-number&gt;&lt;foreign-keys&gt;&lt;key app="EN" db-id="xtwfdzde5ttr0zevxrh5sf0c2wfzw5zf2vra" timestamp="1667405507" guid="89a7deb2-ca72-4fd0-aaf6-7ca2cbb0f830"&gt;731&lt;/key&gt;&lt;/foreign-keys&gt;&lt;ref-type name="Report"&gt;27&lt;/ref-type&gt;&lt;contributors&gt;&lt;authors&gt;&lt;author&gt;NDA, &lt;/author&gt;&lt;/authors&gt;&lt;/contributors&gt;&lt;titles&gt;&lt;title&gt;Outcome Measurement in evaluating the Quality of Disability Services&lt;/title&gt;&lt;/titles&gt;&lt;dates&gt;&lt;year&gt;2019&lt;/year&gt;&lt;/dates&gt;&lt;pub-location&gt;Dublin&lt;/pub-location&gt;&lt;publisher&gt;National Disability Authority&lt;/publisher&gt;&lt;urls&gt;&lt;/urls&gt;&lt;/record&gt;&lt;/Cite&gt;&lt;/EndNote&gt;</w:instrText>
      </w:r>
      <w:r w:rsidR="00CD5E45" w:rsidRPr="3E55976F">
        <w:rPr>
          <w:rFonts w:cstheme="minorBidi"/>
        </w:rPr>
        <w:fldChar w:fldCharType="separate"/>
      </w:r>
      <w:r w:rsidR="00CD5E45">
        <w:rPr>
          <w:rFonts w:cstheme="minorBidi"/>
          <w:noProof/>
        </w:rPr>
        <w:t>NDA (2019)</w:t>
      </w:r>
      <w:r w:rsidR="00CD5E45" w:rsidRPr="3E55976F">
        <w:rPr>
          <w:rFonts w:cstheme="minorBidi"/>
        </w:rPr>
        <w:fldChar w:fldCharType="end"/>
      </w:r>
      <w:r w:rsidR="00CD5E45">
        <w:rPr>
          <w:rFonts w:cstheme="minorBidi"/>
        </w:rPr>
        <w:t xml:space="preserve"> </w:t>
      </w:r>
      <w:r>
        <w:t xml:space="preserve">recommends the following approaches to improve outcome measurement in disability services: </w:t>
      </w:r>
    </w:p>
    <w:p w14:paraId="4D3BAEEC" w14:textId="33D691AB" w:rsidR="00704C12" w:rsidRDefault="00704C12" w:rsidP="002A24F0">
      <w:pPr>
        <w:pStyle w:val="ListParagraph"/>
        <w:numPr>
          <w:ilvl w:val="0"/>
          <w:numId w:val="31"/>
        </w:numPr>
        <w:spacing w:after="120"/>
      </w:pPr>
      <w:r>
        <w:t>While compliance with policies, standards and regulations is an essential component of service provision, it is crucial that quality assurance and improvement systems include individual assessments of quality of life outcomes to ensure that services deliver</w:t>
      </w:r>
      <w:r w:rsidR="14D767B5">
        <w:t xml:space="preserve"> the preferred and the intended</w:t>
      </w:r>
      <w:r>
        <w:t xml:space="preserve"> outcomes. They suggest that HIQA could include an outcomes-focus in their quality assurance processes and could evaluate outcome indicators and predictors in the outcome domains framework. </w:t>
      </w:r>
    </w:p>
    <w:p w14:paraId="59CC7D95" w14:textId="6CE6122B" w:rsidR="00704C12" w:rsidRDefault="00704C12" w:rsidP="002A24F0">
      <w:pPr>
        <w:pStyle w:val="ListParagraph"/>
        <w:numPr>
          <w:ilvl w:val="0"/>
          <w:numId w:val="31"/>
        </w:numPr>
        <w:spacing w:after="120"/>
      </w:pPr>
      <w:r>
        <w:t>Outcome measurement should include evaluation of personal outcomes at the individual level and measuring outcome indictors at the service level</w:t>
      </w:r>
    </w:p>
    <w:p w14:paraId="6DF20C86" w14:textId="6F65498C" w:rsidR="00704C12" w:rsidRDefault="00704C12" w:rsidP="002A24F0">
      <w:pPr>
        <w:pStyle w:val="ListParagraph"/>
        <w:numPr>
          <w:ilvl w:val="0"/>
          <w:numId w:val="31"/>
        </w:numPr>
        <w:spacing w:after="120"/>
      </w:pPr>
      <w:r>
        <w:t>At the individual level outcomes can be measured using person-centred tools such as the POMs or the Goal Attainment Scaling (GAS) tool. In addition, random checks could be conducted with a number of individuals to</w:t>
      </w:r>
      <w:r w:rsidR="25240163">
        <w:t xml:space="preserve"> assess</w:t>
      </w:r>
      <w:r>
        <w:t xml:space="preserve"> whether their person-centred plans align with their quality of life outcome goals. Observation should be used for those with severe or profound intellectual disabilit</w:t>
      </w:r>
      <w:r w:rsidR="00C85736">
        <w:t>ies</w:t>
      </w:r>
      <w:r>
        <w:t xml:space="preserve">.  </w:t>
      </w:r>
    </w:p>
    <w:p w14:paraId="39C413EE" w14:textId="6A2CE330" w:rsidR="00704C12" w:rsidRPr="000C5FF7" w:rsidRDefault="00704C12" w:rsidP="002A24F0">
      <w:pPr>
        <w:pStyle w:val="ListParagraph"/>
        <w:numPr>
          <w:ilvl w:val="0"/>
          <w:numId w:val="31"/>
        </w:numPr>
        <w:spacing w:after="120"/>
        <w:rPr>
          <w:rFonts w:cstheme="minorHAnsi"/>
          <w:szCs w:val="26"/>
        </w:rPr>
      </w:pPr>
      <w:r>
        <w:t xml:space="preserve">At the service level standardised outcome measurement tools such as the NCI can be used to benchmark quality of disability services. Evaluating the presence of predictors of outcomes should also be considered in terms of outcome measurement at the service level. This can be useful for assessing whether services are providing the supports required for attaining quality of life outcomes. This can be achieved through the use of standardised observation or interviews. </w:t>
      </w:r>
    </w:p>
    <w:p w14:paraId="5714863F" w14:textId="5CC55E25" w:rsidR="00704C12" w:rsidRDefault="00704C12" w:rsidP="11C55A92">
      <w:pPr>
        <w:rPr>
          <w:rFonts w:cstheme="minorBidi"/>
        </w:rPr>
      </w:pPr>
      <w:r w:rsidRPr="11C55A92">
        <w:rPr>
          <w:rFonts w:cstheme="minorBidi"/>
        </w:rPr>
        <w:t>Further to these recommendations, in their report on outcome measurement, the NDA provide an overview of the type</w:t>
      </w:r>
      <w:r w:rsidR="43985AF1" w:rsidRPr="11C55A92">
        <w:rPr>
          <w:rFonts w:cstheme="minorBidi"/>
        </w:rPr>
        <w:t>s</w:t>
      </w:r>
      <w:r w:rsidRPr="11C55A92">
        <w:rPr>
          <w:rFonts w:cstheme="minorBidi"/>
        </w:rPr>
        <w:t xml:space="preserve"> of approaches </w:t>
      </w:r>
      <w:r w:rsidR="2EE43750" w:rsidRPr="11C55A92">
        <w:rPr>
          <w:rFonts w:cstheme="minorBidi"/>
        </w:rPr>
        <w:t xml:space="preserve">to </w:t>
      </w:r>
      <w:r w:rsidRPr="11C55A92">
        <w:rPr>
          <w:rFonts w:cstheme="minorBidi"/>
        </w:rPr>
        <w:t>measurement that can be used for the nine quality of life domains. As an example, the following approaches can be used for Outcome domain 1: ‘Living in one’s own home in the community’:</w:t>
      </w:r>
    </w:p>
    <w:p w14:paraId="5482FF51" w14:textId="4089B864" w:rsidR="00704C12" w:rsidRDefault="00704C12" w:rsidP="002A24F0">
      <w:pPr>
        <w:pStyle w:val="ListParagraph"/>
        <w:numPr>
          <w:ilvl w:val="0"/>
          <w:numId w:val="30"/>
        </w:numPr>
      </w:pPr>
      <w:r>
        <w:t xml:space="preserve">Standardised indicator: Did you choose where you live? Do you choose whom you live with? Do you have a key to your accommodation? Are you happy with your accommodation?  </w:t>
      </w:r>
    </w:p>
    <w:p w14:paraId="5F95D5B9" w14:textId="77777777" w:rsidR="00704C12" w:rsidRDefault="00704C12" w:rsidP="002A24F0">
      <w:pPr>
        <w:pStyle w:val="ListParagraph"/>
        <w:numPr>
          <w:ilvl w:val="0"/>
          <w:numId w:val="30"/>
        </w:numPr>
      </w:pPr>
      <w:r>
        <w:t>Observation: Assess if person has access to all areas in his/her home and garden and can come and go in home and garden as and when he/she appears to want to. Assess if home is adapted to his/her needs in terms of size, design, location, etc., and if person has his/her own possessions around the home.</w:t>
      </w:r>
    </w:p>
    <w:p w14:paraId="563C33A0" w14:textId="77777777" w:rsidR="00704C12" w:rsidRDefault="00704C12" w:rsidP="002A24F0">
      <w:pPr>
        <w:pStyle w:val="ListParagraph"/>
        <w:numPr>
          <w:ilvl w:val="0"/>
          <w:numId w:val="30"/>
        </w:numPr>
      </w:pPr>
      <w:r>
        <w:t>Outcome predictors: Does person have access to transport and to local community facilities and to personal assistants in the community?</w:t>
      </w:r>
    </w:p>
    <w:p w14:paraId="4ADB187E" w14:textId="1E43AF06" w:rsidR="00704C12" w:rsidRPr="00704C12" w:rsidRDefault="00704C12" w:rsidP="002A24F0">
      <w:pPr>
        <w:pStyle w:val="ListParagraph"/>
        <w:numPr>
          <w:ilvl w:val="0"/>
          <w:numId w:val="30"/>
        </w:numPr>
      </w:pPr>
      <w:r>
        <w:t xml:space="preserve">Open-ended interview questions: Do you want to move house? What are your goals? Have services supported you to attain these goals? How have they done this? </w:t>
      </w:r>
      <w:r w:rsidR="00CD5E45" w:rsidRPr="3E55976F">
        <w:rPr>
          <w:rFonts w:cstheme="minorBidi"/>
        </w:rPr>
        <w:fldChar w:fldCharType="begin"/>
      </w:r>
      <w:r w:rsidR="00CD5E45">
        <w:rPr>
          <w:rFonts w:cstheme="minorBidi"/>
        </w:rPr>
        <w:instrText xml:space="preserve"> ADDIN EN.CITE &lt;EndNote&gt;&lt;Cite&gt;&lt;Author&gt;NDA&lt;/Author&gt;&lt;Year&gt;2019&lt;/Year&gt;&lt;RecNum&gt;731&lt;/RecNum&gt;&lt;Pages&gt;14&lt;/Pages&gt;&lt;DisplayText&gt;(NDA, 2019, p. 14)&lt;/DisplayText&gt;&lt;record&gt;&lt;rec-number&gt;731&lt;/rec-number&gt;&lt;foreign-keys&gt;&lt;key app="EN" db-id="xtwfdzde5ttr0zevxrh5sf0c2wfzw5zf2vra" timestamp="1667405507" guid="89a7deb2-ca72-4fd0-aaf6-7ca2cbb0f830"&gt;731&lt;/key&gt;&lt;/foreign-keys&gt;&lt;ref-type name="Report"&gt;27&lt;/ref-type&gt;&lt;contributors&gt;&lt;authors&gt;&lt;author&gt;NDA, &lt;/author&gt;&lt;/authors&gt;&lt;/contributors&gt;&lt;titles&gt;&lt;title&gt;Outcome Measurement in evaluating the Quality of Disability Services&lt;/title&gt;&lt;/titles&gt;&lt;dates&gt;&lt;year&gt;2019&lt;/year&gt;&lt;/dates&gt;&lt;pub-location&gt;Dublin&lt;/pub-location&gt;&lt;publisher&gt;National Disability Authority&lt;/publisher&gt;&lt;urls&gt;&lt;/urls&gt;&lt;/record&gt;&lt;/Cite&gt;&lt;/EndNote&gt;</w:instrText>
      </w:r>
      <w:r w:rsidR="00CD5E45" w:rsidRPr="3E55976F">
        <w:rPr>
          <w:rFonts w:cstheme="minorBidi"/>
        </w:rPr>
        <w:fldChar w:fldCharType="separate"/>
      </w:r>
      <w:r w:rsidR="00CD5E45">
        <w:rPr>
          <w:rFonts w:cstheme="minorBidi"/>
          <w:noProof/>
        </w:rPr>
        <w:t>(NDA, 2019, p. 14)</w:t>
      </w:r>
      <w:r w:rsidR="00CD5E45" w:rsidRPr="3E55976F">
        <w:rPr>
          <w:rFonts w:cstheme="minorBidi"/>
        </w:rPr>
        <w:fldChar w:fldCharType="end"/>
      </w:r>
      <w:r w:rsidR="00CD5E45" w:rsidDel="00CD5E45">
        <w:t xml:space="preserve"> </w:t>
      </w:r>
    </w:p>
    <w:p w14:paraId="27B3E781" w14:textId="618BDE86" w:rsidR="00C43251" w:rsidRPr="00906B8B" w:rsidRDefault="00C43251" w:rsidP="001466E9">
      <w:pPr>
        <w:pStyle w:val="Heading2"/>
        <w:rPr>
          <w:rFonts w:cstheme="minorHAnsi"/>
          <w:szCs w:val="26"/>
        </w:rPr>
      </w:pPr>
      <w:bookmarkStart w:id="104" w:name="_Toc118555192"/>
      <w:bookmarkStart w:id="105" w:name="_Toc118558264"/>
      <w:bookmarkStart w:id="106" w:name="_Toc118558350"/>
      <w:bookmarkStart w:id="107" w:name="_Toc121830605"/>
      <w:r w:rsidRPr="00906B8B">
        <w:t>Challenges to service provision</w:t>
      </w:r>
      <w:bookmarkEnd w:id="97"/>
      <w:bookmarkEnd w:id="104"/>
      <w:bookmarkEnd w:id="105"/>
      <w:bookmarkEnd w:id="106"/>
      <w:bookmarkEnd w:id="107"/>
    </w:p>
    <w:p w14:paraId="3BC4F703" w14:textId="0F24D8DD" w:rsidR="00C43251" w:rsidRDefault="00C43251" w:rsidP="00C43251">
      <w:r>
        <w:t xml:space="preserve">The provision of services to people </w:t>
      </w:r>
      <w:r w:rsidR="007B4A0C">
        <w:t>with intellectual disabilities</w:t>
      </w:r>
      <w:r>
        <w:t xml:space="preserve"> in Ireland has shifted from a medical model of care toward a social care model that focuses on choice, social inclusion, and the rights of people </w:t>
      </w:r>
      <w:r w:rsidR="007B4A0C">
        <w:t>with intellectual disabilities</w:t>
      </w:r>
      <w:r>
        <w:t xml:space="preserve"> </w:t>
      </w:r>
      <w:r>
        <w:fldChar w:fldCharType="begin"/>
      </w:r>
      <w:r w:rsidR="006A378C">
        <w:instrText xml:space="preserve"> ADDIN EN.CITE &lt;EndNote&gt;&lt;Cite&gt;&lt;Author&gt;McCarron&lt;/Author&gt;&lt;Year&gt;2018&lt;/Year&gt;&lt;RecNum&gt;490&lt;/RecNum&gt;&lt;DisplayText&gt;(McCarron et al., 2018b)&lt;/DisplayText&gt;&lt;record&gt;&lt;rec-number&gt;490&lt;/rec-number&gt;&lt;foreign-keys&gt;&lt;key app="EN" db-id="xtwfdzde5ttr0zevxrh5sf0c2wfzw5zf2vra" timestamp="1648035385" guid="47072b47-6233-437d-8023-5ef093dd12ba"&gt;490&lt;/key&gt;&lt;/foreign-keys&gt;&lt;ref-type name="Report"&gt;27&lt;/ref-type&gt;&lt;contributors&gt;&lt;authors&gt;&lt;author&gt;McCarron, M&lt;/author&gt;&lt;author&gt;Sheerin, F&lt;/author&gt;&lt;author&gt;Roche, L&lt;/author&gt;&lt;author&gt;Ryan, AM&lt;/author&gt;&lt;author&gt;Griffiths, C&lt;/author&gt;&lt;author&gt;Keenan, P&lt;/author&gt;&lt;author&gt;Doody, O&lt;/author&gt;&lt;author&gt;D&amp;apos;Eath, M&lt;/author&gt;&lt;author&gt;Burke, E&lt;/author&gt;&lt;author&gt;McCallion, P&lt;/author&gt;&lt;/authors&gt;&lt;/contributors&gt;&lt;titles&gt;&lt;title&gt;Shaping the future of intellectual disability nursing in Ireland: Supporting people with an intellectual disability to live ordinary lives in ordinary places&lt;/title&gt;&lt;/titles&gt;&lt;pages&gt;5&lt;/pages&gt;&lt;dates&gt;&lt;year&gt;2018&lt;/year&gt;&lt;/dates&gt;&lt;pub-location&gt;Ireland&lt;/pub-location&gt;&lt;publisher&gt;Health Services Executive&lt;/publisher&gt;&lt;urls&gt;&lt;/urls&gt;&lt;/record&gt;&lt;/Cite&gt;&lt;/EndNote&gt;</w:instrText>
      </w:r>
      <w:r>
        <w:fldChar w:fldCharType="separate"/>
      </w:r>
      <w:r w:rsidR="00ED391B">
        <w:rPr>
          <w:noProof/>
        </w:rPr>
        <w:t>(McCarron et al., 2018b)</w:t>
      </w:r>
      <w:r>
        <w:fldChar w:fldCharType="end"/>
      </w:r>
      <w:r>
        <w:t xml:space="preserve">. However, despite these positive policy changes, disparities in service provision continue to exist for people </w:t>
      </w:r>
      <w:r w:rsidR="007B4A0C">
        <w:t>with intellectual disabilities</w:t>
      </w:r>
      <w:r>
        <w:t xml:space="preserve"> and complex care needs. Existing service provision remains largely unprepared to meet the needs of older people </w:t>
      </w:r>
      <w:r w:rsidR="007B4A0C">
        <w:t>with intellectual disabilities</w:t>
      </w:r>
      <w:r>
        <w:t xml:space="preserve"> and is characterised by a growing demand for disability and age-related services</w:t>
      </w:r>
      <w:r w:rsidR="00D4444E">
        <w:t>,</w:t>
      </w:r>
      <w:r>
        <w:t xml:space="preserve"> limited availability of specialist services</w:t>
      </w:r>
      <w:r w:rsidR="00D4444E">
        <w:t>,</w:t>
      </w:r>
      <w:r>
        <w:t xml:space="preserve"> health and disability professionals with limited skills and training in ageing an</w:t>
      </w:r>
      <w:r w:rsidR="00C85736">
        <w:t>d</w:t>
      </w:r>
      <w:r>
        <w:t xml:space="preserve"> intellectual disabilit</w:t>
      </w:r>
      <w:r w:rsidR="00C85736">
        <w:t>ies</w:t>
      </w:r>
      <w:r w:rsidR="00D4444E">
        <w:t>,</w:t>
      </w:r>
      <w:r>
        <w:t xml:space="preserve"> and a lack of coordination between ageing and disability sectors. </w:t>
      </w:r>
    </w:p>
    <w:p w14:paraId="0E44FBF2" w14:textId="5670FC2F" w:rsidR="00C43251" w:rsidRPr="0087454F" w:rsidRDefault="00C43251" w:rsidP="00C43251">
      <w:r w:rsidRPr="00D515BA">
        <w:t xml:space="preserve">The provision of </w:t>
      </w:r>
      <w:r>
        <w:t xml:space="preserve">services to people ageing </w:t>
      </w:r>
      <w:r w:rsidR="007B4A0C">
        <w:t>with intellectual disabilities</w:t>
      </w:r>
      <w:r>
        <w:t xml:space="preserve">, coordination between ageing and disability services, and the </w:t>
      </w:r>
      <w:r w:rsidRPr="00D515BA">
        <w:t>barriers to accessing mainstream health services will be detailed in the following section.</w:t>
      </w:r>
    </w:p>
    <w:p w14:paraId="5B8ED364" w14:textId="77777777" w:rsidR="001466E9" w:rsidRPr="00906B8B" w:rsidRDefault="001466E9" w:rsidP="001466E9">
      <w:pPr>
        <w:pStyle w:val="Heading3"/>
        <w:rPr>
          <w:color w:val="auto"/>
        </w:rPr>
      </w:pPr>
      <w:bookmarkStart w:id="108" w:name="_Toc116045694"/>
      <w:bookmarkStart w:id="109" w:name="_Toc118558265"/>
      <w:r w:rsidRPr="00906B8B">
        <w:rPr>
          <w:color w:val="auto"/>
        </w:rPr>
        <w:t>Current and future provision of disability services</w:t>
      </w:r>
      <w:bookmarkEnd w:id="108"/>
      <w:bookmarkEnd w:id="109"/>
      <w:r w:rsidRPr="00906B8B">
        <w:rPr>
          <w:color w:val="auto"/>
        </w:rPr>
        <w:t xml:space="preserve"> </w:t>
      </w:r>
    </w:p>
    <w:p w14:paraId="1150826A" w14:textId="37375E8F" w:rsidR="001466E9" w:rsidRDefault="001466E9" w:rsidP="001466E9">
      <w:r>
        <w:t xml:space="preserve">In Ireland, people with a disability </w:t>
      </w:r>
      <w:r w:rsidR="00163974">
        <w:t xml:space="preserve">may be </w:t>
      </w:r>
      <w:r>
        <w:t xml:space="preserve">supported through general community health and social services </w:t>
      </w:r>
      <w:r>
        <w:fldChar w:fldCharType="begin"/>
      </w:r>
      <w:r w:rsidR="003F6D21">
        <w:instrText xml:space="preserve"> ADDIN EN.CITE &lt;EndNote&gt;&lt;Cite&gt;&lt;Author&gt;Department of Health&lt;/Author&gt;&lt;Year&gt;2021&lt;/Year&gt;&lt;RecNum&gt;646&lt;/RecNum&gt;&lt;DisplayText&gt;(Department of Health, 2021a)&lt;/DisplayText&gt;&lt;record&gt;&lt;rec-number&gt;646&lt;/rec-number&gt;&lt;foreign-keys&gt;&lt;key app="EN" db-id="xtwfdzde5ttr0zevxrh5sf0c2wfzw5zf2vra" timestamp="1656687744" guid="53f05810-e44d-4a8a-92c5-482827b73d80"&gt;646&lt;/key&gt;&lt;/foreign-keys&gt;&lt;ref-type name="Report"&gt;27&lt;/ref-type&gt;&lt;contributors&gt;&lt;authors&gt;&lt;author&gt;Department of Health,&lt;/author&gt;&lt;/authors&gt;&lt;/contributors&gt;&lt;titles&gt;&lt;title&gt;Disability Capacity Review to 2032 - A Review of Social Care Demand and Capacity Requirements to 2032&lt;/title&gt;&lt;/titles&gt;&lt;dates&gt;&lt;year&gt;2021&lt;/year&gt;&lt;pub-dates&gt;&lt;date&gt;July&lt;/date&gt;&lt;/pub-dates&gt;&lt;/dates&gt;&lt;pub-location&gt;Dublin&lt;/pub-location&gt;&lt;publisher&gt;Department of Health&lt;/publisher&gt;&lt;urls&gt;&lt;/urls&gt;&lt;/record&gt;&lt;/Cite&gt;&lt;/EndNote&gt;</w:instrText>
      </w:r>
      <w:r>
        <w:fldChar w:fldCharType="separate"/>
      </w:r>
      <w:r w:rsidR="003F6D21">
        <w:rPr>
          <w:noProof/>
        </w:rPr>
        <w:t>(Department of Health, 2021a)</w:t>
      </w:r>
      <w:r>
        <w:fldChar w:fldCharType="end"/>
      </w:r>
      <w:r>
        <w:t xml:space="preserve">. These mainstream services are complemented by specialist community-based services which are delivered to about 9% of people with a disability </w:t>
      </w:r>
      <w:r>
        <w:fldChar w:fldCharType="begin"/>
      </w:r>
      <w:r w:rsidR="003253BA">
        <w:instrText xml:space="preserve"> ADDIN EN.CITE &lt;EndNote&gt;&lt;Cite&gt;&lt;Author&gt;Department of Health&lt;/Author&gt;&lt;Year&gt;2020&lt;/Year&gt;&lt;RecNum&gt;588&lt;/RecNum&gt;&lt;DisplayText&gt;(Department of Health, 2021a; 2020a)&lt;/DisplayText&gt;&lt;record&gt;&lt;rec-number&gt;588&lt;/rec-number&gt;&lt;foreign-keys&gt;&lt;key app="EN" db-id="xtwfdzde5ttr0zevxrh5sf0c2wfzw5zf2vra" timestamp="1650635738" guid="ce825cdb-01e5-4133-9020-174a795b039d"&gt;588&lt;/key&gt;&lt;/foreign-keys&gt;&lt;ref-type name="Report"&gt;27&lt;/ref-type&gt;&lt;contributors&gt;&lt;authors&gt;&lt;author&gt;Department of Health,&lt;/author&gt;&lt;/authors&gt;&lt;/contributors&gt;&lt;titles&gt;&lt;title&gt;Disability Action Plan Framework&lt;/title&gt;&lt;/titles&gt;&lt;dates&gt;&lt;year&gt;2020&lt;/year&gt;&lt;/dates&gt;&lt;pub-location&gt;Dublin&lt;/pub-location&gt;&lt;publisher&gt;Department of Health&lt;/publisher&gt;&lt;urls&gt;&lt;/urls&gt;&lt;/record&gt;&lt;/Cite&gt;&lt;Cite&gt;&lt;Author&gt;Department of Health&lt;/Author&gt;&lt;Year&gt;2021&lt;/Year&gt;&lt;RecNum&gt;646&lt;/RecNum&gt;&lt;record&gt;&lt;rec-number&gt;646&lt;/rec-number&gt;&lt;foreign-keys&gt;&lt;key app="EN" db-id="xtwfdzde5ttr0zevxrh5sf0c2wfzw5zf2vra" timestamp="1656687744" guid="53f05810-e44d-4a8a-92c5-482827b73d80"&gt;646&lt;/key&gt;&lt;/foreign-keys&gt;&lt;ref-type name="Report"&gt;27&lt;/ref-type&gt;&lt;contributors&gt;&lt;authors&gt;&lt;author&gt;Department of Health,&lt;/author&gt;&lt;/authors&gt;&lt;/contributors&gt;&lt;titles&gt;&lt;title&gt;Disability Capacity Review to 2032 - A Review of Social Care Demand and Capacity Requirements to 2032&lt;/title&gt;&lt;/titles&gt;&lt;dates&gt;&lt;year&gt;2021&lt;/year&gt;&lt;pub-dates&gt;&lt;date&gt;July&lt;/date&gt;&lt;/pub-dates&gt;&lt;/dates&gt;&lt;pub-location&gt;Dublin&lt;/pub-location&gt;&lt;publisher&gt;Department of Health&lt;/publisher&gt;&lt;urls&gt;&lt;/urls&gt;&lt;/record&gt;&lt;/Cite&gt;&lt;/EndNote&gt;</w:instrText>
      </w:r>
      <w:r>
        <w:fldChar w:fldCharType="separate"/>
      </w:r>
      <w:r w:rsidR="003F6D21">
        <w:rPr>
          <w:noProof/>
        </w:rPr>
        <w:t>(Department of Health, 2021a; 2020a)</w:t>
      </w:r>
      <w:r>
        <w:fldChar w:fldCharType="end"/>
      </w:r>
      <w:r>
        <w:t>, through a range of interventions including adult day care, support for community engagement, disability allowances, multidisciplinary therapies, personal assistant services, respite care to support carers, specialist end</w:t>
      </w:r>
      <w:r w:rsidR="00AD236A">
        <w:t xml:space="preserve"> of life</w:t>
      </w:r>
      <w:r>
        <w:t xml:space="preserve"> care, rehabilitation, home help, aids and appliances, and early intervention teams </w:t>
      </w:r>
      <w:r>
        <w:fldChar w:fldCharType="begin"/>
      </w:r>
      <w:r w:rsidR="003253BA">
        <w:instrText xml:space="preserve"> ADDIN EN.CITE &lt;EndNote&gt;&lt;Cite&gt;&lt;Author&gt;Department of Health&lt;/Author&gt;&lt;Year&gt;2020&lt;/Year&gt;&lt;RecNum&gt;588&lt;/RecNum&gt;&lt;DisplayText&gt;(Department of Health, 2020a; Linehan et al., 2014)&lt;/DisplayText&gt;&lt;record&gt;&lt;rec-number&gt;588&lt;/rec-number&gt;&lt;foreign-keys&gt;&lt;key app="EN" db-id="xtwfdzde5ttr0zevxrh5sf0c2wfzw5zf2vra" timestamp="1650635738" guid="ce825cdb-01e5-4133-9020-174a795b039d"&gt;588&lt;/key&gt;&lt;/foreign-keys&gt;&lt;ref-type name="Report"&gt;27&lt;/ref-type&gt;&lt;contributors&gt;&lt;authors&gt;&lt;author&gt;Department of Health,&lt;/author&gt;&lt;/authors&gt;&lt;/contributors&gt;&lt;titles&gt;&lt;title&gt;Disability Action Plan Framework&lt;/title&gt;&lt;/titles&gt;&lt;dates&gt;&lt;year&gt;2020&lt;/year&gt;&lt;/dates&gt;&lt;pub-location&gt;Dublin&lt;/pub-location&gt;&lt;publisher&gt;Department of Health&lt;/publisher&gt;&lt;urls&gt;&lt;/urls&gt;&lt;/record&gt;&lt;/Cite&gt;&lt;Cite&gt;&lt;Author&gt;Linehan&lt;/Author&gt;&lt;Year&gt;2014&lt;/Year&gt;&lt;RecNum&gt;534&lt;/RecNum&gt;&lt;record&gt;&lt;rec-number&gt;534&lt;/rec-number&gt;&lt;foreign-keys&gt;&lt;key app="EN" db-id="xtwfdzde5ttr0zevxrh5sf0c2wfzw5zf2vra" timestamp="1649247233" guid="70b282e5-63b9-4cc5-8159-8188301d1354"&gt;534&lt;/key&gt;&lt;/foreign-keys&gt;&lt;ref-type name="Report"&gt;27&lt;/ref-type&gt;&lt;contributors&gt;&lt;authors&gt;&lt;author&gt;Linehan, C., &lt;/author&gt;&lt;author&gt;O’Doherty, S., &lt;/author&gt;&lt;author&gt;Tatlow-Golden, M., &lt;/author&gt;&lt;author&gt;Craig, S.,&lt;/author&gt;&lt;author&gt;Kerr, M., &lt;/author&gt;&lt;author&gt;Lynch, C., &lt;/author&gt;&lt;author&gt;McConkey, R.,&lt;/author&gt;&lt;author&gt;Staines, A&lt;/author&gt;&lt;/authors&gt;&lt;/contributors&gt;&lt;titles&gt;&lt;title&gt;Moving Ahead: Mapping the Policy Landscape&lt;/title&gt;&lt;/titles&gt;&lt;dates&gt;&lt;year&gt;2014&lt;/year&gt;&lt;/dates&gt;&lt;pub-location&gt;Dublin&lt;/pub-location&gt;&lt;publisher&gt;School of Social Work and Social Policy, Trinity College&lt;/publisher&gt;&lt;urls&gt;&lt;/urls&gt;&lt;/record&gt;&lt;/Cite&gt;&lt;/EndNote&gt;</w:instrText>
      </w:r>
      <w:r>
        <w:fldChar w:fldCharType="separate"/>
      </w:r>
      <w:r w:rsidR="003F6D21">
        <w:rPr>
          <w:noProof/>
        </w:rPr>
        <w:t>(Department of Health, 2020a; Linehan et al., 2014)</w:t>
      </w:r>
      <w:r>
        <w:fldChar w:fldCharType="end"/>
      </w:r>
      <w:r>
        <w:t xml:space="preserve">. As of 2014, the largest staff cohort within these services is support staff (47%), followed by a grouping of nurses, social care staff, and therapists (43%) </w:t>
      </w:r>
      <w:r>
        <w:fldChar w:fldCharType="begin"/>
      </w:r>
      <w:r w:rsidR="008F061D">
        <w:instrText xml:space="preserve"> ADDIN EN.CITE &lt;EndNote&gt;&lt;Cite&gt;&lt;Author&gt;Linehan&lt;/Author&gt;&lt;Year&gt;2014&lt;/Year&gt;&lt;RecNum&gt;534&lt;/RecNum&gt;&lt;DisplayText&gt;(Linehan et al., 2014)&lt;/DisplayText&gt;&lt;record&gt;&lt;rec-number&gt;534&lt;/rec-number&gt;&lt;foreign-keys&gt;&lt;key app="EN" db-id="xtwfdzde5ttr0zevxrh5sf0c2wfzw5zf2vra" timestamp="1649247233" guid="70b282e5-63b9-4cc5-8159-8188301d1354"&gt;534&lt;/key&gt;&lt;/foreign-keys&gt;&lt;ref-type name="Report"&gt;27&lt;/ref-type&gt;&lt;contributors&gt;&lt;authors&gt;&lt;author&gt;Linehan, C., &lt;/author&gt;&lt;author&gt;O’Doherty, S., &lt;/author&gt;&lt;author&gt;Tatlow-Golden, M., &lt;/author&gt;&lt;author&gt;Craig, S.,&lt;/author&gt;&lt;author&gt;Kerr, M., &lt;/author&gt;&lt;author&gt;Lynch, C., &lt;/author&gt;&lt;author&gt;McConkey, R.,&lt;/author&gt;&lt;author&gt;Staines, A&lt;/author&gt;&lt;/authors&gt;&lt;/contributors&gt;&lt;titles&gt;&lt;title&gt;Moving Ahead: Mapping the Policy Landscape&lt;/title&gt;&lt;/titles&gt;&lt;dates&gt;&lt;year&gt;2014&lt;/year&gt;&lt;/dates&gt;&lt;pub-location&gt;Dublin&lt;/pub-location&gt;&lt;publisher&gt;School of Social Work and Social Policy, Trinity College&lt;/publisher&gt;&lt;urls&gt;&lt;/urls&gt;&lt;/record&gt;&lt;/Cite&gt;&lt;/EndNote&gt;</w:instrText>
      </w:r>
      <w:r>
        <w:fldChar w:fldCharType="separate"/>
      </w:r>
      <w:r>
        <w:rPr>
          <w:noProof/>
        </w:rPr>
        <w:t>(Linehan et al., 2014)</w:t>
      </w:r>
      <w:r>
        <w:fldChar w:fldCharType="end"/>
      </w:r>
      <w:r>
        <w:t>. The majority of</w:t>
      </w:r>
      <w:r w:rsidDel="008164E8">
        <w:t xml:space="preserve"> </w:t>
      </w:r>
      <w:r>
        <w:t xml:space="preserve">specialist disability services are delivered in the community by voluntary, non-profit organisations, with the remaining services delivered directly via the HSE </w:t>
      </w:r>
      <w:r>
        <w:fldChar w:fldCharType="begin"/>
      </w:r>
      <w:r w:rsidR="008F061D">
        <w:instrText xml:space="preserve"> ADDIN EN.CITE &lt;EndNote&gt;&lt;Cite&gt;&lt;Author&gt;Linehan&lt;/Author&gt;&lt;Year&gt;2014&lt;/Year&gt;&lt;RecNum&gt;534&lt;/RecNum&gt;&lt;DisplayText&gt;(Linehan et al., 2014)&lt;/DisplayText&gt;&lt;record&gt;&lt;rec-number&gt;534&lt;/rec-number&gt;&lt;foreign-keys&gt;&lt;key app="EN" db-id="xtwfdzde5ttr0zevxrh5sf0c2wfzw5zf2vra" timestamp="1649247233" guid="70b282e5-63b9-4cc5-8159-8188301d1354"&gt;534&lt;/key&gt;&lt;/foreign-keys&gt;&lt;ref-type name="Report"&gt;27&lt;/ref-type&gt;&lt;contributors&gt;&lt;authors&gt;&lt;author&gt;Linehan, C., &lt;/author&gt;&lt;author&gt;O’Doherty, S., &lt;/author&gt;&lt;author&gt;Tatlow-Golden, M., &lt;/author&gt;&lt;author&gt;Craig, S.,&lt;/author&gt;&lt;author&gt;Kerr, M., &lt;/author&gt;&lt;author&gt;Lynch, C., &lt;/author&gt;&lt;author&gt;McConkey, R.,&lt;/author&gt;&lt;author&gt;Staines, A&lt;/author&gt;&lt;/authors&gt;&lt;/contributors&gt;&lt;titles&gt;&lt;title&gt;Moving Ahead: Mapping the Policy Landscape&lt;/title&gt;&lt;/titles&gt;&lt;dates&gt;&lt;year&gt;2014&lt;/year&gt;&lt;/dates&gt;&lt;pub-location&gt;Dublin&lt;/pub-location&gt;&lt;publisher&gt;School of Social Work and Social Policy, Trinity College&lt;/publisher&gt;&lt;urls&gt;&lt;/urls&gt;&lt;/record&gt;&lt;/Cite&gt;&lt;/EndNote&gt;</w:instrText>
      </w:r>
      <w:r>
        <w:fldChar w:fldCharType="separate"/>
      </w:r>
      <w:r>
        <w:rPr>
          <w:noProof/>
        </w:rPr>
        <w:t>(Linehan et al., 2014)</w:t>
      </w:r>
      <w:r>
        <w:fldChar w:fldCharType="end"/>
      </w:r>
      <w:r>
        <w:t xml:space="preserve">. </w:t>
      </w:r>
    </w:p>
    <w:p w14:paraId="58A7E33D" w14:textId="7D762E82" w:rsidR="001466E9" w:rsidRDefault="001466E9" w:rsidP="001466E9">
      <w:r>
        <w:t xml:space="preserve">In recent years there has been an increased need for the provision of community disability services in Ireland. According to The National Ability Support System (NASS) - a national database of persons in receipt of or who require disability services – 36,649 people were registered as receiving or needing disability services as of December 2020, an increase of 64% from 2019 </w:t>
      </w:r>
      <w:r>
        <w:fldChar w:fldCharType="begin"/>
      </w:r>
      <w:r>
        <w:instrText xml:space="preserve"> ADDIN EN.CITE &lt;EndNote&gt;&lt;Cite&gt;&lt;Author&gt;Casey&lt;/Author&gt;&lt;Year&gt;2020&lt;/Year&gt;&lt;RecNum&gt;647&lt;/RecNum&gt;&lt;DisplayText&gt;(Casey et al., 2020)&lt;/DisplayText&gt;&lt;record&gt;&lt;rec-number&gt;647&lt;/rec-number&gt;&lt;foreign-keys&gt;&lt;key app="EN" db-id="xtwfdzde5ttr0zevxrh5sf0c2wfzw5zf2vra" timestamp="1656689947" guid="3f5f753e-8829-4500-a2d9-c1fd284996b6"&gt;647&lt;/key&gt;&lt;/foreign-keys&gt;&lt;ref-type name="Report"&gt;27&lt;/ref-type&gt;&lt;contributors&gt;&lt;authors&gt;&lt;author&gt;Casey, Claire&lt;/author&gt;&lt;author&gt;O’Sullivan, Michael&lt;/author&gt;&lt;author&gt;Flanagan, Natalie &lt;/author&gt;&lt;author&gt;Fanagan, Sarah &lt;/author&gt;&lt;/authors&gt;&lt;/contributors&gt;&lt;titles&gt;&lt;title&gt;Annual Report of the National Ability Supports System (NASS) 2020&lt;/title&gt;&lt;/titles&gt;&lt;dates&gt;&lt;year&gt;2020&lt;/year&gt;&lt;/dates&gt;&lt;pub-location&gt;Dublin&lt;/pub-location&gt;&lt;publisher&gt;Health Research Board&lt;/publisher&gt;&lt;urls&gt;&lt;related-urls&gt;&lt;url&gt;https://www.hrb.ie/fileadmin/2._Plugin_related_files/Publications/2021_publications/NASS/NASS_2020_annual_report.pdf&lt;/url&gt;&lt;/related-urls&gt;&lt;/urls&gt;&lt;/record&gt;&lt;/Cite&gt;&lt;/EndNote&gt;</w:instrText>
      </w:r>
      <w:r>
        <w:fldChar w:fldCharType="separate"/>
      </w:r>
      <w:r w:rsidRPr="11C55A92">
        <w:rPr>
          <w:noProof/>
        </w:rPr>
        <w:t>(Casey et al., 2020)</w:t>
      </w:r>
      <w:r>
        <w:fldChar w:fldCharType="end"/>
      </w:r>
      <w:r>
        <w:t xml:space="preserve">. While the proportion of service users </w:t>
      </w:r>
      <w:r w:rsidR="007B4A0C">
        <w:t>with intellectual disabilities</w:t>
      </w:r>
      <w:r>
        <w:t xml:space="preserve"> registered on the NASS decreased since 2019, intellectual disability was the most reported disability in 2020, followed by neurological disability and autism. Eighteen percent of people on the database were aged 55 years and older. The following data on service use was captured in the NASS 2020 report: 66% of service users accessed at least one specialist support; 63% accessed at least one day service; 21% were in receipt of residential services. The number of people availing of residential services increased from 5,297 in 2019 to 7,535 in 2020</w:t>
      </w:r>
      <w:r w:rsidR="66C6E65F">
        <w:t xml:space="preserve">. </w:t>
      </w:r>
      <w:r w:rsidR="47A886D2">
        <w:t>O</w:t>
      </w:r>
      <w:r>
        <w:t xml:space="preserve">f these, the majority (93%) had an intellectual disability and were aged 40 years and older (79%). </w:t>
      </w:r>
      <w:r w:rsidR="0BB5F4C0">
        <w:t>It is important to note</w:t>
      </w:r>
      <w:r w:rsidR="004722E6">
        <w:t>, though,</w:t>
      </w:r>
      <w:r w:rsidR="0BB5F4C0">
        <w:t xml:space="preserve"> that </w:t>
      </w:r>
      <w:r w:rsidR="194856BA">
        <w:t>NASS does not capture data about people with intellectual disabilit</w:t>
      </w:r>
      <w:r w:rsidR="00C85736">
        <w:t>ies</w:t>
      </w:r>
      <w:r w:rsidR="194856BA">
        <w:t xml:space="preserve"> who are not already in r</w:t>
      </w:r>
      <w:r w:rsidR="78169730">
        <w:t>eceipt of services but who may be in need of such, particularly as they and their family members age.</w:t>
      </w:r>
    </w:p>
    <w:p w14:paraId="3BC586FC" w14:textId="3560493F" w:rsidR="001466E9" w:rsidRDefault="001466E9" w:rsidP="11C55A92">
      <w:r>
        <w:t xml:space="preserve">The data indicate that a high level of unmet need for disability services continues to exist in Ireland and that this level of unmet need will continue to grow as the disability population ages </w:t>
      </w:r>
      <w:r>
        <w:fldChar w:fldCharType="begin"/>
      </w:r>
      <w:r>
        <w:instrText xml:space="preserve"> ADDIN EN.CITE &lt;EndNote&gt;&lt;Cite&gt;&lt;Author&gt;Department of Health&lt;/Author&gt;&lt;Year&gt;2021&lt;/Year&gt;&lt;RecNum&gt;646&lt;/RecNum&gt;&lt;DisplayText&gt;(Department of Health, 2021a)&lt;/DisplayText&gt;&lt;record&gt;&lt;rec-number&gt;646&lt;/rec-number&gt;&lt;foreign-keys&gt;&lt;key app="EN" db-id="xtwfdzde5ttr0zevxrh5sf0c2wfzw5zf2vra" timestamp="1656687744" guid="53f05810-e44d-4a8a-92c5-482827b73d80"&gt;646&lt;/key&gt;&lt;/foreign-keys&gt;&lt;ref-type name="Report"&gt;27&lt;/ref-type&gt;&lt;contributors&gt;&lt;authors&gt;&lt;author&gt;Department of Health,&lt;/author&gt;&lt;/authors&gt;&lt;/contributors&gt;&lt;titles&gt;&lt;title&gt;Disability Capacity Review to 2032 - A Review of Social Care Demand and Capacity Requirements to 2032&lt;/title&gt;&lt;/titles&gt;&lt;dates&gt;&lt;year&gt;2021&lt;/year&gt;&lt;pub-dates&gt;&lt;date&gt;July&lt;/date&gt;&lt;/pub-dates&gt;&lt;/dates&gt;&lt;pub-location&gt;Dublin&lt;/pub-location&gt;&lt;publisher&gt;Department of Health&lt;/publisher&gt;&lt;urls&gt;&lt;/urls&gt;&lt;/record&gt;&lt;/Cite&gt;&lt;/EndNote&gt;</w:instrText>
      </w:r>
      <w:r>
        <w:fldChar w:fldCharType="separate"/>
      </w:r>
      <w:r w:rsidR="003F6D21" w:rsidRPr="11C55A92">
        <w:rPr>
          <w:noProof/>
        </w:rPr>
        <w:t>(Department of Health, 2021a)</w:t>
      </w:r>
      <w:r>
        <w:fldChar w:fldCharType="end"/>
      </w:r>
      <w:r>
        <w:t xml:space="preserve">. For example, the Review of Disability and Social Care Demand and Capacity Requirements by the Department of Health in Ireland </w:t>
      </w:r>
      <w:r>
        <w:fldChar w:fldCharType="begin"/>
      </w:r>
      <w:r>
        <w:instrText xml:space="preserve"> ADDIN EN.CITE &lt;EndNote&gt;&lt;Cite ExcludeAuth="1"&gt;&lt;Author&gt;Department of Health&lt;/Author&gt;&lt;Year&gt;2021&lt;/Year&gt;&lt;RecNum&gt;646&lt;/RecNum&gt;&lt;DisplayText&gt;(2021a)&lt;/DisplayText&gt;&lt;record&gt;&lt;rec-number&gt;646&lt;/rec-number&gt;&lt;foreign-keys&gt;&lt;key app="EN" db-id="xtwfdzde5ttr0zevxrh5sf0c2wfzw5zf2vra" timestamp="1656687744" guid="53f05810-e44d-4a8a-92c5-482827b73d80"&gt;646&lt;/key&gt;&lt;/foreign-keys&gt;&lt;ref-type name="Report"&gt;27&lt;/ref-type&gt;&lt;contributors&gt;&lt;authors&gt;&lt;author&gt;Department of Health,&lt;/author&gt;&lt;/authors&gt;&lt;/contributors&gt;&lt;titles&gt;&lt;title&gt;Disability Capacity Review to 2032 - A Review of Social Care Demand and Capacity Requirements to 2032&lt;/title&gt;&lt;/titles&gt;&lt;dates&gt;&lt;year&gt;2021&lt;/year&gt;&lt;pub-dates&gt;&lt;date&gt;July&lt;/date&gt;&lt;/pub-dates&gt;&lt;/dates&gt;&lt;pub-location&gt;Dublin&lt;/pub-location&gt;&lt;publisher&gt;Department of Health&lt;/publisher&gt;&lt;urls&gt;&lt;/urls&gt;&lt;/record&gt;&lt;/Cite&gt;&lt;/EndNote&gt;</w:instrText>
      </w:r>
      <w:r>
        <w:fldChar w:fldCharType="separate"/>
      </w:r>
      <w:r w:rsidRPr="11C55A92">
        <w:rPr>
          <w:noProof/>
        </w:rPr>
        <w:t>(2021a)</w:t>
      </w:r>
      <w:r>
        <w:fldChar w:fldCharType="end"/>
      </w:r>
      <w:r>
        <w:t xml:space="preserve">, reported that the number of adults </w:t>
      </w:r>
      <w:r w:rsidR="007B4A0C">
        <w:t>with intellectual disabilities</w:t>
      </w:r>
      <w:r>
        <w:t xml:space="preserve"> needing access to specialist disability supports is projected to increase by a sixth by 2032, with the greatest need predicted for those aged 55 years and over. </w:t>
      </w:r>
      <w:r w:rsidR="1455975B">
        <w:t xml:space="preserve">A public consultation with almost 800 people including people with intellectual disabilities was undertaken to inform the development of a Disability Action Plan (2023 – 2025) </w:t>
      </w:r>
      <w:r w:rsidR="40C7ED46">
        <w:t>(</w:t>
      </w:r>
      <w:r>
        <w:fldChar w:fldCharType="begin"/>
      </w:r>
      <w:r>
        <w:instrText xml:space="preserve"> ADDIN EN.CITE &lt;EndNote&gt;&lt;Cite&gt;&lt;Author&gt;Department of Health&lt;/Author&gt;&lt;Year&gt;2022&lt;/Year&gt;&lt;RecNum&gt;706&lt;/RecNum&gt;&lt;DisplayText&gt;(Department of Health, 2022)&lt;/DisplayText&gt;&lt;record&gt;&lt;rec-number&gt;706&lt;/rec-number&gt;&lt;foreign-keys&gt;&lt;key app="EN" db-id="xtwfdzde5ttr0zevxrh5sf0c2wfzw5zf2vra" timestamp="1664890819" guid="648ae13a-5bea-48aa-9805-8f28ef6d6035"&gt;706&lt;/key&gt;&lt;/foreign-keys&gt;&lt;ref-type name="Report"&gt;27&lt;/ref-type&gt;&lt;contributors&gt;&lt;authors&gt;&lt;author&gt;Department of Health, &lt;/author&gt;&lt;/authors&gt;&lt;/contributors&gt;&lt;titles&gt;&lt;title&gt;Disability Action Plan 2022 - 2025 Report on the Public Consultation&lt;/title&gt;&lt;/titles&gt;&lt;dates&gt;&lt;year&gt;2022&lt;/year&gt;&lt;/dates&gt;&lt;pub-location&gt;Dublin&lt;/pub-location&gt;&lt;publisher&gt;Department of Health&lt;/publisher&gt;&lt;urls&gt;&lt;/urls&gt;&lt;/record&gt;&lt;/Cite&gt;&lt;/EndNote&gt;</w:instrText>
      </w:r>
      <w:r>
        <w:fldChar w:fldCharType="separate"/>
      </w:r>
      <w:r w:rsidR="00573F7E">
        <w:rPr>
          <w:noProof/>
        </w:rPr>
        <w:t>(</w:t>
      </w:r>
      <w:r w:rsidR="40C7ED46" w:rsidRPr="11C55A92">
        <w:rPr>
          <w:noProof/>
        </w:rPr>
        <w:t>Department of Health, 2022)</w:t>
      </w:r>
      <w:r>
        <w:fldChar w:fldCharType="end"/>
      </w:r>
      <w:r w:rsidR="008E1B1D">
        <w:t>.</w:t>
      </w:r>
      <w:r>
        <w:fldChar w:fldCharType="begin"/>
      </w:r>
      <w:r>
        <w:instrText xml:space="preserve"> ADDIN EN.CITE &lt;EndNote&gt;&lt;Cite&gt;&lt;Author&gt;Department of Health&lt;/Author&gt;&lt;Year&gt;2022&lt;/Year&gt;&lt;RecNum&gt;706&lt;/RecNum&gt;&lt;DisplayText&gt;(Department of Health, 2022)&lt;/DisplayText&gt;&lt;record&gt;&lt;rec-number&gt;706&lt;/rec-number&gt;&lt;foreign-keys&gt;&lt;key app="EN" db-id="xtwfdzde5ttr0zevxrh5sf0c2wfzw5zf2vra" timestamp="1664890819" guid="648ae13a-5bea-48aa-9805-8f28ef6d6035"&gt;706&lt;/key&gt;&lt;/foreign-keys&gt;&lt;ref-type name="Report"&gt;27&lt;/ref-type&gt;&lt;contributors&gt;&lt;authors&gt;&lt;author&gt;Department of Health, &lt;/author&gt;&lt;/authors&gt;&lt;/contributors&gt;&lt;titles&gt;&lt;title&gt;Disability Action Plan 2022 - 2025 Report on the Public Consultation&lt;/title&gt;&lt;/titles&gt;&lt;dates&gt;&lt;year&gt;2022&lt;/year&gt;&lt;/dates&gt;&lt;pub-location&gt;Dublin&lt;/pub-location&gt;&lt;publisher&gt;Department of Health&lt;/publisher&gt;&lt;urls&gt;&lt;/urls&gt;&lt;/record&gt;&lt;/Cite&gt;&lt;/EndNote&gt;</w:instrText>
      </w:r>
      <w:r>
        <w:fldChar w:fldCharType="separate"/>
      </w:r>
      <w:r w:rsidR="00573F7E">
        <w:rPr>
          <w:noProof/>
        </w:rPr>
        <w:t>(Department of Health, 2022)</w:t>
      </w:r>
      <w:r>
        <w:fldChar w:fldCharType="end"/>
      </w:r>
      <w:r>
        <w:t xml:space="preserve"> </w:t>
      </w:r>
      <w:r w:rsidR="38282309">
        <w:t>P</w:t>
      </w:r>
      <w:r>
        <w:t xml:space="preserve">articipants with a disability prioritised funding for multidisciplinary therapy services for adults, early intervention, personal assistance services, day services, and respite. People </w:t>
      </w:r>
      <w:r w:rsidR="007B4A0C">
        <w:t>with intellectual disabilities</w:t>
      </w:r>
      <w:r>
        <w:t xml:space="preserve"> who attended face-to-face consultations emphasised flexible support for living at home, involvement in the community, jobs and social networks. On the other hand, carers of adults with disabilities prioritised funding for respite services and short breaks, day services, community supports, home help and supported housing/residential care. Submissions from disability organisations in Ireland argued that current service models were outdated and overly focused on service providers and that a radical overhaul was needed, with a greater focus on person-centred and responsive supports. They cautioned against increasing the capacity of services before transforming the quality and effectiveness of these services. They also argued that the funding model needed to be overhauled to achieve service transformation and many organisations saw personalised budgets/individual funding as key to reform, and necessary to move away from the provider-led model that currently exists. </w:t>
      </w:r>
      <w:bookmarkStart w:id="110" w:name="_Hlk100585435"/>
    </w:p>
    <w:p w14:paraId="23D833A3" w14:textId="77777777" w:rsidR="001466E9" w:rsidRPr="00906B8B" w:rsidRDefault="001466E9" w:rsidP="001466E9">
      <w:pPr>
        <w:pStyle w:val="Heading3"/>
        <w:rPr>
          <w:rFonts w:ascii="Calibri Light" w:eastAsia="Yu Gothic Light" w:hAnsi="Calibri Light"/>
          <w:color w:val="auto"/>
        </w:rPr>
      </w:pPr>
      <w:bookmarkStart w:id="111" w:name="_Toc116045695"/>
      <w:bookmarkStart w:id="112" w:name="_Toc118558266"/>
      <w:r w:rsidRPr="00906B8B">
        <w:rPr>
          <w:color w:val="auto"/>
        </w:rPr>
        <w:t>Barriers to accessing mainstream health services</w:t>
      </w:r>
      <w:bookmarkEnd w:id="111"/>
      <w:bookmarkEnd w:id="112"/>
      <w:r w:rsidRPr="00906B8B">
        <w:rPr>
          <w:color w:val="auto"/>
        </w:rPr>
        <w:t xml:space="preserve"> </w:t>
      </w:r>
    </w:p>
    <w:p w14:paraId="3841AFA2" w14:textId="597B10A0" w:rsidR="001466E9" w:rsidRDefault="001466E9" w:rsidP="001466E9">
      <w:r>
        <w:t xml:space="preserve">It is widely recognised that the prevalence of chronic health conditions in people </w:t>
      </w:r>
      <w:r w:rsidR="007B4A0C">
        <w:t>with intellectual disabilities</w:t>
      </w:r>
      <w:r>
        <w:t xml:space="preserve"> is higher than in the general population and that their healthcare needs are not being adequately met by general healthcare services </w:t>
      </w:r>
      <w:r>
        <w:fldChar w:fldCharType="begin">
          <w:fldData xml:space="preserve">PEVuZE5vdGU+PENpdGU+PEF1dGhvcj5CdXJrZTwvQXV0aG9yPjxZZWFyPjIwMTk8L1llYXI+PFJl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</w:fldData>
        </w:fldChar>
      </w:r>
      <w:r w:rsidR="00B26CBF">
        <w:instrText xml:space="preserve"> ADDIN EN.CITE </w:instrText>
      </w:r>
      <w:r w:rsidR="00B26CBF">
        <w:fldChar w:fldCharType="begin">
          <w:fldData xml:space="preserve">PEVuZE5vdGU+PENpdGU+PEF1dGhvcj5CdXJrZTwvQXV0aG9yPjxZZWFyPjIwMTk8L1llYXI+PFJl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</w:fldData>
        </w:fldChar>
      </w:r>
      <w:r w:rsidR="00B26CBF">
        <w:instrText xml:space="preserve"> ADDIN EN.CITE.DATA </w:instrText>
      </w:r>
      <w:r w:rsidR="00B26CBF">
        <w:fldChar w:fldCharType="end"/>
      </w:r>
      <w:r>
        <w:fldChar w:fldCharType="separate"/>
      </w:r>
      <w:r w:rsidR="00B26CBF">
        <w:rPr>
          <w:noProof/>
        </w:rPr>
        <w:t>(García-Domínguez et al., 2020; Burke et al., 2019; McCarron et al., 2018b; McCallion et al., 2013b; Haveman et al., 2011)</w:t>
      </w:r>
      <w:r>
        <w:fldChar w:fldCharType="end"/>
      </w:r>
      <w:r>
        <w:t xml:space="preserve">. In the report, </w:t>
      </w:r>
      <w:r w:rsidRPr="0CCA2DDB">
        <w:rPr>
          <w:i/>
          <w:iCs/>
        </w:rPr>
        <w:t xml:space="preserve">“Shaping the Future of Intellectual Disability Nursing in Ireland” </w:t>
      </w:r>
      <w:r w:rsidRPr="003B3777">
        <w:fldChar w:fldCharType="begin"/>
      </w:r>
      <w:r w:rsidR="006A378C">
        <w:instrText xml:space="preserve"> ADDIN EN.CITE &lt;EndNote&gt;&lt;Cite&gt;&lt;Author&gt;McCarron&lt;/Author&gt;&lt;Year&gt;2018&lt;/Year&gt;&lt;RecNum&gt;490&lt;/RecNum&gt;&lt;DisplayText&gt;(McCarron et al., 2018b)&lt;/DisplayText&gt;&lt;record&gt;&lt;rec-number&gt;490&lt;/rec-number&gt;&lt;foreign-keys&gt;&lt;key app="EN" db-id="xtwfdzde5ttr0zevxrh5sf0c2wfzw5zf2vra" timestamp="1648035385" guid="47072b47-6233-437d-8023-5ef093dd12ba"&gt;490&lt;/key&gt;&lt;/foreign-keys&gt;&lt;ref-type name="Report"&gt;27&lt;/ref-type&gt;&lt;contributors&gt;&lt;authors&gt;&lt;author&gt;McCarron, M&lt;/author&gt;&lt;author&gt;Sheerin, F&lt;/author&gt;&lt;author&gt;Roche, L&lt;/author&gt;&lt;author&gt;Ryan, AM&lt;/author&gt;&lt;author&gt;Griffiths, C&lt;/author&gt;&lt;author&gt;Keenan, P&lt;/author&gt;&lt;author&gt;Doody, O&lt;/author&gt;&lt;author&gt;D&amp;apos;Eath, M&lt;/author&gt;&lt;author&gt;Burke, E&lt;/author&gt;&lt;author&gt;McCallion, P&lt;/author&gt;&lt;/authors&gt;&lt;/contributors&gt;&lt;titles&gt;&lt;title&gt;Shaping the future of intellectual disability nursing in Ireland: Supporting people with an intellectual disability to live ordinary lives in ordinary places&lt;/title&gt;&lt;/titles&gt;&lt;pages&gt;5&lt;/pages&gt;&lt;dates&gt;&lt;year&gt;2018&lt;/year&gt;&lt;/dates&gt;&lt;pub-location&gt;Ireland&lt;/pub-location&gt;&lt;publisher&gt;Health Services Executive&lt;/publisher&gt;&lt;urls&gt;&lt;/urls&gt;&lt;/record&gt;&lt;/Cite&gt;&lt;/EndNote&gt;</w:instrText>
      </w:r>
      <w:r w:rsidRPr="003B3777">
        <w:fldChar w:fldCharType="separate"/>
      </w:r>
      <w:r w:rsidR="00ED391B">
        <w:rPr>
          <w:noProof/>
        </w:rPr>
        <w:t>(McCarron et al., 2018b)</w:t>
      </w:r>
      <w:r w:rsidRPr="003B3777">
        <w:fldChar w:fldCharType="end"/>
      </w:r>
      <w:r w:rsidRPr="0CCA2DDB">
        <w:rPr>
          <w:i/>
          <w:iCs/>
        </w:rPr>
        <w:t>,</w:t>
      </w:r>
      <w:r>
        <w:t xml:space="preserve"> participants in focus groups, including family members and people </w:t>
      </w:r>
      <w:r w:rsidR="007B4A0C">
        <w:t>with intellectual disabilities</w:t>
      </w:r>
      <w:r>
        <w:t xml:space="preserve">, outlined key barriers to healthcare, including communication difficulties, difficulties in accessing healthcare, and a reliance on others to support them to access care </w:t>
      </w:r>
      <w:r>
        <w:fldChar w:fldCharType="begin"/>
      </w:r>
      <w:r w:rsidR="006A378C">
        <w:instrText xml:space="preserve"> ADDIN EN.CITE &lt;EndNote&gt;&lt;Cite&gt;&lt;Author&gt;McCarron&lt;/Author&gt;&lt;Year&gt;2018&lt;/Year&gt;&lt;RecNum&gt;490&lt;/RecNum&gt;&lt;DisplayText&gt;(McCarron et al., 2018b)&lt;/DisplayText&gt;&lt;record&gt;&lt;rec-number&gt;490&lt;/rec-number&gt;&lt;foreign-keys&gt;&lt;key app="EN" db-id="xtwfdzde5ttr0zevxrh5sf0c2wfzw5zf2vra" timestamp="1648035385" guid="47072b47-6233-437d-8023-5ef093dd12ba"&gt;490&lt;/key&gt;&lt;/foreign-keys&gt;&lt;ref-type name="Report"&gt;27&lt;/ref-type&gt;&lt;contributors&gt;&lt;authors&gt;&lt;author&gt;McCarron, M&lt;/author&gt;&lt;author&gt;Sheerin, F&lt;/author&gt;&lt;author&gt;Roche, L&lt;/author&gt;&lt;author&gt;Ryan, AM&lt;/author&gt;&lt;author&gt;Griffiths, C&lt;/author&gt;&lt;author&gt;Keenan, P&lt;/author&gt;&lt;author&gt;Doody, O&lt;/author&gt;&lt;author&gt;D&amp;apos;Eath, M&lt;/author&gt;&lt;author&gt;Burke, E&lt;/author&gt;&lt;author&gt;McCallion, P&lt;/author&gt;&lt;/authors&gt;&lt;/contributors&gt;&lt;titles&gt;&lt;title&gt;Shaping the future of intellectual disability nursing in Ireland: Supporting people with an intellectual disability to live ordinary lives in ordinary places&lt;/title&gt;&lt;/titles&gt;&lt;pages&gt;5&lt;/pages&gt;&lt;dates&gt;&lt;year&gt;2018&lt;/year&gt;&lt;/dates&gt;&lt;pub-location&gt;Ireland&lt;/pub-location&gt;&lt;publisher&gt;Health Services Executive&lt;/publisher&gt;&lt;urls&gt;&lt;/urls&gt;&lt;/record&gt;&lt;/Cite&gt;&lt;/EndNote&gt;</w:instrText>
      </w:r>
      <w:r>
        <w:fldChar w:fldCharType="separate"/>
      </w:r>
      <w:r w:rsidR="00ED391B">
        <w:rPr>
          <w:noProof/>
        </w:rPr>
        <w:t>(McCarron et al., 2018b)</w:t>
      </w:r>
      <w:r>
        <w:fldChar w:fldCharType="end"/>
      </w:r>
      <w:r>
        <w:t xml:space="preserve">. Parents described generic adult health services as being unsuitable for people </w:t>
      </w:r>
      <w:r w:rsidR="007B4A0C">
        <w:t>with intellectual disabilities</w:t>
      </w:r>
      <w:r>
        <w:t xml:space="preserve">, an issue that was underpinned by a lack of coordinated care and described generic healthcare professionals as lacking in communication skills. This issue was echoed by participants </w:t>
      </w:r>
      <w:r w:rsidR="007B4A0C">
        <w:t>with intellectual disabilities</w:t>
      </w:r>
      <w:r>
        <w:t xml:space="preserve"> who described health professionals’ lack of communication skills as extremely distressing. Communication issues have also been identified by primary healthcare teams as a barrier to care for older people with intellectual disabilities in other studies </w:t>
      </w:r>
      <w:r>
        <w:fldChar w:fldCharType="begin"/>
      </w:r>
      <w:r w:rsidR="00FF5F49">
        <w:instrText xml:space="preserve"> ADDIN EN.CITE &lt;EndNote&gt;&lt;Cite&gt;&lt;Author&gt;Powrie&lt;/Author&gt;&lt;Year&gt;2003&lt;/Year&gt;&lt;RecNum&gt;536&lt;/RecNum&gt;&lt;DisplayText&gt;(Ziviani et al., 2004; Powrie, 2003)&lt;/DisplayText&gt;&lt;record&gt;&lt;rec-number&gt;536&lt;/rec-number&gt;&lt;foreign-keys&gt;&lt;key app="EN" db-id="xtwfdzde5ttr0zevxrh5sf0c2wfzw5zf2vra" timestamp="1649333796" guid="c0f23c32-47ed-46eb-b52a-c72c02720af1"&gt;536&lt;/key&gt;&lt;/foreign-keys&gt;&lt;ref-type name="Journal Article"&gt;17&lt;/ref-type&gt;&lt;contributors&gt;&lt;authors&gt;&lt;author&gt;Powrie, Elaine&lt;/author&gt;&lt;/authors&gt;&lt;/contributors&gt;&lt;titles&gt;&lt;title&gt;Primary health care provision for adults with a learning disability&lt;/title&gt;&lt;secondary-title&gt;Journal of advanced nursing&lt;/secondary-title&gt;&lt;/titles&gt;&lt;periodical&gt;&lt;full-title&gt;Journal of advanced nursing&lt;/full-title&gt;&lt;/periodical&gt;&lt;pages&gt;413-423&lt;/pages&gt;&lt;volume&gt;42&lt;/volume&gt;&lt;number&gt;4&lt;/number&gt;&lt;dates&gt;&lt;year&gt;2003&lt;/year&gt;&lt;/dates&gt;&lt;isbn&gt;0309-2402&lt;/isbn&gt;&lt;urls&gt;&lt;/urls&gt;&lt;/record&gt;&lt;/Cite&gt;&lt;Cite&gt;&lt;Author&gt;Ziviani&lt;/Author&gt;&lt;Year&gt;2004&lt;/Year&gt;&lt;RecNum&gt;535&lt;/RecNum&gt;&lt;record&gt;&lt;rec-number&gt;535&lt;/rec-number&gt;&lt;foreign-keys&gt;&lt;key app="EN" db-id="xtwfdzde5ttr0zevxrh5sf0c2wfzw5zf2vra" timestamp="1649333660" guid="1a1cd72f-1974-463b-b8af-ba85d7fab89f"&gt;535&lt;/key&gt;&lt;/foreign-keys&gt;&lt;ref-type name="Journal Article"&gt;17&lt;/ref-type&gt;&lt;contributors&gt;&lt;authors&gt;&lt;author&gt;Ziviani, Jenny&lt;/author&gt;&lt;author&gt;Lennox, Nicholas&lt;/author&gt;&lt;author&gt;Allison, Heather&lt;/author&gt;&lt;author&gt;Lyons, Michael&lt;/author&gt;&lt;author&gt;Del Mar, Chris&lt;/author&gt;&lt;/authors&gt;&lt;/contributors&gt;&lt;titles&gt;&lt;title&gt;Meeting in the middle: improving communication in primary health care consultations with people with an intellectual disability&lt;/title&gt;&lt;secondary-title&gt;Journal of Intellectual and Developmental Disability&lt;/secondary-title&gt;&lt;/titles&gt;&lt;periodical&gt;&lt;full-title&gt;Journal of Intellectual and Developmental Disability&lt;/full-title&gt;&lt;/periodical&gt;&lt;pages&gt;211-225&lt;/pages&gt;&lt;volume&gt;29&lt;/volume&gt;&lt;number&gt;3&lt;/number&gt;&lt;dates&gt;&lt;year&gt;2004&lt;/year&gt;&lt;/dates&gt;&lt;isbn&gt;1366-8250&lt;/isbn&gt;&lt;urls&gt;&lt;/urls&gt;&lt;/record&gt;&lt;/Cite&gt;&lt;/EndNote&gt;</w:instrText>
      </w:r>
      <w:r>
        <w:fldChar w:fldCharType="separate"/>
      </w:r>
      <w:r w:rsidR="00FF5F49">
        <w:rPr>
          <w:noProof/>
        </w:rPr>
        <w:t>(Ziviani et al., 2004; Powrie, 2003)</w:t>
      </w:r>
      <w:r>
        <w:fldChar w:fldCharType="end"/>
      </w:r>
      <w:r>
        <w:t xml:space="preserve">. For example, Ziviani et al. </w:t>
      </w:r>
      <w:r>
        <w:fldChar w:fldCharType="begin"/>
      </w:r>
      <w:r>
        <w:instrText xml:space="preserve"> ADDIN EN.CITE &lt;EndNote&gt;&lt;Cite ExcludeAuth="1"&gt;&lt;Author&gt;Ziviani&lt;/Author&gt;&lt;Year&gt;2004&lt;/Year&gt;&lt;RecNum&gt;535&lt;/RecNum&gt;&lt;DisplayText&gt;(2004)&lt;/DisplayText&gt;&lt;record&gt;&lt;rec-number&gt;535&lt;/rec-number&gt;&lt;foreign-keys&gt;&lt;key app="EN" db-id="xtwfdzde5ttr0zevxrh5sf0c2wfzw5zf2vra" timestamp="1649333660" guid="1a1cd72f-1974-463b-b8af-ba85d7fab89f"&gt;535&lt;/key&gt;&lt;/foreign-keys&gt;&lt;ref-type name="Journal Article"&gt;17&lt;/ref-type&gt;&lt;contributors&gt;&lt;authors&gt;&lt;author&gt;Ziviani, Jenny&lt;/author&gt;&lt;author&gt;Lennox, Nicholas&lt;/author&gt;&lt;author&gt;Allison, Heather&lt;/author&gt;&lt;author&gt;Lyons, Michael&lt;/author&gt;&lt;author&gt;Del Mar, Chris&lt;/author&gt;&lt;/authors&gt;&lt;/contributors&gt;&lt;titles&gt;&lt;title&gt;Meeting in the middle: improving communication in primary health care consultations with people with an intellectual disability&lt;/title&gt;&lt;secondary-title&gt;Journal of Intellectual and Developmental Disability&lt;/secondary-title&gt;&lt;/titles&gt;&lt;periodical&gt;&lt;full-title&gt;Journal of Intellectual and Developmental Disability&lt;/full-title&gt;&lt;/periodical&gt;&lt;pages&gt;211-225&lt;/pages&gt;&lt;volume&gt;29&lt;/volume&gt;&lt;number&gt;3&lt;/number&gt;&lt;dates&gt;&lt;year&gt;2004&lt;/year&gt;&lt;/dates&gt;&lt;isbn&gt;1366-8250&lt;/isbn&gt;&lt;urls&gt;&lt;/urls&gt;&lt;/record&gt;&lt;/Cite&gt;&lt;/EndNote&gt;</w:instrText>
      </w:r>
      <w:r>
        <w:fldChar w:fldCharType="separate"/>
      </w:r>
      <w:r>
        <w:rPr>
          <w:noProof/>
        </w:rPr>
        <w:t>(2004)</w:t>
      </w:r>
      <w:r>
        <w:fldChar w:fldCharType="end"/>
      </w:r>
      <w:r>
        <w:t xml:space="preserve"> reported that GPs felt they were ill-equipped to meet the needs of people </w:t>
      </w:r>
      <w:r w:rsidR="007B4A0C">
        <w:t>with intellectual disabilities</w:t>
      </w:r>
      <w:r>
        <w:t xml:space="preserve"> whose needs would be best managed outside of primary care services due to communication issues and a lack of knowledge and skills on the part of the doctors. </w:t>
      </w:r>
    </w:p>
    <w:p w14:paraId="4AFBB544" w14:textId="15BE27D2" w:rsidR="001466E9" w:rsidRDefault="001466E9" w:rsidP="001466E9">
      <w:r>
        <w:t>Despite other</w:t>
      </w:r>
      <w:r w:rsidDel="004479DE">
        <w:t xml:space="preserve"> </w:t>
      </w:r>
      <w:r>
        <w:t xml:space="preserve">studies suggesting that mainstream healthcare professionals hold positive attitudes toward people </w:t>
      </w:r>
      <w:r w:rsidR="007B4A0C">
        <w:t>with intellectual disabilities</w:t>
      </w:r>
      <w:r>
        <w:t xml:space="preserve"> </w:t>
      </w:r>
      <w:r>
        <w:fldChar w:fldCharType="begin"/>
      </w:r>
      <w:r>
        <w:instrText xml:space="preserve"> ADDIN EN.CITE &lt;EndNote&gt;&lt;Cite&gt;&lt;Author&gt;Truesdale</w:instrText>
      </w:r>
      <w:r>
        <w:rPr>
          <w:rFonts w:ascii="Cambria Math" w:hAnsi="Cambria Math" w:cs="Cambria Math"/>
        </w:rPr>
        <w:instrText>‐</w:instrText>
      </w:r>
      <w:r>
        <w:instrText>Kennedy&lt;/Author&gt;&lt;Year&gt;2011&lt;/Year&gt;&lt;RecNum&gt;656&lt;/RecNum&gt;&lt;DisplayText&gt;(Truesdale</w:instrText>
      </w:r>
      <w:r>
        <w:rPr>
          <w:rFonts w:ascii="Cambria Math" w:hAnsi="Cambria Math" w:cs="Cambria Math"/>
        </w:rPr>
        <w:instrText>‐</w:instrText>
      </w:r>
      <w:r>
        <w:instrText>Kennedy et al., 2011)&lt;/DisplayText&gt;&lt;record&gt;&lt;rec-number&gt;656&lt;/rec-number&gt;&lt;foreign-keys&gt;&lt;key app="EN" db-id="xtwfdzde5ttr0zevxrh5sf0c2wfzw5zf2vra" timestamp="1657292831" guid="f3a89f8b-bebf-407a-a395-322b61242327"&gt;656&lt;/key&gt;&lt;/foreign-keys&gt;&lt;ref-type name="Journal Article"&gt;17&lt;/ref-type&gt;&lt;contributors&gt;&lt;authors&gt;&lt;author&gt;Truesdale</w:instrText>
      </w:r>
      <w:r>
        <w:rPr>
          <w:rFonts w:ascii="Cambria Math" w:hAnsi="Cambria Math" w:cs="Cambria Math"/>
        </w:rPr>
        <w:instrText>‐</w:instrText>
      </w:r>
      <w:r>
        <w:instrText>Kennedy, Maria&lt;/author&gt;&lt;author&gt;Taggart, Laurence&lt;/author&gt;&lt;author&gt;McIlfatrick, Sonja&lt;/author&gt;&lt;/authors&gt;&lt;/contributors&gt;&lt;titles&gt;&lt;title&gt;Breast cancer knowledge among women with intellectual disabilities and their experiences of receiving breast mammography&lt;/title&gt;&lt;secondary-title&gt;Journal of advanced nursing&lt;/secondary-title&gt;&lt;/titles&gt;&lt;periodical&gt;&lt;full-title&gt;Journal of advanced nursing&lt;/full-title&gt;&lt;/periodical&gt;&lt;pages&gt;1294-1304&lt;/pages&gt;&lt;volume&gt;67&lt;/volume&gt;&lt;number&gt;6&lt;/number&gt;&lt;dates&gt;&lt;year&gt;2011&lt;/year&gt;&lt;/dates&gt;&lt;isbn&gt;0309-2402&lt;/isbn&gt;&lt;urls&gt;&lt;/urls&gt;&lt;/record&gt;&lt;/Cite&gt;&lt;/EndNote&gt;</w:instrText>
      </w:r>
      <w:r>
        <w:fldChar w:fldCharType="separate"/>
      </w:r>
      <w:r>
        <w:rPr>
          <w:noProof/>
        </w:rPr>
        <w:t>(Truesdale</w:t>
      </w:r>
      <w:r>
        <w:rPr>
          <w:rFonts w:ascii="Cambria Math" w:hAnsi="Cambria Math" w:cs="Cambria Math"/>
          <w:noProof/>
        </w:rPr>
        <w:t>‐</w:t>
      </w:r>
      <w:r>
        <w:rPr>
          <w:noProof/>
        </w:rPr>
        <w:t>Kennedy et al., 2011)</w:t>
      </w:r>
      <w:r>
        <w:fldChar w:fldCharType="end"/>
      </w:r>
      <w:r>
        <w:t xml:space="preserve">, people </w:t>
      </w:r>
      <w:r w:rsidR="007B4A0C">
        <w:t>with intellectual disabilities</w:t>
      </w:r>
      <w:r>
        <w:t xml:space="preserve"> and their carers have reported experiencing stigmatising attitudes, discrimination, and negative comments in mainstream health services </w:t>
      </w:r>
      <w:r>
        <w:fldChar w:fldCharType="begin">
          <w:fldData xml:space="preserve">PEVuZE5vdGU+PENpdGU+PEF1dGhvcj5HaWJiczwvQXV0aG9yPjxZZWFyPjIwMDg8L1llYXI+PFJl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</w:fldData>
        </w:fldChar>
      </w:r>
      <w:r w:rsidR="00FF5F49">
        <w:instrText xml:space="preserve"> ADDIN EN.CITE </w:instrText>
      </w:r>
      <w:r w:rsidR="00FF5F49">
        <w:fldChar w:fldCharType="begin">
          <w:fldData xml:space="preserve">PEVuZE5vdGU+PENpdGU+PEF1dGhvcj5HaWJiczwvQXV0aG9yPjxZZWFyPjIwMDg8L1llYXI+PFJl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</w:fldData>
        </w:fldChar>
      </w:r>
      <w:r w:rsidR="00FF5F49">
        <w:instrText xml:space="preserve"> ADDIN EN.CITE.DATA </w:instrText>
      </w:r>
      <w:r w:rsidR="00FF5F49">
        <w:fldChar w:fldCharType="end"/>
      </w:r>
      <w:r>
        <w:fldChar w:fldCharType="separate"/>
      </w:r>
      <w:r w:rsidR="00FF5F49">
        <w:rPr>
          <w:noProof/>
        </w:rPr>
        <w:t>(Gibbs et al., 2008; Mason &amp; Scior, 2004)</w:t>
      </w:r>
      <w:r>
        <w:fldChar w:fldCharType="end"/>
      </w:r>
      <w:r>
        <w:t xml:space="preserve">. Stigmatising attitudes may influence healthcare professionals' ability to provide adequate care and act as a barrier for people </w:t>
      </w:r>
      <w:r w:rsidR="007B4A0C">
        <w:t>with intellectual disabilities</w:t>
      </w:r>
      <w:r>
        <w:t xml:space="preserve"> in accessing mainstream health services </w:t>
      </w:r>
      <w:r>
        <w:fldChar w:fldCharType="begin"/>
      </w:r>
      <w:r>
        <w:instrText xml:space="preserve"> ADDIN EN.CITE &lt;EndNote&gt;&lt;Cite&gt;&lt;Author&gt;Pelleboer-Gunnink&lt;/Author&gt;&lt;Year&gt;2017&lt;/Year&gt;&lt;RecNum&gt;538&lt;/RecNum&gt;&lt;DisplayText&gt;(Pelleboer-Gunnink et al., 2017)&lt;/DisplayText&gt;&lt;record&gt;&lt;rec-number&gt;538&lt;/rec-number&gt;&lt;foreign-keys&gt;&lt;key app="EN" db-id="xtwfdzde5ttr0zevxrh5sf0c2wfzw5zf2vra" timestamp="1649344180" guid="b2a4314e-5273-448e-a11f-b6f4890ce404"&gt;538&lt;/key&gt;&lt;/foreign-keys&gt;&lt;ref-type name="Journal Article"&gt;17&lt;/ref-type&gt;&lt;contributors&gt;&lt;authors&gt;&lt;author&gt;Pelleboer-Gunnink, H. A.&lt;/author&gt;&lt;author&gt;Van Oorsouw, W. M. W. J.&lt;/author&gt;&lt;author&gt;Van Weeghel, J.&lt;/author&gt;&lt;author&gt;Embregts, P. J. C. M.&lt;/author&gt;&lt;/authors&gt;&lt;/contributors&gt;&lt;titles&gt;&lt;title&gt;Mainstream health professionals&amp;apos; stigmatising attitudes towards people with intellectual disabilities: a systematic review&lt;/title&gt;&lt;secondary-title&gt;Journal of Intellectual Disability Research&lt;/secondary-title&gt;&lt;/titles&gt;&lt;periodical&gt;&lt;full-title&gt;Journal of Intellectual Disability Research&lt;/full-title&gt;&lt;/periodical&gt;&lt;pages&gt;411-434&lt;/pages&gt;&lt;volume&gt;61&lt;/volume&gt;&lt;number&gt;5&lt;/number&gt;&lt;dates&gt;&lt;year&gt;2017&lt;/year&gt;&lt;/dates&gt;&lt;publisher&gt;Wiley&lt;/publisher&gt;&lt;isbn&gt;0964-2633&lt;/isbn&gt;&lt;urls&gt;&lt;related-urls&gt;&lt;url&gt;https://dx.doi.org/10.1111/jir.12353&lt;/url&gt;&lt;/related-urls&gt;&lt;/urls&gt;&lt;electronic-resource-num&gt;10.1111/jir.12353&lt;/electronic-resource-num&gt;&lt;/record&gt;&lt;/Cite&gt;&lt;/EndNote&gt;</w:instrText>
      </w:r>
      <w:r>
        <w:fldChar w:fldCharType="separate"/>
      </w:r>
      <w:r>
        <w:rPr>
          <w:noProof/>
        </w:rPr>
        <w:t>(Pelleboer-Gunnink et al., 2017)</w:t>
      </w:r>
      <w:r>
        <w:fldChar w:fldCharType="end"/>
      </w:r>
      <w:r>
        <w:t xml:space="preserve">. A systematic review by </w:t>
      </w:r>
      <w:r>
        <w:fldChar w:fldCharType="begin"/>
      </w:r>
      <w:r>
        <w:instrText xml:space="preserve"> ADDIN EN.CITE &lt;EndNote&gt;&lt;Cite AuthorYear="1"&gt;&lt;Author&gt;Pelleboer-Gunnink&lt;/Author&gt;&lt;Year&gt;2017&lt;/Year&gt;&lt;RecNum&gt;538&lt;/RecNum&gt;&lt;DisplayText&gt;Pelleboer-Gunnink et al. (2017)&lt;/DisplayText&gt;&lt;record&gt;&lt;rec-number&gt;538&lt;/rec-number&gt;&lt;foreign-keys&gt;&lt;key app="EN" db-id="xtwfdzde5ttr0zevxrh5sf0c2wfzw5zf2vra" timestamp="1649344180" guid="b2a4314e-5273-448e-a11f-b6f4890ce404"&gt;538&lt;/key&gt;&lt;/foreign-keys&gt;&lt;ref-type name="Journal Article"&gt;17&lt;/ref-type&gt;&lt;contributors&gt;&lt;authors&gt;&lt;author&gt;Pelleboer-Gunnink, H. A.&lt;/author&gt;&lt;author&gt;Van Oorsouw, W. M. W. J.&lt;/author&gt;&lt;author&gt;Van Weeghel, J.&lt;/author&gt;&lt;author&gt;Embregts, P. J. C. M.&lt;/author&gt;&lt;/authors&gt;&lt;/contributors&gt;&lt;titles&gt;&lt;title&gt;Mainstream health professionals&amp;apos; stigmatising attitudes towards people with intellectual disabilities: a systematic review&lt;/title&gt;&lt;secondary-title&gt;Journal of Intellectual Disability Research&lt;/secondary-title&gt;&lt;/titles&gt;&lt;periodical&gt;&lt;full-title&gt;Journal of Intellectual Disability Research&lt;/full-title&gt;&lt;/periodical&gt;&lt;pages&gt;411-434&lt;/pages&gt;&lt;volume&gt;61&lt;/volume&gt;&lt;number&gt;5&lt;/number&gt;&lt;dates&gt;&lt;year&gt;2017&lt;/year&gt;&lt;/dates&gt;&lt;publisher&gt;Wiley&lt;/publisher&gt;&lt;isbn&gt;0964-2633&lt;/isbn&gt;&lt;urls&gt;&lt;related-urls&gt;&lt;url&gt;https://dx.doi.org/10.1111/jir.12353&lt;/url&gt;&lt;/related-urls&gt;&lt;/urls&gt;&lt;electronic-resource-num&gt;10.1111/jir.12353&lt;/electronic-resource-num&gt;&lt;/record&gt;&lt;/Cite&gt;&lt;/EndNote&gt;</w:instrText>
      </w:r>
      <w:r>
        <w:fldChar w:fldCharType="separate"/>
      </w:r>
      <w:r>
        <w:rPr>
          <w:noProof/>
        </w:rPr>
        <w:t>Pelleboer-Gunnink et al. (2017)</w:t>
      </w:r>
      <w:r>
        <w:fldChar w:fldCharType="end"/>
      </w:r>
      <w:r>
        <w:t>, found diagnostic overshadowing to be a key feature of studies, with the tendency of clinicians to overlook symptoms of mental health problems and attribute them to being part of ‘having an intellectual disability’.</w:t>
      </w:r>
    </w:p>
    <w:p w14:paraId="3565BC42" w14:textId="2F136897" w:rsidR="001466E9" w:rsidRPr="00826C3F" w:rsidRDefault="001466E9" w:rsidP="001466E9">
      <w:r w:rsidRPr="0002381D">
        <w:t xml:space="preserve">In the report by </w:t>
      </w:r>
      <w:r w:rsidRPr="0002381D">
        <w:fldChar w:fldCharType="begin"/>
      </w:r>
      <w:r w:rsidR="006A378C">
        <w:instrText xml:space="preserve"> ADDIN EN.CITE &lt;EndNote&gt;&lt;Cite AuthorYear="1"&gt;&lt;Author&gt;McCarron&lt;/Author&gt;&lt;Year&gt;2018&lt;/Year&gt;&lt;RecNum&gt;490&lt;/RecNum&gt;&lt;DisplayText&gt;McCarron et al. (2018b)&lt;/DisplayText&gt;&lt;record&gt;&lt;rec-number&gt;490&lt;/rec-number&gt;&lt;foreign-keys&gt;&lt;key app="EN" db-id="xtwfdzde5ttr0zevxrh5sf0c2wfzw5zf2vra" timestamp="1648035385" guid="47072b47-6233-437d-8023-5ef093dd12ba"&gt;490&lt;/key&gt;&lt;/foreign-keys&gt;&lt;ref-type name="Report"&gt;27&lt;/ref-type&gt;&lt;contributors&gt;&lt;authors&gt;&lt;author&gt;McCarron, M&lt;/author&gt;&lt;author&gt;Sheerin, F&lt;/author&gt;&lt;author&gt;Roche, L&lt;/author&gt;&lt;author&gt;Ryan, AM&lt;/author&gt;&lt;author&gt;Griffiths, C&lt;/author&gt;&lt;author&gt;Keenan, P&lt;/author&gt;&lt;author&gt;Doody, O&lt;/author&gt;&lt;author&gt;D&amp;apos;Eath, M&lt;/author&gt;&lt;author&gt;Burke, E&lt;/author&gt;&lt;author&gt;McCallion, P&lt;/author&gt;&lt;/authors&gt;&lt;/contributors&gt;&lt;titles&gt;&lt;title&gt;Shaping the future of intellectual disability nursing in Ireland: Supporting people with an intellectual disability to live ordinary lives in ordinary places&lt;/title&gt;&lt;/titles&gt;&lt;pages&gt;5&lt;/pages&gt;&lt;dates&gt;&lt;year&gt;2018&lt;/year&gt;&lt;/dates&gt;&lt;pub-location&gt;Ireland&lt;/pub-location&gt;&lt;publisher&gt;Health Services Executive&lt;/publisher&gt;&lt;urls&gt;&lt;/urls&gt;&lt;/record&gt;&lt;/Cite&gt;&lt;/EndNote&gt;</w:instrText>
      </w:r>
      <w:r w:rsidRPr="0002381D">
        <w:fldChar w:fldCharType="separate"/>
      </w:r>
      <w:r w:rsidR="00ED391B">
        <w:rPr>
          <w:noProof/>
        </w:rPr>
        <w:t>McCarron et al. (2018b)</w:t>
      </w:r>
      <w:r w:rsidRPr="0002381D">
        <w:fldChar w:fldCharType="end"/>
      </w:r>
      <w:r>
        <w:t xml:space="preserve"> </w:t>
      </w:r>
      <w:r w:rsidRPr="0002381D">
        <w:t>n</w:t>
      </w:r>
      <w:r>
        <w:t>urses in focus groups</w:t>
      </w:r>
      <w:r w:rsidRPr="0002381D">
        <w:t xml:space="preserve"> suggested that </w:t>
      </w:r>
      <w:r>
        <w:t>family and service user’s</w:t>
      </w:r>
      <w:r w:rsidRPr="0002381D">
        <w:t xml:space="preserve"> experience of healthcare provision would be enhanced by the assistance of a professional, who could help them navigate and access mainstream healthcare services, as well as social and community services. Literature highlighting the health inequalities experienced by people </w:t>
      </w:r>
      <w:r w:rsidR="007B4A0C">
        <w:t>with intellectual disabilities</w:t>
      </w:r>
      <w:r w:rsidRPr="0002381D">
        <w:t xml:space="preserve"> emphasises the need for nurses with specialist skills and knowledge to support and enable people </w:t>
      </w:r>
      <w:r w:rsidR="007B4A0C">
        <w:t>with intellectual disabilities</w:t>
      </w:r>
      <w:r w:rsidRPr="0002381D">
        <w:t xml:space="preserve"> to access mainstream healthcare services and receive high-quality health care </w:t>
      </w:r>
      <w:r w:rsidRPr="0002381D">
        <w:fldChar w:fldCharType="begin">
          <w:fldData xml:space="preserve">PEVuZE5vdGU+PENpdGU+PEF1dGhvcj5Eb29keTwvQXV0aG9yPjxZZWFyPjIwMjI8L1llYXI+PFJl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</w:fldData>
        </w:fldChar>
      </w:r>
      <w:r w:rsidR="00B26CBF">
        <w:instrText xml:space="preserve"> ADDIN EN.CITE </w:instrText>
      </w:r>
      <w:r w:rsidR="00B26CBF">
        <w:fldChar w:fldCharType="begin">
          <w:fldData xml:space="preserve">PEVuZE5vdGU+PENpdGU+PEF1dGhvcj5Eb29keTwvQXV0aG9yPjxZZWFyPjIwMjI8L1llYXI+PFJl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</w:fldData>
        </w:fldChar>
      </w:r>
      <w:r w:rsidR="00B26CBF">
        <w:instrText xml:space="preserve"> ADDIN EN.CITE.DATA </w:instrText>
      </w:r>
      <w:r w:rsidR="00B26CBF">
        <w:fldChar w:fldCharType="end"/>
      </w:r>
      <w:r w:rsidRPr="0002381D">
        <w:fldChar w:fldCharType="separate"/>
      </w:r>
      <w:r w:rsidR="00B26CBF">
        <w:rPr>
          <w:noProof/>
        </w:rPr>
        <w:t>(Doody et al., 2022; Reppermund et al., 2020; McCarron et al., 2018b; Trollor et al., 2017)</w:t>
      </w:r>
      <w:r w:rsidRPr="0002381D">
        <w:fldChar w:fldCharType="end"/>
      </w:r>
      <w:r w:rsidRPr="0002381D">
        <w:t xml:space="preserve">. In Ireland, the Registered Nurse in Intellectual Disability (RNID) may play an important coordinating or liaising role, forming a central link between services and could be key to supporting person-centred care and health outcomes for </w:t>
      </w:r>
      <w:r>
        <w:t xml:space="preserve">older people </w:t>
      </w:r>
      <w:r w:rsidR="007B4A0C">
        <w:t>with intellectual disabilities</w:t>
      </w:r>
      <w:r w:rsidRPr="0002381D">
        <w:t xml:space="preserve"> </w:t>
      </w:r>
      <w:r w:rsidRPr="0002381D">
        <w:fldChar w:fldCharType="begin">
          <w:fldData xml:space="preserve">PEVuZE5vdGU+PENpdGU+PEF1dGhvcj5Ccm93bjwvQXV0aG9yPjxZZWFyPjIwMTY8L1llYXI+PFJl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</w:fldData>
        </w:fldChar>
      </w:r>
      <w:r w:rsidR="00B26CBF">
        <w:instrText xml:space="preserve"> ADDIN EN.CITE </w:instrText>
      </w:r>
      <w:r w:rsidR="00B26CBF">
        <w:fldChar w:fldCharType="begin">
          <w:fldData xml:space="preserve">PEVuZE5vdGU+PENpdGU+PEF1dGhvcj5Ccm93bjwvQXV0aG9yPjxZZWFyPjIwMTY8L1llYXI+PFJl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</w:fldData>
        </w:fldChar>
      </w:r>
      <w:r w:rsidR="00B26CBF">
        <w:instrText xml:space="preserve"> ADDIN EN.CITE.DATA </w:instrText>
      </w:r>
      <w:r w:rsidR="00B26CBF">
        <w:fldChar w:fldCharType="end"/>
      </w:r>
      <w:r w:rsidRPr="0002381D">
        <w:fldChar w:fldCharType="separate"/>
      </w:r>
      <w:r w:rsidR="00B26CBF">
        <w:rPr>
          <w:noProof/>
        </w:rPr>
        <w:t>(McCarron et al., 2018b; Brown et al., 2016)</w:t>
      </w:r>
      <w:r w:rsidRPr="0002381D">
        <w:fldChar w:fldCharType="end"/>
      </w:r>
      <w:r w:rsidRPr="0002381D">
        <w:t xml:space="preserve">. In the UK, such liaison nurses have been shown to improve the care that individuals receive, by preparing patients and staff for hospital admissions or outpatient visits, educating and supporting staff to communicate effectively through role-modelling effective communication and care, advising on questions of capacity to consent to treatment, and linking service users and providers to other specialist intellectual disability services </w:t>
      </w:r>
      <w:r w:rsidRPr="0002381D">
        <w:fldChar w:fldCharType="begin"/>
      </w:r>
      <w:r>
        <w:instrText xml:space="preserve"> ADDIN EN.CITE &lt;EndNote&gt;&lt;Cite&gt;&lt;Author&gt;Gibbs&lt;/Author&gt;&lt;Year&gt;2008&lt;/Year&gt;&lt;RecNum&gt;541&lt;/RecNum&gt;&lt;DisplayText&gt;(Gibbs et al., 2008)&lt;/DisplayText&gt;&lt;record&gt;&lt;rec-number&gt;541&lt;/rec-number&gt;&lt;foreign-keys&gt;&lt;key app="EN" db-id="xtwfdzde5ttr0zevxrh5sf0c2wfzw5zf2vra" timestamp="1649346706" guid="6f0a4d3c-00aa-48a1-84ea-9645e6fcfd3b"&gt;541&lt;/key&gt;&lt;/foreign-keys&gt;&lt;ref-type name="Journal Article"&gt;17&lt;/ref-type&gt;&lt;contributors&gt;&lt;authors&gt;&lt;author&gt;Gibbs, S. M.&lt;/author&gt;&lt;author&gt;Brown, M. J.&lt;/author&gt;&lt;author&gt;Muir, W. J.&lt;/author&gt;&lt;/authors&gt;&lt;/contributors&gt;&lt;titles&gt;&lt;title&gt;The experiences of adults with intellectual disabilities and their carers in general hospitals: a focus group study&lt;/title&gt;&lt;secondary-title&gt;Journal of Intellectual Disability Research&lt;/secondary-title&gt;&lt;/titles&gt;&lt;periodical&gt;&lt;full-title&gt;Journal of Intellectual Disability Research&lt;/full-title&gt;&lt;/periodical&gt;&lt;pages&gt;1061-1077&lt;/pages&gt;&lt;volume&gt;52&lt;/volume&gt;&lt;number&gt;12&lt;/number&gt;&lt;dates&gt;&lt;year&gt;2008&lt;/year&gt;&lt;/dates&gt;&lt;publisher&gt;Wiley&lt;/publisher&gt;&lt;isbn&gt;0964-2633&lt;/isbn&gt;&lt;urls&gt;&lt;related-urls&gt;&lt;url&gt;https://dx.doi.org/10.1111/j.1365-2788.2008.01057.x&lt;/url&gt;&lt;/related-urls&gt;&lt;/urls&gt;&lt;electronic-resource-num&gt;10.1111/j.1365-2788.2008.01057.x&lt;/electronic-resource-num&gt;&lt;/record&gt;&lt;/Cite&gt;&lt;/EndNote&gt;</w:instrText>
      </w:r>
      <w:r w:rsidRPr="0002381D">
        <w:fldChar w:fldCharType="separate"/>
      </w:r>
      <w:r>
        <w:rPr>
          <w:noProof/>
        </w:rPr>
        <w:t>(Gibbs et al., 2008)</w:t>
      </w:r>
      <w:r w:rsidRPr="0002381D">
        <w:fldChar w:fldCharType="end"/>
      </w:r>
      <w:r w:rsidRPr="0002381D">
        <w:t xml:space="preserve">. </w:t>
      </w:r>
      <w:r>
        <w:t xml:space="preserve">However, support from RNIDs mainly exists for those living in residential centres, as the majority of RNID’s work in these settings, and support from community RNIDs is typically only provided to those who have moved from a residential centre to a community setting, and this structure fails to encapsulate those living at home with family </w:t>
      </w:r>
      <w:r w:rsidRPr="00B27C78">
        <w:fldChar w:fldCharType="begin"/>
      </w:r>
      <w:r w:rsidR="00FF5F49">
        <w:instrText xml:space="preserve"> ADDIN EN.CITE &lt;EndNote&gt;&lt;Cite&gt;&lt;Author&gt;Sheerin&lt;/Author&gt;&lt;Year&gt;2004&lt;/Year&gt;&lt;RecNum&gt;586&lt;/RecNum&gt;&lt;DisplayText&gt;(Doody et al., 2011; Sheerin, 2004)&lt;/DisplayText&gt;&lt;record&gt;&lt;rec-number&gt;586&lt;/rec-number&gt;&lt;foreign-keys&gt;&lt;key app="EN" db-id="xtwfdzde5ttr0zevxrh5sf0c2wfzw5zf2vra" timestamp="1650556772" guid="2a94a882-168a-4cc0-b6b3-15c3bddfd25e"&gt;586&lt;/key&gt;&lt;/foreign-keys&gt;&lt;ref-type name="Journal Article"&gt;17&lt;/ref-type&gt;&lt;contributors&gt;&lt;authors&gt;&lt;author&gt;Sheerin, Fintan&lt;/author&gt;&lt;/authors&gt;&lt;/contributors&gt;&lt;titles&gt;&lt;title&gt;Identifying the foci of interest to nurses in Irish intellectual disability services&lt;/title&gt;&lt;secondary-title&gt;Journal of Learning Disabilities&lt;/secondary-title&gt;&lt;/titles&gt;&lt;periodical&gt;&lt;full-title&gt;Journal of Learning Disabilities&lt;/full-title&gt;&lt;/periodical&gt;&lt;pages&gt;159-174&lt;/pages&gt;&lt;volume&gt;8&lt;/volume&gt;&lt;number&gt;2&lt;/number&gt;&lt;dates&gt;&lt;year&gt;2004&lt;/year&gt;&lt;/dates&gt;&lt;isbn&gt;1469-0047&lt;/isbn&gt;&lt;urls&gt;&lt;/urls&gt;&lt;/record&gt;&lt;/Cite&gt;&lt;Cite&gt;&lt;Author&gt;Doody&lt;/Author&gt;&lt;Year&gt;2011&lt;/Year&gt;&lt;RecNum&gt;511&lt;/RecNum&gt;&lt;record&gt;&lt;rec-number&gt;511&lt;/rec-number&gt;&lt;foreign-keys&gt;&lt;key app="EN" db-id="xtwfdzde5ttr0zevxrh5sf0c2wfzw5zf2vra" timestamp="1648653884" guid="b48124ca-506f-4e02-9963-a7075e7fa12c"&gt;511&lt;/key&gt;&lt;/foreign-keys&gt;&lt;ref-type name="Journal Article"&gt;17&lt;/ref-type&gt;&lt;contributors&gt;&lt;authors&gt;&lt;author&gt;Doody, Catriona M&lt;/author&gt;&lt;author&gt;Markey, Kathleen&lt;/author&gt;&lt;author&gt;Doody, Owen&lt;/author&gt;&lt;/authors&gt;&lt;/contributors&gt;&lt;titles&gt;&lt;title&gt;Future need of ageing people with an intellectual disability in the Republic of Ireland: lessons learned from the literature&lt;/title&gt;&lt;secondary-title&gt;British Journal of Learning Disabilities&lt;/secondary-title&gt;&lt;/titles&gt;&lt;periodical&gt;&lt;full-title&gt;British Journal of Learning Disabilities&lt;/full-title&gt;&lt;/periodical&gt;&lt;pages&gt;13-21&lt;/pages&gt;&lt;volume&gt;41&lt;/volume&gt;&lt;number&gt;1&lt;/number&gt;&lt;dates&gt;&lt;year&gt;2011&lt;/year&gt;&lt;/dates&gt;&lt;isbn&gt;1354-4187&lt;/isbn&gt;&lt;urls&gt;&lt;/urls&gt;&lt;/record&gt;&lt;/Cite&gt;&lt;/EndNote&gt;</w:instrText>
      </w:r>
      <w:r w:rsidRPr="00B27C78">
        <w:fldChar w:fldCharType="separate"/>
      </w:r>
      <w:r w:rsidR="00FF5F49">
        <w:rPr>
          <w:noProof/>
        </w:rPr>
        <w:t>(Doody et al., 2011; Sheerin, 2004)</w:t>
      </w:r>
      <w:r w:rsidRPr="00B27C78">
        <w:fldChar w:fldCharType="end"/>
      </w:r>
      <w:r>
        <w:t xml:space="preserve">. </w:t>
      </w:r>
      <w:r>
        <w:fldChar w:fldCharType="begin"/>
      </w:r>
      <w:r>
        <w:instrText xml:space="preserve"> ADDIN EN.CITE &lt;EndNote&gt;&lt;Cite AuthorYear="1"&gt;&lt;Author&gt;Doody&lt;/Author&gt;&lt;Year&gt;2011&lt;/Year&gt;&lt;RecNum&gt;511&lt;/RecNum&gt;&lt;DisplayText&gt;Doody et al. (2011)&lt;/DisplayText&gt;&lt;record&gt;&lt;rec-number&gt;511&lt;/rec-number&gt;&lt;foreign-keys&gt;&lt;key app="EN" db-id="xtwfdzde5ttr0zevxrh5sf0c2wfzw5zf2vra" timestamp="1648653884" guid="b48124ca-506f-4e02-9963-a7075e7fa12c"&gt;511&lt;/key&gt;&lt;/foreign-keys&gt;&lt;ref-type name="Journal Article"&gt;17&lt;/ref-type&gt;&lt;contributors&gt;&lt;authors&gt;&lt;author&gt;Doody, Catriona M&lt;/author&gt;&lt;author&gt;Markey, Kathleen&lt;/author&gt;&lt;author&gt;Doody, Owen&lt;/author&gt;&lt;/authors&gt;&lt;/contributors&gt;&lt;titles&gt;&lt;title&gt;Future need of ageing people with an intellectual disability in the Republic of Ireland: lessons learned from the literature&lt;/title&gt;&lt;secondary-title&gt;British Journal of Learning Disabilities&lt;/secondary-title&gt;&lt;/titles&gt;&lt;periodical&gt;&lt;full-title&gt;British Journal of Learning Disabilities&lt;/full-title&gt;&lt;/periodical&gt;&lt;pages&gt;13-21&lt;/pages&gt;&lt;volume&gt;41&lt;/volume&gt;&lt;number&gt;1&lt;/number&gt;&lt;dates&gt;&lt;year&gt;2011&lt;/year&gt;&lt;/dates&gt;&lt;isbn&gt;1354-4187&lt;/isbn&gt;&lt;urls&gt;&lt;/urls&gt;&lt;/record&gt;&lt;/Cite&gt;&lt;/EndNote&gt;</w:instrText>
      </w:r>
      <w:r>
        <w:fldChar w:fldCharType="separate"/>
      </w:r>
      <w:r>
        <w:rPr>
          <w:noProof/>
        </w:rPr>
        <w:t>Doody et al. (2011)</w:t>
      </w:r>
      <w:r>
        <w:fldChar w:fldCharType="end"/>
      </w:r>
      <w:r>
        <w:t xml:space="preserve"> suggest that a change in service provision and greater collaboration between RNIDs, primary care teams and families is needed to address this issue. </w:t>
      </w:r>
      <w:r w:rsidRPr="0002381D">
        <w:t xml:space="preserve">The authors also state that the focus should be on </w:t>
      </w:r>
      <w:r>
        <w:t>ageing</w:t>
      </w:r>
      <w:r w:rsidRPr="0002381D">
        <w:t xml:space="preserve"> and disability services coordinating their resources to achieve optimum outcomes for people </w:t>
      </w:r>
      <w:r w:rsidR="007B4A0C">
        <w:t>with intellectual disabilities</w:t>
      </w:r>
      <w:r w:rsidRPr="0002381D">
        <w:t>.</w:t>
      </w:r>
      <w:bookmarkEnd w:id="110"/>
    </w:p>
    <w:p w14:paraId="1AF3FF8E" w14:textId="77777777" w:rsidR="001466E9" w:rsidRPr="008E1B1D" w:rsidRDefault="001466E9" w:rsidP="001466E9">
      <w:pPr>
        <w:pStyle w:val="Heading3"/>
        <w:rPr>
          <w:color w:val="auto"/>
        </w:rPr>
      </w:pPr>
      <w:bookmarkStart w:id="113" w:name="_Toc116045696"/>
      <w:bookmarkStart w:id="114" w:name="_Toc118558267"/>
      <w:r w:rsidRPr="008E1B1D">
        <w:rPr>
          <w:color w:val="auto"/>
        </w:rPr>
        <w:t>Uncoordinated ageing and disability services</w:t>
      </w:r>
      <w:bookmarkEnd w:id="113"/>
      <w:bookmarkEnd w:id="114"/>
    </w:p>
    <w:p w14:paraId="1D9F9A51" w14:textId="7D002B93" w:rsidR="001466E9" w:rsidRDefault="001466E9" w:rsidP="001466E9">
      <w:r>
        <w:t xml:space="preserve">A key issue in relation to care for older people </w:t>
      </w:r>
      <w:r w:rsidR="007B4A0C">
        <w:t>with intellectual disabilities</w:t>
      </w:r>
      <w:r>
        <w:t xml:space="preserve"> is that the care pathway is very unclear, with service provision often fragmented and uncoordinated, and as a result, health and social care services may be unprepared to meet their complex and unique needs </w:t>
      </w:r>
      <w:r>
        <w:fldChar w:fldCharType="begin"/>
      </w:r>
      <w:r>
        <w:instrText xml:space="preserve"> ADDIN EN.CITE &lt;EndNote&gt;&lt;Cite&gt;&lt;Author&gt;Doody&lt;/Author&gt;&lt;Year&gt;2011&lt;/Year&gt;&lt;RecNum&gt;511&lt;/RecNum&gt;&lt;DisplayText&gt;(Doody et al., 2011)&lt;/DisplayText&gt;&lt;record&gt;&lt;rec-number&gt;511&lt;/rec-number&gt;&lt;foreign-keys&gt;&lt;key app="EN" db-id="xtwfdzde5ttr0zevxrh5sf0c2wfzw5zf2vra" timestamp="1648653884" guid="b48124ca-506f-4e02-9963-a7075e7fa12c"&gt;511&lt;/key&gt;&lt;/foreign-keys&gt;&lt;ref-type name="Journal Article"&gt;17&lt;/ref-type&gt;&lt;contributors&gt;&lt;authors&gt;&lt;author&gt;Doody, Catriona M&lt;/author&gt;&lt;author&gt;Markey, Kathleen&lt;/author&gt;&lt;author&gt;Doody, Owen&lt;/author&gt;&lt;/authors&gt;&lt;/contributors&gt;&lt;titles&gt;&lt;title&gt;Future need of ageing people with an intellectual disability in the Republic of Ireland: lessons learned from the literature&lt;/title&gt;&lt;secondary-title&gt;British Journal of Learning Disabilities&lt;/secondary-title&gt;&lt;/titles&gt;&lt;periodical&gt;&lt;full-title&gt;British Journal of Learning Disabilities&lt;/full-title&gt;&lt;/periodical&gt;&lt;pages&gt;13-21&lt;/pages&gt;&lt;volume&gt;41&lt;/volume&gt;&lt;number&gt;1&lt;/number&gt;&lt;dates&gt;&lt;year&gt;2011&lt;/year&gt;&lt;/dates&gt;&lt;isbn&gt;1354-4187&lt;/isbn&gt;&lt;urls&gt;&lt;/urls&gt;&lt;/record&gt;&lt;/Cite&gt;&lt;/EndNote&gt;</w:instrText>
      </w:r>
      <w:r>
        <w:fldChar w:fldCharType="separate"/>
      </w:r>
      <w:r>
        <w:rPr>
          <w:noProof/>
        </w:rPr>
        <w:t>(Doody et al., 2011)</w:t>
      </w:r>
      <w:r>
        <w:fldChar w:fldCharType="end"/>
      </w:r>
      <w:r>
        <w:t xml:space="preserve">. Historically, the provision of care in Ireland has been organised into separate categories including older people, people with physical disabilities and people with sensory disabilities, people with intellectual disabilities, and people with mental health difficulties </w:t>
      </w:r>
      <w:r>
        <w:fldChar w:fldCharType="begin"/>
      </w:r>
      <w:r w:rsidR="006A378C">
        <w:instrText xml:space="preserve"> ADDIN EN.CITE &lt;EndNote&gt;&lt;Cite&gt;&lt;Author&gt;NDA&lt;/Author&gt;&lt;Year&gt;2006&lt;/Year&gt;&lt;RecNum&gt;503&lt;/RecNum&gt;&lt;DisplayText&gt;(NDA, 2006)&lt;/DisplayText&gt;&lt;record&gt;&lt;rec-number&gt;503&lt;/rec-number&gt;&lt;foreign-keys&gt;&lt;key app="EN" db-id="xtwfdzde5ttr0zevxrh5sf0c2wfzw5zf2vra" timestamp="1648135232" guid="4bd20a04-f8a6-42f7-b837-a1b98d3a96ff"&gt;503&lt;/key&gt;&lt;/foreign-keys&gt;&lt;ref-type name="Report"&gt;27&lt;/ref-type&gt;&lt;contributors&gt;&lt;authors&gt;&lt;author&gt;NDA&lt;/author&gt;&lt;/authors&gt;&lt;/contributors&gt;&lt;titles&gt;&lt;title&gt;Ageing &amp;amp; Disability: A Discussion Paper&lt;/title&gt;&lt;/titles&gt;&lt;dates&gt;&lt;year&gt;2006&lt;/year&gt;&lt;/dates&gt;&lt;pub-location&gt;Dublin&lt;/pub-location&gt;&lt;publisher&gt;National Disability Authority&lt;/publisher&gt;&lt;urls&gt;&lt;related-urls&gt;&lt;url&gt;https://nda.ie/Publications/Health/Health-Publications/Ageing-Disability-A-Discussion-Paper1.html&lt;/url&gt;&lt;/related-urls&gt;&lt;/urls&gt;&lt;/record&gt;&lt;/Cite&gt;&lt;/EndNote&gt;</w:instrText>
      </w:r>
      <w:r>
        <w:fldChar w:fldCharType="separate"/>
      </w:r>
      <w:r>
        <w:rPr>
          <w:noProof/>
        </w:rPr>
        <w:t>(NDA, 2006)</w:t>
      </w:r>
      <w:r>
        <w:fldChar w:fldCharType="end"/>
      </w:r>
      <w:r>
        <w:t xml:space="preserve"> with the distinction between disability and ageing programmes defined by reference to chronological age (65 and over) </w:t>
      </w:r>
      <w:r>
        <w:fldChar w:fldCharType="begin"/>
      </w:r>
      <w:r>
        <w:instrText xml:space="preserve"> ADDIN EN.CITE &lt;EndNote&gt;&lt;Cite&gt;&lt;Author&gt;Leahy&lt;/Author&gt;&lt;Year&gt;2018&lt;/Year&gt;&lt;RecNum&gt;510&lt;/RecNum&gt;&lt;DisplayText&gt;(Leahy, 2018)&lt;/DisplayText&gt;&lt;record&gt;&lt;rec-number&gt;510&lt;/rec-number&gt;&lt;foreign-keys&gt;&lt;key app="EN" db-id="xtwfdzde5ttr0zevxrh5sf0c2wfzw5zf2vra" timestamp="1648580865" guid="fade67ad-fa10-4580-b9b6-e490d2176c2a"&gt;510&lt;/key&gt;&lt;/foreign-keys&gt;&lt;ref-type name="Journal Article"&gt;17&lt;/ref-type&gt;&lt;contributors&gt;&lt;authors&gt;&lt;author&gt;Leahy, Ann&lt;/author&gt;&lt;/authors&gt;&lt;/contributors&gt;&lt;titles&gt;&lt;title&gt;Too many ‘false dichotomies’? Investigating the division between ageing and disability in social care services in Ireland: A study with statutory and non-statutory organisations&lt;/title&gt;&lt;secondary-title&gt;Journal of Aging Studies&lt;/secondary-title&gt;&lt;/titles&gt;&lt;periodical&gt;&lt;full-title&gt;Journal of Aging Studies&lt;/full-title&gt;&lt;/periodical&gt;&lt;pages&gt;34-44&lt;/pages&gt;&lt;volume&gt;44&lt;/volume&gt;&lt;dates&gt;&lt;year&gt;2018&lt;/year&gt;&lt;/dates&gt;&lt;publisher&gt;Elsevier BV&lt;/publisher&gt;&lt;isbn&gt;0890-4065&lt;/isbn&gt;&lt;urls&gt;&lt;related-urls&gt;&lt;url&gt;https://dx.doi.org/10.1016/j.jaging.2017.09.005&lt;/url&gt;&lt;/related-urls&gt;&lt;/urls&gt;&lt;electronic-resource-num&gt;10.1016/j.jaging.2017.09.005&lt;/electronic-resource-num&gt;&lt;/record&gt;&lt;/Cite&gt;&lt;/EndNote&gt;</w:instrText>
      </w:r>
      <w:r>
        <w:fldChar w:fldCharType="separate"/>
      </w:r>
      <w:r>
        <w:rPr>
          <w:noProof/>
        </w:rPr>
        <w:t>(Leahy, 2018)</w:t>
      </w:r>
      <w:r>
        <w:fldChar w:fldCharType="end"/>
      </w:r>
      <w:r>
        <w:t xml:space="preserve">. There is little coordination between ageing and disability services, with separate funding mechanisms in place and the responsibility for each group falling on different ‘Care Group Managers’ </w:t>
      </w:r>
      <w:r>
        <w:fldChar w:fldCharType="begin"/>
      </w:r>
      <w:r w:rsidR="006A378C">
        <w:instrText xml:space="preserve"> ADDIN EN.CITE &lt;EndNote&gt;&lt;Cite&gt;&lt;Author&gt;NDA&lt;/Author&gt;&lt;Year&gt;2006&lt;/Year&gt;&lt;RecNum&gt;503&lt;/RecNum&gt;&lt;DisplayText&gt;(NDA, 2006)&lt;/DisplayText&gt;&lt;record&gt;&lt;rec-number&gt;503&lt;/rec-number&gt;&lt;foreign-keys&gt;&lt;key app="EN" db-id="xtwfdzde5ttr0zevxrh5sf0c2wfzw5zf2vra" timestamp="1648135232" guid="4bd20a04-f8a6-42f7-b837-a1b98d3a96ff"&gt;503&lt;/key&gt;&lt;/foreign-keys&gt;&lt;ref-type name="Report"&gt;27&lt;/ref-type&gt;&lt;contributors&gt;&lt;authors&gt;&lt;author&gt;NDA&lt;/author&gt;&lt;/authors&gt;&lt;/contributors&gt;&lt;titles&gt;&lt;title&gt;Ageing &amp;amp; Disability: A Discussion Paper&lt;/title&gt;&lt;/titles&gt;&lt;dates&gt;&lt;year&gt;2006&lt;/year&gt;&lt;/dates&gt;&lt;pub-location&gt;Dublin&lt;/pub-location&gt;&lt;publisher&gt;National Disability Authority&lt;/publisher&gt;&lt;urls&gt;&lt;related-urls&gt;&lt;url&gt;https://nda.ie/Publications/Health/Health-Publications/Ageing-Disability-A-Discussion-Paper1.html&lt;/url&gt;&lt;/related-urls&gt;&lt;/urls&gt;&lt;/record&gt;&lt;/Cite&gt;&lt;/EndNote&gt;</w:instrText>
      </w:r>
      <w:r>
        <w:fldChar w:fldCharType="separate"/>
      </w:r>
      <w:r>
        <w:rPr>
          <w:noProof/>
        </w:rPr>
        <w:t>(NDA, 2006)</w:t>
      </w:r>
      <w:r>
        <w:fldChar w:fldCharType="end"/>
      </w:r>
      <w:r>
        <w:t>.</w:t>
      </w:r>
    </w:p>
    <w:p w14:paraId="0EEFE3F4" w14:textId="53E8943C" w:rsidR="001466E9" w:rsidRDefault="001466E9" w:rsidP="001466E9">
      <w:r>
        <w:t xml:space="preserve">The division between population groups creates challenges for people who may be impacted by both ageing and disability </w:t>
      </w:r>
      <w:r>
        <w:fldChar w:fldCharType="begin"/>
      </w:r>
      <w:r w:rsidR="006A378C">
        <w:instrText xml:space="preserve"> ADDIN EN.CITE &lt;EndNote&gt;&lt;Cite&gt;&lt;Author&gt;NDA&lt;/Author&gt;&lt;Year&gt;2006&lt;/Year&gt;&lt;RecNum&gt;503&lt;/RecNum&gt;&lt;DisplayText&gt;(NDA, 2006)&lt;/DisplayText&gt;&lt;record&gt;&lt;rec-number&gt;503&lt;/rec-number&gt;&lt;foreign-keys&gt;&lt;key app="EN" db-id="xtwfdzde5ttr0zevxrh5sf0c2wfzw5zf2vra" timestamp="1648135232" guid="4bd20a04-f8a6-42f7-b837-a1b98d3a96ff"&gt;503&lt;/key&gt;&lt;/foreign-keys&gt;&lt;ref-type name="Report"&gt;27&lt;/ref-type&gt;&lt;contributors&gt;&lt;authors&gt;&lt;author&gt;NDA&lt;/author&gt;&lt;/authors&gt;&lt;/contributors&gt;&lt;titles&gt;&lt;title&gt;Ageing &amp;amp; Disability: A Discussion Paper&lt;/title&gt;&lt;/titles&gt;&lt;dates&gt;&lt;year&gt;2006&lt;/year&gt;&lt;/dates&gt;&lt;pub-location&gt;Dublin&lt;/pub-location&gt;&lt;publisher&gt;National Disability Authority&lt;/publisher&gt;&lt;urls&gt;&lt;related-urls&gt;&lt;url&gt;https://nda.ie/Publications/Health/Health-Publications/Ageing-Disability-A-Discussion-Paper1.html&lt;/url&gt;&lt;/related-urls&gt;&lt;/urls&gt;&lt;/record&gt;&lt;/Cite&gt;&lt;/EndNote&gt;</w:instrText>
      </w:r>
      <w:r>
        <w:fldChar w:fldCharType="separate"/>
      </w:r>
      <w:r>
        <w:rPr>
          <w:noProof/>
        </w:rPr>
        <w:t>(NDA, 2006)</w:t>
      </w:r>
      <w:r>
        <w:fldChar w:fldCharType="end"/>
      </w:r>
      <w:r>
        <w:t xml:space="preserve">. Older people who experience disability for the first time in later life after the age of 65 may only engage with older people’s services and may not have access to appropriate disability services. On the other hand, people with intellectual disabilities who have long-term contact with disability services may continue to receive the same services after the age of 65, or there could be a disruption to care if they are transferred to older people’s services (Leahy 2018). These mainstream services tend to be ill-equipped to support the specific needs of people </w:t>
      </w:r>
      <w:r w:rsidR="007B4A0C">
        <w:t>with intellectual disabilities</w:t>
      </w:r>
      <w:r>
        <w:t xml:space="preserve"> </w:t>
      </w:r>
      <w:r w:rsidRPr="00926124">
        <w:fldChar w:fldCharType="begin"/>
      </w:r>
      <w:r w:rsidR="006A378C">
        <w:instrText xml:space="preserve"> ADDIN EN.CITE &lt;EndNote&gt;&lt;Cite&gt;&lt;Author&gt;Slevin&lt;/Author&gt;&lt;Year&gt;2011&lt;/Year&gt;&lt;RecNum&gt;504&lt;/RecNum&gt;&lt;DisplayText&gt;(Slevin et al., 2011)&lt;/DisplayText&gt;&lt;record&gt;&lt;rec-number&gt;504&lt;/rec-number&gt;&lt;foreign-keys&gt;&lt;key app="EN" db-id="xtwfdzde5ttr0zevxrh5sf0c2wfzw5zf2vra" timestamp="1648135585" guid="ae850002-789b-4fb5-8776-13a4b49e69b8"&gt;504&lt;/key&gt;&lt;/foreign-keys&gt;&lt;ref-type name="Report"&gt;27&lt;/ref-type&gt;&lt;contributors&gt;&lt;authors&gt;&lt;author&gt;Slevin, Eamonn&lt;/author&gt;&lt;author&gt;Taggart, Laurence&lt;/author&gt;&lt;author&gt;McConkey, Roy&lt;/author&gt;&lt;author&gt;Cousins, Wendy&lt;/author&gt;&lt;author&gt;Truesdale-Kennedy, Maria&lt;/author&gt;&lt;author&gt;Dowling, Sandra&lt;/author&gt;&lt;/authors&gt;&lt;/contributors&gt;&lt;titles&gt;&lt;title&gt;Supporting people with Intellectual Disabilities who challege or who are ageing: A rapid review of evidence&lt;/title&gt;&lt;/titles&gt;&lt;dates&gt;&lt;year&gt;2011&lt;/year&gt;&lt;/dates&gt;&lt;pub-location&gt;Belfast&lt;/pub-location&gt;&lt;publisher&gt;Univeristy of Ulster&lt;/publisher&gt;&lt;urls&gt;&lt;/urls&gt;&lt;/record&gt;&lt;/Cite&gt;&lt;/EndNote&gt;</w:instrText>
      </w:r>
      <w:r w:rsidRPr="00926124">
        <w:fldChar w:fldCharType="separate"/>
      </w:r>
      <w:r>
        <w:rPr>
          <w:noProof/>
        </w:rPr>
        <w:t>(Slevin et al., 2011)</w:t>
      </w:r>
      <w:r w:rsidRPr="00926124">
        <w:fldChar w:fldCharType="end"/>
      </w:r>
      <w:r w:rsidRPr="00926124">
        <w:t>. In a review by</w:t>
      </w:r>
      <w:r>
        <w:t xml:space="preserve"> </w:t>
      </w:r>
      <w:r>
        <w:fldChar w:fldCharType="begin"/>
      </w:r>
      <w:r w:rsidR="006A378C">
        <w:instrText xml:space="preserve"> ADDIN EN.CITE &lt;EndNote&gt;&lt;Cite AuthorYear="1"&gt;&lt;Author&gt;Innes&lt;/Author&gt;&lt;Year&gt;2012&lt;/Year&gt;&lt;RecNum&gt;367&lt;/RecNum&gt;&lt;DisplayText&gt;Innes et al. (2012)&lt;/DisplayText&gt;&lt;record&gt;&lt;rec-number&gt;367&lt;/rec-number&gt;&lt;foreign-keys&gt;&lt;key app="EN" db-id="xtwfdzde5ttr0zevxrh5sf0c2wfzw5zf2vra" timestamp="1643290955" guid="9e433083-79ce-4437-8479-7a08886d73cc"&gt;367&lt;/key&gt;&lt;/foreign-keys&gt;&lt;ref-type name="Journal Article"&gt;17&lt;/ref-type&gt;&lt;contributors&gt;&lt;authors&gt;&lt;author&gt;Innes, Anthea&lt;/author&gt;&lt;author&gt;McCabe, Louise&lt;/author&gt;&lt;author&gt;Watchman, Karen&lt;/author&gt;&lt;/authors&gt;&lt;/contributors&gt;&lt;titles&gt;&lt;title&gt;Caring for older people with an intellectual disability: A systematic review&lt;/title&gt;&lt;secondary-title&gt;Maturitas&lt;/secondary-title&gt;&lt;short-title&gt;Caring for older people with an intellectual disability: A systematic review&lt;/short-title&gt;&lt;/titles&gt;&lt;periodical&gt;&lt;full-title&gt;Maturitas&lt;/full-title&gt;&lt;/periodical&gt;&lt;pages&gt;286-295&lt;/pages&gt;&lt;volume&gt;72&lt;/volume&gt;&lt;number&gt;4&lt;/number&gt;&lt;dates&gt;&lt;year&gt;2012&lt;/year&gt;&lt;/dates&gt;&lt;urls&gt;&lt;related-urls&gt;&lt;url&gt;https://www.researchgate.net/profile/Karen-Watchman/publication/225295309_Caring_for_older_people_with_an_intellectual_disability_A_systematic_review/links/5b8ce79f299bf1d5a73a11a2/Caring-for-older-people-with-an-intellectual-disability-A-systematic-review.pdf&lt;/url&gt;&lt;/related-urls&gt;&lt;/urls&gt;&lt;electronic-resource-num&gt;10.1016/j.maturitas.2012.05.008&lt;/electronic-resource-num&gt;&lt;/record&gt;&lt;/Cite&gt;&lt;/EndNote&gt;</w:instrText>
      </w:r>
      <w:r>
        <w:fldChar w:fldCharType="separate"/>
      </w:r>
      <w:r>
        <w:rPr>
          <w:noProof/>
        </w:rPr>
        <w:t>Innes et al. (2012)</w:t>
      </w:r>
      <w:r>
        <w:fldChar w:fldCharType="end"/>
      </w:r>
      <w:r>
        <w:t>,</w:t>
      </w:r>
      <w:r w:rsidRPr="00926124">
        <w:t xml:space="preserve"> the main theme that emerged from studies about service provision was the difficulty in identifying the individual’s needs. In settings</w:t>
      </w:r>
      <w:r>
        <w:t xml:space="preserve"> designed for people </w:t>
      </w:r>
      <w:r w:rsidR="007B4A0C">
        <w:t>with intellectual disabilities</w:t>
      </w:r>
      <w:r>
        <w:t xml:space="preserve">, changes experienced due to ageing were attributed to old age, while in generic ageing settings such as older people’s homes, changes were attributed to the persons' intellectual disability, with authors stating that people were not receiving appropriate care and treatment </w:t>
      </w:r>
      <w:r>
        <w:fldChar w:fldCharType="begin"/>
      </w:r>
      <w:r w:rsidR="006A378C">
        <w:instrText xml:space="preserve"> ADDIN EN.CITE &lt;EndNote&gt;&lt;Cite&gt;&lt;Author&gt;Innes&lt;/Author&gt;&lt;Year&gt;2012&lt;/Year&gt;&lt;RecNum&gt;367&lt;/RecNum&gt;&lt;DisplayText&gt;(Innes et al., 2012)&lt;/DisplayText&gt;&lt;record&gt;&lt;rec-number&gt;367&lt;/rec-number&gt;&lt;foreign-keys&gt;&lt;key app="EN" db-id="xtwfdzde5ttr0zevxrh5sf0c2wfzw5zf2vra" timestamp="1643290955" guid="9e433083-79ce-4437-8479-7a08886d73cc"&gt;367&lt;/key&gt;&lt;/foreign-keys&gt;&lt;ref-type name="Journal Article"&gt;17&lt;/ref-type&gt;&lt;contributors&gt;&lt;authors&gt;&lt;author&gt;Innes, Anthea&lt;/author&gt;&lt;author&gt;McCabe, Louise&lt;/author&gt;&lt;author&gt;Watchman, Karen&lt;/author&gt;&lt;/authors&gt;&lt;/contributors&gt;&lt;titles&gt;&lt;title&gt;Caring for older people with an intellectual disability: A systematic review&lt;/title&gt;&lt;secondary-title&gt;Maturitas&lt;/secondary-title&gt;&lt;short-title&gt;Caring for older people with an intellectual disability: A systematic review&lt;/short-title&gt;&lt;/titles&gt;&lt;periodical&gt;&lt;full-title&gt;Maturitas&lt;/full-title&gt;&lt;/periodical&gt;&lt;pages&gt;286-295&lt;/pages&gt;&lt;volume&gt;72&lt;/volume&gt;&lt;number&gt;4&lt;/number&gt;&lt;dates&gt;&lt;year&gt;2012&lt;/year&gt;&lt;/dates&gt;&lt;urls&gt;&lt;related-urls&gt;&lt;url&gt;https://www.researchgate.net/profile/Karen-Watchman/publication/225295309_Caring_for_older_people_with_an_intellectual_disability_A_systematic_review/links/5b8ce79f299bf1d5a73a11a2/Caring-for-older-people-with-an-intellectual-disability-A-systematic-review.pdf&lt;/url&gt;&lt;/related-urls&gt;&lt;/urls&gt;&lt;electronic-resource-num&gt;10.1016/j.maturitas.2012.05.008&lt;/electronic-resource-num&gt;&lt;/record&gt;&lt;/Cite&gt;&lt;/EndNote&gt;</w:instrText>
      </w:r>
      <w:r>
        <w:fldChar w:fldCharType="separate"/>
      </w:r>
      <w:r>
        <w:rPr>
          <w:noProof/>
        </w:rPr>
        <w:t>(Innes et al., 2012)</w:t>
      </w:r>
      <w:r>
        <w:fldChar w:fldCharType="end"/>
      </w:r>
      <w:r>
        <w:t xml:space="preserve">. </w:t>
      </w:r>
    </w:p>
    <w:p w14:paraId="2408C8E8" w14:textId="2C422A63" w:rsidR="001466E9" w:rsidRDefault="001466E9" w:rsidP="001466E9">
      <w:r>
        <w:t xml:space="preserve">One group thought to be particularly disadvantaged by the division between services </w:t>
      </w:r>
      <w:r w:rsidDel="009A3E7A">
        <w:t xml:space="preserve">is </w:t>
      </w:r>
      <w:r>
        <w:t xml:space="preserve">people with intellectual disabilities who develop dementia before the age of 65. There has been no clear provision within services for this group, as dementia services are largely based within older people's services </w:t>
      </w:r>
      <w:r>
        <w:fldChar w:fldCharType="begin"/>
      </w:r>
      <w:r>
        <w:instrText xml:space="preserve"> ADDIN EN.CITE &lt;EndNote&gt;&lt;Cite&gt;&lt;Author&gt;Leahy&lt;/Author&gt;&lt;Year&gt;2018&lt;/Year&gt;&lt;RecNum&gt;510&lt;/RecNum&gt;&lt;DisplayText&gt;(Leahy, 2018)&lt;/DisplayText&gt;&lt;record&gt;&lt;rec-number&gt;510&lt;/rec-number&gt;&lt;foreign-keys&gt;&lt;key app="EN" db-id="xtwfdzde5ttr0zevxrh5sf0c2wfzw5zf2vra" timestamp="1648580865" guid="fade67ad-fa10-4580-b9b6-e490d2176c2a"&gt;510&lt;/key&gt;&lt;/foreign-keys&gt;&lt;ref-type name="Journal Article"&gt;17&lt;/ref-type&gt;&lt;contributors&gt;&lt;authors&gt;&lt;author&gt;Leahy, Ann&lt;/author&gt;&lt;/authors&gt;&lt;/contributors&gt;&lt;titles&gt;&lt;title&gt;Too many ‘false dichotomies’? Investigating the division between ageing and disability in social care services in Ireland: A study with statutory and non-statutory organisations&lt;/title&gt;&lt;secondary-title&gt;Journal of Aging Studies&lt;/secondary-title&gt;&lt;/titles&gt;&lt;periodical&gt;&lt;full-title&gt;Journal of Aging Studies&lt;/full-title&gt;&lt;/periodical&gt;&lt;pages&gt;34-44&lt;/pages&gt;&lt;volume&gt;44&lt;/volume&gt;&lt;dates&gt;&lt;year&gt;2018&lt;/year&gt;&lt;/dates&gt;&lt;publisher&gt;Elsevier BV&lt;/publisher&gt;&lt;isbn&gt;0890-4065&lt;/isbn&gt;&lt;urls&gt;&lt;related-urls&gt;&lt;url&gt;https://dx.doi.org/10.1016/j.jaging.2017.09.005&lt;/url&gt;&lt;/related-urls&gt;&lt;/urls&gt;&lt;electronic-resource-num&gt;10.1016/j.jaging.2017.09.005&lt;/electronic-resource-num&gt;&lt;/record&gt;&lt;/Cite&gt;&lt;/EndNote&gt;</w:instrText>
      </w:r>
      <w:r>
        <w:fldChar w:fldCharType="separate"/>
      </w:r>
      <w:r>
        <w:rPr>
          <w:noProof/>
        </w:rPr>
        <w:t>(Leahy, 2018)</w:t>
      </w:r>
      <w:r>
        <w:fldChar w:fldCharType="end"/>
      </w:r>
      <w:r>
        <w:t xml:space="preserve">. People </w:t>
      </w:r>
      <w:r w:rsidR="007B4A0C">
        <w:t>with intellectual disabilities</w:t>
      </w:r>
      <w:r>
        <w:t xml:space="preserve"> who have dementia may have a differing course and progression of the disease, and as a result, the supports required by people </w:t>
      </w:r>
      <w:r w:rsidR="007B4A0C">
        <w:t>with intellectual disabilities</w:t>
      </w:r>
      <w:r>
        <w:t xml:space="preserve"> may differ from those required by the general population </w:t>
      </w:r>
      <w:r>
        <w:fldChar w:fldCharType="begin"/>
      </w:r>
      <w:r>
        <w:instrText xml:space="preserve"> ADDIN EN.CITE &lt;EndNote&gt;&lt;Cite&gt;&lt;Author&gt;McKenzie&lt;/Author&gt;&lt;Year&gt;2020&lt;/Year&gt;&lt;RecNum&gt;591&lt;/RecNum&gt;&lt;DisplayText&gt;(McKenzie et al., 2020)&lt;/DisplayText&gt;&lt;record&gt;&lt;rec-number&gt;591&lt;/rec-number&gt;&lt;foreign-keys&gt;&lt;key app="EN" db-id="xtwfdzde5ttr0zevxrh5sf0c2wfzw5zf2vra" timestamp="1650638624" guid="a8728951-39c8-4c52-a4d9-093ad7148051"&gt;591&lt;/key&gt;&lt;/foreign-keys&gt;&lt;ref-type name="Journal Article"&gt;17&lt;/ref-type&gt;&lt;contributors&gt;&lt;authors&gt;&lt;author&gt;McKenzie, Karen&lt;/author&gt;&lt;author&gt;Metcalfe, Dale&lt;/author&gt;&lt;author&gt;Michie, Amanda&lt;/author&gt;&lt;author&gt;Murray, George&lt;/author&gt;&lt;/authors&gt;&lt;/contributors&gt;&lt;titles&gt;&lt;title&gt;Service provision in Scotland for people with an intellectual disability who have, or are at risk of developing, dementia&lt;/title&gt;&lt;secondary-title&gt;Dementia&lt;/secondary-title&gt;&lt;/titles&gt;&lt;periodical&gt;&lt;full-title&gt;Dementia&lt;/full-title&gt;&lt;/periodical&gt;&lt;pages&gt;736-749&lt;/pages&gt;&lt;volume&gt;19&lt;/volume&gt;&lt;number&gt;3&lt;/number&gt;&lt;dates&gt;&lt;year&gt;2020&lt;/year&gt;&lt;/dates&gt;&lt;isbn&gt;1471-3012&lt;/isbn&gt;&lt;urls&gt;&lt;/urls&gt;&lt;/record&gt;&lt;/Cite&gt;&lt;/EndNote&gt;</w:instrText>
      </w:r>
      <w:r>
        <w:fldChar w:fldCharType="separate"/>
      </w:r>
      <w:r>
        <w:rPr>
          <w:noProof/>
        </w:rPr>
        <w:t>(McKenzie et al., 2020)</w:t>
      </w:r>
      <w:r>
        <w:fldChar w:fldCharType="end"/>
      </w:r>
      <w:r>
        <w:t xml:space="preserve">. Therefore, a key issue that has emerged in relation to service provision in Ireland and other countries has been that of whether older people </w:t>
      </w:r>
      <w:r w:rsidR="007B4A0C">
        <w:t>with intellectual disabilities</w:t>
      </w:r>
      <w:r>
        <w:t xml:space="preserve"> with a diagnosis of dementia should be cared for by older people’s services or whether care should be provided by specialist services under the umbrella of intellectual disability </w:t>
      </w:r>
      <w:r>
        <w:fldChar w:fldCharType="begin"/>
      </w:r>
      <w:r w:rsidR="006A378C">
        <w:instrText xml:space="preserve"> ADDIN EN.CITE &lt;EndNote&gt;&lt;Cite&gt;&lt;Author&gt;McCarron&lt;/Author&gt;&lt;Year&gt;2003&lt;/Year&gt;&lt;RecNum&gt;391&lt;/RecNum&gt;&lt;DisplayText&gt;(McCarron &amp;amp; Lawlor, 2003)&lt;/DisplayText&gt;&lt;record&gt;&lt;rec-number&gt;391&lt;/rec-number&gt;&lt;foreign-keys&gt;&lt;key app="EN" db-id="xtwfdzde5ttr0zevxrh5sf0c2wfzw5zf2vra" timestamp="1643290955" guid="9b1aa77e-a4a5-4f6d-ba98-24e06da17144"&gt;391&lt;/key&gt;&lt;/foreign-keys&gt;&lt;ref-type name="Journal Article"&gt;17&lt;/ref-type&gt;&lt;contributors&gt;&lt;authors&gt;&lt;author&gt;McCarron, Mary&lt;/author&gt;&lt;author&gt;Lawlor, B. A.&lt;/author&gt;&lt;/authors&gt;&lt;/contributors&gt;&lt;titles&gt;&lt;title&gt;Responding to the challenges of ageing and dementia in intellectual disability in Ireland&lt;/title&gt;&lt;secondary-title&gt;Aging and Mental Health&lt;/secondary-title&gt;&lt;short-title&gt;Responding to the challenges of ageing and dementia in intellectual disability in Ireland&lt;/short-title&gt;&lt;/titles&gt;&lt;periodical&gt;&lt;full-title&gt;Aging and Mental Health&lt;/full-title&gt;&lt;/periodical&gt;&lt;pages&gt;413-417&lt;/pages&gt;&lt;volume&gt;7&lt;/volume&gt;&lt;number&gt;6&lt;/number&gt;&lt;dates&gt;&lt;year&gt;2003&lt;/year&gt;&lt;/dates&gt;&lt;urls&gt;&lt;related-urls&gt;&lt;url&gt;https://www.tandfonline.com/doi/full/10.1080/13607860310001594655&lt;/url&gt;&lt;/related-urls&gt;&lt;/urls&gt;&lt;electronic-resource-num&gt;10.1080/13607860310001594655&lt;/electronic-resource-num&gt;&lt;/record&gt;&lt;/Cite&gt;&lt;/EndNote&gt;</w:instrText>
      </w:r>
      <w:r>
        <w:fldChar w:fldCharType="separate"/>
      </w:r>
      <w:r w:rsidR="00FF5F49">
        <w:rPr>
          <w:noProof/>
        </w:rPr>
        <w:t>(McCarron &amp; Lawlor, 2003)</w:t>
      </w:r>
      <w:r>
        <w:fldChar w:fldCharType="end"/>
      </w:r>
      <w:r>
        <w:t xml:space="preserve">. </w:t>
      </w:r>
    </w:p>
    <w:p w14:paraId="001027C7" w14:textId="77777777" w:rsidR="001466E9" w:rsidRDefault="001466E9" w:rsidP="001466E9">
      <w:r>
        <w:t xml:space="preserve">In Ireland, a recent response has been the development of specialist services to support people </w:t>
      </w:r>
      <w:r w:rsidR="007B4A0C">
        <w:t>with intellectual disabilities</w:t>
      </w:r>
      <w:r>
        <w:t xml:space="preserve"> ageing with dementia, including specialist memory clinics </w:t>
      </w:r>
      <w:r w:rsidRPr="00463F17">
        <w:fldChar w:fldCharType="begin"/>
      </w:r>
      <w:r w:rsidR="006A378C">
        <w:instrText xml:space="preserve"> ADDIN EN.CITE &lt;EndNote&gt;&lt;Cite&gt;&lt;Author&gt;McCarron&lt;/Author&gt;&lt;Year&gt;2003&lt;/Year&gt;&lt;RecNum&gt;391&lt;/RecNum&gt;&lt;DisplayText&gt;(McCarron &amp;amp; Lawlor, 2003)&lt;/DisplayText&gt;&lt;record&gt;&lt;rec-number&gt;391&lt;/rec-number&gt;&lt;foreign-keys&gt;&lt;key app="EN" db-id="xtwfdzde5ttr0zevxrh5sf0c2wfzw5zf2vra" timestamp="1643290955" guid="9b1aa77e-a4a5-4f6d-ba98-24e06da17144"&gt;391&lt;/key&gt;&lt;/foreign-keys&gt;&lt;ref-type name="Journal Article"&gt;17&lt;/ref-type&gt;&lt;contributors&gt;&lt;authors&gt;&lt;author&gt;McCarron, Mary&lt;/author&gt;&lt;author&gt;Lawlor, B. A.&lt;/author&gt;&lt;/authors&gt;&lt;/contributors&gt;&lt;titles&gt;&lt;title&gt;Responding to the challenges of ageing and dementia in intellectual disability in Ireland&lt;/title&gt;&lt;secondary-title&gt;Aging and Mental Health&lt;/secondary-title&gt;&lt;short-title&gt;Responding to the challenges of ageing and dementia in intellectual disability in Ireland&lt;/short-title&gt;&lt;/titles&gt;&lt;periodical&gt;&lt;full-title&gt;Aging and Mental Health&lt;/full-title&gt;&lt;/periodical&gt;&lt;pages&gt;413-417&lt;/pages&gt;&lt;volume&gt;7&lt;/volume&gt;&lt;number&gt;6&lt;/number&gt;&lt;dates&gt;&lt;year&gt;2003&lt;/year&gt;&lt;/dates&gt;&lt;urls&gt;&lt;related-urls&gt;&lt;url&gt;https://www.tandfonline.com/doi/full/10.1080/13607860310001594655&lt;/url&gt;&lt;/related-urls&gt;&lt;/urls&gt;&lt;electronic-resource-num&gt;10.1080/13607860310001594655&lt;/electronic-resource-num&gt;&lt;/record&gt;&lt;/Cite&gt;&lt;/EndNote&gt;</w:instrText>
      </w:r>
      <w:r w:rsidRPr="00463F17">
        <w:fldChar w:fldCharType="separate"/>
      </w:r>
      <w:r w:rsidR="00FF5F49">
        <w:rPr>
          <w:noProof/>
        </w:rPr>
        <w:t>(McCarron &amp; Lawlor, 2003)</w:t>
      </w:r>
      <w:r w:rsidRPr="00463F17">
        <w:fldChar w:fldCharType="end"/>
      </w:r>
      <w:r w:rsidRPr="00463F17">
        <w:t xml:space="preserve">. In 2022, the National Intellectual Disability Memory Service (NIDMS) was established in Ireland to provide access to specialist memory assessment, diagnostic and treatment services for people </w:t>
      </w:r>
      <w:r w:rsidR="007B4A0C">
        <w:t>with intellectual disabilities</w:t>
      </w:r>
      <w:r w:rsidRPr="00463F17">
        <w:t xml:space="preserve"> presenting with memory concerns, and is delivered by a nurse-led multidisciplinary team </w:t>
      </w:r>
      <w:r w:rsidRPr="00463F17">
        <w:fldChar w:fldCharType="begin"/>
      </w:r>
      <w:r w:rsidR="006A378C">
        <w:instrText xml:space="preserve"> ADDIN EN.CITE &lt;EndNote&gt;&lt;Cite ExcludeAuth="1"&gt;&lt;Author&gt;Trinity Centre for Ageing and Intellectual Disability&lt;/Author&gt;&lt;Year&gt;2022&lt;/Year&gt;&lt;RecNum&gt;654&lt;/RecNum&gt;&lt;Prefix&gt;TCAID`, &lt;/Prefix&gt;&lt;DisplayText&gt;(TCAID, 2022)&lt;/DisplayText&gt;&lt;record&gt;&lt;rec-number&gt;654&lt;/rec-number&gt;&lt;foreign-keys&gt;&lt;key app="EN" db-id="xtwfdzde5ttr0zevxrh5sf0c2wfzw5zf2vra" timestamp="1657023708" guid="aa72c623-965b-4b6e-9b84-84f0ea331ac5"&gt;654&lt;/key&gt;&lt;/foreign-keys&gt;&lt;ref-type name="Web Page"&gt;12&lt;/ref-type&gt;&lt;contributors&gt;&lt;authors&gt;&lt;author&gt;Trinity Centre for Ageing and Intellectual Disability, &lt;/author&gt;&lt;/authors&gt;&lt;/contributors&gt;&lt;titles&gt;&lt;title&gt;The National Intellectual Disability Memory Service&lt;/title&gt;&lt;/titles&gt;&lt;volume&gt;2022&lt;/volume&gt;&lt;number&gt;05/07/2022&lt;/number&gt;&lt;dates&gt;&lt;year&gt;2022&lt;/year&gt;&lt;pub-dates&gt;&lt;date&gt;25/04/2022&lt;/date&gt;&lt;/pub-dates&gt;&lt;/dates&gt;&lt;urls&gt;&lt;related-urls&gt;&lt;url&gt;https://www.tcd.ie/tcaid/research/NIDMS.php&lt;/url&gt;&lt;/related-urls&gt;&lt;/urls&gt;&lt;/record&gt;&lt;/Cite&gt;&lt;/EndNote&gt;</w:instrText>
      </w:r>
      <w:r w:rsidRPr="00463F17">
        <w:fldChar w:fldCharType="separate"/>
      </w:r>
      <w:r w:rsidR="00FF5F49">
        <w:rPr>
          <w:noProof/>
        </w:rPr>
        <w:t>(TCAID, 2022)</w:t>
      </w:r>
      <w:r w:rsidRPr="00463F17">
        <w:fldChar w:fldCharType="end"/>
      </w:r>
      <w:r w:rsidRPr="00463F17">
        <w:t xml:space="preserve">. The service also aims to provide an adaptable model of care that can be incorporated into existing dementia assessment and diagnostic services and will provide regional satellite centres that will work in partnership with these existing services </w:t>
      </w:r>
      <w:r w:rsidRPr="00463F17">
        <w:fldChar w:fldCharType="begin"/>
      </w:r>
      <w:r w:rsidR="00D101B5">
        <w:instrText xml:space="preserve"> ADDIN EN.CITE &lt;EndNote&gt;&lt;Cite&gt;&lt;Author&gt;Dementia Pathways&lt;/Author&gt;&lt;Year&gt;2022&lt;/Year&gt;&lt;RecNum&gt;655&lt;/RecNum&gt;&lt;DisplayText&gt;(Dementia Pathways, 2022)&lt;/DisplayText&gt;&lt;record&gt;&lt;rec-number&gt;655&lt;/rec-number&gt;&lt;foreign-keys&gt;&lt;key app="EN" db-id="xtwfdzde5ttr0zevxrh5sf0c2wfzw5zf2vra" timestamp="1657024377" guid="c2d2b976-066d-49bf-a3b8-c1d80afa1874"&gt;655&lt;/key&gt;&lt;/foreign-keys&gt;&lt;ref-type name="Web Page"&gt;12&lt;/ref-type&gt;&lt;contributors&gt;&lt;authors&gt;&lt;author&gt;Dementia Pathways, &lt;/author&gt;&lt;/authors&gt;&lt;/contributors&gt;&lt;titles&gt;&lt;title&gt;The National Intellectual Disability Memory Service&lt;/title&gt;&lt;/titles&gt;&lt;volume&gt;2022&lt;/volume&gt;&lt;number&gt;05/05/2022&lt;/number&gt;&lt;dates&gt;&lt;year&gt;2022&lt;/year&gt;&lt;/dates&gt;&lt;urls&gt;&lt;related-urls&gt;&lt;url&gt;https://dementiapathways.ie/care-pathways/dementia-in-people-with-an-intellectual-disability/the-national-intellectual-disability-memory-service&lt;/url&gt;&lt;/related-urls&gt;&lt;/urls&gt;&lt;/record&gt;&lt;/Cite&gt;&lt;/EndNote&gt;</w:instrText>
      </w:r>
      <w:r w:rsidRPr="00463F17">
        <w:fldChar w:fldCharType="separate"/>
      </w:r>
      <w:r>
        <w:rPr>
          <w:noProof/>
        </w:rPr>
        <w:t>(Dementia Pathways, 2022)</w:t>
      </w:r>
      <w:r w:rsidRPr="00463F17">
        <w:fldChar w:fldCharType="end"/>
      </w:r>
      <w:r>
        <w:t xml:space="preserve">. </w:t>
      </w:r>
    </w:p>
    <w:p w14:paraId="06D2B950" w14:textId="18321439" w:rsidR="001466E9" w:rsidRDefault="001466E9" w:rsidP="00AE3527">
      <w:pPr>
        <w:pStyle w:val="Heading2"/>
      </w:pPr>
      <w:bookmarkStart w:id="115" w:name="_Toc118555193"/>
      <w:bookmarkStart w:id="116" w:name="_Toc118558268"/>
      <w:bookmarkStart w:id="117" w:name="_Toc118558351"/>
      <w:bookmarkStart w:id="118" w:name="_Toc121830606"/>
      <w:r>
        <w:t>Conclusion</w:t>
      </w:r>
      <w:bookmarkEnd w:id="115"/>
      <w:bookmarkEnd w:id="116"/>
      <w:bookmarkEnd w:id="117"/>
      <w:bookmarkEnd w:id="118"/>
    </w:p>
    <w:p w14:paraId="5D1BF87F" w14:textId="09C29851" w:rsidR="001466E9" w:rsidRDefault="001466E9" w:rsidP="001466E9">
      <w:r>
        <w:t xml:space="preserve">This literature review provides an overview of the care and support needs of older adults with intellectual disabilities and complex-age-related conditions. The main issues affecting older people </w:t>
      </w:r>
      <w:r w:rsidR="007B4A0C">
        <w:t>with intellectual disabilities</w:t>
      </w:r>
      <w:r>
        <w:t xml:space="preserve">, including physical, psychological, and social issues, as well as the challenges to providing care and the key features of a model of care for older people with intellectual disabilities are addressed. </w:t>
      </w:r>
    </w:p>
    <w:p w14:paraId="42171DD8" w14:textId="548CDD70" w:rsidR="00A73B57" w:rsidRDefault="001466E9" w:rsidP="00910834">
      <w:r>
        <w:t>Responding to the complex needs of older people with intellectual disabilities is a challenge. The current response to care is characterised by a lack of future planning, limited resources and funding and a care system that is fragmented, with ageing, intellectual disability and dementia services often working in silos. To address these gaps in service provision, there is an urgent need for a comprehensive and integrated approach to care. An integrated care model requires proactive planning, connected services, a multidisciplinary workforce, and support for familial and social networks.</w:t>
      </w:r>
      <w:r w:rsidR="00910834">
        <w:t xml:space="preserve"> </w:t>
      </w:r>
      <w:r w:rsidR="00A73B57">
        <w:br w:type="page"/>
      </w:r>
    </w:p>
    <w:p w14:paraId="47A3095C" w14:textId="7CE4310F" w:rsidR="00A73B57" w:rsidRDefault="0029508C" w:rsidP="00A73B57">
      <w:pPr>
        <w:pStyle w:val="Heading1"/>
      </w:pPr>
      <w:bookmarkStart w:id="119" w:name="_Toc118555194"/>
      <w:bookmarkStart w:id="120" w:name="_Toc118558269"/>
      <w:bookmarkStart w:id="121" w:name="_Toc118558352"/>
      <w:bookmarkStart w:id="122" w:name="_Toc121830607"/>
      <w:r>
        <w:t xml:space="preserve">Chapter 2: </w:t>
      </w:r>
      <w:r w:rsidR="00881C0B">
        <w:t>Overview of Fieldwork</w:t>
      </w:r>
      <w:bookmarkEnd w:id="119"/>
      <w:bookmarkEnd w:id="120"/>
      <w:bookmarkEnd w:id="121"/>
      <w:bookmarkEnd w:id="122"/>
    </w:p>
    <w:p w14:paraId="6DB158A8" w14:textId="2318E88B" w:rsidR="00A73B57" w:rsidRDefault="00B40DBB" w:rsidP="00914D95">
      <w:pPr>
        <w:pStyle w:val="Heading2"/>
      </w:pPr>
      <w:bookmarkStart w:id="123" w:name="_Toc118555195"/>
      <w:bookmarkStart w:id="124" w:name="_Toc118558270"/>
      <w:bookmarkStart w:id="125" w:name="_Toc118558353"/>
      <w:bookmarkStart w:id="126" w:name="_Toc121830608"/>
      <w:r>
        <w:t>Introduction</w:t>
      </w:r>
      <w:bookmarkEnd w:id="123"/>
      <w:bookmarkEnd w:id="124"/>
      <w:bookmarkEnd w:id="125"/>
      <w:bookmarkEnd w:id="126"/>
    </w:p>
    <w:p w14:paraId="7E5C65CB" w14:textId="0559D308" w:rsidR="00B40DBB" w:rsidRDefault="00AD4194" w:rsidP="001466E9">
      <w:r>
        <w:t>The following section provides an overview of the metho</w:t>
      </w:r>
      <w:r w:rsidR="00916A4E">
        <w:t xml:space="preserve">ds </w:t>
      </w:r>
      <w:r>
        <w:t xml:space="preserve">used </w:t>
      </w:r>
      <w:r w:rsidR="00ED249E">
        <w:t>for data collection in t</w:t>
      </w:r>
      <w:r w:rsidR="00443F07">
        <w:t>he</w:t>
      </w:r>
      <w:r w:rsidR="00ED249E">
        <w:t xml:space="preserve"> study</w:t>
      </w:r>
      <w:r w:rsidR="00466E09">
        <w:t xml:space="preserve">. The </w:t>
      </w:r>
      <w:r w:rsidR="005C629F">
        <w:t>research aims, objectives and design</w:t>
      </w:r>
      <w:r w:rsidR="00466E09">
        <w:t xml:space="preserve"> </w:t>
      </w:r>
      <w:r w:rsidR="00B07E5A">
        <w:t>are</w:t>
      </w:r>
      <w:r w:rsidR="00466E09">
        <w:t xml:space="preserve"> </w:t>
      </w:r>
      <w:r w:rsidR="00B07E5A">
        <w:t>presented</w:t>
      </w:r>
      <w:r w:rsidR="00742B2C">
        <w:t xml:space="preserve">, </w:t>
      </w:r>
      <w:r w:rsidR="005C629F">
        <w:t>followed by a</w:t>
      </w:r>
      <w:r w:rsidR="00B07E5A">
        <w:t xml:space="preserve"> description</w:t>
      </w:r>
      <w:r w:rsidR="00466E09">
        <w:t xml:space="preserve"> </w:t>
      </w:r>
      <w:r w:rsidR="00E5226D">
        <w:t xml:space="preserve">of </w:t>
      </w:r>
      <w:r w:rsidR="00A76B27">
        <w:t>phase 1 and 2 data collection approaches,</w:t>
      </w:r>
      <w:r w:rsidR="007B6F6D">
        <w:t xml:space="preserve"> </w:t>
      </w:r>
      <w:r w:rsidR="00F45FDB">
        <w:t>and data analysis</w:t>
      </w:r>
      <w:r w:rsidR="00F45FDB" w:rsidRPr="0093611A">
        <w:rPr>
          <w:highlight w:val="yellow"/>
        </w:rPr>
        <w:t xml:space="preserve">. </w:t>
      </w:r>
      <w:r w:rsidR="005A6B1B" w:rsidRPr="0093611A">
        <w:rPr>
          <w:highlight w:val="yellow"/>
        </w:rPr>
        <w:t>A separate technical Annex provides the search terms used in the literature review, the focus group and semi-structured interview schedules, the questionnaire and the follow-on costing survey.</w:t>
      </w:r>
      <w:r w:rsidR="005A6B1B">
        <w:t xml:space="preserve"> </w:t>
      </w:r>
    </w:p>
    <w:p w14:paraId="32127DC1" w14:textId="0F64672F" w:rsidR="00B40DBB" w:rsidRDefault="00B40DBB" w:rsidP="00914D95">
      <w:pPr>
        <w:pStyle w:val="Heading2"/>
      </w:pPr>
      <w:bookmarkStart w:id="127" w:name="_Toc118555196"/>
      <w:bookmarkStart w:id="128" w:name="_Toc118558271"/>
      <w:bookmarkStart w:id="129" w:name="_Toc118558354"/>
      <w:bookmarkStart w:id="130" w:name="_Toc121830609"/>
      <w:r>
        <w:t xml:space="preserve">Study </w:t>
      </w:r>
      <w:r w:rsidR="00F6132C">
        <w:t>a</w:t>
      </w:r>
      <w:r>
        <w:t xml:space="preserve">im and </w:t>
      </w:r>
      <w:r w:rsidR="00F6132C">
        <w:t>o</w:t>
      </w:r>
      <w:r>
        <w:t>bjectives</w:t>
      </w:r>
      <w:bookmarkEnd w:id="127"/>
      <w:bookmarkEnd w:id="128"/>
      <w:bookmarkEnd w:id="129"/>
      <w:bookmarkEnd w:id="130"/>
    </w:p>
    <w:p w14:paraId="1B9EF8BA" w14:textId="43044677" w:rsidR="00CB1068" w:rsidRDefault="7113D6C6" w:rsidP="00F40051">
      <w:pPr>
        <w:spacing w:after="120"/>
      </w:pPr>
      <w:r>
        <w:t xml:space="preserve">The aim of this study is to examine </w:t>
      </w:r>
      <w:r w:rsidRPr="00FC3D24">
        <w:t>to the care</w:t>
      </w:r>
      <w:r w:rsidR="78AA7B19" w:rsidRPr="00FC3D24">
        <w:t xml:space="preserve"> and </w:t>
      </w:r>
      <w:r w:rsidR="271E2657">
        <w:t>with intellectual disabilities</w:t>
      </w:r>
      <w:r w:rsidRPr="00FC3D24">
        <w:t xml:space="preserve"> and complex age-related conditions</w:t>
      </w:r>
      <w:r>
        <w:t xml:space="preserve">. </w:t>
      </w:r>
      <w:r w:rsidR="1BDB2B1C">
        <w:t xml:space="preserve">The objectives of the research are to: </w:t>
      </w:r>
    </w:p>
    <w:p w14:paraId="17F6829D" w14:textId="31DAC526" w:rsidR="00727E3F" w:rsidRDefault="00727E3F" w:rsidP="00DC0CA1">
      <w:pPr>
        <w:pStyle w:val="ListParagraph"/>
        <w:numPr>
          <w:ilvl w:val="0"/>
          <w:numId w:val="8"/>
        </w:numPr>
        <w:spacing w:after="120"/>
        <w:ind w:left="714" w:hanging="357"/>
        <w:contextualSpacing w:val="0"/>
      </w:pPr>
      <w:r>
        <w:t xml:space="preserve">Review the existing evidence base regarding the care of older adults with complex age-related conditions </w:t>
      </w:r>
    </w:p>
    <w:p w14:paraId="27769437" w14:textId="55B0EC7D" w:rsidR="00727E3F" w:rsidRDefault="00727E3F" w:rsidP="00DC0CA1">
      <w:pPr>
        <w:pStyle w:val="ListParagraph"/>
        <w:numPr>
          <w:ilvl w:val="0"/>
          <w:numId w:val="8"/>
        </w:numPr>
        <w:spacing w:after="120"/>
        <w:ind w:left="714" w:hanging="357"/>
        <w:contextualSpacing w:val="0"/>
      </w:pPr>
      <w:r>
        <w:t>Generate additional evidence regarding current models of care</w:t>
      </w:r>
    </w:p>
    <w:p w14:paraId="05E8C11D" w14:textId="2422A443" w:rsidR="00727E3F" w:rsidRDefault="00727E3F" w:rsidP="00DC0CA1">
      <w:pPr>
        <w:pStyle w:val="ListParagraph"/>
        <w:numPr>
          <w:ilvl w:val="0"/>
          <w:numId w:val="8"/>
        </w:numPr>
        <w:spacing w:after="120"/>
        <w:ind w:left="714" w:hanging="357"/>
        <w:contextualSpacing w:val="0"/>
      </w:pPr>
      <w:r>
        <w:t>Generate additional evidence regarding expected future needs</w:t>
      </w:r>
    </w:p>
    <w:p w14:paraId="647777BB" w14:textId="29C9A5A3" w:rsidR="00546AEC" w:rsidRDefault="00727E3F" w:rsidP="00DC0CA1">
      <w:pPr>
        <w:pStyle w:val="ListParagraph"/>
        <w:numPr>
          <w:ilvl w:val="0"/>
          <w:numId w:val="8"/>
        </w:numPr>
        <w:ind w:left="714" w:hanging="357"/>
        <w:contextualSpacing w:val="0"/>
      </w:pPr>
      <w:r>
        <w:t>Compare outcomes and quality of life in different care settings</w:t>
      </w:r>
    </w:p>
    <w:p w14:paraId="340A5237" w14:textId="71C310F7" w:rsidR="00B40DBB" w:rsidRDefault="00B40DBB" w:rsidP="00914D95">
      <w:pPr>
        <w:pStyle w:val="Heading2"/>
      </w:pPr>
      <w:bookmarkStart w:id="131" w:name="_Toc118555197"/>
      <w:bookmarkStart w:id="132" w:name="_Toc118558272"/>
      <w:bookmarkStart w:id="133" w:name="_Toc118558355"/>
      <w:bookmarkStart w:id="134" w:name="_Toc121830610"/>
      <w:r>
        <w:t xml:space="preserve">Research </w:t>
      </w:r>
      <w:r w:rsidR="00F6132C">
        <w:t>d</w:t>
      </w:r>
      <w:r>
        <w:t>esign</w:t>
      </w:r>
      <w:bookmarkEnd w:id="131"/>
      <w:bookmarkEnd w:id="132"/>
      <w:bookmarkEnd w:id="133"/>
      <w:bookmarkEnd w:id="134"/>
    </w:p>
    <w:p w14:paraId="3BD760DD" w14:textId="4DB0982F" w:rsidR="00497C71" w:rsidRDefault="00861FD0" w:rsidP="001466E9">
      <w:r w:rsidRPr="00861FD0">
        <w:t>The study utilised a descriptive mixed methods design, using two phases of data collection</w:t>
      </w:r>
      <w:r>
        <w:t>.</w:t>
      </w:r>
      <w:r w:rsidR="00B21E08">
        <w:t xml:space="preserve"> </w:t>
      </w:r>
    </w:p>
    <w:p w14:paraId="206F33F4" w14:textId="53B07729" w:rsidR="00B40DBB" w:rsidRDefault="00B40DBB" w:rsidP="00914D95">
      <w:pPr>
        <w:pStyle w:val="Heading2"/>
      </w:pPr>
      <w:bookmarkStart w:id="135" w:name="_Toc118555198"/>
      <w:bookmarkStart w:id="136" w:name="_Toc118558273"/>
      <w:bookmarkStart w:id="137" w:name="_Toc118558356"/>
      <w:bookmarkStart w:id="138" w:name="_Toc121830611"/>
      <w:r>
        <w:t xml:space="preserve">Data </w:t>
      </w:r>
      <w:r w:rsidR="00F6132C">
        <w:t>c</w:t>
      </w:r>
      <w:r>
        <w:t>ollection</w:t>
      </w:r>
      <w:r w:rsidR="001312A2">
        <w:t xml:space="preserve">: </w:t>
      </w:r>
      <w:r w:rsidR="00F6132C">
        <w:t>p</w:t>
      </w:r>
      <w:r w:rsidR="001312A2">
        <w:t>hase 1</w:t>
      </w:r>
      <w:bookmarkEnd w:id="135"/>
      <w:bookmarkEnd w:id="136"/>
      <w:bookmarkEnd w:id="137"/>
      <w:bookmarkEnd w:id="138"/>
    </w:p>
    <w:p w14:paraId="74268417" w14:textId="42EC5566" w:rsidR="00497C71" w:rsidRDefault="00497C71" w:rsidP="00497C71">
      <w:pPr>
        <w:spacing w:after="120"/>
      </w:pPr>
      <w:r>
        <w:t xml:space="preserve">Phase 1 of data collection sought to explore the perspectives of senior staff and managers in intellectual disability services and nursing homes on the following: </w:t>
      </w:r>
    </w:p>
    <w:p w14:paraId="71579187" w14:textId="3006AD51" w:rsidR="00497C71" w:rsidRDefault="00497C71" w:rsidP="00DC0CA1">
      <w:pPr>
        <w:pStyle w:val="ListParagraph"/>
        <w:numPr>
          <w:ilvl w:val="0"/>
          <w:numId w:val="9"/>
        </w:numPr>
        <w:spacing w:after="120"/>
        <w:ind w:left="714" w:hanging="357"/>
        <w:contextualSpacing w:val="0"/>
      </w:pPr>
      <w:r>
        <w:t xml:space="preserve">Current models of care in specialist and non-specialist settings </w:t>
      </w:r>
    </w:p>
    <w:p w14:paraId="2E832A43" w14:textId="5A82707C" w:rsidR="00497C71" w:rsidRDefault="00497C71" w:rsidP="00DC0CA1">
      <w:pPr>
        <w:pStyle w:val="ListParagraph"/>
        <w:numPr>
          <w:ilvl w:val="0"/>
          <w:numId w:val="9"/>
        </w:numPr>
        <w:spacing w:after="120"/>
        <w:ind w:left="714" w:hanging="357"/>
        <w:contextualSpacing w:val="0"/>
      </w:pPr>
      <w:r>
        <w:t xml:space="preserve">Factors influencing decision-making on care needs </w:t>
      </w:r>
    </w:p>
    <w:p w14:paraId="0428A831" w14:textId="0CBCFF81" w:rsidR="00497C71" w:rsidRDefault="00497C71" w:rsidP="00DC0CA1">
      <w:pPr>
        <w:pStyle w:val="ListParagraph"/>
        <w:numPr>
          <w:ilvl w:val="0"/>
          <w:numId w:val="9"/>
        </w:numPr>
        <w:spacing w:after="120"/>
        <w:ind w:left="714" w:hanging="357"/>
        <w:contextualSpacing w:val="0"/>
      </w:pPr>
      <w:r>
        <w:t xml:space="preserve">Expected future need </w:t>
      </w:r>
    </w:p>
    <w:p w14:paraId="3602FAAC" w14:textId="7F5208C2" w:rsidR="00497C71" w:rsidRDefault="00497C71" w:rsidP="00DC0CA1">
      <w:pPr>
        <w:pStyle w:val="ListParagraph"/>
        <w:numPr>
          <w:ilvl w:val="0"/>
          <w:numId w:val="9"/>
        </w:numPr>
        <w:spacing w:after="120"/>
        <w:ind w:left="714" w:hanging="357"/>
        <w:contextualSpacing w:val="0"/>
      </w:pPr>
      <w:r>
        <w:t xml:space="preserve">Experiences of supporting ‘transitions’ (i.e., geographical, social, health and activity/work), </w:t>
      </w:r>
    </w:p>
    <w:p w14:paraId="2899125E" w14:textId="378875AA" w:rsidR="00497C71" w:rsidRDefault="00497C71" w:rsidP="00DC0CA1">
      <w:pPr>
        <w:pStyle w:val="ListParagraph"/>
        <w:numPr>
          <w:ilvl w:val="0"/>
          <w:numId w:val="9"/>
        </w:numPr>
        <w:ind w:left="714" w:hanging="357"/>
        <w:contextualSpacing w:val="0"/>
      </w:pPr>
      <w:r>
        <w:t xml:space="preserve">Current outcomes and how these outcomes affect quality of life in the different settings. </w:t>
      </w:r>
    </w:p>
    <w:p w14:paraId="3069E4FE" w14:textId="7F95089C" w:rsidR="00B40DBB" w:rsidRDefault="00497C71" w:rsidP="00497C71">
      <w:r>
        <w:t xml:space="preserve">Data was collected using focus groups, interviews, and a survey questionnaire. </w:t>
      </w:r>
    </w:p>
    <w:p w14:paraId="7299958C" w14:textId="08991991" w:rsidR="000264C1" w:rsidRPr="00906B8B" w:rsidRDefault="000264C1" w:rsidP="000264C1">
      <w:pPr>
        <w:pStyle w:val="Heading3"/>
        <w:rPr>
          <w:color w:val="auto"/>
        </w:rPr>
      </w:pPr>
      <w:bookmarkStart w:id="139" w:name="_Toc118558274"/>
      <w:r w:rsidRPr="00906B8B">
        <w:rPr>
          <w:color w:val="auto"/>
        </w:rPr>
        <w:t xml:space="preserve">Focus </w:t>
      </w:r>
      <w:r w:rsidR="00F6132C" w:rsidRPr="00906B8B">
        <w:rPr>
          <w:color w:val="auto"/>
        </w:rPr>
        <w:t>g</w:t>
      </w:r>
      <w:r w:rsidRPr="00906B8B">
        <w:rPr>
          <w:color w:val="auto"/>
        </w:rPr>
        <w:t>roups</w:t>
      </w:r>
      <w:bookmarkEnd w:id="139"/>
      <w:r w:rsidRPr="00906B8B">
        <w:rPr>
          <w:color w:val="auto"/>
        </w:rPr>
        <w:t xml:space="preserve"> </w:t>
      </w:r>
    </w:p>
    <w:p w14:paraId="090B237C" w14:textId="77777777" w:rsidR="000264C1" w:rsidRDefault="000264C1" w:rsidP="000264C1">
      <w:pPr>
        <w:pStyle w:val="Heading4"/>
      </w:pPr>
      <w:r w:rsidRPr="008E1B1D">
        <w:rPr>
          <w:color w:val="000000" w:themeColor="text1"/>
        </w:rPr>
        <w:t>Inclusion criteria</w:t>
      </w:r>
      <w:r>
        <w:t xml:space="preserve"> </w:t>
      </w:r>
    </w:p>
    <w:p w14:paraId="35911FC5" w14:textId="584AE507" w:rsidR="000264C1" w:rsidRDefault="000264C1" w:rsidP="007C3520">
      <w:pPr>
        <w:spacing w:after="120"/>
      </w:pPr>
      <w:r>
        <w:t xml:space="preserve">The general inclusion criteria for all focus groups were that participants had to be aged 18 years or older and be able to consent to participate. To be considered eligible to participate in phase 1 focus groups, participants had to have been: </w:t>
      </w:r>
    </w:p>
    <w:p w14:paraId="1B7C91B3" w14:textId="77777777" w:rsidR="000264C1" w:rsidRDefault="000264C1" w:rsidP="00DC0CA1">
      <w:pPr>
        <w:pStyle w:val="ListParagraph"/>
        <w:numPr>
          <w:ilvl w:val="0"/>
          <w:numId w:val="10"/>
        </w:numPr>
        <w:spacing w:after="120"/>
        <w:ind w:left="714" w:hanging="357"/>
        <w:contextualSpacing w:val="0"/>
      </w:pPr>
      <w:r>
        <w:t xml:space="preserve">Senior nursing, social or service managers </w:t>
      </w:r>
      <w:r w:rsidRPr="00FB0008">
        <w:rPr>
          <w:b/>
          <w:bCs/>
          <w:i/>
          <w:iCs/>
        </w:rPr>
        <w:t xml:space="preserve">and </w:t>
      </w:r>
    </w:p>
    <w:p w14:paraId="12D89AEA" w14:textId="52FE56ED" w:rsidR="000264C1" w:rsidRDefault="000264C1" w:rsidP="00DC0CA1">
      <w:pPr>
        <w:pStyle w:val="ListParagraph"/>
        <w:numPr>
          <w:ilvl w:val="0"/>
          <w:numId w:val="10"/>
        </w:numPr>
        <w:spacing w:after="120"/>
        <w:ind w:left="714" w:hanging="357"/>
        <w:contextualSpacing w:val="0"/>
      </w:pPr>
      <w:r>
        <w:t xml:space="preserve">Employed in an intellectual disability service for older adults </w:t>
      </w:r>
      <w:r w:rsidR="007B4A0C">
        <w:t>with intellectual disabilities</w:t>
      </w:r>
      <w:r>
        <w:t xml:space="preserve"> and offering specialist ageing facilities </w:t>
      </w:r>
      <w:r w:rsidRPr="00FB0008">
        <w:rPr>
          <w:b/>
          <w:bCs/>
          <w:i/>
          <w:iCs/>
        </w:rPr>
        <w:t>or</w:t>
      </w:r>
      <w:r w:rsidRPr="00FB0008">
        <w:rPr>
          <w:rFonts w:ascii="Arial" w:hAnsi="Arial" w:cs="Arial"/>
        </w:rPr>
        <w:t> </w:t>
      </w:r>
      <w:r>
        <w:t xml:space="preserve"> </w:t>
      </w:r>
    </w:p>
    <w:p w14:paraId="71B7DE6C" w14:textId="2CD7F447" w:rsidR="00497C71" w:rsidRPr="0054730D" w:rsidRDefault="000264C1" w:rsidP="00DC0CA1">
      <w:pPr>
        <w:pStyle w:val="ListParagraph"/>
        <w:numPr>
          <w:ilvl w:val="0"/>
          <w:numId w:val="10"/>
        </w:numPr>
        <w:ind w:left="714" w:hanging="357"/>
        <w:contextualSpacing w:val="0"/>
      </w:pPr>
      <w:r>
        <w:t xml:space="preserve">Employed in </w:t>
      </w:r>
      <w:r w:rsidR="007B4A0C">
        <w:t xml:space="preserve">an </w:t>
      </w:r>
      <w:r>
        <w:t xml:space="preserve">intellectual disability service for older adults </w:t>
      </w:r>
      <w:r w:rsidR="007B4A0C">
        <w:t>with intellectual disabilities</w:t>
      </w:r>
      <w:r>
        <w:t xml:space="preserve"> but not offering specialist ageing facilities</w:t>
      </w:r>
      <w:r w:rsidRPr="00FB0008">
        <w:rPr>
          <w:rFonts w:ascii="Arial" w:hAnsi="Arial" w:cs="Arial"/>
        </w:rPr>
        <w:t>  </w:t>
      </w:r>
    </w:p>
    <w:p w14:paraId="6B9E339B" w14:textId="1AF5A508" w:rsidR="0054730D" w:rsidRDefault="0054730D" w:rsidP="003158C1">
      <w:pPr>
        <w:pStyle w:val="Heading4"/>
      </w:pPr>
      <w:r w:rsidRPr="008E1B1D">
        <w:rPr>
          <w:color w:val="000000" w:themeColor="text1"/>
        </w:rPr>
        <w:t xml:space="preserve">Sampling and recruitment </w:t>
      </w:r>
    </w:p>
    <w:p w14:paraId="6976A08A" w14:textId="137851B8" w:rsidR="0054730D" w:rsidRDefault="0054730D" w:rsidP="0054730D">
      <w:r>
        <w:t xml:space="preserve">Intellectual disability services were purposively sampled from the IDS-TILDA service database. These included services that provide specialist ageing facilities for older adults </w:t>
      </w:r>
      <w:r w:rsidR="007B4A0C">
        <w:t>with intellectual disabilities</w:t>
      </w:r>
      <w:r>
        <w:t xml:space="preserve"> and services that do not provide specialist ageing facilities but do cater for older adults </w:t>
      </w:r>
      <w:r w:rsidR="007B4A0C">
        <w:t>with intellectual disabilities</w:t>
      </w:r>
      <w:r>
        <w:t xml:space="preserve">. Service management (i.e., CEOs) from eight services were contacted, four from specialist ageing services, and four providing non-specialist ageing services, requesting their support in recruiting a maximum of four senior staff members to participate in online focus groups and to nominate a gatekeeper who would be responsible for distributing a letter of invitation and information sheets to participants in each service. </w:t>
      </w:r>
    </w:p>
    <w:p w14:paraId="1A03A0AC" w14:textId="77777777" w:rsidR="00D904AA" w:rsidRDefault="00D904AA" w:rsidP="003158C1">
      <w:pPr>
        <w:pStyle w:val="Heading4"/>
      </w:pPr>
      <w:r w:rsidRPr="008E1B1D">
        <w:rPr>
          <w:color w:val="000000" w:themeColor="text1"/>
        </w:rPr>
        <w:t>Data collection method</w:t>
      </w:r>
      <w:r>
        <w:t xml:space="preserve"> </w:t>
      </w:r>
    </w:p>
    <w:p w14:paraId="1282560D" w14:textId="75F769A6" w:rsidR="00D904AA" w:rsidRDefault="00D904AA" w:rsidP="008E1B1D">
      <w:r>
        <w:t xml:space="preserve">Four semi-structured focus groups </w:t>
      </w:r>
      <w:r w:rsidR="71A29581">
        <w:t xml:space="preserve">with a total of 16 participants </w:t>
      </w:r>
      <w:r>
        <w:t>were conducted online via Zoom</w:t>
      </w:r>
      <w:r w:rsidR="004A68DA">
        <w:t xml:space="preserve"> between</w:t>
      </w:r>
      <w:r w:rsidR="00A056E4">
        <w:t xml:space="preserve"> the</w:t>
      </w:r>
      <w:r w:rsidR="004A68DA">
        <w:t xml:space="preserve"> </w:t>
      </w:r>
      <w:r w:rsidR="00A056E4">
        <w:t>2</w:t>
      </w:r>
      <w:r w:rsidR="00A056E4" w:rsidRPr="11C55A92">
        <w:rPr>
          <w:vertAlign w:val="superscript"/>
        </w:rPr>
        <w:t>nd</w:t>
      </w:r>
      <w:r w:rsidR="00A056E4">
        <w:t xml:space="preserve"> and 20</w:t>
      </w:r>
      <w:r w:rsidR="00A056E4" w:rsidRPr="11C55A92">
        <w:rPr>
          <w:vertAlign w:val="superscript"/>
        </w:rPr>
        <w:t>th</w:t>
      </w:r>
      <w:r w:rsidR="008E1B39">
        <w:t xml:space="preserve"> </w:t>
      </w:r>
      <w:r w:rsidR="00E142BF">
        <w:t xml:space="preserve">of </w:t>
      </w:r>
      <w:r w:rsidR="00633007">
        <w:t>September</w:t>
      </w:r>
      <w:r w:rsidR="008E1B39">
        <w:t xml:space="preserve"> </w:t>
      </w:r>
      <w:r>
        <w:t>2021</w:t>
      </w:r>
      <w:r w:rsidR="0D265534">
        <w:t>.</w:t>
      </w:r>
      <w:r w:rsidR="00910834">
        <w:t xml:space="preserve"> </w:t>
      </w:r>
      <w:r>
        <w:t xml:space="preserve">All focus groups were conducted by a moderator and assistant moderator. </w:t>
      </w:r>
      <w:r w:rsidR="4D44A753">
        <w:t xml:space="preserve">The focus groups were guided by an interview schedule. </w:t>
      </w:r>
    </w:p>
    <w:p w14:paraId="0911DC5D" w14:textId="45AE5C5F" w:rsidR="00D904AA" w:rsidRDefault="00D904AA" w:rsidP="00D904AA">
      <w:r>
        <w:t>Quality of life themes were considered through the conceptual framework identified by Schalock et al. (2002).</w:t>
      </w:r>
    </w:p>
    <w:p w14:paraId="579A9A40" w14:textId="2F49C69B" w:rsidR="00340917" w:rsidRDefault="00D904AA" w:rsidP="00340917">
      <w:r>
        <w:t>In addition, a one-to-one interview was carried out with another participant from a specialist ageing service who was not available to attend the focus groups</w:t>
      </w:r>
      <w:r w:rsidR="005E3A0E">
        <w:t>.</w:t>
      </w:r>
    </w:p>
    <w:p w14:paraId="5C1F3DEF" w14:textId="6031497D" w:rsidR="005C31D1" w:rsidRPr="00906B8B" w:rsidRDefault="005C31D1" w:rsidP="005C31D1">
      <w:pPr>
        <w:pStyle w:val="Heading3"/>
        <w:rPr>
          <w:color w:val="auto"/>
        </w:rPr>
      </w:pPr>
      <w:bookmarkStart w:id="140" w:name="_Toc118558275"/>
      <w:r w:rsidRPr="00906B8B">
        <w:rPr>
          <w:color w:val="auto"/>
        </w:rPr>
        <w:t>Survey</w:t>
      </w:r>
      <w:bookmarkEnd w:id="140"/>
      <w:r w:rsidRPr="00906B8B">
        <w:rPr>
          <w:color w:val="auto"/>
        </w:rPr>
        <w:t xml:space="preserve"> </w:t>
      </w:r>
    </w:p>
    <w:p w14:paraId="7F7B48E3" w14:textId="4A7CCD8E" w:rsidR="003158C1" w:rsidRPr="003158C1" w:rsidRDefault="005C31D1" w:rsidP="003158C1">
      <w:pPr>
        <w:pStyle w:val="Heading4"/>
      </w:pPr>
      <w:r w:rsidRPr="008E1B1D">
        <w:rPr>
          <w:color w:val="000000" w:themeColor="text1"/>
        </w:rPr>
        <w:t>Inclusion criteria</w:t>
      </w:r>
      <w:r>
        <w:t xml:space="preserve"> </w:t>
      </w:r>
    </w:p>
    <w:p w14:paraId="0F1097AF" w14:textId="77777777" w:rsidR="005C31D1" w:rsidRDefault="005C31D1" w:rsidP="005C31D1">
      <w:r>
        <w:t xml:space="preserve">The criteria for inclusion in the online survey included the criteria set out for phase 1 focus group participants. </w:t>
      </w:r>
    </w:p>
    <w:p w14:paraId="7BA04F5E" w14:textId="77777777" w:rsidR="005C31D1" w:rsidRDefault="005C31D1" w:rsidP="003158C1">
      <w:pPr>
        <w:pStyle w:val="Heading4"/>
      </w:pPr>
      <w:r w:rsidRPr="008E1B1D">
        <w:rPr>
          <w:color w:val="000000" w:themeColor="text1"/>
        </w:rPr>
        <w:t xml:space="preserve">Sampling and recruitment </w:t>
      </w:r>
    </w:p>
    <w:p w14:paraId="7F6E4290" w14:textId="09FDC017" w:rsidR="005C31D1" w:rsidRDefault="005C31D1" w:rsidP="005C31D1">
      <w:r>
        <w:t xml:space="preserve">Using the Trinity Centre for Ageing and Intellectual Disability’s (TCAID) comprehensive mailing list, senior managers from </w:t>
      </w:r>
      <w:r w:rsidR="00610340">
        <w:t>8</w:t>
      </w:r>
      <w:r>
        <w:t xml:space="preserve">0 residential adult intellectual disability services were invited to take part in the online survey questionnaire. A letter of invitation with an embedded link to the online survey and information sheets was sent by email to senior managers on February 14th with an initial deadline of 2 weeks. Due to low response rates, the deadline was extended to March 25th and a reminder email was sent leading up to this deadline.  </w:t>
      </w:r>
    </w:p>
    <w:p w14:paraId="49AC7E71" w14:textId="46047A88" w:rsidR="005C31D1" w:rsidRDefault="005C31D1" w:rsidP="003158C1">
      <w:pPr>
        <w:pStyle w:val="Heading4"/>
      </w:pPr>
      <w:r w:rsidRPr="008E1B1D">
        <w:rPr>
          <w:color w:val="000000" w:themeColor="text1"/>
        </w:rPr>
        <w:t>Data collection method</w:t>
      </w:r>
      <w:r>
        <w:t xml:space="preserve"> </w:t>
      </w:r>
    </w:p>
    <w:p w14:paraId="1689D6F5" w14:textId="66BEF7D0" w:rsidR="005C31D1" w:rsidRDefault="005C31D1" w:rsidP="005C31D1">
      <w:r>
        <w:t xml:space="preserve">The online survey was developed using Qualtrics. Questions designed to explore the economic aspects of complex needs were developed by a Health Economist. A draft survey was presented to the NDA for agreement. </w:t>
      </w:r>
    </w:p>
    <w:p w14:paraId="71A6C11C" w14:textId="14D9F0D4" w:rsidR="005C31D1" w:rsidRDefault="005C31D1" w:rsidP="005C31D1">
      <w:r>
        <w:t xml:space="preserve">The final survey instrument included 38 items consisting of Likert scale questions, multiple-choice questions, lists for rating, and open-ended questions to allow participants to elaborate on their answers. The time of completion was estimated to be approximately 45 minutes, during the piloting phase of the survey. </w:t>
      </w:r>
    </w:p>
    <w:p w14:paraId="5508A96E" w14:textId="06884B82" w:rsidR="005C31D1" w:rsidRDefault="005C31D1" w:rsidP="000D67D2">
      <w:pPr>
        <w:spacing w:after="120"/>
      </w:pPr>
      <w:r w:rsidRPr="00437DEB">
        <w:t>To address the aims and objectives of the study the survey questions captured information on the following:</w:t>
      </w:r>
      <w:r>
        <w:t xml:space="preserve"> </w:t>
      </w:r>
    </w:p>
    <w:p w14:paraId="3ADF3A96" w14:textId="77777777" w:rsidR="000D67D2" w:rsidRDefault="005C31D1" w:rsidP="002A24F0">
      <w:pPr>
        <w:pStyle w:val="ListParagraph"/>
        <w:numPr>
          <w:ilvl w:val="0"/>
          <w:numId w:val="11"/>
        </w:numPr>
        <w:spacing w:after="120"/>
        <w:ind w:left="714" w:hanging="357"/>
        <w:contextualSpacing w:val="0"/>
      </w:pPr>
      <w:r>
        <w:t xml:space="preserve">The type of service model/approach used </w:t>
      </w:r>
    </w:p>
    <w:p w14:paraId="1FB97FA3" w14:textId="5D8A9624" w:rsidR="000D67D2" w:rsidRDefault="005C31D1" w:rsidP="002A24F0">
      <w:pPr>
        <w:pStyle w:val="ListParagraph"/>
        <w:numPr>
          <w:ilvl w:val="0"/>
          <w:numId w:val="11"/>
        </w:numPr>
        <w:spacing w:after="120"/>
        <w:ind w:left="714" w:hanging="357"/>
        <w:contextualSpacing w:val="0"/>
      </w:pPr>
      <w:r>
        <w:t xml:space="preserve">The needs of older adults </w:t>
      </w:r>
      <w:r w:rsidR="007B4A0C">
        <w:t>with intellectual disabilities</w:t>
      </w:r>
      <w:r>
        <w:t xml:space="preserve"> including complex age-related health needs, and housing and accommodation needs</w:t>
      </w:r>
    </w:p>
    <w:p w14:paraId="48BB048D" w14:textId="77777777" w:rsidR="000D67D2" w:rsidRDefault="005C31D1" w:rsidP="002A24F0">
      <w:pPr>
        <w:pStyle w:val="ListParagraph"/>
        <w:numPr>
          <w:ilvl w:val="0"/>
          <w:numId w:val="11"/>
        </w:numPr>
        <w:spacing w:after="120"/>
        <w:ind w:left="714" w:hanging="357"/>
        <w:contextualSpacing w:val="0"/>
      </w:pPr>
      <w:r>
        <w:t xml:space="preserve">Responding to health needs </w:t>
      </w:r>
    </w:p>
    <w:p w14:paraId="7606961D" w14:textId="77777777" w:rsidR="000D67D2" w:rsidRDefault="005C31D1" w:rsidP="002A24F0">
      <w:pPr>
        <w:pStyle w:val="ListParagraph"/>
        <w:numPr>
          <w:ilvl w:val="0"/>
          <w:numId w:val="11"/>
        </w:numPr>
        <w:spacing w:after="120"/>
        <w:ind w:left="714" w:hanging="357"/>
        <w:contextualSpacing w:val="0"/>
      </w:pPr>
      <w:r>
        <w:t xml:space="preserve">End of life issues, advance care planning, and bereavement </w:t>
      </w:r>
    </w:p>
    <w:p w14:paraId="38FD704C" w14:textId="77777777" w:rsidR="000D67D2" w:rsidRDefault="005C31D1" w:rsidP="002A24F0">
      <w:pPr>
        <w:pStyle w:val="ListParagraph"/>
        <w:numPr>
          <w:ilvl w:val="0"/>
          <w:numId w:val="11"/>
        </w:numPr>
        <w:spacing w:after="120"/>
        <w:ind w:left="714" w:hanging="357"/>
        <w:contextualSpacing w:val="0"/>
      </w:pPr>
      <w:r>
        <w:t xml:space="preserve">Outcomes and quality of life indicators </w:t>
      </w:r>
    </w:p>
    <w:p w14:paraId="35A11070" w14:textId="78A6CFE0" w:rsidR="005C31D1" w:rsidRDefault="005C31D1" w:rsidP="002A24F0">
      <w:pPr>
        <w:pStyle w:val="ListParagraph"/>
        <w:numPr>
          <w:ilvl w:val="0"/>
          <w:numId w:val="11"/>
        </w:numPr>
        <w:ind w:left="714" w:hanging="357"/>
        <w:contextualSpacing w:val="0"/>
      </w:pPr>
      <w:r>
        <w:t xml:space="preserve">Costing </w:t>
      </w:r>
    </w:p>
    <w:p w14:paraId="3B1A3725" w14:textId="109938A2" w:rsidR="005C31D1" w:rsidRDefault="005C31D1" w:rsidP="005C31D1">
      <w:r>
        <w:t xml:space="preserve">Toward the end of the survey, participants were asked a question about whether they would be interested in receiving a follow-on survey exploring the cost implication of supporting older people </w:t>
      </w:r>
      <w:r w:rsidR="007B4A0C">
        <w:t>with intellectual disabilities</w:t>
      </w:r>
      <w:r>
        <w:t xml:space="preserve"> and complex age-related needs in greater detail.</w:t>
      </w:r>
    </w:p>
    <w:p w14:paraId="611E6462" w14:textId="0F9FC1CD" w:rsidR="005A6B1B" w:rsidRPr="00C474B1" w:rsidRDefault="005A6B1B" w:rsidP="005C31D1">
      <w:r w:rsidRPr="00C474B1">
        <w:t xml:space="preserve">The detailed findings from the survey are included in the </w:t>
      </w:r>
      <w:r w:rsidR="00C474B1" w:rsidRPr="00C474B1">
        <w:t>Technical Annex</w:t>
      </w:r>
      <w:r w:rsidRPr="00C474B1">
        <w:t xml:space="preserve">. </w:t>
      </w:r>
    </w:p>
    <w:p w14:paraId="0DAB1FC6" w14:textId="345B03B2" w:rsidR="005E08F7" w:rsidRPr="00906B8B" w:rsidRDefault="005E08F7" w:rsidP="005E08F7">
      <w:pPr>
        <w:pStyle w:val="Heading3"/>
        <w:rPr>
          <w:color w:val="auto"/>
        </w:rPr>
      </w:pPr>
      <w:bookmarkStart w:id="141" w:name="_Toc118558276"/>
      <w:r w:rsidRPr="00906B8B">
        <w:rPr>
          <w:color w:val="auto"/>
        </w:rPr>
        <w:t xml:space="preserve">Follow-on </w:t>
      </w:r>
      <w:r w:rsidR="00F6132C" w:rsidRPr="00906B8B">
        <w:rPr>
          <w:color w:val="auto"/>
        </w:rPr>
        <w:t>c</w:t>
      </w:r>
      <w:r w:rsidRPr="00906B8B">
        <w:rPr>
          <w:color w:val="auto"/>
        </w:rPr>
        <w:t xml:space="preserve">ostings </w:t>
      </w:r>
      <w:r w:rsidR="00F6132C" w:rsidRPr="00906B8B">
        <w:rPr>
          <w:color w:val="auto"/>
        </w:rPr>
        <w:t>s</w:t>
      </w:r>
      <w:r w:rsidRPr="00906B8B">
        <w:rPr>
          <w:color w:val="auto"/>
        </w:rPr>
        <w:t>urvey</w:t>
      </w:r>
      <w:bookmarkEnd w:id="141"/>
    </w:p>
    <w:p w14:paraId="05A50D7B" w14:textId="5BBB10E0" w:rsidR="005E08F7" w:rsidRDefault="382B0E62" w:rsidP="005E08F7">
      <w:r>
        <w:t xml:space="preserve">A second, follow-on survey </w:t>
      </w:r>
      <w:r w:rsidR="005E08F7">
        <w:t xml:space="preserve">was developed based on the findings from the first survey and aimed to explore the financial implications of age-related complex care needs for services, including the cost implication of housing modifications, older adults </w:t>
      </w:r>
      <w:r w:rsidR="007B4A0C">
        <w:t>with intellectual disabilities</w:t>
      </w:r>
      <w:r w:rsidR="005E08F7">
        <w:t xml:space="preserve"> relocating to another home and staffing issues related to their service. The survey was developed in Qualtrics with input from a Health Economist within TCAID. </w:t>
      </w:r>
    </w:p>
    <w:p w14:paraId="0E0C432F" w14:textId="6C004B49" w:rsidR="005E08F7" w:rsidRDefault="005E08F7" w:rsidP="005E08F7">
      <w:r>
        <w:t xml:space="preserve">Participants were asked to identify a specific location/living space within their service that addressed the needs of older people </w:t>
      </w:r>
      <w:r w:rsidR="007B4A0C">
        <w:t>with intellectual disabilities</w:t>
      </w:r>
      <w:r>
        <w:t xml:space="preserve"> and answer questions with reference to the chosen accommodation. The time of completion of the survey was estimated to be approximately 15 minutes. </w:t>
      </w:r>
    </w:p>
    <w:p w14:paraId="31154F54" w14:textId="2B592852" w:rsidR="00D215C3" w:rsidRDefault="005E08F7" w:rsidP="005E08F7">
      <w:r>
        <w:t xml:space="preserve">Four participants in the main survey agreed to receive the follow-on, costings survey. The online survey, along with an invitation letter and information sheet, was sent by email to participants on June 20th, with a deadline of 2 weeks. The deadline was extended by one week to July 4th, to ensure that all participants were given the chance to complete the survey. </w:t>
      </w:r>
      <w:r w:rsidR="4A566D4A">
        <w:t>Two participants completed the follow-on survey.</w:t>
      </w:r>
    </w:p>
    <w:p w14:paraId="67B29CB9" w14:textId="5883E0D1" w:rsidR="002918F0" w:rsidRPr="00906B8B" w:rsidRDefault="002918F0" w:rsidP="002918F0">
      <w:pPr>
        <w:pStyle w:val="Heading2"/>
      </w:pPr>
      <w:bookmarkStart w:id="142" w:name="_Toc118555199"/>
      <w:bookmarkStart w:id="143" w:name="_Toc118558277"/>
      <w:bookmarkStart w:id="144" w:name="_Toc118558357"/>
      <w:bookmarkStart w:id="145" w:name="_Toc121830612"/>
      <w:r w:rsidRPr="00906B8B">
        <w:t xml:space="preserve">Data </w:t>
      </w:r>
      <w:r w:rsidR="001A6D6C" w:rsidRPr="00906B8B">
        <w:t>c</w:t>
      </w:r>
      <w:r w:rsidRPr="00906B8B">
        <w:t xml:space="preserve">ollection: </w:t>
      </w:r>
      <w:r w:rsidR="001A6D6C" w:rsidRPr="00906B8B">
        <w:t>p</w:t>
      </w:r>
      <w:r w:rsidRPr="00906B8B">
        <w:t>hase 2</w:t>
      </w:r>
      <w:bookmarkEnd w:id="142"/>
      <w:bookmarkEnd w:id="143"/>
      <w:bookmarkEnd w:id="144"/>
      <w:bookmarkEnd w:id="145"/>
      <w:r w:rsidRPr="00906B8B">
        <w:t xml:space="preserve"> </w:t>
      </w:r>
    </w:p>
    <w:p w14:paraId="72B0E909" w14:textId="56548EFC" w:rsidR="002918F0" w:rsidRDefault="002918F0" w:rsidP="002918F0">
      <w:r>
        <w:t xml:space="preserve">Phase 2 aimed to explore the experiences and outcomes for support staff, older people </w:t>
      </w:r>
      <w:r w:rsidR="007B4A0C">
        <w:t>with intellectual disabilities</w:t>
      </w:r>
      <w:r>
        <w:t xml:space="preserve">, and family members when faced with age-related challenges including their experiences of navigating health care transitions, in tandem with social, geographical, and activity/work transitions. Data were collected during this phase using focus groups and interviews. </w:t>
      </w:r>
    </w:p>
    <w:p w14:paraId="3A0A40AE" w14:textId="078519B8" w:rsidR="009D40A3" w:rsidRPr="00906B8B" w:rsidRDefault="009D40A3" w:rsidP="009D40A3">
      <w:pPr>
        <w:pStyle w:val="Heading3"/>
        <w:rPr>
          <w:color w:val="auto"/>
        </w:rPr>
      </w:pPr>
      <w:bookmarkStart w:id="146" w:name="_Toc118558278"/>
      <w:r w:rsidRPr="00906B8B">
        <w:rPr>
          <w:color w:val="auto"/>
        </w:rPr>
        <w:t xml:space="preserve">Focus </w:t>
      </w:r>
      <w:r w:rsidR="001A6D6C" w:rsidRPr="00906B8B">
        <w:rPr>
          <w:color w:val="auto"/>
        </w:rPr>
        <w:t>g</w:t>
      </w:r>
      <w:r w:rsidRPr="00906B8B">
        <w:rPr>
          <w:color w:val="auto"/>
        </w:rPr>
        <w:t>roups</w:t>
      </w:r>
      <w:bookmarkEnd w:id="146"/>
      <w:r w:rsidRPr="00906B8B">
        <w:rPr>
          <w:color w:val="auto"/>
        </w:rPr>
        <w:t xml:space="preserve"> </w:t>
      </w:r>
    </w:p>
    <w:p w14:paraId="1FF29CD3" w14:textId="04FE4A51" w:rsidR="009D40A3" w:rsidRPr="00906B8B" w:rsidRDefault="009D40A3" w:rsidP="009D40A3">
      <w:pPr>
        <w:pStyle w:val="Heading4"/>
        <w:rPr>
          <w:color w:val="auto"/>
        </w:rPr>
      </w:pPr>
      <w:r w:rsidRPr="00906B8B">
        <w:rPr>
          <w:color w:val="auto"/>
        </w:rPr>
        <w:t xml:space="preserve">Inclusion criteria </w:t>
      </w:r>
    </w:p>
    <w:p w14:paraId="25872395" w14:textId="35D5C7C4" w:rsidR="009D40A3" w:rsidRDefault="009D40A3" w:rsidP="009D40A3">
      <w:pPr>
        <w:spacing w:after="120"/>
      </w:pPr>
      <w:r>
        <w:t xml:space="preserve">Inclusion in the phase 2 focus groups was based on the following criteria: </w:t>
      </w:r>
    </w:p>
    <w:p w14:paraId="4E789EE6" w14:textId="77777777" w:rsidR="009D40A3" w:rsidRDefault="009D40A3" w:rsidP="002A24F0">
      <w:pPr>
        <w:pStyle w:val="ListParagraph"/>
        <w:numPr>
          <w:ilvl w:val="0"/>
          <w:numId w:val="12"/>
        </w:numPr>
        <w:spacing w:after="120"/>
        <w:ind w:left="714" w:hanging="357"/>
        <w:contextualSpacing w:val="0"/>
      </w:pPr>
      <w:r>
        <w:t>Nursing, health and social care or key worker staff</w:t>
      </w:r>
      <w:r w:rsidRPr="009D40A3">
        <w:rPr>
          <w:rFonts w:ascii="Arial" w:hAnsi="Arial" w:cs="Arial"/>
        </w:rPr>
        <w:t> </w:t>
      </w:r>
      <w:r>
        <w:t xml:space="preserve">(not in a senior position) </w:t>
      </w:r>
      <w:r w:rsidRPr="009D40A3">
        <w:rPr>
          <w:b/>
          <w:bCs/>
          <w:i/>
          <w:iCs/>
        </w:rPr>
        <w:t xml:space="preserve">and </w:t>
      </w:r>
    </w:p>
    <w:p w14:paraId="6405DF12" w14:textId="4969B842" w:rsidR="009D40A3" w:rsidRDefault="009D40A3" w:rsidP="002A24F0">
      <w:pPr>
        <w:pStyle w:val="ListParagraph"/>
        <w:numPr>
          <w:ilvl w:val="0"/>
          <w:numId w:val="12"/>
        </w:numPr>
        <w:spacing w:after="120"/>
        <w:ind w:left="714" w:hanging="357"/>
        <w:contextualSpacing w:val="0"/>
      </w:pPr>
      <w:r>
        <w:t xml:space="preserve">Employed in an intellectual disability service for older adults </w:t>
      </w:r>
      <w:r w:rsidR="007B4A0C">
        <w:t>with intellectual disabilities</w:t>
      </w:r>
      <w:r>
        <w:t xml:space="preserve"> and offering specialist ageing facilities </w:t>
      </w:r>
      <w:r w:rsidRPr="009D40A3">
        <w:rPr>
          <w:b/>
          <w:bCs/>
          <w:i/>
          <w:iCs/>
        </w:rPr>
        <w:t>or</w:t>
      </w:r>
      <w:r w:rsidRPr="009D40A3">
        <w:rPr>
          <w:rFonts w:ascii="Arial" w:hAnsi="Arial" w:cs="Arial"/>
        </w:rPr>
        <w:t> </w:t>
      </w:r>
      <w:r>
        <w:t xml:space="preserve"> </w:t>
      </w:r>
    </w:p>
    <w:p w14:paraId="65F16B22" w14:textId="4BA6C0FA" w:rsidR="009D40A3" w:rsidRPr="009D40A3" w:rsidRDefault="009D40A3" w:rsidP="002A24F0">
      <w:pPr>
        <w:pStyle w:val="ListParagraph"/>
        <w:numPr>
          <w:ilvl w:val="0"/>
          <w:numId w:val="12"/>
        </w:numPr>
        <w:spacing w:after="120"/>
        <w:ind w:left="714" w:hanging="357"/>
        <w:contextualSpacing w:val="0"/>
      </w:pPr>
      <w:r>
        <w:t xml:space="preserve">Employed in an intellectual disability service for older adults </w:t>
      </w:r>
      <w:r w:rsidR="007B4A0C">
        <w:t>with intellectual disabilities</w:t>
      </w:r>
      <w:r>
        <w:t xml:space="preserve"> but not offering specialist ageing facilities </w:t>
      </w:r>
      <w:r w:rsidRPr="009D40A3">
        <w:rPr>
          <w:b/>
          <w:bCs/>
          <w:i/>
          <w:iCs/>
        </w:rPr>
        <w:t>or</w:t>
      </w:r>
      <w:r w:rsidRPr="009D40A3">
        <w:rPr>
          <w:rFonts w:ascii="Arial" w:hAnsi="Arial" w:cs="Arial"/>
          <w:b/>
          <w:bCs/>
          <w:i/>
          <w:iCs/>
        </w:rPr>
        <w:t> </w:t>
      </w:r>
      <w:r w:rsidRPr="009D40A3">
        <w:rPr>
          <w:b/>
          <w:bCs/>
          <w:i/>
          <w:iCs/>
        </w:rPr>
        <w:t xml:space="preserve"> </w:t>
      </w:r>
    </w:p>
    <w:p w14:paraId="3AE01C18" w14:textId="35E2F61A" w:rsidR="00AD037C" w:rsidRPr="004D5C3B" w:rsidRDefault="009D40A3" w:rsidP="002A24F0">
      <w:pPr>
        <w:pStyle w:val="ListParagraph"/>
        <w:numPr>
          <w:ilvl w:val="0"/>
          <w:numId w:val="12"/>
        </w:numPr>
        <w:ind w:left="714" w:hanging="357"/>
        <w:contextualSpacing w:val="0"/>
      </w:pPr>
      <w:r>
        <w:t xml:space="preserve">Employed in a nursing home where older adults </w:t>
      </w:r>
      <w:r w:rsidR="007B4A0C">
        <w:t>with intellectual disabilities</w:t>
      </w:r>
      <w:r>
        <w:t xml:space="preserve"> have been accommodated</w:t>
      </w:r>
      <w:r w:rsidRPr="009D40A3">
        <w:rPr>
          <w:rFonts w:ascii="Arial" w:hAnsi="Arial" w:cs="Arial"/>
        </w:rPr>
        <w:t> </w:t>
      </w:r>
    </w:p>
    <w:p w14:paraId="7613FD35" w14:textId="541DC4A5" w:rsidR="004D5C3B" w:rsidRDefault="004D5C3B" w:rsidP="004D5C3B">
      <w:pPr>
        <w:pStyle w:val="Heading4"/>
      </w:pPr>
      <w:r w:rsidRPr="00CF194F">
        <w:rPr>
          <w:color w:val="000000" w:themeColor="text1"/>
        </w:rPr>
        <w:t xml:space="preserve">Sampling and recruitment </w:t>
      </w:r>
    </w:p>
    <w:p w14:paraId="13C7726F" w14:textId="68458B54" w:rsidR="004D5C3B" w:rsidRDefault="004D5C3B" w:rsidP="004D5C3B">
      <w:r>
        <w:t>The same recruitment process was carried out for the phase 2 focus groups. Service management in intellectual disability services who were purposively sampled in phase 1 were asked to permit a maximum of four direct care staff per service to take part in focus groups. Letters of invitation and participant information forms were sent to direct care staff, via previously identified gatekeepers. Again, at the time of recruitment, nursing homes were experiencing staffing shortages due to COVID-19 and as a result</w:t>
      </w:r>
      <w:r w:rsidR="28B5E517">
        <w:t xml:space="preserve">, </w:t>
      </w:r>
      <w:r>
        <w:t xml:space="preserve">it was not possible to recruit nursing home staff to phase 2 of the study.  </w:t>
      </w:r>
    </w:p>
    <w:p w14:paraId="0C33189A" w14:textId="610F837A" w:rsidR="00CB0AE9" w:rsidRPr="00CF194F" w:rsidRDefault="00CB0AE9" w:rsidP="11C55A92">
      <w:pPr>
        <w:pStyle w:val="Heading4"/>
        <w:rPr>
          <w:color w:val="000000" w:themeColor="text1"/>
        </w:rPr>
      </w:pPr>
      <w:r w:rsidRPr="00CF194F">
        <w:rPr>
          <w:color w:val="000000" w:themeColor="text1"/>
        </w:rPr>
        <w:t xml:space="preserve">Data collection method </w:t>
      </w:r>
    </w:p>
    <w:p w14:paraId="7D3F6F99" w14:textId="64CD27D4" w:rsidR="00CB0AE9" w:rsidRDefault="00CB0AE9" w:rsidP="00CB0AE9">
      <w:r>
        <w:t xml:space="preserve">Four semi-structured focus groups were carried out online between February 16th and March 1st, two with direct care staff in an intellectual disability service providing specialist ageing facilities and two from intellectual disability services without specialist ageing facilities. </w:t>
      </w:r>
      <w:r w:rsidR="5C4B07F4">
        <w:t xml:space="preserve">A total of nine participants took part in the focus groups. </w:t>
      </w:r>
      <w:r>
        <w:t xml:space="preserve">Five out of eight of the services contacted responded to the request for participants.  </w:t>
      </w:r>
    </w:p>
    <w:p w14:paraId="05A94582" w14:textId="77777777" w:rsidR="00CB0AE9" w:rsidRDefault="00CB0AE9" w:rsidP="00CB0AE9">
      <w:pPr>
        <w:spacing w:after="120"/>
      </w:pPr>
      <w:r>
        <w:t xml:space="preserve">Phase 2 focus groups explored the same subject areas as covered in the phase 1 focus groups: </w:t>
      </w:r>
    </w:p>
    <w:p w14:paraId="240C69C8" w14:textId="77777777" w:rsidR="00CB0AE9" w:rsidRDefault="00CB0AE9" w:rsidP="002A24F0">
      <w:pPr>
        <w:pStyle w:val="ListParagraph"/>
        <w:numPr>
          <w:ilvl w:val="0"/>
          <w:numId w:val="13"/>
        </w:numPr>
        <w:spacing w:after="120"/>
        <w:ind w:left="714" w:hanging="357"/>
        <w:contextualSpacing w:val="0"/>
      </w:pPr>
      <w:r>
        <w:t xml:space="preserve">Factors influencing decision-making on care needs </w:t>
      </w:r>
    </w:p>
    <w:p w14:paraId="3AD86425" w14:textId="77777777" w:rsidR="00CB0AE9" w:rsidRDefault="00CB0AE9" w:rsidP="002A24F0">
      <w:pPr>
        <w:pStyle w:val="ListParagraph"/>
        <w:numPr>
          <w:ilvl w:val="0"/>
          <w:numId w:val="13"/>
        </w:numPr>
        <w:spacing w:after="120"/>
        <w:ind w:left="714" w:hanging="357"/>
        <w:contextualSpacing w:val="0"/>
      </w:pPr>
      <w:r>
        <w:t xml:space="preserve">Expected future needs </w:t>
      </w:r>
    </w:p>
    <w:p w14:paraId="0875C35F" w14:textId="77777777" w:rsidR="00CB0AE9" w:rsidRDefault="00CB0AE9" w:rsidP="002A24F0">
      <w:pPr>
        <w:pStyle w:val="ListParagraph"/>
        <w:numPr>
          <w:ilvl w:val="0"/>
          <w:numId w:val="13"/>
        </w:numPr>
        <w:spacing w:after="120"/>
        <w:ind w:left="714" w:hanging="357"/>
        <w:contextualSpacing w:val="0"/>
      </w:pPr>
      <w:r>
        <w:t xml:space="preserve">Experiences of ‘supporting transitions’ </w:t>
      </w:r>
    </w:p>
    <w:p w14:paraId="382AF651" w14:textId="33300EBC" w:rsidR="00655607" w:rsidRDefault="00CB0AE9" w:rsidP="00914D95">
      <w:pPr>
        <w:pStyle w:val="ListParagraph"/>
        <w:numPr>
          <w:ilvl w:val="0"/>
          <w:numId w:val="13"/>
        </w:numPr>
        <w:ind w:left="714" w:hanging="357"/>
        <w:contextualSpacing w:val="0"/>
      </w:pPr>
      <w:r>
        <w:t xml:space="preserve">Current outcomes and how these affect the quality of life of service recipients.  </w:t>
      </w:r>
    </w:p>
    <w:p w14:paraId="1358266D" w14:textId="3889D6AB" w:rsidR="00655607" w:rsidRPr="00CF194F" w:rsidRDefault="00655607" w:rsidP="00655607">
      <w:pPr>
        <w:pStyle w:val="Heading3"/>
        <w:rPr>
          <w:color w:val="auto"/>
        </w:rPr>
      </w:pPr>
      <w:bookmarkStart w:id="147" w:name="_Toc118558279"/>
      <w:r w:rsidRPr="00CF194F">
        <w:rPr>
          <w:color w:val="auto"/>
        </w:rPr>
        <w:t>Interviews</w:t>
      </w:r>
      <w:bookmarkEnd w:id="147"/>
      <w:r w:rsidRPr="00CF194F">
        <w:rPr>
          <w:color w:val="auto"/>
        </w:rPr>
        <w:t xml:space="preserve"> </w:t>
      </w:r>
    </w:p>
    <w:p w14:paraId="60D9F539" w14:textId="18DE614E" w:rsidR="00655607" w:rsidRDefault="00655607" w:rsidP="00655607">
      <w:pPr>
        <w:pStyle w:val="Heading4"/>
      </w:pPr>
      <w:r w:rsidRPr="00CF194F">
        <w:rPr>
          <w:color w:val="000000" w:themeColor="text1"/>
        </w:rPr>
        <w:t xml:space="preserve">Inclusion criteria </w:t>
      </w:r>
    </w:p>
    <w:p w14:paraId="24A16506" w14:textId="44DE2A40" w:rsidR="00655607" w:rsidRDefault="00655607" w:rsidP="00612F1F">
      <w:pPr>
        <w:spacing w:after="120"/>
      </w:pPr>
      <w:r>
        <w:t>Participants without intellectual disabilit</w:t>
      </w:r>
      <w:r w:rsidR="007B4A0C">
        <w:t>ies</w:t>
      </w:r>
      <w:r>
        <w:t xml:space="preserve"> were required to meet the following criteria: </w:t>
      </w:r>
    </w:p>
    <w:p w14:paraId="7456A39E" w14:textId="77777777" w:rsidR="00655607" w:rsidRDefault="00655607" w:rsidP="002A24F0">
      <w:pPr>
        <w:pStyle w:val="ListParagraph"/>
        <w:numPr>
          <w:ilvl w:val="0"/>
          <w:numId w:val="14"/>
        </w:numPr>
        <w:spacing w:after="120"/>
        <w:ind w:hanging="357"/>
        <w:contextualSpacing w:val="0"/>
      </w:pPr>
      <w:r>
        <w:t>Aged 18 years or over</w:t>
      </w:r>
      <w:r w:rsidRPr="00655607">
        <w:rPr>
          <w:rFonts w:ascii="Arial" w:hAnsi="Arial" w:cs="Arial"/>
        </w:rPr>
        <w:t> </w:t>
      </w:r>
      <w:r>
        <w:t xml:space="preserve"> </w:t>
      </w:r>
    </w:p>
    <w:p w14:paraId="4AD75954" w14:textId="54781547" w:rsidR="00655607" w:rsidRDefault="00655607" w:rsidP="002A24F0">
      <w:pPr>
        <w:pStyle w:val="ListParagraph"/>
        <w:numPr>
          <w:ilvl w:val="0"/>
          <w:numId w:val="14"/>
        </w:numPr>
        <w:spacing w:after="120"/>
        <w:ind w:hanging="357"/>
        <w:contextualSpacing w:val="0"/>
      </w:pPr>
      <w:r>
        <w:t xml:space="preserve">Immediate family member of living or deceased older adult </w:t>
      </w:r>
      <w:r w:rsidR="007B4A0C">
        <w:t>with intellectual disabilities</w:t>
      </w:r>
      <w:r>
        <w:t xml:space="preserve"> who is/was accommodated in: </w:t>
      </w:r>
    </w:p>
    <w:p w14:paraId="513841AA" w14:textId="16216637" w:rsidR="00655607" w:rsidRDefault="00655607" w:rsidP="002A24F0">
      <w:pPr>
        <w:pStyle w:val="ListParagraph"/>
        <w:numPr>
          <w:ilvl w:val="1"/>
          <w:numId w:val="14"/>
        </w:numPr>
        <w:spacing w:after="120"/>
        <w:ind w:hanging="357"/>
        <w:contextualSpacing w:val="0"/>
      </w:pPr>
      <w:r>
        <w:t xml:space="preserve">An intellectual disability service for older adults </w:t>
      </w:r>
      <w:r w:rsidR="007B4A0C">
        <w:t>with intellectual disabilities</w:t>
      </w:r>
      <w:r>
        <w:t xml:space="preserve"> and offering specialist ageing facilities or</w:t>
      </w:r>
      <w:r w:rsidRPr="00655607">
        <w:rPr>
          <w:rFonts w:ascii="Arial" w:hAnsi="Arial" w:cs="Arial"/>
        </w:rPr>
        <w:t> </w:t>
      </w:r>
      <w:r>
        <w:t xml:space="preserve"> </w:t>
      </w:r>
    </w:p>
    <w:p w14:paraId="4DDAAA11" w14:textId="2ED64AE3" w:rsidR="00655607" w:rsidRDefault="00655607" w:rsidP="002A24F0">
      <w:pPr>
        <w:pStyle w:val="ListParagraph"/>
        <w:numPr>
          <w:ilvl w:val="1"/>
          <w:numId w:val="14"/>
        </w:numPr>
        <w:spacing w:after="120"/>
        <w:ind w:hanging="357"/>
        <w:contextualSpacing w:val="0"/>
      </w:pPr>
      <w:r>
        <w:t xml:space="preserve">An intellectual disability service for older adults </w:t>
      </w:r>
      <w:r w:rsidR="007B4A0C">
        <w:t>with intellectual disabilities</w:t>
      </w:r>
      <w:r>
        <w:t xml:space="preserve"> but not offering specialist ageing facilities or</w:t>
      </w:r>
      <w:r w:rsidRPr="00655607">
        <w:rPr>
          <w:rFonts w:ascii="Arial" w:hAnsi="Arial" w:cs="Arial"/>
        </w:rPr>
        <w:t> </w:t>
      </w:r>
      <w:r>
        <w:t xml:space="preserve"> </w:t>
      </w:r>
    </w:p>
    <w:p w14:paraId="24C5143E" w14:textId="77777777" w:rsidR="00655607" w:rsidRDefault="00655607" w:rsidP="002A24F0">
      <w:pPr>
        <w:pStyle w:val="ListParagraph"/>
        <w:numPr>
          <w:ilvl w:val="1"/>
          <w:numId w:val="14"/>
        </w:numPr>
        <w:spacing w:after="120"/>
        <w:ind w:hanging="357"/>
        <w:contextualSpacing w:val="0"/>
      </w:pPr>
      <w:r>
        <w:t>A nursing home.</w:t>
      </w:r>
      <w:r w:rsidRPr="00655607">
        <w:rPr>
          <w:rFonts w:ascii="Arial" w:hAnsi="Arial" w:cs="Arial"/>
        </w:rPr>
        <w:t> </w:t>
      </w:r>
      <w:r>
        <w:t xml:space="preserve"> </w:t>
      </w:r>
    </w:p>
    <w:p w14:paraId="064F1683" w14:textId="1D5D6B65" w:rsidR="00655607" w:rsidRDefault="00655607" w:rsidP="002A24F0">
      <w:pPr>
        <w:pStyle w:val="ListParagraph"/>
        <w:numPr>
          <w:ilvl w:val="0"/>
          <w:numId w:val="14"/>
        </w:numPr>
        <w:spacing w:after="120"/>
        <w:ind w:hanging="357"/>
        <w:contextualSpacing w:val="0"/>
      </w:pPr>
      <w:r>
        <w:t xml:space="preserve">Participants </w:t>
      </w:r>
      <w:r w:rsidR="007B4A0C">
        <w:t>with intellectual disabilities</w:t>
      </w:r>
      <w:r>
        <w:t xml:space="preserve">: </w:t>
      </w:r>
    </w:p>
    <w:p w14:paraId="0C57CB73" w14:textId="77777777" w:rsidR="00655607" w:rsidRDefault="00655607" w:rsidP="002A24F0">
      <w:pPr>
        <w:pStyle w:val="ListParagraph"/>
        <w:numPr>
          <w:ilvl w:val="1"/>
          <w:numId w:val="14"/>
        </w:numPr>
        <w:spacing w:after="120"/>
        <w:ind w:hanging="357"/>
        <w:contextualSpacing w:val="0"/>
      </w:pPr>
      <w:r>
        <w:t>Aged 40 years or over</w:t>
      </w:r>
      <w:r w:rsidRPr="00655607">
        <w:rPr>
          <w:rFonts w:ascii="Arial" w:hAnsi="Arial" w:cs="Arial"/>
        </w:rPr>
        <w:t> </w:t>
      </w:r>
      <w:r>
        <w:t xml:space="preserve"> </w:t>
      </w:r>
    </w:p>
    <w:p w14:paraId="11C012EA" w14:textId="111BA8D8" w:rsidR="00655607" w:rsidRDefault="00655607" w:rsidP="002A24F0">
      <w:pPr>
        <w:pStyle w:val="ListParagraph"/>
        <w:numPr>
          <w:ilvl w:val="1"/>
          <w:numId w:val="14"/>
        </w:numPr>
        <w:spacing w:after="120"/>
        <w:ind w:hanging="357"/>
        <w:contextualSpacing w:val="0"/>
      </w:pPr>
      <w:r>
        <w:t>Older adult with mild or moderate intellectual disability</w:t>
      </w:r>
      <w:r w:rsidRPr="00655607">
        <w:rPr>
          <w:rFonts w:ascii="Arial" w:hAnsi="Arial" w:cs="Arial"/>
        </w:rPr>
        <w:t> </w:t>
      </w:r>
      <w:r>
        <w:t xml:space="preserve"> </w:t>
      </w:r>
    </w:p>
    <w:p w14:paraId="6E4769E8" w14:textId="77777777" w:rsidR="00655607" w:rsidRDefault="00655607" w:rsidP="002A24F0">
      <w:pPr>
        <w:pStyle w:val="ListParagraph"/>
        <w:numPr>
          <w:ilvl w:val="1"/>
          <w:numId w:val="14"/>
        </w:numPr>
        <w:spacing w:after="120"/>
        <w:ind w:hanging="357"/>
        <w:contextualSpacing w:val="0"/>
      </w:pPr>
      <w:r>
        <w:t>Self-advocating by self-declaration</w:t>
      </w:r>
      <w:r w:rsidRPr="00655607">
        <w:rPr>
          <w:rFonts w:ascii="Arial" w:hAnsi="Arial" w:cs="Arial"/>
        </w:rPr>
        <w:t> </w:t>
      </w:r>
      <w:r>
        <w:t xml:space="preserve"> </w:t>
      </w:r>
    </w:p>
    <w:p w14:paraId="0EC1A87E" w14:textId="77777777" w:rsidR="00655607" w:rsidRDefault="00655607" w:rsidP="002A24F0">
      <w:pPr>
        <w:pStyle w:val="ListParagraph"/>
        <w:numPr>
          <w:ilvl w:val="1"/>
          <w:numId w:val="14"/>
        </w:numPr>
        <w:spacing w:after="120"/>
        <w:ind w:hanging="357"/>
        <w:contextualSpacing w:val="0"/>
      </w:pPr>
      <w:r>
        <w:t>Have the capacity to consent to take part in this study</w:t>
      </w:r>
      <w:r w:rsidRPr="00655607">
        <w:rPr>
          <w:rFonts w:ascii="Arial" w:hAnsi="Arial" w:cs="Arial"/>
        </w:rPr>
        <w:t> </w:t>
      </w:r>
      <w:r>
        <w:t xml:space="preserve"> </w:t>
      </w:r>
    </w:p>
    <w:p w14:paraId="6EB17F80" w14:textId="7CDAA6EA" w:rsidR="00655607" w:rsidRDefault="00612F1F" w:rsidP="002A24F0">
      <w:pPr>
        <w:pStyle w:val="ListParagraph"/>
        <w:numPr>
          <w:ilvl w:val="1"/>
          <w:numId w:val="14"/>
        </w:numPr>
        <w:ind w:hanging="357"/>
        <w:contextualSpacing w:val="0"/>
      </w:pPr>
      <w:r>
        <w:t>C</w:t>
      </w:r>
      <w:r w:rsidR="00655607">
        <w:t>onsent to inclusion and participation in the study</w:t>
      </w:r>
      <w:r w:rsidR="00655607" w:rsidRPr="00655607">
        <w:rPr>
          <w:rFonts w:ascii="Arial" w:hAnsi="Arial" w:cs="Arial"/>
        </w:rPr>
        <w:t> </w:t>
      </w:r>
      <w:r w:rsidR="00655607">
        <w:t xml:space="preserve"> </w:t>
      </w:r>
    </w:p>
    <w:p w14:paraId="6FC10FAC" w14:textId="5F8997D8" w:rsidR="00655607" w:rsidRDefault="00655607" w:rsidP="00612F1F">
      <w:pPr>
        <w:pStyle w:val="Heading4"/>
      </w:pPr>
      <w:r w:rsidRPr="00CF194F">
        <w:rPr>
          <w:color w:val="000000" w:themeColor="text1"/>
        </w:rPr>
        <w:t>Sampling and recruitment</w:t>
      </w:r>
      <w:r>
        <w:t xml:space="preserve"> </w:t>
      </w:r>
    </w:p>
    <w:p w14:paraId="2FADD91B" w14:textId="3A836A3A" w:rsidR="00655607" w:rsidRDefault="00655607" w:rsidP="00655607">
      <w:r>
        <w:t xml:space="preserve">Seven intellectual disability services as well as The National Federation of Voluntary Service Providers, Inclusion Ireland, The National Advocacy Service and Citizen Advisory Panellists were contacted and asked to identify potential participants and to pass on a letter of invitation and information about the study.   </w:t>
      </w:r>
    </w:p>
    <w:p w14:paraId="1E3E0F0B" w14:textId="6FE18101" w:rsidR="00655607" w:rsidRDefault="00655607" w:rsidP="00BA470C">
      <w:pPr>
        <w:pStyle w:val="Heading4"/>
      </w:pPr>
      <w:r w:rsidRPr="00CF194F">
        <w:rPr>
          <w:color w:val="000000" w:themeColor="text1"/>
        </w:rPr>
        <w:t>Data collection method</w:t>
      </w:r>
      <w:r>
        <w:t xml:space="preserve"> </w:t>
      </w:r>
    </w:p>
    <w:p w14:paraId="55B63D52" w14:textId="38C4B24A" w:rsidR="00655607" w:rsidRDefault="00910834" w:rsidP="00655607">
      <w:r>
        <w:t>Fifteen</w:t>
      </w:r>
      <w:r w:rsidR="00655607">
        <w:t xml:space="preserve"> semi-structured interviews were carried out in a place of convenience for interviewees, between April 15th and July 8th, 2022. Two interviews were conducted over the phone, two were online over Zoom, and the remainder were face-to-face either in a day centre, a residential centre, or their home. The duration of interviews varied, ranging from approximately 8 to 55 minutes, with the average length of interviews lasting approximately 22 minutes.  </w:t>
      </w:r>
    </w:p>
    <w:p w14:paraId="09BFA0D8" w14:textId="2D3138B5" w:rsidR="00655607" w:rsidRDefault="00655607" w:rsidP="00BA470C">
      <w:pPr>
        <w:spacing w:after="120"/>
      </w:pPr>
      <w:r>
        <w:t xml:space="preserve">The purpose of these interviews was to explore the perspectives of staff, service users and family members. The interviews were framed by an interview schedule which explored: </w:t>
      </w:r>
    </w:p>
    <w:p w14:paraId="1643E307" w14:textId="77777777" w:rsidR="00BA470C" w:rsidRDefault="00655607" w:rsidP="002A24F0">
      <w:pPr>
        <w:pStyle w:val="ListParagraph"/>
        <w:numPr>
          <w:ilvl w:val="0"/>
          <w:numId w:val="15"/>
        </w:numPr>
        <w:spacing w:after="120"/>
        <w:ind w:left="641" w:hanging="357"/>
        <w:contextualSpacing w:val="0"/>
      </w:pPr>
      <w:r>
        <w:t xml:space="preserve">The interviewee’s experience and outcomes when faced with age-related challenges </w:t>
      </w:r>
    </w:p>
    <w:p w14:paraId="2954818F" w14:textId="77777777" w:rsidR="00BA470C" w:rsidRDefault="00655607" w:rsidP="002A24F0">
      <w:pPr>
        <w:pStyle w:val="ListParagraph"/>
        <w:numPr>
          <w:ilvl w:val="0"/>
          <w:numId w:val="15"/>
        </w:numPr>
        <w:spacing w:after="120"/>
        <w:ind w:left="641" w:hanging="357"/>
        <w:contextualSpacing w:val="0"/>
      </w:pPr>
      <w:r>
        <w:t xml:space="preserve">Experience of health-related and other ‘transitions’  </w:t>
      </w:r>
    </w:p>
    <w:p w14:paraId="0EDA99DF" w14:textId="77777777" w:rsidR="00BA470C" w:rsidRDefault="00655607" w:rsidP="002A24F0">
      <w:pPr>
        <w:pStyle w:val="ListParagraph"/>
        <w:numPr>
          <w:ilvl w:val="0"/>
          <w:numId w:val="15"/>
        </w:numPr>
        <w:spacing w:after="120"/>
        <w:ind w:left="641" w:hanging="357"/>
        <w:contextualSpacing w:val="0"/>
      </w:pPr>
      <w:r>
        <w:t xml:space="preserve">Experience of support during these ‘transitions’ </w:t>
      </w:r>
    </w:p>
    <w:p w14:paraId="4B7742DB" w14:textId="0A20293C" w:rsidR="00655607" w:rsidRDefault="00655607" w:rsidP="002A24F0">
      <w:pPr>
        <w:pStyle w:val="ListParagraph"/>
        <w:numPr>
          <w:ilvl w:val="0"/>
          <w:numId w:val="15"/>
        </w:numPr>
        <w:ind w:left="641" w:hanging="357"/>
        <w:contextualSpacing w:val="0"/>
      </w:pPr>
      <w:r>
        <w:t xml:space="preserve">Perspectives on their current outcomes and how these affect their quality of life.  </w:t>
      </w:r>
    </w:p>
    <w:p w14:paraId="78707E45" w14:textId="450E6AB8" w:rsidR="00C51259" w:rsidRDefault="00C51259" w:rsidP="00C51259">
      <w:pPr>
        <w:pStyle w:val="Heading2"/>
      </w:pPr>
      <w:bookmarkStart w:id="148" w:name="_Toc118555200"/>
      <w:bookmarkStart w:id="149" w:name="_Toc118558280"/>
      <w:bookmarkStart w:id="150" w:name="_Toc118558358"/>
      <w:bookmarkStart w:id="151" w:name="_Toc121830613"/>
      <w:r>
        <w:t xml:space="preserve">Data </w:t>
      </w:r>
      <w:r w:rsidR="001A6D6C">
        <w:t>a</w:t>
      </w:r>
      <w:r w:rsidR="00601692">
        <w:t>nalysis</w:t>
      </w:r>
      <w:bookmarkEnd w:id="148"/>
      <w:bookmarkEnd w:id="149"/>
      <w:bookmarkEnd w:id="150"/>
      <w:bookmarkEnd w:id="151"/>
    </w:p>
    <w:p w14:paraId="781E9A0C" w14:textId="2D4E7480" w:rsidR="00C51259" w:rsidRPr="00CF194F" w:rsidRDefault="00C51259" w:rsidP="00C51259">
      <w:pPr>
        <w:pStyle w:val="Heading3"/>
        <w:rPr>
          <w:color w:val="auto"/>
        </w:rPr>
      </w:pPr>
      <w:bookmarkStart w:id="152" w:name="_Toc118558281"/>
      <w:r w:rsidRPr="00CF194F">
        <w:rPr>
          <w:color w:val="auto"/>
        </w:rPr>
        <w:t>Qualitative analysis</w:t>
      </w:r>
      <w:bookmarkEnd w:id="152"/>
      <w:r w:rsidRPr="00CF194F">
        <w:rPr>
          <w:color w:val="auto"/>
        </w:rPr>
        <w:t xml:space="preserve">  </w:t>
      </w:r>
    </w:p>
    <w:p w14:paraId="6F0AB17D" w14:textId="43F83A1B" w:rsidR="00C51259" w:rsidRDefault="00C51259" w:rsidP="00C51259">
      <w:r>
        <w:t>The audio recordings from focus groups and interviews were transcribed verbatim by a professional company, and the researchers reviewed these written transcripts for accuracy</w:t>
      </w:r>
      <w:r w:rsidR="72437D73">
        <w:t>.</w:t>
      </w:r>
      <w:r>
        <w:t xml:space="preserve"> The qualitative data was analysed using the reflexive thematic analysis approach proposed by </w:t>
      </w:r>
      <w:r w:rsidR="00093511">
        <w:fldChar w:fldCharType="begin"/>
      </w:r>
      <w:r w:rsidR="0026339B">
        <w:instrText xml:space="preserve"> ADDIN EN.CITE &lt;EndNote&gt;&lt;Cite AuthorYear="1"&gt;&lt;Author&gt;Braun&lt;/Author&gt;&lt;Year&gt;2006&lt;/Year&gt;&lt;RecNum&gt;762&lt;/RecNum&gt;&lt;DisplayText&gt;Braun and Clarke (2006)&lt;/DisplayText&gt;&lt;record&gt;&lt;rec-number&gt;762&lt;/rec-number&gt;&lt;foreign-keys&gt;&lt;key app="EN" db-id="xtwfdzde5ttr0zevxrh5sf0c2wfzw5zf2vra" timestamp="1667585545" guid="9c748bce-70aa-41c5-a682-e95cda48eeca"&gt;762&lt;/key&gt;&lt;/foreign-keys&gt;&lt;ref-type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1478-0887&lt;/isbn&gt;&lt;urls&gt;&lt;/urls&gt;&lt;/record&gt;&lt;/Cite&gt;&lt;/EndNote&gt;</w:instrText>
      </w:r>
      <w:r w:rsidR="00093511">
        <w:fldChar w:fldCharType="separate"/>
      </w:r>
      <w:r w:rsidR="00093511">
        <w:rPr>
          <w:noProof/>
        </w:rPr>
        <w:t>Braun and Clarke (2006)</w:t>
      </w:r>
      <w:r w:rsidR="00093511">
        <w:fldChar w:fldCharType="end"/>
      </w:r>
      <w:r w:rsidR="00093511">
        <w:t xml:space="preserve"> </w:t>
      </w:r>
      <w:r>
        <w:t xml:space="preserve">whereby data was coded, and over-arching themes were identified. The research team discussed how the themes fit with theoretical perspectives and current policy as identified in the literature review regarding current practice and the processes which drive it, current and planned provision for ageing, and perceived future need. Themes were also considered in the context of the IDS-TILDA dataset. </w:t>
      </w:r>
    </w:p>
    <w:p w14:paraId="0847FC67" w14:textId="3AB69184" w:rsidR="00C51259" w:rsidRDefault="00354E5F" w:rsidP="00A010D6">
      <w:pPr>
        <w:spacing w:after="120"/>
      </w:pPr>
      <w:r>
        <w:t>Th</w:t>
      </w:r>
      <w:r w:rsidR="00547F17">
        <w:t xml:space="preserve">e </w:t>
      </w:r>
      <w:r>
        <w:t>main overarching</w:t>
      </w:r>
      <w:r w:rsidR="00C51259">
        <w:t xml:space="preserve"> themes identified in the qualitative data were: </w:t>
      </w:r>
    </w:p>
    <w:p w14:paraId="62B26303" w14:textId="510DADE9" w:rsidR="00C51259" w:rsidRDefault="00354E5F" w:rsidP="002A24F0">
      <w:pPr>
        <w:pStyle w:val="ListParagraph"/>
        <w:numPr>
          <w:ilvl w:val="0"/>
          <w:numId w:val="16"/>
        </w:numPr>
        <w:spacing w:after="120"/>
        <w:ind w:hanging="357"/>
        <w:contextualSpacing w:val="0"/>
      </w:pPr>
      <w:r>
        <w:t>Approaches to service</w:t>
      </w:r>
    </w:p>
    <w:p w14:paraId="11FAEC83" w14:textId="387334CF" w:rsidR="00C51259" w:rsidRDefault="00C51259" w:rsidP="002A24F0">
      <w:pPr>
        <w:pStyle w:val="ListParagraph"/>
        <w:numPr>
          <w:ilvl w:val="0"/>
          <w:numId w:val="16"/>
        </w:numPr>
        <w:spacing w:after="120"/>
        <w:ind w:hanging="357"/>
        <w:contextualSpacing w:val="0"/>
      </w:pPr>
      <w:r>
        <w:t xml:space="preserve">Providing service to meet individuals needs </w:t>
      </w:r>
    </w:p>
    <w:p w14:paraId="098CEBE3" w14:textId="78B6E6ED" w:rsidR="00C51259" w:rsidRDefault="00C51259" w:rsidP="002A24F0">
      <w:pPr>
        <w:pStyle w:val="ListParagraph"/>
        <w:numPr>
          <w:ilvl w:val="0"/>
          <w:numId w:val="16"/>
        </w:numPr>
        <w:ind w:hanging="357"/>
        <w:contextualSpacing w:val="0"/>
      </w:pPr>
      <w:r>
        <w:t>Responding to individuals’ needs</w:t>
      </w:r>
    </w:p>
    <w:p w14:paraId="7EE8C356" w14:textId="2CC1A4E1" w:rsidR="00CB7CEC" w:rsidRDefault="00CB7CEC" w:rsidP="003C2855">
      <w:pPr>
        <w:pStyle w:val="Heading3"/>
      </w:pPr>
      <w:bookmarkStart w:id="153" w:name="_Toc118558282"/>
      <w:r>
        <w:t>Quantitative analysis</w:t>
      </w:r>
      <w:bookmarkEnd w:id="153"/>
      <w:r>
        <w:t xml:space="preserve">  </w:t>
      </w:r>
    </w:p>
    <w:p w14:paraId="3E888A1B" w14:textId="1A1D9A5B" w:rsidR="00AD7491" w:rsidRDefault="00CB7CEC" w:rsidP="00CB7CEC">
      <w:r>
        <w:t xml:space="preserve">The quantitative data, obtained through the two online questionnaires, were analysed using SPSS Version 21 (IBM Corporation 2012). </w:t>
      </w:r>
      <w:r w:rsidR="00AD7491">
        <w:t xml:space="preserve">Statistical tests were performed to establish whether statistically significant differences between </w:t>
      </w:r>
      <w:r w:rsidR="00651035">
        <w:t xml:space="preserve">two overarching categories of </w:t>
      </w:r>
      <w:r w:rsidR="00AD7491">
        <w:t>service approaches (</w:t>
      </w:r>
      <w:r w:rsidR="00440548">
        <w:t>those with s</w:t>
      </w:r>
      <w:r w:rsidR="00AD7491">
        <w:t>pecific</w:t>
      </w:r>
      <w:r w:rsidR="00440548">
        <w:t xml:space="preserve"> ageing pathways and those without)</w:t>
      </w:r>
      <w:r w:rsidR="00AD7491">
        <w:t xml:space="preserve"> were present in the data. </w:t>
      </w:r>
      <w:r w:rsidR="00440548">
        <w:t xml:space="preserve">These were explored </w:t>
      </w:r>
      <w:r w:rsidR="00B630A1">
        <w:t>usin</w:t>
      </w:r>
      <w:r w:rsidR="00261799">
        <w:t>g</w:t>
      </w:r>
      <w:r w:rsidR="00FA101A">
        <w:t xml:space="preserve"> </w:t>
      </w:r>
      <w:r w:rsidR="005D7FC8">
        <w:t>Fisher’s Exact Test</w:t>
      </w:r>
      <w:r w:rsidR="00261799">
        <w:t xml:space="preserve"> </w:t>
      </w:r>
      <w:r w:rsidR="00DB02A3">
        <w:t xml:space="preserve">but </w:t>
      </w:r>
      <w:r w:rsidR="00B630A1">
        <w:t>no statistically significant differences</w:t>
      </w:r>
      <w:r w:rsidR="00185A1A">
        <w:t xml:space="preserve"> (</w:t>
      </w:r>
      <w:r w:rsidR="000155FD">
        <w:t>p&lt;0.005)</w:t>
      </w:r>
      <w:r w:rsidR="00DB02A3">
        <w:t xml:space="preserve"> were identified in respect of a range of </w:t>
      </w:r>
      <w:r w:rsidR="00185A1A">
        <w:t>complex ageing conditions.</w:t>
      </w:r>
      <w:r w:rsidR="00427E6F">
        <w:t xml:space="preserve"> </w:t>
      </w:r>
      <w:r w:rsidR="007C4D35">
        <w:t xml:space="preserve">Services </w:t>
      </w:r>
      <w:r w:rsidR="00651035">
        <w:t xml:space="preserve">falling within each category </w:t>
      </w:r>
      <w:r w:rsidR="007C4D35">
        <w:t xml:space="preserve">described </w:t>
      </w:r>
      <w:r w:rsidR="00EE15B2">
        <w:t xml:space="preserve">a </w:t>
      </w:r>
      <w:r w:rsidR="00E711DC">
        <w:t>mix of</w:t>
      </w:r>
      <w:r w:rsidR="007C4D35">
        <w:t xml:space="preserve"> </w:t>
      </w:r>
      <w:r w:rsidR="00D10321">
        <w:t>effective</w:t>
      </w:r>
      <w:r w:rsidR="006D0A87">
        <w:t xml:space="preserve"> and</w:t>
      </w:r>
      <w:r w:rsidR="00D10321">
        <w:t xml:space="preserve"> limited</w:t>
      </w:r>
      <w:r w:rsidR="006D0A87">
        <w:t>/n</w:t>
      </w:r>
      <w:r w:rsidR="00D10321">
        <w:t>on-existent pathways</w:t>
      </w:r>
      <w:r w:rsidR="002011FD">
        <w:t xml:space="preserve">. Thus, for example, </w:t>
      </w:r>
      <w:r w:rsidR="00D611D8">
        <w:t>66.7</w:t>
      </w:r>
      <w:r w:rsidR="002011FD">
        <w:t>% (n=</w:t>
      </w:r>
      <w:r w:rsidR="006D0A87">
        <w:t>10</w:t>
      </w:r>
      <w:r w:rsidR="002011FD">
        <w:t>) of ‘specialist’ services</w:t>
      </w:r>
      <w:r w:rsidR="006D0A87">
        <w:t xml:space="preserve"> </w:t>
      </w:r>
      <w:r w:rsidR="00D611D8">
        <w:t xml:space="preserve">indicated that they had an effective pathways for dementia care, with 33.3% (n=5) </w:t>
      </w:r>
      <w:r w:rsidR="00A707E4">
        <w:t xml:space="preserve">stating that they did not. </w:t>
      </w:r>
      <w:r w:rsidR="00DA44FD">
        <w:t>Amongst ‘n</w:t>
      </w:r>
      <w:r w:rsidR="00A707E4">
        <w:t>on-specialist’ services</w:t>
      </w:r>
      <w:r w:rsidR="00DA44FD">
        <w:t>, 40% (n=4)</w:t>
      </w:r>
      <w:r w:rsidR="00183319">
        <w:t xml:space="preserve"> indicated that they had an effective </w:t>
      </w:r>
      <w:r w:rsidR="00C821FD">
        <w:t xml:space="preserve">dementia </w:t>
      </w:r>
      <w:r w:rsidR="00183319">
        <w:t>pathway</w:t>
      </w:r>
      <w:r w:rsidR="00C821FD">
        <w:t xml:space="preserve"> and 60% (n=6) did not.</w:t>
      </w:r>
      <w:r w:rsidR="00EE15B2">
        <w:t xml:space="preserve"> </w:t>
      </w:r>
      <w:r w:rsidR="0D2C5289">
        <w:t xml:space="preserve">As no </w:t>
      </w:r>
      <w:r w:rsidR="00EE15B2">
        <w:t xml:space="preserve">significant </w:t>
      </w:r>
      <w:r w:rsidR="0D2C5289">
        <w:t xml:space="preserve">differences were identified, </w:t>
      </w:r>
      <w:r w:rsidR="72B4118D">
        <w:t>d</w:t>
      </w:r>
      <w:r w:rsidR="1E5AE2E1">
        <w:t>escriptive</w:t>
      </w:r>
      <w:r>
        <w:t xml:space="preserve"> statistics were generated first to describe the demographic profile of</w:t>
      </w:r>
      <w:r w:rsidR="19AF8476">
        <w:t xml:space="preserve"> individuals residing in intellectual disability care services for older people</w:t>
      </w:r>
      <w:r>
        <w:t xml:space="preserve"> inte</w:t>
      </w:r>
      <w:r w:rsidR="2BDAE35E">
        <w:t xml:space="preserve">llectual </w:t>
      </w:r>
      <w:r>
        <w:t xml:space="preserve">and to develop an overall picture of current service approaches and models of care for older people </w:t>
      </w:r>
      <w:r w:rsidR="007B4A0C">
        <w:t>with intellectual disabilities</w:t>
      </w:r>
      <w:r>
        <w:t xml:space="preserve"> and complex age-related needs, including the financial implications of complex age-related care needs for services.  </w:t>
      </w:r>
    </w:p>
    <w:p w14:paraId="2681ABE4" w14:textId="10121D42" w:rsidR="00CB7CEC" w:rsidRDefault="00CB7CEC" w:rsidP="00CB7CEC">
      <w:r>
        <w:t xml:space="preserve">Qualitative data within the surveys were coded thematically to identify themes that would help to uncover valuable insights and to support the interpretation of the quantitative data.  </w:t>
      </w:r>
    </w:p>
    <w:p w14:paraId="7E68F0C0" w14:textId="6C9C73CB" w:rsidR="00CB7CEC" w:rsidRDefault="00CB7CEC" w:rsidP="00CB7CEC">
      <w:pPr>
        <w:pStyle w:val="Heading2"/>
      </w:pPr>
      <w:bookmarkStart w:id="154" w:name="_Toc118555201"/>
      <w:bookmarkStart w:id="155" w:name="_Toc118558283"/>
      <w:bookmarkStart w:id="156" w:name="_Toc118558359"/>
      <w:bookmarkStart w:id="157" w:name="_Toc121830614"/>
      <w:r>
        <w:t xml:space="preserve">Ethical </w:t>
      </w:r>
      <w:r w:rsidR="001A6D6C">
        <w:t>c</w:t>
      </w:r>
      <w:r>
        <w:t>onsiderations</w:t>
      </w:r>
      <w:bookmarkEnd w:id="154"/>
      <w:bookmarkEnd w:id="155"/>
      <w:bookmarkEnd w:id="156"/>
      <w:bookmarkEnd w:id="157"/>
      <w:r>
        <w:t xml:space="preserve"> </w:t>
      </w:r>
    </w:p>
    <w:p w14:paraId="1840B4C8" w14:textId="5D7ED16F" w:rsidR="00A73B57" w:rsidRPr="00BC6699" w:rsidRDefault="3F98B9FA" w:rsidP="001466E9">
      <w:r>
        <w:t xml:space="preserve">Ethical approval was obtained from the Research Ethics Committee of the Faculty of Health Sciences in Trinity College Dublin. All researchers involved in the study were bound by and adhered to the national and international codes of good practice in research, and by professional standards within their disciplines. All participants received information sheets that outlined the study procedures, the risks and benefits associated with participating, and the protocols regarding confidentiality and voluntary participation. For the online survey, participants were asked to read information on the study and give informed consent before starting the survey. Before each focus group and interview, written or verbal consent was obtained from </w:t>
      </w:r>
      <w:r w:rsidR="27637E26">
        <w:t>participants</w:t>
      </w:r>
      <w:r w:rsidR="6ED39EF8">
        <w:t xml:space="preserve">. </w:t>
      </w:r>
      <w:r w:rsidR="1E5BA8ED">
        <w:t>W</w:t>
      </w:r>
      <w:r>
        <w:t xml:space="preserve">here verbal consent was given this formed part of the audio recording. To protect the confidentiality of participants, focus group and interview audio files were uploaded onto a </w:t>
      </w:r>
      <w:r w:rsidR="31021E15">
        <w:t xml:space="preserve">password </w:t>
      </w:r>
      <w:r w:rsidR="40A5719C">
        <w:t xml:space="preserve">protected folder </w:t>
      </w:r>
      <w:r>
        <w:t xml:space="preserve">on a double-encrypted, password-protected TCAID computer and deleted from the audio recorders. The audio files were transcribed by a professional transcription company that had signed a Data Processing Agreement with the Data Controller for this study. Once transcribed, the audio recordings were deleted, and the transcripts were stored on the double encrypted TCAID computer </w:t>
      </w:r>
      <w:r w:rsidR="3379A21E">
        <w:t xml:space="preserve">available </w:t>
      </w:r>
      <w:r>
        <w:t>only</w:t>
      </w:r>
      <w:r w:rsidR="75E0123C">
        <w:t xml:space="preserve"> to </w:t>
      </w:r>
      <w:r>
        <w:t xml:space="preserve">the researchers. During transcription, all identifying information was removed, and participant names were pseudonymised.  </w:t>
      </w:r>
    </w:p>
    <w:p w14:paraId="732FEAAE" w14:textId="40634299" w:rsidR="00E403DF" w:rsidRDefault="00731302" w:rsidP="00731302">
      <w:pPr>
        <w:pStyle w:val="Heading2"/>
      </w:pPr>
      <w:bookmarkStart w:id="158" w:name="_Toc118555202"/>
      <w:bookmarkStart w:id="159" w:name="_Toc118558284"/>
      <w:bookmarkStart w:id="160" w:name="_Toc118558360"/>
      <w:bookmarkStart w:id="161" w:name="_Toc121830615"/>
      <w:r>
        <w:t xml:space="preserve">Sample </w:t>
      </w:r>
      <w:r w:rsidR="00163B7A">
        <w:t>p</w:t>
      </w:r>
      <w:r>
        <w:t>rofile</w:t>
      </w:r>
      <w:bookmarkEnd w:id="158"/>
      <w:bookmarkEnd w:id="159"/>
      <w:bookmarkEnd w:id="160"/>
      <w:bookmarkEnd w:id="161"/>
    </w:p>
    <w:p w14:paraId="3C3C2291" w14:textId="6DA2CEC9" w:rsidR="00910834" w:rsidRDefault="2A240CB5" w:rsidP="17A60201">
      <w:r w:rsidRPr="00910834">
        <w:t xml:space="preserve">In summary, </w:t>
      </w:r>
      <w:r w:rsidR="62AE768D" w:rsidRPr="00910834">
        <w:t>qualitative</w:t>
      </w:r>
      <w:r w:rsidR="00731302" w:rsidRPr="00910834">
        <w:t xml:space="preserve"> data collection was undertaken through the conduct of four semi-structured focus groups with managers from services offering specialist ageing services (SS) and from services that offered a generic care pathway (GS). Four further focus groups were conducted with direct staff from both settings. Finally, 16 interviews were conducted, one with a service manager, and the others with older adults with intellectual disabilities, family members of older people who are receiving intellectual disability services and family members of older people with intellectual disabilit</w:t>
      </w:r>
      <w:r w:rsidR="00C85736">
        <w:t>ies</w:t>
      </w:r>
      <w:r w:rsidR="00731302" w:rsidRPr="00910834">
        <w:t xml:space="preserve"> who are now deceased</w:t>
      </w:r>
      <w:r w:rsidR="149CFDF3" w:rsidRPr="00910834">
        <w:t>.</w:t>
      </w:r>
      <w:r w:rsidR="0CE304D5" w:rsidRPr="00910834">
        <w:t xml:space="preserve"> Quantitative data was administered through the use of a survey que</w:t>
      </w:r>
      <w:r w:rsidR="370DEDCD" w:rsidRPr="00910834">
        <w:t>stionnaire. Thirty-two completed questionnaires were returned (</w:t>
      </w:r>
      <w:r w:rsidR="00910834">
        <w:t>40</w:t>
      </w:r>
      <w:r w:rsidR="370DEDCD" w:rsidRPr="00910834">
        <w:t xml:space="preserve">%). </w:t>
      </w:r>
      <w:r w:rsidR="0CE304D5" w:rsidRPr="17A60201">
        <w:rPr>
          <w:rFonts w:eastAsia="Calibri" w:cs="Calibri"/>
          <w:lang w:val="en-US"/>
        </w:rPr>
        <w:t>Four participants indicated that they were interested in receiving the follow-on survey exploring costs associated with service provision.</w:t>
      </w:r>
      <w:r w:rsidR="0CE304D5" w:rsidRPr="00910834">
        <w:rPr>
          <w:rFonts w:eastAsia="Calibri" w:cs="Calibri"/>
          <w:lang w:val="en-US"/>
        </w:rPr>
        <w:t xml:space="preserve"> Of these, only 2 services completed the follow-up survey offering very limited insights into costing and funding challenges</w:t>
      </w:r>
      <w:r w:rsidR="00731302" w:rsidRPr="00910834">
        <w:t xml:space="preserve"> (Table 2).</w:t>
      </w:r>
      <w:r w:rsidR="00910834">
        <w:t xml:space="preserve"> </w:t>
      </w:r>
    </w:p>
    <w:p w14:paraId="2B8E79C3" w14:textId="1549DD79" w:rsidR="005852BC" w:rsidRPr="00B3487F" w:rsidRDefault="005852BC" w:rsidP="005852BC">
      <w:pPr>
        <w:pStyle w:val="Caption"/>
      </w:pPr>
      <w:bookmarkStart w:id="162" w:name="_Toc121830413"/>
      <w:r>
        <w:t xml:space="preserve">Table </w:t>
      </w:r>
      <w:r>
        <w:fldChar w:fldCharType="begin"/>
      </w:r>
      <w:r>
        <w:instrText>SEQ Table \* ARABIC</w:instrText>
      </w:r>
      <w:r>
        <w:fldChar w:fldCharType="separate"/>
      </w:r>
      <w:r w:rsidR="00430214">
        <w:rPr>
          <w:noProof/>
        </w:rPr>
        <w:t>2</w:t>
      </w:r>
      <w:r>
        <w:fldChar w:fldCharType="end"/>
      </w:r>
      <w:r>
        <w:t>: Details of participants/respondents across the study</w:t>
      </w:r>
      <w:bookmarkEnd w:id="162"/>
    </w:p>
    <w:tbl>
      <w:tblPr>
        <w:tblStyle w:val="TableGrid"/>
        <w:tblW w:w="8647" w:type="dxa"/>
        <w:tblInd w:w="-5" w:type="dxa"/>
        <w:tblBorders>
          <w:top w:val="single" w:sz="4" w:space="0" w:color="8EA9DB"/>
          <w:left w:val="single" w:sz="4" w:space="0" w:color="8EA9DB"/>
          <w:bottom w:val="single" w:sz="4" w:space="0" w:color="8EA9DB"/>
          <w:right w:val="single" w:sz="4" w:space="0" w:color="8EA9DB"/>
          <w:insideH w:val="single" w:sz="4" w:space="0" w:color="8EA9DB"/>
          <w:insideV w:val="single" w:sz="4" w:space="0" w:color="8EA9DB"/>
        </w:tblBorders>
        <w:tblLayout w:type="fixed"/>
        <w:tblLook w:val="06A0" w:firstRow="1" w:lastRow="0" w:firstColumn="1" w:lastColumn="0" w:noHBand="1" w:noVBand="1"/>
      </w:tblPr>
      <w:tblGrid>
        <w:gridCol w:w="2835"/>
        <w:gridCol w:w="4253"/>
        <w:gridCol w:w="1559"/>
      </w:tblGrid>
      <w:tr w:rsidR="00F4292C" w:rsidRPr="005D754F" w14:paraId="10037672" w14:textId="77777777" w:rsidTr="00C93944">
        <w:trPr>
          <w:trHeight w:val="315"/>
        </w:trPr>
        <w:tc>
          <w:tcPr>
            <w:tcW w:w="2835" w:type="dxa"/>
            <w:tcBorders>
              <w:right w:val="nil"/>
            </w:tcBorders>
          </w:tcPr>
          <w:p w14:paraId="13E20369" w14:textId="77777777" w:rsidR="005852BC" w:rsidRPr="005D754F" w:rsidRDefault="005852BC" w:rsidP="00FA2617">
            <w:pPr>
              <w:spacing w:after="0" w:line="240" w:lineRule="auto"/>
              <w:rPr>
                <w:rFonts w:eastAsia="Calibri" w:cstheme="minorHAnsi"/>
                <w:b/>
                <w:sz w:val="22"/>
                <w:szCs w:val="22"/>
              </w:rPr>
            </w:pPr>
            <w:r w:rsidRPr="005D754F">
              <w:rPr>
                <w:rFonts w:eastAsia="Calibri" w:cstheme="minorHAnsi"/>
                <w:b/>
                <w:sz w:val="22"/>
                <w:szCs w:val="22"/>
              </w:rPr>
              <w:t>Mode of Data Collection</w:t>
            </w:r>
          </w:p>
        </w:tc>
        <w:tc>
          <w:tcPr>
            <w:tcW w:w="4253" w:type="dxa"/>
            <w:tcBorders>
              <w:left w:val="nil"/>
              <w:right w:val="nil"/>
            </w:tcBorders>
          </w:tcPr>
          <w:p w14:paraId="60A99741" w14:textId="77777777" w:rsidR="005852BC" w:rsidRPr="005D754F" w:rsidRDefault="005852BC" w:rsidP="00FA2617">
            <w:pPr>
              <w:spacing w:after="0" w:line="240" w:lineRule="auto"/>
              <w:rPr>
                <w:rFonts w:eastAsia="Calibri" w:cstheme="minorHAnsi"/>
                <w:b/>
                <w:sz w:val="22"/>
                <w:szCs w:val="22"/>
              </w:rPr>
            </w:pPr>
            <w:r w:rsidRPr="005D754F">
              <w:rPr>
                <w:rFonts w:eastAsia="Calibri" w:cstheme="minorHAnsi"/>
                <w:b/>
                <w:sz w:val="22"/>
                <w:szCs w:val="22"/>
              </w:rPr>
              <w:t>Participants</w:t>
            </w:r>
          </w:p>
        </w:tc>
        <w:tc>
          <w:tcPr>
            <w:tcW w:w="1559" w:type="dxa"/>
            <w:tcBorders>
              <w:left w:val="nil"/>
            </w:tcBorders>
          </w:tcPr>
          <w:p w14:paraId="651C76B9" w14:textId="77777777" w:rsidR="005852BC" w:rsidRPr="005D754F" w:rsidRDefault="005852BC" w:rsidP="00FA2617">
            <w:pPr>
              <w:spacing w:after="0" w:line="240" w:lineRule="auto"/>
              <w:jc w:val="center"/>
              <w:rPr>
                <w:rFonts w:eastAsia="Calibri" w:cstheme="minorHAnsi"/>
                <w:b/>
                <w:sz w:val="22"/>
                <w:szCs w:val="22"/>
              </w:rPr>
            </w:pPr>
            <w:r w:rsidRPr="005D754F">
              <w:rPr>
                <w:rFonts w:eastAsia="Calibri" w:cstheme="minorHAnsi"/>
                <w:b/>
                <w:sz w:val="22"/>
                <w:szCs w:val="22"/>
              </w:rPr>
              <w:t>No. of Participants</w:t>
            </w:r>
          </w:p>
        </w:tc>
      </w:tr>
      <w:tr w:rsidR="00284BF2" w:rsidRPr="005D754F" w14:paraId="3A5EDFEF" w14:textId="77777777" w:rsidTr="006D70CA">
        <w:trPr>
          <w:trHeight w:val="315"/>
        </w:trPr>
        <w:tc>
          <w:tcPr>
            <w:tcW w:w="2835" w:type="dxa"/>
            <w:vMerge w:val="restart"/>
          </w:tcPr>
          <w:p w14:paraId="6FE3A1B8" w14:textId="50B5A3B0" w:rsidR="00284BF2" w:rsidRPr="005D754F" w:rsidRDefault="00284BF2" w:rsidP="00FA2617">
            <w:pPr>
              <w:spacing w:after="0" w:line="240" w:lineRule="auto"/>
              <w:rPr>
                <w:rFonts w:cstheme="minorHAnsi"/>
                <w:b/>
                <w:sz w:val="22"/>
                <w:szCs w:val="22"/>
              </w:rPr>
            </w:pPr>
            <w:r w:rsidRPr="005D754F">
              <w:rPr>
                <w:rFonts w:eastAsia="Calibri" w:cstheme="minorHAnsi"/>
                <w:b/>
                <w:sz w:val="22"/>
                <w:szCs w:val="22"/>
              </w:rPr>
              <w:t>Focus groups (n=8)</w:t>
            </w:r>
          </w:p>
        </w:tc>
        <w:tc>
          <w:tcPr>
            <w:tcW w:w="4253" w:type="dxa"/>
            <w:shd w:val="clear" w:color="auto" w:fill="D9E2F3"/>
          </w:tcPr>
          <w:p w14:paraId="0ABFF36D" w14:textId="77777777" w:rsidR="00284BF2" w:rsidRPr="005D754F" w:rsidRDefault="00284BF2" w:rsidP="00FA2617">
            <w:pPr>
              <w:spacing w:after="0" w:line="240" w:lineRule="auto"/>
              <w:rPr>
                <w:rFonts w:eastAsia="Calibri" w:cstheme="minorHAnsi"/>
                <w:sz w:val="22"/>
                <w:szCs w:val="22"/>
              </w:rPr>
            </w:pPr>
            <w:r w:rsidRPr="005D754F">
              <w:rPr>
                <w:rFonts w:eastAsia="Calibri" w:cstheme="minorHAnsi"/>
                <w:sz w:val="22"/>
                <w:szCs w:val="22"/>
              </w:rPr>
              <w:t>Service managers</w:t>
            </w:r>
          </w:p>
        </w:tc>
        <w:tc>
          <w:tcPr>
            <w:tcW w:w="1559" w:type="dxa"/>
            <w:shd w:val="clear" w:color="auto" w:fill="D9E2F3"/>
          </w:tcPr>
          <w:p w14:paraId="00EA5F83" w14:textId="77777777" w:rsidR="00284BF2" w:rsidRPr="005D754F" w:rsidRDefault="00284BF2" w:rsidP="00FA2617">
            <w:pPr>
              <w:spacing w:after="0" w:line="240" w:lineRule="auto"/>
              <w:jc w:val="center"/>
              <w:rPr>
                <w:rFonts w:cstheme="minorHAnsi"/>
                <w:sz w:val="22"/>
                <w:szCs w:val="22"/>
              </w:rPr>
            </w:pPr>
            <w:r w:rsidRPr="005D754F">
              <w:rPr>
                <w:rFonts w:eastAsia="Calibri" w:cstheme="minorHAnsi"/>
                <w:sz w:val="22"/>
                <w:szCs w:val="22"/>
              </w:rPr>
              <w:t xml:space="preserve"> </w:t>
            </w:r>
          </w:p>
        </w:tc>
      </w:tr>
      <w:tr w:rsidR="00284BF2" w:rsidRPr="005D754F" w14:paraId="335F2ABE" w14:textId="77777777" w:rsidTr="006D70CA">
        <w:trPr>
          <w:trHeight w:val="315"/>
        </w:trPr>
        <w:tc>
          <w:tcPr>
            <w:tcW w:w="2835" w:type="dxa"/>
            <w:vMerge/>
          </w:tcPr>
          <w:p w14:paraId="64C1A845" w14:textId="6873FE07" w:rsidR="00284BF2" w:rsidRPr="0086148B" w:rsidRDefault="00284BF2" w:rsidP="00FA2617">
            <w:pPr>
              <w:spacing w:after="0" w:line="240" w:lineRule="auto"/>
              <w:jc w:val="right"/>
              <w:rPr>
                <w:rFonts w:cstheme="minorHAnsi"/>
                <w:b/>
                <w:sz w:val="22"/>
                <w:szCs w:val="22"/>
              </w:rPr>
            </w:pPr>
          </w:p>
        </w:tc>
        <w:tc>
          <w:tcPr>
            <w:tcW w:w="4253" w:type="dxa"/>
            <w:shd w:val="clear" w:color="auto" w:fill="D9E2F3"/>
          </w:tcPr>
          <w:p w14:paraId="74613934" w14:textId="77777777" w:rsidR="00284BF2" w:rsidRPr="005D754F" w:rsidRDefault="00284BF2" w:rsidP="00FA2617">
            <w:pPr>
              <w:spacing w:after="0" w:line="240" w:lineRule="auto"/>
              <w:jc w:val="center"/>
              <w:rPr>
                <w:rFonts w:eastAsia="Calibri" w:cstheme="minorHAnsi"/>
                <w:i/>
                <w:sz w:val="22"/>
                <w:szCs w:val="22"/>
              </w:rPr>
            </w:pPr>
            <w:r w:rsidRPr="005D754F">
              <w:rPr>
                <w:rFonts w:eastAsia="Calibri" w:cstheme="minorHAnsi"/>
                <w:i/>
                <w:sz w:val="22"/>
                <w:szCs w:val="22"/>
              </w:rPr>
              <w:t>Specialist service</w:t>
            </w:r>
            <w:r>
              <w:rPr>
                <w:rFonts w:eastAsia="Calibri" w:cstheme="minorHAnsi"/>
                <w:i/>
                <w:sz w:val="22"/>
                <w:szCs w:val="22"/>
              </w:rPr>
              <w:t xml:space="preserve"> </w:t>
            </w:r>
            <w:r w:rsidRPr="00093EA5">
              <w:rPr>
                <w:rFonts w:eastAsia="Calibri" w:cstheme="minorHAnsi"/>
                <w:sz w:val="22"/>
                <w:szCs w:val="22"/>
              </w:rPr>
              <w:t>(SS)</w:t>
            </w:r>
          </w:p>
        </w:tc>
        <w:tc>
          <w:tcPr>
            <w:tcW w:w="1559" w:type="dxa"/>
            <w:shd w:val="clear" w:color="auto" w:fill="D9E2F3"/>
          </w:tcPr>
          <w:p w14:paraId="50DC6D6F" w14:textId="77777777" w:rsidR="00284BF2" w:rsidRPr="005D754F" w:rsidRDefault="00284BF2" w:rsidP="00FA2617">
            <w:pPr>
              <w:spacing w:after="0" w:line="240" w:lineRule="auto"/>
              <w:jc w:val="center"/>
              <w:rPr>
                <w:rFonts w:cstheme="minorHAnsi"/>
                <w:sz w:val="22"/>
                <w:szCs w:val="22"/>
              </w:rPr>
            </w:pPr>
            <w:r w:rsidRPr="005D754F">
              <w:rPr>
                <w:rFonts w:eastAsia="Calibri" w:cstheme="minorHAnsi"/>
                <w:sz w:val="22"/>
                <w:szCs w:val="22"/>
              </w:rPr>
              <w:t>8</w:t>
            </w:r>
          </w:p>
        </w:tc>
      </w:tr>
      <w:tr w:rsidR="00284BF2" w:rsidRPr="005D754F" w14:paraId="71AAC641" w14:textId="77777777" w:rsidTr="006D70CA">
        <w:trPr>
          <w:trHeight w:val="315"/>
        </w:trPr>
        <w:tc>
          <w:tcPr>
            <w:tcW w:w="2835" w:type="dxa"/>
            <w:vMerge/>
          </w:tcPr>
          <w:p w14:paraId="64F798AF" w14:textId="2CA1CB32" w:rsidR="00284BF2" w:rsidRPr="0086148B" w:rsidRDefault="00284BF2" w:rsidP="00FA2617">
            <w:pPr>
              <w:spacing w:after="0" w:line="240" w:lineRule="auto"/>
              <w:jc w:val="right"/>
              <w:rPr>
                <w:rFonts w:cstheme="minorHAnsi"/>
                <w:b/>
                <w:sz w:val="22"/>
                <w:szCs w:val="22"/>
              </w:rPr>
            </w:pPr>
          </w:p>
        </w:tc>
        <w:tc>
          <w:tcPr>
            <w:tcW w:w="4253" w:type="dxa"/>
            <w:shd w:val="clear" w:color="auto" w:fill="D9E2F3"/>
          </w:tcPr>
          <w:p w14:paraId="09A94D5D" w14:textId="77777777" w:rsidR="00284BF2" w:rsidRPr="005D754F" w:rsidRDefault="00284BF2" w:rsidP="00FA2617">
            <w:pPr>
              <w:spacing w:after="0" w:line="240" w:lineRule="auto"/>
              <w:jc w:val="center"/>
              <w:rPr>
                <w:rFonts w:eastAsia="Calibri" w:cstheme="minorHAnsi"/>
                <w:i/>
                <w:sz w:val="22"/>
                <w:szCs w:val="22"/>
              </w:rPr>
            </w:pPr>
            <w:r w:rsidRPr="005D754F">
              <w:rPr>
                <w:rFonts w:eastAsia="Calibri" w:cstheme="minorHAnsi"/>
                <w:i/>
                <w:sz w:val="22"/>
                <w:szCs w:val="22"/>
              </w:rPr>
              <w:t>Generalist service</w:t>
            </w:r>
            <w:r>
              <w:rPr>
                <w:rFonts w:eastAsia="Calibri" w:cstheme="minorHAnsi"/>
                <w:i/>
                <w:sz w:val="22"/>
                <w:szCs w:val="22"/>
              </w:rPr>
              <w:t xml:space="preserve"> </w:t>
            </w:r>
            <w:r w:rsidRPr="00093EA5">
              <w:rPr>
                <w:rFonts w:eastAsia="Calibri" w:cstheme="minorHAnsi"/>
                <w:sz w:val="22"/>
                <w:szCs w:val="22"/>
              </w:rPr>
              <w:t>(GS)</w:t>
            </w:r>
          </w:p>
        </w:tc>
        <w:tc>
          <w:tcPr>
            <w:tcW w:w="1559" w:type="dxa"/>
            <w:shd w:val="clear" w:color="auto" w:fill="D9E2F3"/>
          </w:tcPr>
          <w:p w14:paraId="3F09AFD1" w14:textId="77777777" w:rsidR="00284BF2" w:rsidRPr="005D754F" w:rsidRDefault="00284BF2" w:rsidP="00FA2617">
            <w:pPr>
              <w:spacing w:after="0" w:line="240" w:lineRule="auto"/>
              <w:jc w:val="center"/>
              <w:rPr>
                <w:rFonts w:cstheme="minorHAnsi"/>
                <w:sz w:val="22"/>
                <w:szCs w:val="22"/>
              </w:rPr>
            </w:pPr>
            <w:r w:rsidRPr="005D754F">
              <w:rPr>
                <w:rFonts w:eastAsia="Calibri" w:cstheme="minorHAnsi"/>
                <w:sz w:val="22"/>
                <w:szCs w:val="22"/>
              </w:rPr>
              <w:t>8</w:t>
            </w:r>
          </w:p>
        </w:tc>
      </w:tr>
      <w:tr w:rsidR="00284BF2" w:rsidRPr="005D754F" w14:paraId="2D5BDD65" w14:textId="77777777" w:rsidTr="006D70CA">
        <w:trPr>
          <w:trHeight w:val="315"/>
        </w:trPr>
        <w:tc>
          <w:tcPr>
            <w:tcW w:w="2835" w:type="dxa"/>
            <w:vMerge/>
          </w:tcPr>
          <w:p w14:paraId="3F84A9F1" w14:textId="7A02BB16" w:rsidR="00284BF2" w:rsidRPr="0086148B" w:rsidRDefault="00284BF2" w:rsidP="00FA2617">
            <w:pPr>
              <w:spacing w:after="0" w:line="240" w:lineRule="auto"/>
              <w:jc w:val="right"/>
              <w:rPr>
                <w:rFonts w:cstheme="minorHAnsi"/>
                <w:b/>
                <w:sz w:val="22"/>
                <w:szCs w:val="22"/>
              </w:rPr>
            </w:pPr>
          </w:p>
        </w:tc>
        <w:tc>
          <w:tcPr>
            <w:tcW w:w="4253" w:type="dxa"/>
            <w:shd w:val="clear" w:color="auto" w:fill="D9E2F3"/>
          </w:tcPr>
          <w:p w14:paraId="5F7865FB" w14:textId="77777777" w:rsidR="00284BF2" w:rsidRPr="005D754F" w:rsidRDefault="00284BF2" w:rsidP="00FA2617">
            <w:pPr>
              <w:spacing w:after="0" w:line="240" w:lineRule="auto"/>
              <w:rPr>
                <w:rFonts w:cstheme="minorHAnsi"/>
                <w:sz w:val="22"/>
                <w:szCs w:val="22"/>
              </w:rPr>
            </w:pPr>
            <w:r w:rsidRPr="005D754F">
              <w:rPr>
                <w:rFonts w:eastAsia="Calibri" w:cstheme="minorHAnsi"/>
                <w:sz w:val="22"/>
                <w:szCs w:val="22"/>
              </w:rPr>
              <w:t>Direct care staff</w:t>
            </w:r>
          </w:p>
        </w:tc>
        <w:tc>
          <w:tcPr>
            <w:tcW w:w="1559" w:type="dxa"/>
            <w:shd w:val="clear" w:color="auto" w:fill="D9E2F3"/>
          </w:tcPr>
          <w:p w14:paraId="28ED2973" w14:textId="77777777" w:rsidR="00284BF2" w:rsidRPr="005D754F" w:rsidRDefault="00284BF2" w:rsidP="00FA2617">
            <w:pPr>
              <w:spacing w:after="0" w:line="240" w:lineRule="auto"/>
              <w:jc w:val="center"/>
              <w:rPr>
                <w:rFonts w:cstheme="minorHAnsi"/>
                <w:sz w:val="22"/>
                <w:szCs w:val="22"/>
              </w:rPr>
            </w:pPr>
            <w:r w:rsidRPr="005D754F">
              <w:rPr>
                <w:rFonts w:eastAsia="Calibri" w:cstheme="minorHAnsi"/>
                <w:sz w:val="22"/>
                <w:szCs w:val="22"/>
              </w:rPr>
              <w:t xml:space="preserve"> </w:t>
            </w:r>
          </w:p>
        </w:tc>
      </w:tr>
      <w:tr w:rsidR="00284BF2" w:rsidRPr="005D754F" w14:paraId="03F961EF" w14:textId="77777777" w:rsidTr="006D70CA">
        <w:trPr>
          <w:trHeight w:val="315"/>
        </w:trPr>
        <w:tc>
          <w:tcPr>
            <w:tcW w:w="2835" w:type="dxa"/>
            <w:vMerge/>
          </w:tcPr>
          <w:p w14:paraId="38494382" w14:textId="35E8A92B" w:rsidR="00284BF2" w:rsidRPr="0086148B" w:rsidRDefault="00284BF2" w:rsidP="00FA2617">
            <w:pPr>
              <w:spacing w:after="0" w:line="240" w:lineRule="auto"/>
              <w:jc w:val="right"/>
              <w:rPr>
                <w:rFonts w:cstheme="minorHAnsi"/>
                <w:b/>
                <w:sz w:val="22"/>
                <w:szCs w:val="22"/>
              </w:rPr>
            </w:pPr>
          </w:p>
        </w:tc>
        <w:tc>
          <w:tcPr>
            <w:tcW w:w="4253" w:type="dxa"/>
            <w:shd w:val="clear" w:color="auto" w:fill="D9E2F3"/>
          </w:tcPr>
          <w:p w14:paraId="6DAFA791" w14:textId="77777777" w:rsidR="00284BF2" w:rsidRPr="005D754F" w:rsidRDefault="00284BF2" w:rsidP="00FA2617">
            <w:pPr>
              <w:spacing w:after="0" w:line="240" w:lineRule="auto"/>
              <w:jc w:val="center"/>
              <w:rPr>
                <w:rFonts w:eastAsia="Calibri" w:cstheme="minorHAnsi"/>
                <w:i/>
                <w:sz w:val="22"/>
                <w:szCs w:val="22"/>
              </w:rPr>
            </w:pPr>
            <w:r w:rsidRPr="005D754F">
              <w:rPr>
                <w:rFonts w:eastAsia="Calibri" w:cstheme="minorHAnsi"/>
                <w:i/>
                <w:sz w:val="22"/>
                <w:szCs w:val="22"/>
              </w:rPr>
              <w:t>Specialist service</w:t>
            </w:r>
            <w:r>
              <w:rPr>
                <w:rFonts w:eastAsia="Calibri" w:cstheme="minorHAnsi"/>
                <w:i/>
                <w:sz w:val="22"/>
                <w:szCs w:val="22"/>
              </w:rPr>
              <w:t xml:space="preserve"> </w:t>
            </w:r>
            <w:r w:rsidRPr="00093EA5">
              <w:rPr>
                <w:rFonts w:eastAsia="Calibri" w:cstheme="minorHAnsi"/>
                <w:sz w:val="22"/>
                <w:szCs w:val="22"/>
              </w:rPr>
              <w:t>(SS)</w:t>
            </w:r>
          </w:p>
        </w:tc>
        <w:tc>
          <w:tcPr>
            <w:tcW w:w="1559" w:type="dxa"/>
            <w:shd w:val="clear" w:color="auto" w:fill="D9E2F3"/>
          </w:tcPr>
          <w:p w14:paraId="06BC619C" w14:textId="77777777" w:rsidR="00284BF2" w:rsidRPr="005D754F" w:rsidRDefault="00284BF2" w:rsidP="00FA2617">
            <w:pPr>
              <w:spacing w:after="0" w:line="240" w:lineRule="auto"/>
              <w:jc w:val="center"/>
              <w:rPr>
                <w:rFonts w:cstheme="minorHAnsi"/>
                <w:sz w:val="22"/>
                <w:szCs w:val="22"/>
              </w:rPr>
            </w:pPr>
            <w:r w:rsidRPr="005D754F">
              <w:rPr>
                <w:rFonts w:eastAsia="Calibri" w:cstheme="minorHAnsi"/>
                <w:sz w:val="22"/>
                <w:szCs w:val="22"/>
              </w:rPr>
              <w:t>5</w:t>
            </w:r>
          </w:p>
        </w:tc>
      </w:tr>
      <w:tr w:rsidR="00284BF2" w:rsidRPr="005D754F" w14:paraId="43024B60" w14:textId="77777777" w:rsidTr="006D70CA">
        <w:trPr>
          <w:trHeight w:val="315"/>
        </w:trPr>
        <w:tc>
          <w:tcPr>
            <w:tcW w:w="2835" w:type="dxa"/>
            <w:vMerge/>
          </w:tcPr>
          <w:p w14:paraId="112ED383" w14:textId="0C8A5D17" w:rsidR="00284BF2" w:rsidRPr="0086148B" w:rsidRDefault="00284BF2" w:rsidP="00FA2617">
            <w:pPr>
              <w:spacing w:after="0" w:line="240" w:lineRule="auto"/>
              <w:jc w:val="right"/>
              <w:rPr>
                <w:rFonts w:cstheme="minorHAnsi"/>
                <w:b/>
                <w:sz w:val="22"/>
                <w:szCs w:val="22"/>
              </w:rPr>
            </w:pPr>
          </w:p>
        </w:tc>
        <w:tc>
          <w:tcPr>
            <w:tcW w:w="4253" w:type="dxa"/>
            <w:shd w:val="clear" w:color="auto" w:fill="D9E2F3"/>
          </w:tcPr>
          <w:p w14:paraId="4C74F938" w14:textId="77777777" w:rsidR="00284BF2" w:rsidRPr="005D754F" w:rsidRDefault="00284BF2" w:rsidP="00FA2617">
            <w:pPr>
              <w:spacing w:after="0" w:line="240" w:lineRule="auto"/>
              <w:jc w:val="center"/>
              <w:rPr>
                <w:rFonts w:eastAsia="Calibri" w:cstheme="minorHAnsi"/>
                <w:i/>
                <w:sz w:val="22"/>
                <w:szCs w:val="22"/>
              </w:rPr>
            </w:pPr>
            <w:r w:rsidRPr="005D754F">
              <w:rPr>
                <w:rFonts w:eastAsia="Calibri" w:cstheme="minorHAnsi"/>
                <w:i/>
                <w:sz w:val="22"/>
                <w:szCs w:val="22"/>
              </w:rPr>
              <w:t>Generalist service</w:t>
            </w:r>
            <w:r>
              <w:rPr>
                <w:rFonts w:eastAsia="Calibri" w:cstheme="minorHAnsi"/>
                <w:i/>
                <w:sz w:val="22"/>
                <w:szCs w:val="22"/>
              </w:rPr>
              <w:t xml:space="preserve"> </w:t>
            </w:r>
            <w:r w:rsidRPr="00093EA5">
              <w:rPr>
                <w:rFonts w:eastAsia="Calibri" w:cstheme="minorHAnsi"/>
                <w:sz w:val="22"/>
                <w:szCs w:val="22"/>
              </w:rPr>
              <w:t>(GS)</w:t>
            </w:r>
          </w:p>
        </w:tc>
        <w:tc>
          <w:tcPr>
            <w:tcW w:w="1559" w:type="dxa"/>
            <w:shd w:val="clear" w:color="auto" w:fill="D9E2F3"/>
          </w:tcPr>
          <w:p w14:paraId="3E89AEC3" w14:textId="77777777" w:rsidR="00284BF2" w:rsidRPr="005D754F" w:rsidRDefault="00284BF2" w:rsidP="00FA2617">
            <w:pPr>
              <w:spacing w:after="0" w:line="240" w:lineRule="auto"/>
              <w:jc w:val="center"/>
              <w:rPr>
                <w:rFonts w:cstheme="minorHAnsi"/>
                <w:sz w:val="22"/>
                <w:szCs w:val="22"/>
              </w:rPr>
            </w:pPr>
            <w:r w:rsidRPr="005D754F">
              <w:rPr>
                <w:rFonts w:eastAsia="Calibri" w:cstheme="minorHAnsi"/>
                <w:sz w:val="22"/>
                <w:szCs w:val="22"/>
              </w:rPr>
              <w:t>4</w:t>
            </w:r>
          </w:p>
        </w:tc>
      </w:tr>
      <w:tr w:rsidR="00284BF2" w:rsidRPr="005D754F" w14:paraId="6BCDF009" w14:textId="77777777" w:rsidTr="006F7ACE">
        <w:trPr>
          <w:trHeight w:val="421"/>
        </w:trPr>
        <w:tc>
          <w:tcPr>
            <w:tcW w:w="2835" w:type="dxa"/>
            <w:vMerge w:val="restart"/>
          </w:tcPr>
          <w:p w14:paraId="4A12883A" w14:textId="0DC66522" w:rsidR="00284BF2" w:rsidRPr="005D754F" w:rsidRDefault="00284BF2" w:rsidP="00FA2617">
            <w:pPr>
              <w:spacing w:after="0" w:line="240" w:lineRule="auto"/>
              <w:rPr>
                <w:rFonts w:cstheme="minorHAnsi"/>
                <w:b/>
                <w:sz w:val="22"/>
                <w:szCs w:val="22"/>
              </w:rPr>
            </w:pPr>
            <w:r w:rsidRPr="005D754F">
              <w:rPr>
                <w:rFonts w:eastAsia="Calibri" w:cstheme="minorHAnsi"/>
                <w:b/>
                <w:sz w:val="22"/>
                <w:szCs w:val="22"/>
              </w:rPr>
              <w:t>Individual interviews (n=13)</w:t>
            </w:r>
          </w:p>
        </w:tc>
        <w:tc>
          <w:tcPr>
            <w:tcW w:w="4253" w:type="dxa"/>
            <w:shd w:val="clear" w:color="auto" w:fill="D9E2F3"/>
          </w:tcPr>
          <w:p w14:paraId="4400F78E" w14:textId="77777777" w:rsidR="00284BF2" w:rsidRPr="005D754F" w:rsidRDefault="00284BF2" w:rsidP="00FA2617">
            <w:pPr>
              <w:spacing w:after="0" w:line="240" w:lineRule="auto"/>
              <w:rPr>
                <w:rFonts w:eastAsia="Calibri" w:cstheme="minorHAnsi"/>
                <w:sz w:val="22"/>
                <w:szCs w:val="22"/>
              </w:rPr>
            </w:pPr>
            <w:r w:rsidRPr="005D754F">
              <w:rPr>
                <w:rFonts w:eastAsia="Calibri" w:cstheme="minorHAnsi"/>
                <w:sz w:val="22"/>
                <w:szCs w:val="22"/>
              </w:rPr>
              <w:t>Service manager (</w:t>
            </w:r>
            <w:r>
              <w:rPr>
                <w:rFonts w:eastAsia="Calibri" w:cstheme="minorHAnsi"/>
                <w:sz w:val="22"/>
                <w:szCs w:val="22"/>
              </w:rPr>
              <w:t>SS</w:t>
            </w:r>
            <w:r w:rsidRPr="005D754F">
              <w:rPr>
                <w:rFonts w:eastAsia="Calibri" w:cstheme="minorHAnsi"/>
                <w:sz w:val="22"/>
                <w:szCs w:val="22"/>
              </w:rPr>
              <w:t>)</w:t>
            </w:r>
          </w:p>
        </w:tc>
        <w:tc>
          <w:tcPr>
            <w:tcW w:w="1559" w:type="dxa"/>
            <w:shd w:val="clear" w:color="auto" w:fill="D9E2F3"/>
          </w:tcPr>
          <w:p w14:paraId="7425DE4C" w14:textId="77777777" w:rsidR="00284BF2" w:rsidRPr="005D754F" w:rsidRDefault="00284BF2" w:rsidP="00FA2617">
            <w:pPr>
              <w:spacing w:after="0" w:line="240" w:lineRule="auto"/>
              <w:jc w:val="center"/>
              <w:rPr>
                <w:rFonts w:cstheme="minorHAnsi"/>
                <w:sz w:val="22"/>
                <w:szCs w:val="22"/>
              </w:rPr>
            </w:pPr>
            <w:r w:rsidRPr="005D754F">
              <w:rPr>
                <w:rFonts w:eastAsia="Calibri" w:cstheme="minorHAnsi"/>
                <w:sz w:val="22"/>
                <w:szCs w:val="22"/>
              </w:rPr>
              <w:t>1</w:t>
            </w:r>
          </w:p>
        </w:tc>
      </w:tr>
      <w:tr w:rsidR="00284BF2" w:rsidRPr="005D754F" w14:paraId="34EE54AC" w14:textId="77777777" w:rsidTr="006F7ACE">
        <w:trPr>
          <w:trHeight w:val="427"/>
        </w:trPr>
        <w:tc>
          <w:tcPr>
            <w:tcW w:w="2835" w:type="dxa"/>
            <w:vMerge/>
          </w:tcPr>
          <w:p w14:paraId="567E6ECC" w14:textId="72D6E04A" w:rsidR="00284BF2" w:rsidRPr="0086148B" w:rsidRDefault="00284BF2" w:rsidP="00FA2617">
            <w:pPr>
              <w:spacing w:after="0" w:line="240" w:lineRule="auto"/>
              <w:jc w:val="right"/>
              <w:rPr>
                <w:rFonts w:cstheme="minorHAnsi"/>
                <w:b/>
                <w:sz w:val="22"/>
                <w:szCs w:val="22"/>
              </w:rPr>
            </w:pPr>
          </w:p>
        </w:tc>
        <w:tc>
          <w:tcPr>
            <w:tcW w:w="4253" w:type="dxa"/>
            <w:shd w:val="clear" w:color="auto" w:fill="D9E2F3"/>
          </w:tcPr>
          <w:p w14:paraId="4B6D66BE" w14:textId="77777777" w:rsidR="00284BF2" w:rsidRPr="005D754F" w:rsidRDefault="00284BF2" w:rsidP="00FA2617">
            <w:pPr>
              <w:spacing w:after="0" w:line="240" w:lineRule="auto"/>
              <w:rPr>
                <w:rFonts w:cstheme="minorHAnsi"/>
                <w:sz w:val="22"/>
                <w:szCs w:val="22"/>
              </w:rPr>
            </w:pPr>
            <w:r w:rsidRPr="005D754F">
              <w:rPr>
                <w:rFonts w:eastAsia="Calibri" w:cstheme="minorHAnsi"/>
                <w:sz w:val="22"/>
                <w:szCs w:val="22"/>
              </w:rPr>
              <w:t>Older person with intellectual disability</w:t>
            </w:r>
          </w:p>
        </w:tc>
        <w:tc>
          <w:tcPr>
            <w:tcW w:w="1559" w:type="dxa"/>
            <w:shd w:val="clear" w:color="auto" w:fill="D9E2F3"/>
          </w:tcPr>
          <w:p w14:paraId="3F0B70AC" w14:textId="77777777" w:rsidR="00284BF2" w:rsidRPr="005D754F" w:rsidRDefault="00284BF2" w:rsidP="00FA2617">
            <w:pPr>
              <w:spacing w:after="0" w:line="240" w:lineRule="auto"/>
              <w:jc w:val="center"/>
              <w:rPr>
                <w:rFonts w:cstheme="minorHAnsi"/>
                <w:sz w:val="22"/>
                <w:szCs w:val="22"/>
              </w:rPr>
            </w:pPr>
            <w:r w:rsidRPr="005D754F">
              <w:rPr>
                <w:rFonts w:eastAsia="Calibri" w:cstheme="minorHAnsi"/>
                <w:sz w:val="22"/>
                <w:szCs w:val="22"/>
              </w:rPr>
              <w:t>7</w:t>
            </w:r>
          </w:p>
        </w:tc>
      </w:tr>
      <w:tr w:rsidR="00284BF2" w:rsidRPr="005D754F" w14:paraId="358612DD" w14:textId="77777777" w:rsidTr="006F7ACE">
        <w:trPr>
          <w:trHeight w:val="377"/>
        </w:trPr>
        <w:tc>
          <w:tcPr>
            <w:tcW w:w="2835" w:type="dxa"/>
            <w:vMerge/>
          </w:tcPr>
          <w:p w14:paraId="36330A53" w14:textId="29C24A1E" w:rsidR="00284BF2" w:rsidRPr="0086148B" w:rsidRDefault="00284BF2" w:rsidP="00FA2617">
            <w:pPr>
              <w:spacing w:after="0" w:line="240" w:lineRule="auto"/>
              <w:jc w:val="right"/>
              <w:rPr>
                <w:rFonts w:cstheme="minorHAnsi"/>
                <w:b/>
                <w:sz w:val="22"/>
                <w:szCs w:val="22"/>
              </w:rPr>
            </w:pPr>
          </w:p>
        </w:tc>
        <w:tc>
          <w:tcPr>
            <w:tcW w:w="4253" w:type="dxa"/>
            <w:shd w:val="clear" w:color="auto" w:fill="D9E2F3"/>
          </w:tcPr>
          <w:p w14:paraId="5F1FE2B3" w14:textId="77777777" w:rsidR="00284BF2" w:rsidRPr="005D754F" w:rsidRDefault="00284BF2" w:rsidP="00FA2617">
            <w:pPr>
              <w:spacing w:after="0" w:line="240" w:lineRule="auto"/>
              <w:rPr>
                <w:rFonts w:cstheme="minorHAnsi"/>
                <w:sz w:val="22"/>
                <w:szCs w:val="22"/>
              </w:rPr>
            </w:pPr>
            <w:r w:rsidRPr="005D754F">
              <w:rPr>
                <w:rFonts w:eastAsia="Calibri" w:cstheme="minorHAnsi"/>
                <w:sz w:val="22"/>
                <w:szCs w:val="22"/>
              </w:rPr>
              <w:t>Family of older person receiving services</w:t>
            </w:r>
          </w:p>
        </w:tc>
        <w:tc>
          <w:tcPr>
            <w:tcW w:w="1559" w:type="dxa"/>
            <w:shd w:val="clear" w:color="auto" w:fill="D9E2F3"/>
          </w:tcPr>
          <w:p w14:paraId="6548D0FB" w14:textId="77777777" w:rsidR="00284BF2" w:rsidRPr="005D754F" w:rsidRDefault="00284BF2" w:rsidP="00FA2617">
            <w:pPr>
              <w:spacing w:after="0" w:line="240" w:lineRule="auto"/>
              <w:jc w:val="center"/>
              <w:rPr>
                <w:rFonts w:cstheme="minorHAnsi"/>
                <w:sz w:val="22"/>
                <w:szCs w:val="22"/>
              </w:rPr>
            </w:pPr>
            <w:r w:rsidRPr="005D754F">
              <w:rPr>
                <w:rFonts w:eastAsia="Calibri" w:cstheme="minorHAnsi"/>
                <w:sz w:val="22"/>
                <w:szCs w:val="22"/>
              </w:rPr>
              <w:t>2</w:t>
            </w:r>
          </w:p>
        </w:tc>
      </w:tr>
      <w:tr w:rsidR="00284BF2" w:rsidRPr="005D754F" w14:paraId="4A9B40C5" w14:textId="77777777" w:rsidTr="006F7ACE">
        <w:trPr>
          <w:trHeight w:val="315"/>
        </w:trPr>
        <w:tc>
          <w:tcPr>
            <w:tcW w:w="2835" w:type="dxa"/>
            <w:vMerge/>
          </w:tcPr>
          <w:p w14:paraId="738E6E6A" w14:textId="2E74B455" w:rsidR="00284BF2" w:rsidRPr="0086148B" w:rsidRDefault="00284BF2" w:rsidP="00FA2617">
            <w:pPr>
              <w:spacing w:after="0" w:line="240" w:lineRule="auto"/>
              <w:jc w:val="right"/>
              <w:rPr>
                <w:rFonts w:cstheme="minorHAnsi"/>
                <w:b/>
                <w:sz w:val="22"/>
                <w:szCs w:val="22"/>
              </w:rPr>
            </w:pPr>
          </w:p>
        </w:tc>
        <w:tc>
          <w:tcPr>
            <w:tcW w:w="4253" w:type="dxa"/>
            <w:shd w:val="clear" w:color="auto" w:fill="D9E2F3"/>
          </w:tcPr>
          <w:p w14:paraId="3A2ED94F" w14:textId="77777777" w:rsidR="00284BF2" w:rsidRPr="005D754F" w:rsidRDefault="00284BF2" w:rsidP="00FA2617">
            <w:pPr>
              <w:spacing w:after="0" w:line="240" w:lineRule="auto"/>
              <w:rPr>
                <w:rFonts w:cstheme="minorHAnsi"/>
                <w:sz w:val="22"/>
                <w:szCs w:val="22"/>
              </w:rPr>
            </w:pPr>
            <w:r w:rsidRPr="005D754F">
              <w:rPr>
                <w:rFonts w:eastAsia="Calibri" w:cstheme="minorHAnsi"/>
                <w:sz w:val="22"/>
                <w:szCs w:val="22"/>
              </w:rPr>
              <w:t>Family of deceased older person</w:t>
            </w:r>
          </w:p>
        </w:tc>
        <w:tc>
          <w:tcPr>
            <w:tcW w:w="1559" w:type="dxa"/>
            <w:shd w:val="clear" w:color="auto" w:fill="D9E2F3"/>
          </w:tcPr>
          <w:p w14:paraId="32538ED5" w14:textId="77777777" w:rsidR="00284BF2" w:rsidRPr="005D754F" w:rsidRDefault="00284BF2" w:rsidP="00FA2617">
            <w:pPr>
              <w:spacing w:after="0" w:line="240" w:lineRule="auto"/>
              <w:jc w:val="center"/>
              <w:rPr>
                <w:rFonts w:cstheme="minorHAnsi"/>
                <w:sz w:val="22"/>
                <w:szCs w:val="22"/>
              </w:rPr>
            </w:pPr>
            <w:r w:rsidRPr="005D754F">
              <w:rPr>
                <w:rFonts w:eastAsia="Calibri" w:cstheme="minorHAnsi"/>
                <w:sz w:val="22"/>
                <w:szCs w:val="22"/>
              </w:rPr>
              <w:t>3</w:t>
            </w:r>
          </w:p>
        </w:tc>
      </w:tr>
      <w:tr w:rsidR="00284BF2" w:rsidRPr="005D754F" w14:paraId="2A14562A" w14:textId="77777777" w:rsidTr="00BA4035">
        <w:trPr>
          <w:trHeight w:val="435"/>
        </w:trPr>
        <w:tc>
          <w:tcPr>
            <w:tcW w:w="2835" w:type="dxa"/>
            <w:vMerge w:val="restart"/>
          </w:tcPr>
          <w:p w14:paraId="411092AB" w14:textId="75117531" w:rsidR="00284BF2" w:rsidRPr="005D754F" w:rsidRDefault="00284BF2" w:rsidP="00FA2617">
            <w:pPr>
              <w:spacing w:after="0" w:line="240" w:lineRule="auto"/>
              <w:rPr>
                <w:rFonts w:cstheme="minorHAnsi"/>
                <w:b/>
                <w:sz w:val="22"/>
                <w:szCs w:val="22"/>
              </w:rPr>
            </w:pPr>
            <w:r w:rsidRPr="005D754F">
              <w:rPr>
                <w:rFonts w:eastAsia="Calibri" w:cstheme="minorHAnsi"/>
                <w:b/>
                <w:sz w:val="22"/>
                <w:szCs w:val="22"/>
              </w:rPr>
              <w:t>Group interviews (n=3)</w:t>
            </w:r>
          </w:p>
        </w:tc>
        <w:tc>
          <w:tcPr>
            <w:tcW w:w="4253" w:type="dxa"/>
            <w:shd w:val="clear" w:color="auto" w:fill="D9E2F3"/>
          </w:tcPr>
          <w:p w14:paraId="33D78071" w14:textId="77777777" w:rsidR="00284BF2" w:rsidRPr="005D754F" w:rsidRDefault="00284BF2" w:rsidP="00FA2617">
            <w:pPr>
              <w:spacing w:after="0" w:line="240" w:lineRule="auto"/>
              <w:rPr>
                <w:rFonts w:cstheme="minorHAnsi"/>
                <w:sz w:val="22"/>
                <w:szCs w:val="22"/>
              </w:rPr>
            </w:pPr>
            <w:r w:rsidRPr="005D754F">
              <w:rPr>
                <w:rFonts w:eastAsia="Calibri" w:cstheme="minorHAnsi"/>
                <w:sz w:val="22"/>
                <w:szCs w:val="22"/>
              </w:rPr>
              <w:t>Joint older persons with intellectual disability</w:t>
            </w:r>
          </w:p>
        </w:tc>
        <w:tc>
          <w:tcPr>
            <w:tcW w:w="1559" w:type="dxa"/>
            <w:shd w:val="clear" w:color="auto" w:fill="D9E2F3"/>
          </w:tcPr>
          <w:p w14:paraId="6D672C1D" w14:textId="77777777" w:rsidR="00284BF2" w:rsidRPr="005D754F" w:rsidRDefault="00284BF2" w:rsidP="00FA2617">
            <w:pPr>
              <w:spacing w:after="0" w:line="240" w:lineRule="auto"/>
              <w:jc w:val="center"/>
              <w:rPr>
                <w:rFonts w:cstheme="minorHAnsi"/>
                <w:sz w:val="22"/>
                <w:szCs w:val="22"/>
              </w:rPr>
            </w:pPr>
            <w:r w:rsidRPr="005D754F">
              <w:rPr>
                <w:rFonts w:eastAsia="Calibri" w:cstheme="minorHAnsi"/>
                <w:sz w:val="22"/>
                <w:szCs w:val="22"/>
              </w:rPr>
              <w:t>2</w:t>
            </w:r>
          </w:p>
        </w:tc>
      </w:tr>
      <w:tr w:rsidR="00284BF2" w:rsidRPr="005D754F" w14:paraId="42BAB9CF" w14:textId="77777777" w:rsidTr="00BA4035">
        <w:trPr>
          <w:trHeight w:val="557"/>
        </w:trPr>
        <w:tc>
          <w:tcPr>
            <w:tcW w:w="2835" w:type="dxa"/>
            <w:vMerge/>
          </w:tcPr>
          <w:p w14:paraId="693A4606" w14:textId="3F64FBC9" w:rsidR="00284BF2" w:rsidRPr="00991E69" w:rsidRDefault="00284BF2" w:rsidP="00FA2617">
            <w:pPr>
              <w:spacing w:after="0" w:line="240" w:lineRule="auto"/>
              <w:rPr>
                <w:rFonts w:cstheme="minorHAnsi"/>
                <w:b/>
                <w:sz w:val="22"/>
                <w:szCs w:val="22"/>
              </w:rPr>
            </w:pPr>
          </w:p>
        </w:tc>
        <w:tc>
          <w:tcPr>
            <w:tcW w:w="4253" w:type="dxa"/>
            <w:shd w:val="clear" w:color="auto" w:fill="D9E2F3"/>
          </w:tcPr>
          <w:p w14:paraId="7B9D39EE" w14:textId="77777777" w:rsidR="00284BF2" w:rsidRPr="005D754F" w:rsidRDefault="00284BF2" w:rsidP="00FA2617">
            <w:pPr>
              <w:spacing w:after="0" w:line="240" w:lineRule="auto"/>
              <w:rPr>
                <w:rFonts w:cstheme="minorHAnsi"/>
                <w:sz w:val="22"/>
                <w:szCs w:val="22"/>
              </w:rPr>
            </w:pPr>
            <w:r w:rsidRPr="005D754F">
              <w:rPr>
                <w:rFonts w:eastAsia="Calibri" w:cstheme="minorHAnsi"/>
                <w:sz w:val="22"/>
                <w:szCs w:val="22"/>
              </w:rPr>
              <w:t>Joint family (F</w:t>
            </w:r>
            <w:r>
              <w:rPr>
                <w:rFonts w:eastAsia="Calibri" w:cstheme="minorHAnsi"/>
                <w:sz w:val="22"/>
                <w:szCs w:val="22"/>
              </w:rPr>
              <w:t>am</w:t>
            </w:r>
            <w:r w:rsidRPr="005D754F">
              <w:rPr>
                <w:rFonts w:eastAsia="Calibri" w:cstheme="minorHAnsi"/>
                <w:sz w:val="22"/>
                <w:szCs w:val="22"/>
              </w:rPr>
              <w:t>)/older person (OP) with intellectual disability</w:t>
            </w:r>
          </w:p>
        </w:tc>
        <w:tc>
          <w:tcPr>
            <w:tcW w:w="1559" w:type="dxa"/>
            <w:shd w:val="clear" w:color="auto" w:fill="D9E2F3"/>
          </w:tcPr>
          <w:p w14:paraId="59C452ED" w14:textId="77777777" w:rsidR="00284BF2" w:rsidRPr="005D754F" w:rsidRDefault="00284BF2" w:rsidP="00FA2617">
            <w:pPr>
              <w:spacing w:after="0" w:line="240" w:lineRule="auto"/>
              <w:jc w:val="center"/>
              <w:rPr>
                <w:rFonts w:cstheme="minorHAnsi"/>
                <w:sz w:val="22"/>
                <w:szCs w:val="22"/>
              </w:rPr>
            </w:pPr>
            <w:r w:rsidRPr="005D754F">
              <w:rPr>
                <w:rFonts w:eastAsia="Calibri" w:cstheme="minorHAnsi"/>
                <w:sz w:val="22"/>
                <w:szCs w:val="22"/>
              </w:rPr>
              <w:t>3 (F</w:t>
            </w:r>
            <w:r>
              <w:rPr>
                <w:rFonts w:eastAsia="Calibri" w:cstheme="minorHAnsi"/>
                <w:sz w:val="22"/>
                <w:szCs w:val="22"/>
              </w:rPr>
              <w:t>am</w:t>
            </w:r>
            <w:r w:rsidRPr="005D754F">
              <w:rPr>
                <w:rFonts w:eastAsia="Calibri" w:cstheme="minorHAnsi"/>
                <w:sz w:val="22"/>
                <w:szCs w:val="22"/>
              </w:rPr>
              <w:t>)</w:t>
            </w:r>
          </w:p>
          <w:p w14:paraId="5BAE247D" w14:textId="77777777" w:rsidR="00284BF2" w:rsidRPr="005D754F" w:rsidRDefault="00284BF2" w:rsidP="00FA2617">
            <w:pPr>
              <w:spacing w:after="0" w:line="240" w:lineRule="auto"/>
              <w:jc w:val="center"/>
              <w:rPr>
                <w:rFonts w:cstheme="minorHAnsi"/>
                <w:sz w:val="22"/>
                <w:szCs w:val="22"/>
              </w:rPr>
            </w:pPr>
            <w:r w:rsidRPr="005D754F">
              <w:rPr>
                <w:rFonts w:eastAsia="Calibri" w:cstheme="minorHAnsi"/>
                <w:sz w:val="22"/>
                <w:szCs w:val="22"/>
              </w:rPr>
              <w:t>2 (OP)</w:t>
            </w:r>
          </w:p>
        </w:tc>
      </w:tr>
      <w:tr w:rsidR="00284BF2" w:rsidRPr="005D754F" w14:paraId="35AB287F" w14:textId="77777777" w:rsidTr="004029E5">
        <w:trPr>
          <w:trHeight w:val="435"/>
        </w:trPr>
        <w:tc>
          <w:tcPr>
            <w:tcW w:w="2835" w:type="dxa"/>
          </w:tcPr>
          <w:p w14:paraId="10771158" w14:textId="784E974C" w:rsidR="00284BF2" w:rsidRPr="005D754F" w:rsidRDefault="00284BF2" w:rsidP="00FA2617">
            <w:pPr>
              <w:spacing w:after="0" w:line="240" w:lineRule="auto"/>
              <w:rPr>
                <w:rFonts w:eastAsia="Calibri" w:cstheme="minorHAnsi"/>
                <w:b/>
                <w:sz w:val="22"/>
                <w:szCs w:val="22"/>
              </w:rPr>
            </w:pPr>
            <w:r w:rsidRPr="005D754F">
              <w:rPr>
                <w:rFonts w:eastAsia="Calibri" w:cstheme="minorHAnsi"/>
                <w:b/>
                <w:sz w:val="22"/>
                <w:szCs w:val="22"/>
              </w:rPr>
              <w:t>Main survey (n=32)</w:t>
            </w:r>
          </w:p>
        </w:tc>
        <w:tc>
          <w:tcPr>
            <w:tcW w:w="4253" w:type="dxa"/>
            <w:shd w:val="clear" w:color="auto" w:fill="D9E2F3"/>
          </w:tcPr>
          <w:p w14:paraId="42E119F6" w14:textId="77777777" w:rsidR="00284BF2" w:rsidRPr="005D754F" w:rsidRDefault="00284BF2" w:rsidP="00FA2617">
            <w:pPr>
              <w:spacing w:after="0" w:line="240" w:lineRule="auto"/>
              <w:rPr>
                <w:rFonts w:eastAsia="Calibri" w:cstheme="minorHAnsi"/>
                <w:sz w:val="22"/>
                <w:szCs w:val="22"/>
              </w:rPr>
            </w:pPr>
            <w:r w:rsidRPr="005D754F">
              <w:rPr>
                <w:rFonts w:eastAsia="Calibri" w:cstheme="minorHAnsi"/>
                <w:sz w:val="22"/>
                <w:szCs w:val="22"/>
              </w:rPr>
              <w:t>Senior managers from adult intellectual disability services</w:t>
            </w:r>
          </w:p>
        </w:tc>
        <w:tc>
          <w:tcPr>
            <w:tcW w:w="1559" w:type="dxa"/>
            <w:shd w:val="clear" w:color="auto" w:fill="D9E2F3"/>
          </w:tcPr>
          <w:p w14:paraId="50ADC6A9" w14:textId="77777777" w:rsidR="00284BF2" w:rsidRPr="005D754F" w:rsidRDefault="00284BF2" w:rsidP="00FA2617">
            <w:pPr>
              <w:spacing w:after="0" w:line="240" w:lineRule="auto"/>
              <w:jc w:val="center"/>
              <w:rPr>
                <w:rFonts w:eastAsia="Calibri" w:cstheme="minorHAnsi"/>
                <w:sz w:val="22"/>
                <w:szCs w:val="22"/>
              </w:rPr>
            </w:pPr>
            <w:r w:rsidRPr="005D754F">
              <w:rPr>
                <w:rFonts w:eastAsia="Calibri" w:cstheme="minorHAnsi"/>
                <w:sz w:val="22"/>
                <w:szCs w:val="22"/>
              </w:rPr>
              <w:t>32</w:t>
            </w:r>
          </w:p>
        </w:tc>
      </w:tr>
      <w:tr w:rsidR="00E97DD1" w:rsidRPr="005D754F" w14:paraId="03AFADFE" w14:textId="77777777" w:rsidTr="00C93944">
        <w:trPr>
          <w:trHeight w:val="510"/>
        </w:trPr>
        <w:tc>
          <w:tcPr>
            <w:tcW w:w="2835" w:type="dxa"/>
          </w:tcPr>
          <w:p w14:paraId="023D6795" w14:textId="77777777" w:rsidR="005852BC" w:rsidRPr="005D754F" w:rsidRDefault="005852BC" w:rsidP="00FA2617">
            <w:pPr>
              <w:spacing w:after="0" w:line="240" w:lineRule="auto"/>
              <w:rPr>
                <w:rFonts w:eastAsia="Calibri" w:cstheme="minorHAnsi"/>
                <w:b/>
                <w:sz w:val="22"/>
                <w:szCs w:val="22"/>
              </w:rPr>
            </w:pPr>
            <w:r w:rsidRPr="005D754F">
              <w:rPr>
                <w:rFonts w:eastAsia="Calibri" w:cstheme="minorHAnsi"/>
                <w:b/>
                <w:sz w:val="22"/>
                <w:szCs w:val="22"/>
              </w:rPr>
              <w:t>Follow-on costings survey (n=2)</w:t>
            </w:r>
          </w:p>
        </w:tc>
        <w:tc>
          <w:tcPr>
            <w:tcW w:w="4253" w:type="dxa"/>
            <w:shd w:val="clear" w:color="auto" w:fill="D9E2F3"/>
          </w:tcPr>
          <w:p w14:paraId="08BB71A2" w14:textId="77777777" w:rsidR="005852BC" w:rsidRPr="005D754F" w:rsidRDefault="005852BC" w:rsidP="00FA2617">
            <w:pPr>
              <w:spacing w:after="0" w:line="240" w:lineRule="auto"/>
              <w:rPr>
                <w:rFonts w:cstheme="minorHAnsi"/>
                <w:sz w:val="22"/>
                <w:szCs w:val="22"/>
              </w:rPr>
            </w:pPr>
            <w:r w:rsidRPr="005D754F">
              <w:rPr>
                <w:rFonts w:eastAsia="Calibri" w:cstheme="minorHAnsi"/>
                <w:sz w:val="22"/>
                <w:szCs w:val="22"/>
              </w:rPr>
              <w:t>Senior managers from adult intellectual disability services</w:t>
            </w:r>
          </w:p>
        </w:tc>
        <w:tc>
          <w:tcPr>
            <w:tcW w:w="1559" w:type="dxa"/>
            <w:shd w:val="clear" w:color="auto" w:fill="D9E2F3"/>
          </w:tcPr>
          <w:p w14:paraId="1A0317AB" w14:textId="77777777" w:rsidR="005852BC" w:rsidRPr="005D754F" w:rsidRDefault="005852BC" w:rsidP="00FA2617">
            <w:pPr>
              <w:spacing w:after="0" w:line="240" w:lineRule="auto"/>
              <w:jc w:val="center"/>
              <w:rPr>
                <w:rFonts w:cstheme="minorHAnsi"/>
                <w:sz w:val="22"/>
                <w:szCs w:val="22"/>
              </w:rPr>
            </w:pPr>
            <w:r w:rsidRPr="005D754F">
              <w:rPr>
                <w:rFonts w:eastAsia="Calibri" w:cstheme="minorHAnsi"/>
                <w:sz w:val="22"/>
                <w:szCs w:val="22"/>
              </w:rPr>
              <w:t>2</w:t>
            </w:r>
          </w:p>
        </w:tc>
      </w:tr>
      <w:tr w:rsidR="00E97DD1" w:rsidRPr="005D754F" w14:paraId="04301CC4" w14:textId="77777777" w:rsidTr="00C93944">
        <w:trPr>
          <w:trHeight w:val="315"/>
        </w:trPr>
        <w:tc>
          <w:tcPr>
            <w:tcW w:w="2835" w:type="dxa"/>
          </w:tcPr>
          <w:p w14:paraId="05B29A51" w14:textId="77777777" w:rsidR="005852BC" w:rsidRPr="005D754F" w:rsidRDefault="005852BC" w:rsidP="00FA2617">
            <w:pPr>
              <w:spacing w:after="0" w:line="240" w:lineRule="auto"/>
              <w:rPr>
                <w:rFonts w:cstheme="minorHAnsi"/>
                <w:b/>
                <w:sz w:val="22"/>
                <w:szCs w:val="22"/>
              </w:rPr>
            </w:pPr>
            <w:r w:rsidRPr="005D754F">
              <w:rPr>
                <w:rFonts w:eastAsia="Calibri" w:cstheme="minorHAnsi"/>
                <w:b/>
                <w:i/>
                <w:sz w:val="22"/>
                <w:szCs w:val="22"/>
              </w:rPr>
              <w:t>Total No. Participants</w:t>
            </w:r>
          </w:p>
        </w:tc>
        <w:tc>
          <w:tcPr>
            <w:tcW w:w="4253" w:type="dxa"/>
            <w:shd w:val="clear" w:color="auto" w:fill="D9E2F3"/>
          </w:tcPr>
          <w:p w14:paraId="2FD6D7A0" w14:textId="77777777" w:rsidR="005852BC" w:rsidRPr="005D754F" w:rsidRDefault="005852BC" w:rsidP="00FA2617">
            <w:pPr>
              <w:spacing w:after="0" w:line="240" w:lineRule="auto"/>
              <w:rPr>
                <w:rFonts w:cstheme="minorHAnsi"/>
                <w:sz w:val="22"/>
                <w:szCs w:val="22"/>
              </w:rPr>
            </w:pPr>
            <w:r w:rsidRPr="005D754F">
              <w:rPr>
                <w:rFonts w:eastAsia="Calibri" w:cstheme="minorHAnsi"/>
                <w:i/>
                <w:sz w:val="22"/>
                <w:szCs w:val="22"/>
              </w:rPr>
              <w:t xml:space="preserve"> </w:t>
            </w:r>
          </w:p>
        </w:tc>
        <w:tc>
          <w:tcPr>
            <w:tcW w:w="1559" w:type="dxa"/>
            <w:shd w:val="clear" w:color="auto" w:fill="D9E2F3"/>
          </w:tcPr>
          <w:p w14:paraId="601AEE2D" w14:textId="77777777" w:rsidR="005852BC" w:rsidRPr="00A17FCA" w:rsidRDefault="005852BC" w:rsidP="00FA2617">
            <w:pPr>
              <w:spacing w:after="0" w:line="240" w:lineRule="auto"/>
              <w:jc w:val="center"/>
              <w:rPr>
                <w:rFonts w:eastAsia="Calibri" w:cstheme="minorHAnsi"/>
                <w:b/>
                <w:i/>
                <w:sz w:val="22"/>
                <w:szCs w:val="22"/>
              </w:rPr>
            </w:pPr>
            <w:r w:rsidRPr="00A17FCA">
              <w:rPr>
                <w:rFonts w:eastAsia="Calibri" w:cstheme="minorHAnsi"/>
                <w:b/>
                <w:i/>
                <w:sz w:val="22"/>
                <w:szCs w:val="22"/>
              </w:rPr>
              <w:t>79</w:t>
            </w:r>
          </w:p>
        </w:tc>
      </w:tr>
    </w:tbl>
    <w:p w14:paraId="6A0DB966" w14:textId="77777777" w:rsidR="005852BC" w:rsidRDefault="005852BC" w:rsidP="17A60201"/>
    <w:p w14:paraId="329039A2" w14:textId="561095FE" w:rsidR="00731302" w:rsidRDefault="00731302" w:rsidP="17A60201">
      <w:r w:rsidRPr="17A60201">
        <w:t>The occurrence of the C</w:t>
      </w:r>
      <w:r w:rsidR="00CD493C">
        <w:t>OVID</w:t>
      </w:r>
      <w:r w:rsidRPr="17A60201">
        <w:t>-19 pandemic during the timescale of this research resulted in significant challenges, not least in engaging with the nursing home sector where C</w:t>
      </w:r>
      <w:r w:rsidR="00CD493C">
        <w:t>OVID</w:t>
      </w:r>
      <w:r w:rsidRPr="17A60201">
        <w:t>-19 had a very significant impact. As a result, and despite repeated efforts over a protracted period, it was not possible to access nursing home input in the study. The findings, therefore, represent the perspectives of managers and staff from intellectual disability service providers and of people/family members of people who received care in such services.</w:t>
      </w:r>
    </w:p>
    <w:p w14:paraId="58502616" w14:textId="117B2A5E" w:rsidR="00FB039D" w:rsidRDefault="00731302" w:rsidP="00731302">
      <w:pPr>
        <w:rPr>
          <w:rFonts w:eastAsia="Calibri" w:cs="Calibri"/>
          <w:lang w:val="en-US"/>
        </w:rPr>
      </w:pPr>
      <w:r>
        <w:t>The survey responses demonstrate that issues around ageing are of key relevance to services, with</w:t>
      </w:r>
      <w:r w:rsidRPr="11C55A92">
        <w:rPr>
          <w:rFonts w:eastAsia="Calibri" w:cs="Calibri"/>
        </w:rPr>
        <w:t xml:space="preserve"> just over 28% of the services reporting that the older age group is already the dominant age group in their service or will be so within the next 5 years. Furthermore, almost 40% indicated that they expected that </w:t>
      </w:r>
      <w:r w:rsidR="52B842EB" w:rsidRPr="11C55A92">
        <w:rPr>
          <w:rFonts w:eastAsia="Calibri" w:cs="Calibri"/>
        </w:rPr>
        <w:t xml:space="preserve">the share of service users in </w:t>
      </w:r>
      <w:r w:rsidRPr="11C55A92">
        <w:rPr>
          <w:rFonts w:eastAsia="Calibri" w:cs="Calibri"/>
        </w:rPr>
        <w:t>this age group will rise rapidly within the next 5 years and, although just over half the services were reported to have the resources “to some extent”</w:t>
      </w:r>
      <w:r w:rsidR="4B9575F9" w:rsidRPr="11C55A92">
        <w:rPr>
          <w:rFonts w:eastAsia="Calibri" w:cs="Calibri"/>
        </w:rPr>
        <w:t xml:space="preserve"> to</w:t>
      </w:r>
      <w:r w:rsidRPr="11C55A92">
        <w:rPr>
          <w:rFonts w:eastAsia="Calibri" w:cs="Calibri"/>
        </w:rPr>
        <w:t xml:space="preserve"> meet the needs of older people with intellectual disabilities as they age, less than 10% reported being able to fully meet these needs. R</w:t>
      </w:r>
      <w:r>
        <w:t>espondents</w:t>
      </w:r>
      <w:r w:rsidRPr="11C55A92">
        <w:rPr>
          <w:rFonts w:eastAsia="Calibri" w:cs="Calibri"/>
          <w:lang w:val="en-US"/>
        </w:rPr>
        <w:t xml:space="preserve"> overwhelmingly reported (93.3%, n=28) that complex age-related issues have implications for provision of service to older people with intellectual disabilit</w:t>
      </w:r>
      <w:r w:rsidR="00C85736">
        <w:rPr>
          <w:rFonts w:eastAsia="Calibri" w:cs="Calibri"/>
          <w:lang w:val="en-US"/>
        </w:rPr>
        <w:t>ies</w:t>
      </w:r>
      <w:r w:rsidRPr="11C55A92">
        <w:rPr>
          <w:rFonts w:eastAsia="Calibri" w:cs="Calibri"/>
          <w:lang w:val="en-US"/>
        </w:rPr>
        <w:t xml:space="preserve"> in their service.  </w:t>
      </w:r>
    </w:p>
    <w:p w14:paraId="0B1D4A60" w14:textId="77777777" w:rsidR="00FB039D" w:rsidRDefault="00FB039D">
      <w:pPr>
        <w:spacing w:after="0"/>
        <w:rPr>
          <w:rFonts w:eastAsia="Calibri" w:cs="Calibri"/>
          <w:lang w:val="en-US"/>
        </w:rPr>
      </w:pPr>
      <w:r>
        <w:rPr>
          <w:rFonts w:eastAsia="Calibri" w:cs="Calibri"/>
          <w:lang w:val="en-US"/>
        </w:rPr>
        <w:br w:type="page"/>
      </w:r>
    </w:p>
    <w:p w14:paraId="077716BE" w14:textId="5E0BE809" w:rsidR="00DB04D5" w:rsidRDefault="0029508C" w:rsidP="004B59E9">
      <w:pPr>
        <w:pStyle w:val="Heading1"/>
      </w:pPr>
      <w:bookmarkStart w:id="163" w:name="_Toc118555203"/>
      <w:bookmarkStart w:id="164" w:name="_Toc118558285"/>
      <w:bookmarkStart w:id="165" w:name="_Toc118558361"/>
      <w:bookmarkStart w:id="166" w:name="_Toc121830616"/>
      <w:r>
        <w:t xml:space="preserve">Chapter 3: </w:t>
      </w:r>
      <w:r w:rsidR="00D0149A">
        <w:t xml:space="preserve">Findings: Approaches to </w:t>
      </w:r>
      <w:r w:rsidR="00350DDE">
        <w:t>services</w:t>
      </w:r>
      <w:bookmarkEnd w:id="163"/>
      <w:bookmarkEnd w:id="164"/>
      <w:bookmarkEnd w:id="165"/>
      <w:bookmarkEnd w:id="166"/>
    </w:p>
    <w:p w14:paraId="1E20520E" w14:textId="77777777" w:rsidR="00A86140" w:rsidRPr="00A07483" w:rsidRDefault="00A86140" w:rsidP="00A86140">
      <w:pPr>
        <w:pStyle w:val="Heading2"/>
      </w:pPr>
      <w:bookmarkStart w:id="167" w:name="_Toc117628761"/>
      <w:bookmarkStart w:id="168" w:name="_Toc118555204"/>
      <w:bookmarkStart w:id="169" w:name="_Toc118558286"/>
      <w:bookmarkStart w:id="170" w:name="_Toc118558362"/>
      <w:bookmarkStart w:id="171" w:name="_Toc121830617"/>
      <w:r w:rsidRPr="00A07483">
        <w:t>Introduction</w:t>
      </w:r>
      <w:bookmarkEnd w:id="167"/>
      <w:bookmarkEnd w:id="168"/>
      <w:bookmarkEnd w:id="169"/>
      <w:bookmarkEnd w:id="170"/>
      <w:bookmarkEnd w:id="171"/>
    </w:p>
    <w:p w14:paraId="0D8FF437" w14:textId="6845D03C" w:rsidR="00C47999" w:rsidRDefault="23146D49" w:rsidP="00A86140">
      <w:r>
        <w:t>This study sought to explore models and approaches to care</w:t>
      </w:r>
      <w:r w:rsidR="7767616E">
        <w:t xml:space="preserve"> and </w:t>
      </w:r>
      <w:r>
        <w:t>service</w:t>
      </w:r>
      <w:r w:rsidR="79384259">
        <w:t xml:space="preserve"> </w:t>
      </w:r>
      <w:r w:rsidR="74B60E5E">
        <w:t>provision employed</w:t>
      </w:r>
      <w:r>
        <w:t xml:space="preserve"> across intellectual disability services that provide </w:t>
      </w:r>
      <w:r w:rsidR="06E7B6AE">
        <w:t xml:space="preserve">a </w:t>
      </w:r>
      <w:r>
        <w:t>specialist age-related approach, those that do not have a specialist age-related approach and nursing homes, and to provide information on future needs. Whilst the delineation of services into the above three approaches appears quite clear, it quickly emerged that none of the participating services could be defined so clearly</w:t>
      </w:r>
      <w:r w:rsidR="5CA8AFA1">
        <w:t>,</w:t>
      </w:r>
      <w:r>
        <w:t xml:space="preserve"> with diverse approaches to care being adopted in all of the participating sites. Thus, services have developed formal/informal pathways which incorporated aspects of the aforementioned models. Many services surveyed also noted that the model used to guide the service response changed as complex needs developed (S</w:t>
      </w:r>
      <w:r w:rsidR="009532B0">
        <w:t xml:space="preserve">pecialist </w:t>
      </w:r>
      <w:r>
        <w:t>S</w:t>
      </w:r>
      <w:r w:rsidR="009532B0">
        <w:t>ervices (SS): 75%; Generic Services (GS): 50%; Other (OTH)</w:t>
      </w:r>
      <w:r>
        <w:t xml:space="preserve">: 83.3%). For the purpose of this section, rather than using the term ‘models’ we have opted to describe these as ‘approaches.’ </w:t>
      </w:r>
      <w:r w:rsidR="161AAB66">
        <w:t xml:space="preserve">A number of approaches emerged from the data. </w:t>
      </w:r>
      <w:r>
        <w:t xml:space="preserve">Three </w:t>
      </w:r>
      <w:r w:rsidR="5CA8AFA1">
        <w:t>main</w:t>
      </w:r>
      <w:r>
        <w:t xml:space="preserve"> approaches </w:t>
      </w:r>
      <w:r w:rsidR="3FC90D06">
        <w:t>arose from the focus groups</w:t>
      </w:r>
      <w:r>
        <w:t xml:space="preserve">, namely, the </w:t>
      </w:r>
      <w:r w:rsidRPr="68A51868">
        <w:rPr>
          <w:i/>
          <w:iCs/>
        </w:rPr>
        <w:t>specialist service approach</w:t>
      </w:r>
      <w:r>
        <w:t xml:space="preserve">, the </w:t>
      </w:r>
      <w:r w:rsidRPr="68A51868">
        <w:rPr>
          <w:i/>
          <w:iCs/>
        </w:rPr>
        <w:t>nurse-led approach</w:t>
      </w:r>
      <w:r>
        <w:t xml:space="preserve"> and the </w:t>
      </w:r>
      <w:r w:rsidRPr="68A51868">
        <w:rPr>
          <w:i/>
          <w:iCs/>
        </w:rPr>
        <w:t>health and social care</w:t>
      </w:r>
      <w:r>
        <w:t xml:space="preserve"> approach which </w:t>
      </w:r>
      <w:r w:rsidR="3FC90D06">
        <w:t xml:space="preserve">appears to </w:t>
      </w:r>
      <w:r>
        <w:t xml:space="preserve">operate on a spectrum between conventional social care and an eclectic fusion of social care and nurse-led approaches. </w:t>
      </w:r>
      <w:r w:rsidR="6CFAEB10">
        <w:t xml:space="preserve">These </w:t>
      </w:r>
      <w:r w:rsidR="232BAFB1">
        <w:t>along with</w:t>
      </w:r>
      <w:r w:rsidR="6CFAEB10">
        <w:t xml:space="preserve"> a number of </w:t>
      </w:r>
      <w:r w:rsidR="5AA31744">
        <w:t xml:space="preserve">more specific </w:t>
      </w:r>
      <w:r w:rsidR="24E35F20">
        <w:t xml:space="preserve">approaches (such as </w:t>
      </w:r>
      <w:r w:rsidR="24E35F20" w:rsidRPr="68A51868">
        <w:rPr>
          <w:i/>
          <w:iCs/>
        </w:rPr>
        <w:t>Living Well with Dementia</w:t>
      </w:r>
      <w:r w:rsidR="24E35F20">
        <w:t xml:space="preserve">) </w:t>
      </w:r>
      <w:r w:rsidR="62FEA57A">
        <w:t xml:space="preserve">were </w:t>
      </w:r>
      <w:r w:rsidR="56906D02">
        <w:t>included in the subsequent survey</w:t>
      </w:r>
      <w:r w:rsidR="3FC90D06">
        <w:t xml:space="preserve">. Respondents </w:t>
      </w:r>
      <w:r w:rsidR="76279A91">
        <w:t xml:space="preserve">identified </w:t>
      </w:r>
      <w:r w:rsidR="002AB49A">
        <w:t xml:space="preserve">their approaches under the </w:t>
      </w:r>
      <w:r w:rsidR="5418124A">
        <w:t>headings in Table 3 below:</w:t>
      </w:r>
    </w:p>
    <w:p w14:paraId="16664DA8" w14:textId="3A27199D" w:rsidR="00251EBF" w:rsidRPr="005B4145" w:rsidRDefault="00251EBF" w:rsidP="00251EBF">
      <w:pPr>
        <w:pStyle w:val="Caption"/>
        <w:rPr>
          <w:rFonts w:eastAsia="Calibri"/>
        </w:rPr>
      </w:pPr>
      <w:bookmarkStart w:id="172" w:name="_Toc121830414"/>
      <w:r>
        <w:t xml:space="preserve">Table </w:t>
      </w:r>
      <w:r>
        <w:fldChar w:fldCharType="begin"/>
      </w:r>
      <w:r>
        <w:instrText>SEQ Table \* ARABIC</w:instrText>
      </w:r>
      <w:r>
        <w:fldChar w:fldCharType="separate"/>
      </w:r>
      <w:r w:rsidR="00430214">
        <w:rPr>
          <w:noProof/>
        </w:rPr>
        <w:t>3</w:t>
      </w:r>
      <w:r>
        <w:fldChar w:fldCharType="end"/>
      </w:r>
      <w:r>
        <w:t xml:space="preserve">: </w:t>
      </w:r>
      <w:r w:rsidRPr="005B4145">
        <w:rPr>
          <w:rFonts w:eastAsia="Calibri"/>
        </w:rPr>
        <w:t>Service approaches identified across survey respondent settings</w:t>
      </w:r>
      <w:bookmarkEnd w:id="172"/>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260"/>
        <w:gridCol w:w="1640"/>
        <w:gridCol w:w="1547"/>
        <w:gridCol w:w="1775"/>
        <w:gridCol w:w="1600"/>
      </w:tblGrid>
      <w:tr w:rsidR="00251EBF" w:rsidRPr="00C00CA8" w14:paraId="715B6742" w14:textId="77777777" w:rsidTr="006E5E0B">
        <w:trPr>
          <w:trHeight w:val="300"/>
        </w:trPr>
        <w:tc>
          <w:tcPr>
            <w:tcW w:w="2260" w:type="dxa"/>
            <w:tcBorders>
              <w:top w:val="single" w:sz="6" w:space="0" w:color="8EA9DB"/>
              <w:left w:val="single" w:sz="6" w:space="0" w:color="8EA9DB"/>
              <w:bottom w:val="single" w:sz="6" w:space="0" w:color="8EA9DB"/>
              <w:right w:val="nil"/>
            </w:tcBorders>
            <w:shd w:val="clear" w:color="auto" w:fill="auto"/>
            <w:vAlign w:val="bottom"/>
          </w:tcPr>
          <w:p w14:paraId="6DBDE0D9" w14:textId="77777777" w:rsidR="00251EBF" w:rsidRPr="00C00CA8" w:rsidRDefault="00251EBF" w:rsidP="006E5E0B">
            <w:pPr>
              <w:spacing w:after="0"/>
              <w:jc w:val="center"/>
              <w:rPr>
                <w:rFonts w:cs="Segoe UI"/>
                <w:sz w:val="22"/>
                <w:szCs w:val="22"/>
                <w:lang w:eastAsia="en-IE"/>
              </w:rPr>
            </w:pPr>
            <w:r w:rsidRPr="00C00CA8">
              <w:rPr>
                <w:rFonts w:cs="Calibri"/>
                <w:b/>
                <w:sz w:val="22"/>
                <w:szCs w:val="22"/>
                <w:lang w:eastAsia="en-IE"/>
              </w:rPr>
              <w:t>Model</w:t>
            </w:r>
            <w:r w:rsidRPr="00C00CA8">
              <w:rPr>
                <w:rFonts w:cs="Calibri"/>
                <w:sz w:val="22"/>
                <w:szCs w:val="22"/>
                <w:lang w:eastAsia="en-IE"/>
              </w:rPr>
              <w:t>  </w:t>
            </w:r>
          </w:p>
        </w:tc>
        <w:tc>
          <w:tcPr>
            <w:tcW w:w="1640" w:type="dxa"/>
            <w:tcBorders>
              <w:top w:val="single" w:sz="6" w:space="0" w:color="8EA9DB"/>
              <w:left w:val="nil"/>
              <w:bottom w:val="single" w:sz="6" w:space="0" w:color="8EA9DB"/>
              <w:right w:val="nil"/>
            </w:tcBorders>
            <w:shd w:val="clear" w:color="auto" w:fill="auto"/>
            <w:vAlign w:val="bottom"/>
          </w:tcPr>
          <w:p w14:paraId="2867D53A" w14:textId="77777777" w:rsidR="00251EBF" w:rsidRPr="00C00CA8" w:rsidRDefault="00251EBF" w:rsidP="006E5E0B">
            <w:pPr>
              <w:spacing w:after="0"/>
              <w:jc w:val="center"/>
              <w:rPr>
                <w:rFonts w:cs="Segoe UI"/>
                <w:sz w:val="22"/>
                <w:szCs w:val="22"/>
                <w:lang w:eastAsia="en-IE"/>
              </w:rPr>
            </w:pPr>
            <w:r w:rsidRPr="00C00CA8">
              <w:rPr>
                <w:rFonts w:cs="Calibri"/>
                <w:b/>
                <w:sz w:val="22"/>
                <w:szCs w:val="22"/>
                <w:lang w:eastAsia="en-IE"/>
              </w:rPr>
              <w:t>All</w:t>
            </w:r>
            <w:r w:rsidRPr="00C00CA8">
              <w:rPr>
                <w:rFonts w:cs="Calibri"/>
                <w:sz w:val="22"/>
                <w:szCs w:val="22"/>
                <w:lang w:eastAsia="en-IE"/>
              </w:rPr>
              <w:t>  </w:t>
            </w:r>
          </w:p>
        </w:tc>
        <w:tc>
          <w:tcPr>
            <w:tcW w:w="1547" w:type="dxa"/>
            <w:tcBorders>
              <w:top w:val="single" w:sz="6" w:space="0" w:color="8EA9DB"/>
              <w:left w:val="nil"/>
              <w:bottom w:val="single" w:sz="6" w:space="0" w:color="8EA9DB"/>
              <w:right w:val="nil"/>
            </w:tcBorders>
            <w:shd w:val="clear" w:color="auto" w:fill="auto"/>
            <w:vAlign w:val="bottom"/>
          </w:tcPr>
          <w:p w14:paraId="326BD73B" w14:textId="77777777" w:rsidR="00251EBF" w:rsidRPr="00C00CA8" w:rsidRDefault="00251EBF" w:rsidP="006E5E0B">
            <w:pPr>
              <w:spacing w:after="0"/>
              <w:jc w:val="center"/>
              <w:rPr>
                <w:rFonts w:cs="Segoe UI"/>
                <w:sz w:val="22"/>
                <w:szCs w:val="22"/>
                <w:lang w:eastAsia="en-IE"/>
              </w:rPr>
            </w:pPr>
            <w:r w:rsidRPr="00C00CA8">
              <w:rPr>
                <w:rFonts w:cs="Calibri"/>
                <w:b/>
                <w:sz w:val="22"/>
                <w:szCs w:val="22"/>
                <w:lang w:eastAsia="en-IE"/>
              </w:rPr>
              <w:t>SS</w:t>
            </w:r>
            <w:r w:rsidRPr="00C00CA8">
              <w:rPr>
                <w:rFonts w:cs="Calibri"/>
                <w:sz w:val="22"/>
                <w:szCs w:val="22"/>
                <w:lang w:eastAsia="en-IE"/>
              </w:rPr>
              <w:t> </w:t>
            </w:r>
          </w:p>
        </w:tc>
        <w:tc>
          <w:tcPr>
            <w:tcW w:w="1775" w:type="dxa"/>
            <w:tcBorders>
              <w:top w:val="single" w:sz="6" w:space="0" w:color="8EA9DB"/>
              <w:left w:val="nil"/>
              <w:bottom w:val="single" w:sz="6" w:space="0" w:color="8EA9DB"/>
              <w:right w:val="nil"/>
            </w:tcBorders>
            <w:shd w:val="clear" w:color="auto" w:fill="auto"/>
            <w:vAlign w:val="bottom"/>
          </w:tcPr>
          <w:p w14:paraId="6E2CBF02" w14:textId="77777777" w:rsidR="00251EBF" w:rsidRPr="00C00CA8" w:rsidRDefault="00251EBF" w:rsidP="006E5E0B">
            <w:pPr>
              <w:spacing w:after="0"/>
              <w:jc w:val="center"/>
              <w:rPr>
                <w:rFonts w:cs="Segoe UI"/>
                <w:sz w:val="22"/>
                <w:szCs w:val="22"/>
                <w:lang w:eastAsia="en-IE"/>
              </w:rPr>
            </w:pPr>
            <w:r w:rsidRPr="00C00CA8">
              <w:rPr>
                <w:rFonts w:cs="Calibri"/>
                <w:b/>
                <w:sz w:val="22"/>
                <w:szCs w:val="22"/>
                <w:lang w:eastAsia="en-IE"/>
              </w:rPr>
              <w:t>GS</w:t>
            </w:r>
            <w:r w:rsidRPr="00C00CA8">
              <w:rPr>
                <w:rFonts w:cs="Calibri"/>
                <w:sz w:val="22"/>
                <w:szCs w:val="22"/>
                <w:lang w:eastAsia="en-IE"/>
              </w:rPr>
              <w:t> </w:t>
            </w:r>
          </w:p>
        </w:tc>
        <w:tc>
          <w:tcPr>
            <w:tcW w:w="1600" w:type="dxa"/>
            <w:tcBorders>
              <w:top w:val="single" w:sz="6" w:space="0" w:color="8EA9DB"/>
              <w:left w:val="nil"/>
              <w:bottom w:val="single" w:sz="6" w:space="0" w:color="8EA9DB"/>
              <w:right w:val="single" w:sz="6" w:space="0" w:color="8EA9DB"/>
            </w:tcBorders>
            <w:shd w:val="clear" w:color="auto" w:fill="auto"/>
            <w:vAlign w:val="bottom"/>
          </w:tcPr>
          <w:p w14:paraId="45A8A1FE" w14:textId="77777777" w:rsidR="00251EBF" w:rsidRPr="00C00CA8" w:rsidRDefault="00251EBF" w:rsidP="006E5E0B">
            <w:pPr>
              <w:spacing w:after="0"/>
              <w:jc w:val="center"/>
              <w:rPr>
                <w:rFonts w:cs="Segoe UI"/>
                <w:sz w:val="22"/>
                <w:szCs w:val="22"/>
                <w:lang w:eastAsia="en-IE"/>
              </w:rPr>
            </w:pPr>
            <w:r w:rsidRPr="00C00CA8">
              <w:rPr>
                <w:rFonts w:cs="Calibri"/>
                <w:b/>
                <w:sz w:val="22"/>
                <w:szCs w:val="22"/>
                <w:lang w:eastAsia="en-IE"/>
              </w:rPr>
              <w:t>OTH</w:t>
            </w:r>
            <w:r w:rsidRPr="00C00CA8">
              <w:rPr>
                <w:rFonts w:cs="Calibri"/>
                <w:sz w:val="22"/>
                <w:szCs w:val="22"/>
                <w:lang w:eastAsia="en-IE"/>
              </w:rPr>
              <w:t> </w:t>
            </w:r>
          </w:p>
        </w:tc>
      </w:tr>
      <w:tr w:rsidR="00251EBF" w:rsidRPr="00C00CA8" w14:paraId="25C22A63" w14:textId="77777777" w:rsidTr="006E5E0B">
        <w:trPr>
          <w:trHeight w:val="300"/>
        </w:trPr>
        <w:tc>
          <w:tcPr>
            <w:tcW w:w="2260" w:type="dxa"/>
            <w:tcBorders>
              <w:top w:val="single" w:sz="6" w:space="0" w:color="8EA9DB"/>
              <w:left w:val="single" w:sz="6" w:space="0" w:color="8EA9DB"/>
              <w:bottom w:val="single" w:sz="6" w:space="0" w:color="8EA9DB"/>
              <w:right w:val="nil"/>
            </w:tcBorders>
            <w:shd w:val="clear" w:color="auto" w:fill="auto"/>
            <w:vAlign w:val="bottom"/>
          </w:tcPr>
          <w:p w14:paraId="5A9554F2" w14:textId="77777777" w:rsidR="00251EBF" w:rsidRPr="00C00CA8" w:rsidRDefault="00251EBF" w:rsidP="006E5E0B">
            <w:pPr>
              <w:spacing w:after="0"/>
              <w:jc w:val="center"/>
              <w:rPr>
                <w:rFonts w:cs="Segoe UI"/>
                <w:sz w:val="22"/>
                <w:szCs w:val="22"/>
                <w:lang w:eastAsia="en-IE"/>
              </w:rPr>
            </w:pPr>
            <w:r w:rsidRPr="00C00CA8">
              <w:rPr>
                <w:rFonts w:cs="Calibri"/>
                <w:b/>
                <w:color w:val="000000" w:themeColor="text1"/>
                <w:sz w:val="22"/>
                <w:szCs w:val="22"/>
                <w:lang w:eastAsia="en-IE"/>
              </w:rPr>
              <w:t>Social model</w:t>
            </w:r>
            <w:r w:rsidRPr="00C00CA8">
              <w:rPr>
                <w:rFonts w:cs="Calibri"/>
                <w:color w:val="000000" w:themeColor="text1"/>
                <w:sz w:val="22"/>
                <w:szCs w:val="22"/>
                <w:lang w:eastAsia="en-IE"/>
              </w:rPr>
              <w:t>  </w:t>
            </w:r>
          </w:p>
        </w:tc>
        <w:tc>
          <w:tcPr>
            <w:tcW w:w="1640" w:type="dxa"/>
            <w:tcBorders>
              <w:top w:val="single" w:sz="6" w:space="0" w:color="8EA9DB"/>
              <w:left w:val="nil"/>
              <w:bottom w:val="single" w:sz="6" w:space="0" w:color="8EA9DB"/>
              <w:right w:val="nil"/>
            </w:tcBorders>
            <w:shd w:val="clear" w:color="auto" w:fill="DEEAF6" w:themeFill="accent1" w:themeFillTint="33"/>
            <w:vAlign w:val="bottom"/>
          </w:tcPr>
          <w:p w14:paraId="2DE8BF6D" w14:textId="77777777" w:rsidR="00251EBF" w:rsidRPr="00C00CA8" w:rsidRDefault="00251EBF" w:rsidP="006E5E0B">
            <w:pPr>
              <w:spacing w:after="0"/>
              <w:jc w:val="center"/>
              <w:rPr>
                <w:rFonts w:cs="Segoe UI"/>
                <w:sz w:val="22"/>
                <w:szCs w:val="22"/>
                <w:lang w:eastAsia="en-IE"/>
              </w:rPr>
            </w:pPr>
            <w:r w:rsidRPr="00C00CA8">
              <w:rPr>
                <w:rFonts w:cs="Calibri"/>
                <w:color w:val="000000" w:themeColor="text1"/>
                <w:sz w:val="22"/>
                <w:szCs w:val="22"/>
                <w:lang w:eastAsia="en-IE"/>
              </w:rPr>
              <w:t>75% (n=24)  </w:t>
            </w:r>
          </w:p>
        </w:tc>
        <w:tc>
          <w:tcPr>
            <w:tcW w:w="1547" w:type="dxa"/>
            <w:tcBorders>
              <w:top w:val="single" w:sz="6" w:space="0" w:color="8EA9DB"/>
              <w:left w:val="nil"/>
              <w:bottom w:val="single" w:sz="6" w:space="0" w:color="8EA9DB"/>
              <w:right w:val="nil"/>
            </w:tcBorders>
            <w:shd w:val="clear" w:color="auto" w:fill="DEEAF6" w:themeFill="accent1" w:themeFillTint="33"/>
            <w:vAlign w:val="bottom"/>
          </w:tcPr>
          <w:p w14:paraId="55048792" w14:textId="77777777" w:rsidR="00251EBF" w:rsidRPr="00C00CA8" w:rsidRDefault="00251EBF" w:rsidP="006E5E0B">
            <w:pPr>
              <w:spacing w:after="0"/>
              <w:jc w:val="center"/>
              <w:rPr>
                <w:rFonts w:cs="Segoe UI"/>
                <w:sz w:val="22"/>
                <w:szCs w:val="22"/>
                <w:lang w:eastAsia="en-IE"/>
              </w:rPr>
            </w:pPr>
            <w:r w:rsidRPr="11C55A92">
              <w:rPr>
                <w:rFonts w:cs="Calibri"/>
                <w:color w:val="000000" w:themeColor="text1"/>
                <w:sz w:val="22"/>
                <w:szCs w:val="22"/>
                <w:lang w:eastAsia="en-IE"/>
              </w:rPr>
              <w:t>81% (n=13)  </w:t>
            </w:r>
          </w:p>
        </w:tc>
        <w:tc>
          <w:tcPr>
            <w:tcW w:w="1775" w:type="dxa"/>
            <w:tcBorders>
              <w:top w:val="single" w:sz="6" w:space="0" w:color="8EA9DB"/>
              <w:left w:val="nil"/>
              <w:bottom w:val="single" w:sz="6" w:space="0" w:color="8EA9DB"/>
              <w:right w:val="nil"/>
            </w:tcBorders>
            <w:shd w:val="clear" w:color="auto" w:fill="DEEAF6" w:themeFill="accent1" w:themeFillTint="33"/>
            <w:vAlign w:val="bottom"/>
          </w:tcPr>
          <w:p w14:paraId="29D1D71D" w14:textId="77777777" w:rsidR="00251EBF" w:rsidRPr="00C00CA8" w:rsidRDefault="00251EBF" w:rsidP="006E5E0B">
            <w:pPr>
              <w:spacing w:after="0"/>
              <w:jc w:val="center"/>
              <w:rPr>
                <w:rFonts w:cs="Segoe UI"/>
                <w:sz w:val="22"/>
                <w:szCs w:val="22"/>
                <w:lang w:eastAsia="en-IE"/>
              </w:rPr>
            </w:pPr>
            <w:r w:rsidRPr="00C00CA8">
              <w:rPr>
                <w:rFonts w:cs="Calibri"/>
                <w:color w:val="000000" w:themeColor="text1"/>
                <w:sz w:val="22"/>
                <w:szCs w:val="22"/>
                <w:lang w:eastAsia="en-IE"/>
              </w:rPr>
              <w:t>90% (n=9)  </w:t>
            </w:r>
          </w:p>
        </w:tc>
        <w:tc>
          <w:tcPr>
            <w:tcW w:w="1600" w:type="dxa"/>
            <w:tcBorders>
              <w:top w:val="single" w:sz="6" w:space="0" w:color="8EA9DB"/>
              <w:left w:val="nil"/>
              <w:bottom w:val="single" w:sz="6" w:space="0" w:color="8EA9DB"/>
              <w:right w:val="single" w:sz="6" w:space="0" w:color="8EA9DB"/>
            </w:tcBorders>
            <w:shd w:val="clear" w:color="auto" w:fill="DEEAF6" w:themeFill="accent1" w:themeFillTint="33"/>
            <w:vAlign w:val="bottom"/>
          </w:tcPr>
          <w:p w14:paraId="72363CAA" w14:textId="77777777" w:rsidR="00251EBF" w:rsidRPr="00C00CA8" w:rsidRDefault="00251EBF" w:rsidP="006E5E0B">
            <w:pPr>
              <w:spacing w:after="0"/>
              <w:jc w:val="center"/>
              <w:rPr>
                <w:rFonts w:cs="Segoe UI"/>
                <w:sz w:val="22"/>
                <w:szCs w:val="22"/>
                <w:lang w:eastAsia="en-IE"/>
              </w:rPr>
            </w:pPr>
            <w:r w:rsidRPr="11C55A92">
              <w:rPr>
                <w:rFonts w:cs="Calibri"/>
                <w:color w:val="000000" w:themeColor="text1"/>
                <w:sz w:val="22"/>
                <w:szCs w:val="22"/>
                <w:lang w:eastAsia="en-IE"/>
              </w:rPr>
              <w:t>33% (n=2)  </w:t>
            </w:r>
          </w:p>
        </w:tc>
      </w:tr>
      <w:tr w:rsidR="00251EBF" w:rsidRPr="00C00CA8" w14:paraId="7003C755" w14:textId="77777777" w:rsidTr="006E5E0B">
        <w:trPr>
          <w:trHeight w:val="300"/>
        </w:trPr>
        <w:tc>
          <w:tcPr>
            <w:tcW w:w="2260" w:type="dxa"/>
            <w:tcBorders>
              <w:top w:val="single" w:sz="6" w:space="0" w:color="8EA9DB"/>
              <w:left w:val="single" w:sz="6" w:space="0" w:color="8EA9DB"/>
              <w:bottom w:val="single" w:sz="6" w:space="0" w:color="8EA9DB"/>
              <w:right w:val="nil"/>
            </w:tcBorders>
            <w:shd w:val="clear" w:color="auto" w:fill="auto"/>
            <w:vAlign w:val="bottom"/>
          </w:tcPr>
          <w:p w14:paraId="24E0EFB5" w14:textId="77777777" w:rsidR="00251EBF" w:rsidRPr="00C00CA8" w:rsidRDefault="00251EBF" w:rsidP="006E5E0B">
            <w:pPr>
              <w:spacing w:after="0"/>
              <w:jc w:val="center"/>
              <w:rPr>
                <w:rFonts w:cs="Segoe UI"/>
                <w:sz w:val="22"/>
                <w:szCs w:val="22"/>
                <w:lang w:eastAsia="en-IE"/>
              </w:rPr>
            </w:pPr>
            <w:r w:rsidRPr="00C00CA8">
              <w:rPr>
                <w:rFonts w:cs="Calibri"/>
                <w:b/>
                <w:color w:val="000000" w:themeColor="text1"/>
                <w:sz w:val="22"/>
                <w:szCs w:val="22"/>
                <w:lang w:eastAsia="en-IE"/>
              </w:rPr>
              <w:t>Medical model</w:t>
            </w:r>
            <w:r w:rsidRPr="00C00CA8">
              <w:rPr>
                <w:rFonts w:cs="Calibri"/>
                <w:color w:val="000000" w:themeColor="text1"/>
                <w:sz w:val="22"/>
                <w:szCs w:val="22"/>
                <w:lang w:eastAsia="en-IE"/>
              </w:rPr>
              <w:t>  </w:t>
            </w:r>
          </w:p>
        </w:tc>
        <w:tc>
          <w:tcPr>
            <w:tcW w:w="1640" w:type="dxa"/>
            <w:tcBorders>
              <w:top w:val="single" w:sz="6" w:space="0" w:color="8EA9DB"/>
              <w:left w:val="nil"/>
              <w:bottom w:val="single" w:sz="6" w:space="0" w:color="8EA9DB"/>
              <w:right w:val="nil"/>
            </w:tcBorders>
            <w:shd w:val="clear" w:color="auto" w:fill="DEEAF6" w:themeFill="accent1" w:themeFillTint="33"/>
            <w:vAlign w:val="bottom"/>
          </w:tcPr>
          <w:p w14:paraId="6458C121" w14:textId="77777777" w:rsidR="00251EBF" w:rsidRPr="00C00CA8" w:rsidRDefault="00251EBF" w:rsidP="006E5E0B">
            <w:pPr>
              <w:spacing w:after="0"/>
              <w:jc w:val="center"/>
              <w:rPr>
                <w:rFonts w:cs="Segoe UI"/>
                <w:sz w:val="22"/>
                <w:szCs w:val="22"/>
                <w:lang w:eastAsia="en-IE"/>
              </w:rPr>
            </w:pPr>
            <w:r w:rsidRPr="11C55A92">
              <w:rPr>
                <w:rFonts w:cs="Calibri"/>
                <w:color w:val="000000" w:themeColor="text1"/>
                <w:sz w:val="22"/>
                <w:szCs w:val="22"/>
                <w:lang w:eastAsia="en-IE"/>
              </w:rPr>
              <w:t>31% (n=10)  </w:t>
            </w:r>
          </w:p>
        </w:tc>
        <w:tc>
          <w:tcPr>
            <w:tcW w:w="1547" w:type="dxa"/>
            <w:tcBorders>
              <w:top w:val="single" w:sz="6" w:space="0" w:color="8EA9DB"/>
              <w:left w:val="nil"/>
              <w:bottom w:val="single" w:sz="6" w:space="0" w:color="8EA9DB"/>
              <w:right w:val="nil"/>
            </w:tcBorders>
            <w:shd w:val="clear" w:color="auto" w:fill="DEEAF6" w:themeFill="accent1" w:themeFillTint="33"/>
            <w:vAlign w:val="bottom"/>
          </w:tcPr>
          <w:p w14:paraId="3BF5E8AE" w14:textId="77777777" w:rsidR="00251EBF" w:rsidRPr="00C00CA8" w:rsidRDefault="00251EBF" w:rsidP="006E5E0B">
            <w:pPr>
              <w:spacing w:after="0"/>
              <w:jc w:val="center"/>
              <w:rPr>
                <w:rFonts w:cs="Segoe UI"/>
                <w:sz w:val="22"/>
                <w:szCs w:val="22"/>
                <w:lang w:eastAsia="en-IE"/>
              </w:rPr>
            </w:pPr>
            <w:r w:rsidRPr="00C00CA8">
              <w:rPr>
                <w:rFonts w:cs="Calibri"/>
                <w:color w:val="000000" w:themeColor="text1"/>
                <w:sz w:val="22"/>
                <w:szCs w:val="22"/>
                <w:lang w:eastAsia="en-IE"/>
              </w:rPr>
              <w:t>50% (n=8)  </w:t>
            </w:r>
          </w:p>
        </w:tc>
        <w:tc>
          <w:tcPr>
            <w:tcW w:w="1775" w:type="dxa"/>
            <w:tcBorders>
              <w:top w:val="single" w:sz="6" w:space="0" w:color="8EA9DB"/>
              <w:left w:val="nil"/>
              <w:bottom w:val="single" w:sz="6" w:space="0" w:color="8EA9DB"/>
              <w:right w:val="nil"/>
            </w:tcBorders>
            <w:shd w:val="clear" w:color="auto" w:fill="DEEAF6" w:themeFill="accent1" w:themeFillTint="33"/>
            <w:vAlign w:val="bottom"/>
          </w:tcPr>
          <w:p w14:paraId="63EC1EF2" w14:textId="77777777" w:rsidR="00251EBF" w:rsidRPr="00C00CA8" w:rsidRDefault="00251EBF" w:rsidP="006E5E0B">
            <w:pPr>
              <w:spacing w:after="0"/>
              <w:jc w:val="center"/>
              <w:rPr>
                <w:rFonts w:cs="Segoe UI"/>
                <w:sz w:val="22"/>
                <w:szCs w:val="22"/>
                <w:lang w:eastAsia="en-IE"/>
              </w:rPr>
            </w:pPr>
            <w:r w:rsidRPr="00C00CA8">
              <w:rPr>
                <w:rFonts w:cs="Calibri"/>
                <w:color w:val="000000" w:themeColor="text1"/>
                <w:sz w:val="22"/>
                <w:szCs w:val="22"/>
                <w:lang w:eastAsia="en-IE"/>
              </w:rPr>
              <w:t>20% (n=2)  </w:t>
            </w:r>
          </w:p>
        </w:tc>
        <w:tc>
          <w:tcPr>
            <w:tcW w:w="1600" w:type="dxa"/>
            <w:tcBorders>
              <w:top w:val="single" w:sz="6" w:space="0" w:color="8EA9DB"/>
              <w:left w:val="nil"/>
              <w:bottom w:val="single" w:sz="6" w:space="0" w:color="8EA9DB"/>
              <w:right w:val="single" w:sz="6" w:space="0" w:color="8EA9DB"/>
            </w:tcBorders>
            <w:shd w:val="clear" w:color="auto" w:fill="DEEAF6" w:themeFill="accent1" w:themeFillTint="33"/>
            <w:vAlign w:val="bottom"/>
          </w:tcPr>
          <w:p w14:paraId="746C0B8B" w14:textId="77777777" w:rsidR="00251EBF" w:rsidRPr="00C00CA8" w:rsidRDefault="00251EBF" w:rsidP="006E5E0B">
            <w:pPr>
              <w:spacing w:after="0"/>
              <w:jc w:val="center"/>
              <w:rPr>
                <w:rFonts w:cs="Segoe UI"/>
                <w:sz w:val="22"/>
                <w:szCs w:val="22"/>
                <w:lang w:eastAsia="en-IE"/>
              </w:rPr>
            </w:pPr>
            <w:r w:rsidRPr="00C00CA8">
              <w:rPr>
                <w:rFonts w:cs="Calibri"/>
                <w:color w:val="000000" w:themeColor="text1"/>
                <w:sz w:val="22"/>
                <w:szCs w:val="22"/>
                <w:lang w:eastAsia="en-IE"/>
              </w:rPr>
              <w:t>0%  </w:t>
            </w:r>
          </w:p>
        </w:tc>
      </w:tr>
      <w:tr w:rsidR="00251EBF" w:rsidRPr="00C00CA8" w14:paraId="77CD7C33" w14:textId="77777777" w:rsidTr="006E5E0B">
        <w:trPr>
          <w:trHeight w:val="300"/>
        </w:trPr>
        <w:tc>
          <w:tcPr>
            <w:tcW w:w="2260" w:type="dxa"/>
            <w:tcBorders>
              <w:top w:val="single" w:sz="6" w:space="0" w:color="8EA9DB"/>
              <w:left w:val="single" w:sz="6" w:space="0" w:color="8EA9DB"/>
              <w:bottom w:val="single" w:sz="6" w:space="0" w:color="8EA9DB"/>
              <w:right w:val="nil"/>
            </w:tcBorders>
            <w:shd w:val="clear" w:color="auto" w:fill="auto"/>
            <w:vAlign w:val="bottom"/>
          </w:tcPr>
          <w:p w14:paraId="5C030130" w14:textId="09C50832" w:rsidR="00251EBF" w:rsidRPr="00C00CA8" w:rsidRDefault="00251EBF" w:rsidP="006E5E0B">
            <w:pPr>
              <w:spacing w:after="0"/>
              <w:jc w:val="center"/>
              <w:rPr>
                <w:rFonts w:cs="Segoe UI"/>
                <w:sz w:val="22"/>
                <w:szCs w:val="22"/>
                <w:lang w:eastAsia="en-IE"/>
              </w:rPr>
            </w:pPr>
            <w:r w:rsidRPr="00C00CA8">
              <w:rPr>
                <w:rFonts w:cs="Calibri"/>
                <w:b/>
                <w:color w:val="000000" w:themeColor="text1"/>
                <w:sz w:val="22"/>
                <w:szCs w:val="22"/>
                <w:lang w:eastAsia="en-IE"/>
              </w:rPr>
              <w:t xml:space="preserve">Living </w:t>
            </w:r>
            <w:r w:rsidR="000C43B5">
              <w:rPr>
                <w:rFonts w:cs="Calibri"/>
                <w:b/>
                <w:color w:val="000000" w:themeColor="text1"/>
                <w:sz w:val="22"/>
                <w:szCs w:val="22"/>
                <w:lang w:eastAsia="en-IE"/>
              </w:rPr>
              <w:t>W</w:t>
            </w:r>
            <w:r w:rsidRPr="00C00CA8">
              <w:rPr>
                <w:rFonts w:cs="Calibri"/>
                <w:b/>
                <w:color w:val="000000" w:themeColor="text1"/>
                <w:sz w:val="22"/>
                <w:szCs w:val="22"/>
                <w:lang w:eastAsia="en-IE"/>
              </w:rPr>
              <w:t xml:space="preserve">ell with </w:t>
            </w:r>
            <w:r w:rsidR="000C43B5">
              <w:rPr>
                <w:rFonts w:cs="Calibri"/>
                <w:b/>
                <w:color w:val="000000" w:themeColor="text1"/>
                <w:sz w:val="22"/>
                <w:szCs w:val="22"/>
                <w:lang w:eastAsia="en-IE"/>
              </w:rPr>
              <w:t>D</w:t>
            </w:r>
            <w:r w:rsidRPr="00C00CA8">
              <w:rPr>
                <w:rFonts w:cs="Calibri"/>
                <w:b/>
                <w:color w:val="000000" w:themeColor="text1"/>
                <w:sz w:val="22"/>
                <w:szCs w:val="22"/>
                <w:lang w:eastAsia="en-IE"/>
              </w:rPr>
              <w:t>ementia</w:t>
            </w:r>
            <w:r w:rsidRPr="00C00CA8">
              <w:rPr>
                <w:rFonts w:cs="Calibri"/>
                <w:color w:val="000000" w:themeColor="text1"/>
                <w:sz w:val="22"/>
                <w:szCs w:val="22"/>
                <w:lang w:eastAsia="en-IE"/>
              </w:rPr>
              <w:t>  </w:t>
            </w:r>
          </w:p>
        </w:tc>
        <w:tc>
          <w:tcPr>
            <w:tcW w:w="1640" w:type="dxa"/>
            <w:tcBorders>
              <w:top w:val="single" w:sz="6" w:space="0" w:color="8EA9DB"/>
              <w:left w:val="nil"/>
              <w:bottom w:val="single" w:sz="6" w:space="0" w:color="8EA9DB"/>
              <w:right w:val="nil"/>
            </w:tcBorders>
            <w:shd w:val="clear" w:color="auto" w:fill="DEEAF6" w:themeFill="accent1" w:themeFillTint="33"/>
            <w:vAlign w:val="bottom"/>
          </w:tcPr>
          <w:p w14:paraId="7A516B45" w14:textId="77777777" w:rsidR="00251EBF" w:rsidRPr="00C00CA8" w:rsidRDefault="00251EBF" w:rsidP="006E5E0B">
            <w:pPr>
              <w:spacing w:after="0"/>
              <w:jc w:val="center"/>
              <w:rPr>
                <w:rFonts w:cs="Segoe UI"/>
                <w:sz w:val="22"/>
                <w:szCs w:val="22"/>
                <w:lang w:eastAsia="en-IE"/>
              </w:rPr>
            </w:pPr>
            <w:r w:rsidRPr="11C55A92">
              <w:rPr>
                <w:rFonts w:cs="Calibri"/>
                <w:color w:val="000000" w:themeColor="text1"/>
                <w:sz w:val="22"/>
                <w:szCs w:val="22"/>
                <w:lang w:eastAsia="en-IE"/>
              </w:rPr>
              <w:t>50% (n=15)  </w:t>
            </w:r>
          </w:p>
        </w:tc>
        <w:tc>
          <w:tcPr>
            <w:tcW w:w="1547" w:type="dxa"/>
            <w:tcBorders>
              <w:top w:val="single" w:sz="6" w:space="0" w:color="8EA9DB"/>
              <w:left w:val="nil"/>
              <w:bottom w:val="single" w:sz="6" w:space="0" w:color="8EA9DB"/>
              <w:right w:val="nil"/>
            </w:tcBorders>
            <w:shd w:val="clear" w:color="auto" w:fill="DEEAF6" w:themeFill="accent1" w:themeFillTint="33"/>
            <w:vAlign w:val="bottom"/>
          </w:tcPr>
          <w:p w14:paraId="208D384B" w14:textId="77777777" w:rsidR="00251EBF" w:rsidRPr="00C00CA8" w:rsidRDefault="00251EBF" w:rsidP="006E5E0B">
            <w:pPr>
              <w:spacing w:after="0"/>
              <w:jc w:val="center"/>
              <w:rPr>
                <w:rFonts w:cs="Segoe UI"/>
                <w:sz w:val="22"/>
                <w:szCs w:val="22"/>
                <w:lang w:eastAsia="en-IE"/>
              </w:rPr>
            </w:pPr>
            <w:r w:rsidRPr="00C00CA8">
              <w:rPr>
                <w:rFonts w:cs="Calibri"/>
                <w:color w:val="000000" w:themeColor="text1"/>
                <w:sz w:val="22"/>
                <w:szCs w:val="22"/>
                <w:lang w:eastAsia="en-IE"/>
              </w:rPr>
              <w:t>75% (n=12)  </w:t>
            </w:r>
          </w:p>
        </w:tc>
        <w:tc>
          <w:tcPr>
            <w:tcW w:w="1775" w:type="dxa"/>
            <w:tcBorders>
              <w:top w:val="single" w:sz="6" w:space="0" w:color="8EA9DB"/>
              <w:left w:val="nil"/>
              <w:bottom w:val="single" w:sz="6" w:space="0" w:color="8EA9DB"/>
              <w:right w:val="nil"/>
            </w:tcBorders>
            <w:shd w:val="clear" w:color="auto" w:fill="DEEAF6" w:themeFill="accent1" w:themeFillTint="33"/>
            <w:vAlign w:val="bottom"/>
          </w:tcPr>
          <w:p w14:paraId="64B56365" w14:textId="77777777" w:rsidR="00251EBF" w:rsidRPr="00C00CA8" w:rsidRDefault="00251EBF" w:rsidP="006E5E0B">
            <w:pPr>
              <w:spacing w:after="0"/>
              <w:jc w:val="center"/>
              <w:rPr>
                <w:rFonts w:cs="Segoe UI"/>
                <w:sz w:val="22"/>
                <w:szCs w:val="22"/>
                <w:lang w:eastAsia="en-IE"/>
              </w:rPr>
            </w:pPr>
            <w:r w:rsidRPr="00C00CA8">
              <w:rPr>
                <w:rFonts w:cs="Calibri"/>
                <w:color w:val="000000" w:themeColor="text1"/>
                <w:sz w:val="22"/>
                <w:szCs w:val="22"/>
                <w:lang w:eastAsia="en-IE"/>
              </w:rPr>
              <w:t>10% (n=1)  </w:t>
            </w:r>
          </w:p>
        </w:tc>
        <w:tc>
          <w:tcPr>
            <w:tcW w:w="1600" w:type="dxa"/>
            <w:tcBorders>
              <w:top w:val="single" w:sz="6" w:space="0" w:color="8EA9DB"/>
              <w:left w:val="nil"/>
              <w:bottom w:val="single" w:sz="6" w:space="0" w:color="8EA9DB"/>
              <w:right w:val="single" w:sz="6" w:space="0" w:color="8EA9DB"/>
            </w:tcBorders>
            <w:shd w:val="clear" w:color="auto" w:fill="DEEAF6" w:themeFill="accent1" w:themeFillTint="33"/>
            <w:vAlign w:val="bottom"/>
          </w:tcPr>
          <w:p w14:paraId="1DB304D7" w14:textId="77777777" w:rsidR="00251EBF" w:rsidRPr="00C00CA8" w:rsidRDefault="00251EBF" w:rsidP="006E5E0B">
            <w:pPr>
              <w:spacing w:after="0"/>
              <w:jc w:val="center"/>
              <w:rPr>
                <w:rFonts w:cs="Segoe UI"/>
                <w:sz w:val="22"/>
                <w:szCs w:val="22"/>
                <w:lang w:eastAsia="en-IE"/>
              </w:rPr>
            </w:pPr>
            <w:r w:rsidRPr="11C55A92">
              <w:rPr>
                <w:rFonts w:cs="Calibri"/>
                <w:color w:val="000000" w:themeColor="text1"/>
                <w:sz w:val="22"/>
                <w:szCs w:val="22"/>
                <w:lang w:eastAsia="en-IE"/>
              </w:rPr>
              <w:t>33% (n=2)  </w:t>
            </w:r>
          </w:p>
        </w:tc>
      </w:tr>
      <w:tr w:rsidR="00251EBF" w:rsidRPr="00C00CA8" w14:paraId="49EA28CC" w14:textId="77777777" w:rsidTr="006E5E0B">
        <w:trPr>
          <w:trHeight w:val="300"/>
        </w:trPr>
        <w:tc>
          <w:tcPr>
            <w:tcW w:w="2260" w:type="dxa"/>
            <w:tcBorders>
              <w:top w:val="single" w:sz="6" w:space="0" w:color="8EA9DB"/>
              <w:left w:val="single" w:sz="6" w:space="0" w:color="8EA9DB"/>
              <w:bottom w:val="single" w:sz="6" w:space="0" w:color="8EA9DB"/>
              <w:right w:val="nil"/>
            </w:tcBorders>
            <w:shd w:val="clear" w:color="auto" w:fill="auto"/>
            <w:vAlign w:val="bottom"/>
          </w:tcPr>
          <w:p w14:paraId="2122B767" w14:textId="77777777" w:rsidR="00251EBF" w:rsidRPr="00C00CA8" w:rsidRDefault="00251EBF" w:rsidP="006E5E0B">
            <w:pPr>
              <w:spacing w:after="0"/>
              <w:jc w:val="center"/>
              <w:rPr>
                <w:rFonts w:cs="Segoe UI"/>
                <w:sz w:val="22"/>
                <w:szCs w:val="22"/>
                <w:lang w:eastAsia="en-IE"/>
              </w:rPr>
            </w:pPr>
            <w:r w:rsidRPr="00C00CA8">
              <w:rPr>
                <w:rFonts w:cs="Calibri"/>
                <w:b/>
                <w:color w:val="000000" w:themeColor="text1"/>
                <w:sz w:val="22"/>
                <w:szCs w:val="22"/>
                <w:lang w:eastAsia="en-IE"/>
              </w:rPr>
              <w:t>Biopsychosocial</w:t>
            </w:r>
            <w:r w:rsidRPr="00C00CA8">
              <w:rPr>
                <w:rFonts w:cs="Calibri"/>
                <w:color w:val="000000" w:themeColor="text1"/>
                <w:sz w:val="22"/>
                <w:szCs w:val="22"/>
                <w:lang w:eastAsia="en-IE"/>
              </w:rPr>
              <w:t>  </w:t>
            </w:r>
          </w:p>
        </w:tc>
        <w:tc>
          <w:tcPr>
            <w:tcW w:w="1640" w:type="dxa"/>
            <w:tcBorders>
              <w:top w:val="single" w:sz="6" w:space="0" w:color="8EA9DB"/>
              <w:left w:val="nil"/>
              <w:bottom w:val="single" w:sz="6" w:space="0" w:color="8EA9DB"/>
              <w:right w:val="nil"/>
            </w:tcBorders>
            <w:shd w:val="clear" w:color="auto" w:fill="DEEAF6" w:themeFill="accent1" w:themeFillTint="33"/>
            <w:vAlign w:val="bottom"/>
          </w:tcPr>
          <w:p w14:paraId="4BE29C18" w14:textId="77777777" w:rsidR="00251EBF" w:rsidRPr="00C00CA8" w:rsidRDefault="00251EBF" w:rsidP="006E5E0B">
            <w:pPr>
              <w:spacing w:after="0"/>
              <w:jc w:val="center"/>
              <w:rPr>
                <w:rFonts w:cs="Segoe UI"/>
                <w:sz w:val="22"/>
                <w:szCs w:val="22"/>
                <w:lang w:eastAsia="en-IE"/>
              </w:rPr>
            </w:pPr>
            <w:r w:rsidRPr="11C55A92">
              <w:rPr>
                <w:rFonts w:cs="Calibri"/>
                <w:color w:val="000000" w:themeColor="text1"/>
                <w:sz w:val="22"/>
                <w:szCs w:val="22"/>
                <w:lang w:eastAsia="en-IE"/>
              </w:rPr>
              <w:t>50% (n=15)  </w:t>
            </w:r>
          </w:p>
        </w:tc>
        <w:tc>
          <w:tcPr>
            <w:tcW w:w="1547" w:type="dxa"/>
            <w:tcBorders>
              <w:top w:val="single" w:sz="6" w:space="0" w:color="8EA9DB"/>
              <w:left w:val="nil"/>
              <w:bottom w:val="single" w:sz="6" w:space="0" w:color="8EA9DB"/>
              <w:right w:val="nil"/>
            </w:tcBorders>
            <w:shd w:val="clear" w:color="auto" w:fill="DEEAF6" w:themeFill="accent1" w:themeFillTint="33"/>
            <w:vAlign w:val="bottom"/>
          </w:tcPr>
          <w:p w14:paraId="4F8B2EF7" w14:textId="77777777" w:rsidR="00251EBF" w:rsidRPr="00C00CA8" w:rsidRDefault="00251EBF" w:rsidP="006E5E0B">
            <w:pPr>
              <w:spacing w:after="0"/>
              <w:jc w:val="center"/>
              <w:rPr>
                <w:rFonts w:cs="Segoe UI"/>
                <w:sz w:val="22"/>
                <w:szCs w:val="22"/>
                <w:lang w:eastAsia="en-IE"/>
              </w:rPr>
            </w:pPr>
            <w:r w:rsidRPr="11C55A92">
              <w:rPr>
                <w:rFonts w:cs="Calibri"/>
                <w:color w:val="000000" w:themeColor="text1"/>
                <w:sz w:val="22"/>
                <w:szCs w:val="22"/>
                <w:lang w:eastAsia="en-IE"/>
              </w:rPr>
              <w:t>69% (n=11)  </w:t>
            </w:r>
          </w:p>
        </w:tc>
        <w:tc>
          <w:tcPr>
            <w:tcW w:w="1775" w:type="dxa"/>
            <w:tcBorders>
              <w:top w:val="single" w:sz="6" w:space="0" w:color="8EA9DB"/>
              <w:left w:val="nil"/>
              <w:bottom w:val="single" w:sz="6" w:space="0" w:color="8EA9DB"/>
              <w:right w:val="nil"/>
            </w:tcBorders>
            <w:shd w:val="clear" w:color="auto" w:fill="DEEAF6" w:themeFill="accent1" w:themeFillTint="33"/>
            <w:vAlign w:val="bottom"/>
          </w:tcPr>
          <w:p w14:paraId="2995A94D" w14:textId="77777777" w:rsidR="00251EBF" w:rsidRPr="00C00CA8" w:rsidRDefault="00251EBF" w:rsidP="006E5E0B">
            <w:pPr>
              <w:spacing w:after="0"/>
              <w:jc w:val="center"/>
              <w:rPr>
                <w:rFonts w:cs="Segoe UI"/>
                <w:sz w:val="22"/>
                <w:szCs w:val="22"/>
                <w:lang w:eastAsia="en-IE"/>
              </w:rPr>
            </w:pPr>
            <w:r w:rsidRPr="00C00CA8">
              <w:rPr>
                <w:rFonts w:cs="Calibri"/>
                <w:color w:val="000000" w:themeColor="text1"/>
                <w:sz w:val="22"/>
                <w:szCs w:val="22"/>
                <w:lang w:eastAsia="en-IE"/>
              </w:rPr>
              <w:t>20% (n=2)  </w:t>
            </w:r>
          </w:p>
        </w:tc>
        <w:tc>
          <w:tcPr>
            <w:tcW w:w="1600" w:type="dxa"/>
            <w:tcBorders>
              <w:top w:val="single" w:sz="6" w:space="0" w:color="8EA9DB"/>
              <w:left w:val="nil"/>
              <w:bottom w:val="single" w:sz="6" w:space="0" w:color="8EA9DB"/>
              <w:right w:val="single" w:sz="6" w:space="0" w:color="8EA9DB"/>
            </w:tcBorders>
            <w:shd w:val="clear" w:color="auto" w:fill="DEEAF6" w:themeFill="accent1" w:themeFillTint="33"/>
            <w:vAlign w:val="bottom"/>
          </w:tcPr>
          <w:p w14:paraId="6D8CB434" w14:textId="77777777" w:rsidR="00251EBF" w:rsidRPr="00C00CA8" w:rsidRDefault="00251EBF" w:rsidP="006E5E0B">
            <w:pPr>
              <w:spacing w:after="0"/>
              <w:jc w:val="center"/>
              <w:rPr>
                <w:rFonts w:cs="Segoe UI"/>
                <w:sz w:val="22"/>
                <w:szCs w:val="22"/>
                <w:lang w:eastAsia="en-IE"/>
              </w:rPr>
            </w:pPr>
            <w:r w:rsidRPr="11C55A92">
              <w:rPr>
                <w:rFonts w:cs="Calibri"/>
                <w:color w:val="000000" w:themeColor="text1"/>
                <w:sz w:val="22"/>
                <w:szCs w:val="22"/>
                <w:lang w:eastAsia="en-IE"/>
              </w:rPr>
              <w:t>33% (n=2)   </w:t>
            </w:r>
          </w:p>
        </w:tc>
      </w:tr>
    </w:tbl>
    <w:p w14:paraId="430448B6" w14:textId="77777777" w:rsidR="00251EBF" w:rsidRPr="00024DCE" w:rsidRDefault="00251EBF" w:rsidP="00A86140"/>
    <w:p w14:paraId="0C482FA6" w14:textId="77777777" w:rsidR="000C43B5" w:rsidRDefault="00C53EE6" w:rsidP="00A86140">
      <w:r>
        <w:t xml:space="preserve">Whilst these </w:t>
      </w:r>
      <w:r w:rsidR="00AD58D4">
        <w:t>differ in name and number from those identified</w:t>
      </w:r>
      <w:r>
        <w:t xml:space="preserve"> in the focus groups, the detail</w:t>
      </w:r>
      <w:r w:rsidR="00781FB8">
        <w:t xml:space="preserve">s from those discussions suggest that the </w:t>
      </w:r>
      <w:r w:rsidR="00BE74BF">
        <w:rPr>
          <w:i/>
          <w:iCs/>
        </w:rPr>
        <w:t xml:space="preserve">medical </w:t>
      </w:r>
      <w:r w:rsidR="00BE74BF" w:rsidRPr="00BE74BF">
        <w:t>and</w:t>
      </w:r>
      <w:r w:rsidR="00BE74BF">
        <w:rPr>
          <w:i/>
          <w:iCs/>
        </w:rPr>
        <w:t xml:space="preserve"> biopsychosocial models</w:t>
      </w:r>
      <w:r w:rsidR="00BE74BF">
        <w:t xml:space="preserve"> align with the </w:t>
      </w:r>
      <w:r w:rsidR="000C43B5" w:rsidRPr="000C43B5">
        <w:rPr>
          <w:i/>
          <w:iCs/>
        </w:rPr>
        <w:t>nurse-led</w:t>
      </w:r>
      <w:r w:rsidR="000C43B5">
        <w:t xml:space="preserve"> and </w:t>
      </w:r>
      <w:r w:rsidR="000C43B5" w:rsidRPr="000C43B5">
        <w:rPr>
          <w:i/>
          <w:iCs/>
        </w:rPr>
        <w:t>health and social care</w:t>
      </w:r>
      <w:r w:rsidR="000C43B5">
        <w:t xml:space="preserve"> approaches, respectively, with the </w:t>
      </w:r>
      <w:r w:rsidR="000C43B5" w:rsidRPr="000C43B5">
        <w:rPr>
          <w:i/>
          <w:iCs/>
        </w:rPr>
        <w:t>Living Well with Dementia</w:t>
      </w:r>
      <w:r w:rsidR="000C43B5">
        <w:t xml:space="preserve"> aligning with the </w:t>
      </w:r>
      <w:r w:rsidR="000C43B5" w:rsidRPr="000C43B5">
        <w:rPr>
          <w:i/>
          <w:iCs/>
        </w:rPr>
        <w:t>specialist service</w:t>
      </w:r>
      <w:r w:rsidR="000C43B5">
        <w:t xml:space="preserve"> approach.</w:t>
      </w:r>
      <w:r w:rsidR="00AD58D4">
        <w:t xml:space="preserve"> </w:t>
      </w:r>
    </w:p>
    <w:p w14:paraId="2071A5E9" w14:textId="66D81FC8" w:rsidR="00A86140" w:rsidRPr="009E498C" w:rsidRDefault="00A86140" w:rsidP="00A86140">
      <w:r>
        <w:t xml:space="preserve">The medical and social models, which have been the focus of much discourse over the past decades have clearly influenced these three approaches and participants acknowledged those influences over time: </w:t>
      </w:r>
    </w:p>
    <w:p w14:paraId="42F69A5C" w14:textId="67CE411A" w:rsidR="00A86140" w:rsidRPr="009E498C" w:rsidRDefault="00A86140" w:rsidP="00A86140">
      <w:pPr>
        <w:ind w:left="720" w:right="720"/>
        <w:rPr>
          <w:rFonts w:eastAsiaTheme="minorEastAsia"/>
          <w:szCs w:val="26"/>
        </w:rPr>
      </w:pPr>
      <w:r w:rsidRPr="009E498C">
        <w:rPr>
          <w:rFonts w:eastAsiaTheme="minorEastAsia"/>
          <w:i/>
          <w:szCs w:val="26"/>
        </w:rPr>
        <w:t>Yeah, I’ve worked in the service for twenty-five years. And when I first started</w:t>
      </w:r>
      <w:r>
        <w:rPr>
          <w:rFonts w:eastAsiaTheme="minorEastAsia"/>
          <w:i/>
          <w:szCs w:val="26"/>
        </w:rPr>
        <w:t>,</w:t>
      </w:r>
      <w:r w:rsidRPr="009E498C">
        <w:rPr>
          <w:rFonts w:eastAsiaTheme="minorEastAsia"/>
          <w:i/>
          <w:szCs w:val="26"/>
        </w:rPr>
        <w:t xml:space="preserve"> I suppose the model of care was very much a traditional approach. And I suppose I feel that we have improved so much since then. </w:t>
      </w:r>
      <w:r w:rsidRPr="009E498C">
        <w:rPr>
          <w:rFonts w:eastAsiaTheme="minorEastAsia"/>
          <w:szCs w:val="26"/>
        </w:rPr>
        <w:t>(Betty, D</w:t>
      </w:r>
      <w:r w:rsidR="0054198D">
        <w:rPr>
          <w:rStyle w:val="FootnoteReference"/>
          <w:rFonts w:eastAsiaTheme="minorEastAsia"/>
          <w:szCs w:val="26"/>
        </w:rPr>
        <w:footnoteReference w:id="2"/>
      </w:r>
      <w:r w:rsidRPr="009E498C">
        <w:rPr>
          <w:rFonts w:eastAsiaTheme="minorEastAsia"/>
          <w:szCs w:val="26"/>
        </w:rPr>
        <w:t>, SS)</w:t>
      </w:r>
    </w:p>
    <w:p w14:paraId="098C968A" w14:textId="77777777" w:rsidR="00A86140" w:rsidRPr="009E498C" w:rsidRDefault="00A86140" w:rsidP="00A86140">
      <w:pPr>
        <w:ind w:left="720"/>
        <w:rPr>
          <w:rFonts w:eastAsiaTheme="minorEastAsia"/>
          <w:szCs w:val="26"/>
        </w:rPr>
      </w:pPr>
      <w:r w:rsidRPr="009E498C">
        <w:rPr>
          <w:rFonts w:eastAsiaTheme="minorEastAsia"/>
          <w:i/>
          <w:color w:val="000000" w:themeColor="text1"/>
          <w:szCs w:val="26"/>
          <w:lang w:val="en-GB"/>
        </w:rPr>
        <w:t>…we would be very much of the social care model, it would have been very much the medical model up until about thirty years ago</w:t>
      </w:r>
      <w:r>
        <w:rPr>
          <w:rFonts w:eastAsiaTheme="minorEastAsia"/>
          <w:i/>
          <w:color w:val="000000" w:themeColor="text1"/>
          <w:szCs w:val="26"/>
          <w:lang w:val="en-GB"/>
        </w:rPr>
        <w:t>,</w:t>
      </w:r>
      <w:r w:rsidRPr="009E498C">
        <w:rPr>
          <w:rFonts w:eastAsiaTheme="minorEastAsia"/>
          <w:i/>
          <w:color w:val="000000" w:themeColor="text1"/>
          <w:szCs w:val="26"/>
          <w:lang w:val="en-GB"/>
        </w:rPr>
        <w:t xml:space="preserve"> but they were very, very progressive</w:t>
      </w:r>
      <w:r>
        <w:rPr>
          <w:rFonts w:eastAsiaTheme="minorEastAsia"/>
          <w:i/>
          <w:color w:val="000000" w:themeColor="text1"/>
          <w:szCs w:val="26"/>
          <w:lang w:val="en-GB"/>
        </w:rPr>
        <w:t>…</w:t>
      </w:r>
      <w:r w:rsidRPr="00AC76F2">
        <w:rPr>
          <w:rFonts w:eastAsiaTheme="minorEastAsia"/>
          <w:color w:val="000000" w:themeColor="text1"/>
          <w:szCs w:val="26"/>
          <w:lang w:val="en-GB"/>
        </w:rPr>
        <w:t>[service name]</w:t>
      </w:r>
      <w:r>
        <w:rPr>
          <w:rFonts w:eastAsiaTheme="minorEastAsia"/>
          <w:i/>
          <w:color w:val="000000" w:themeColor="text1"/>
          <w:szCs w:val="26"/>
          <w:lang w:val="en-GB"/>
        </w:rPr>
        <w:t>…</w:t>
      </w:r>
      <w:r w:rsidRPr="009E498C">
        <w:rPr>
          <w:rFonts w:eastAsiaTheme="minorEastAsia"/>
          <w:i/>
          <w:color w:val="000000" w:themeColor="text1"/>
          <w:szCs w:val="26"/>
          <w:lang w:val="en-GB"/>
        </w:rPr>
        <w:t>was one of the first to open up a community home.</w:t>
      </w:r>
      <w:r w:rsidRPr="009E498C">
        <w:rPr>
          <w:rFonts w:eastAsiaTheme="minorEastAsia"/>
          <w:i/>
          <w:color w:val="000000" w:themeColor="text1"/>
          <w:szCs w:val="26"/>
        </w:rPr>
        <w:t xml:space="preserve"> </w:t>
      </w:r>
      <w:r w:rsidRPr="009E498C">
        <w:rPr>
          <w:rFonts w:eastAsiaTheme="minorEastAsia"/>
          <w:color w:val="000000" w:themeColor="text1"/>
          <w:szCs w:val="26"/>
        </w:rPr>
        <w:t>(</w:t>
      </w:r>
      <w:r w:rsidRPr="009E498C">
        <w:rPr>
          <w:rFonts w:eastAsiaTheme="minorEastAsia"/>
          <w:szCs w:val="26"/>
        </w:rPr>
        <w:t>Freda, D, SS)</w:t>
      </w:r>
    </w:p>
    <w:p w14:paraId="7177DACF" w14:textId="77777777" w:rsidR="00A86140" w:rsidRPr="009E498C" w:rsidRDefault="00A86140" w:rsidP="00A86140">
      <w:pPr>
        <w:ind w:left="709"/>
        <w:rPr>
          <w:rFonts w:eastAsia="Calibri" w:cs="Calibri"/>
          <w:szCs w:val="26"/>
        </w:rPr>
      </w:pPr>
      <w:r w:rsidRPr="009E498C">
        <w:rPr>
          <w:rFonts w:eastAsia="Calibri" w:cs="Calibri"/>
          <w:i/>
          <w:szCs w:val="26"/>
        </w:rPr>
        <w:t xml:space="preserve">…we have a combined model between social care and then a nurse led service as well. So there’s still a large proportion of nurses working in the service especially in our residential but in day services it's a mixture…some of our services are totally social care led, some of the community homes with the younger age groups. Some of the more complex areas where people have additional needs, a lot of medical needs and are quite vulnerable there would be social care, care staff and registered nurses in intellectual disability. </w:t>
      </w:r>
      <w:r w:rsidRPr="009E498C">
        <w:rPr>
          <w:rFonts w:eastAsia="Calibri" w:cs="Calibri"/>
          <w:szCs w:val="26"/>
        </w:rPr>
        <w:t>(Geraldine, D, SS)</w:t>
      </w:r>
    </w:p>
    <w:p w14:paraId="1E123D9F" w14:textId="2544700B" w:rsidR="00A86140" w:rsidRPr="009E498C" w:rsidRDefault="00A86140" w:rsidP="11C55A92">
      <w:pPr>
        <w:rPr>
          <w:rFonts w:eastAsia="Calibri" w:cs="Calibri"/>
        </w:rPr>
      </w:pPr>
      <w:r w:rsidRPr="11C55A92">
        <w:rPr>
          <w:rFonts w:eastAsia="Calibri" w:cs="Calibri"/>
        </w:rPr>
        <w:t xml:space="preserve">The extent to which services utilise a combination of approaches is apparent in the survey responses presented in Table </w:t>
      </w:r>
      <w:r w:rsidR="00906B0B" w:rsidRPr="11C55A92">
        <w:rPr>
          <w:rFonts w:eastAsia="Calibri" w:cs="Calibri"/>
        </w:rPr>
        <w:t>3</w:t>
      </w:r>
      <w:r w:rsidR="00251EBF">
        <w:rPr>
          <w:rFonts w:eastAsia="Calibri" w:cs="Calibri"/>
        </w:rPr>
        <w:t>.</w:t>
      </w:r>
    </w:p>
    <w:p w14:paraId="5B2055EC" w14:textId="04B95FA7" w:rsidR="00A86140" w:rsidRDefault="00A86140" w:rsidP="00A86140">
      <w:r>
        <w:t>Whilst the social and medical models are often considered to be incompatible, the approaches to service described by participants pointed to a drawing together of aspects of both models. This was borne out in the survey responses: 50% (n=16)</w:t>
      </w:r>
      <w:r w:rsidR="00290CC7">
        <w:t xml:space="preserve"> of</w:t>
      </w:r>
      <w:r>
        <w:t xml:space="preserve"> respondents identified their services as having a specialist ageing facility (SS); 31.3% (n=10) reported that their services had no specialist ageing facilities (GS); and 18.6% (n=6) considered that their services were ‘a mixture of the two’ (OTH) with flexibility to move between both, drawing on internal or external resources. This was also manifested in the fact that there was no significant difference in the types of settings that were employed to meet older people’s needs in either SS, GS and other service types. Thus, all three comprised a mix of congregated settings </w:t>
      </w:r>
      <w:r w:rsidR="00BA701D">
        <w:t>(Table 4)</w:t>
      </w:r>
      <w:r w:rsidR="00DA5AF2">
        <w:t>:</w:t>
      </w:r>
    </w:p>
    <w:p w14:paraId="569747B5" w14:textId="77777777" w:rsidR="000B6CC4" w:rsidRDefault="000B6CC4">
      <w:pPr>
        <w:spacing w:after="0"/>
      </w:pPr>
      <w:r>
        <w:br w:type="page"/>
      </w:r>
    </w:p>
    <w:p w14:paraId="21CAD82E" w14:textId="11BA4344" w:rsidR="00BA701D" w:rsidRPr="00BA701D" w:rsidRDefault="00430214" w:rsidP="00430214">
      <w:pPr>
        <w:pStyle w:val="Caption"/>
        <w:rPr>
          <w:rFonts w:eastAsia="Calibri"/>
        </w:rPr>
      </w:pPr>
      <w:bookmarkStart w:id="173" w:name="_Toc121830415"/>
      <w:r>
        <w:t xml:space="preserve">Table </w:t>
      </w:r>
      <w:r>
        <w:fldChar w:fldCharType="begin"/>
      </w:r>
      <w:r>
        <w:instrText>SEQ Table \* ARABIC</w:instrText>
      </w:r>
      <w:r>
        <w:fldChar w:fldCharType="separate"/>
      </w:r>
      <w:r>
        <w:rPr>
          <w:noProof/>
        </w:rPr>
        <w:t>4</w:t>
      </w:r>
      <w:r>
        <w:fldChar w:fldCharType="end"/>
      </w:r>
      <w:r w:rsidR="00BA701D">
        <w:t xml:space="preserve">: </w:t>
      </w:r>
      <w:r w:rsidR="00DA5AF2">
        <w:rPr>
          <w:rFonts w:eastAsia="Calibri"/>
        </w:rPr>
        <w:t>Congregated setting types identified by survey respondents</w:t>
      </w:r>
      <w:bookmarkEnd w:id="173"/>
    </w:p>
    <w:tbl>
      <w:tblPr>
        <w:tblW w:w="8642" w:type="dxa"/>
        <w:tblBorders>
          <w:top w:val="single" w:sz="4" w:space="0" w:color="auto"/>
          <w:left w:val="single" w:sz="4" w:space="0" w:color="8EA9DB"/>
          <w:bottom w:val="single" w:sz="4" w:space="0" w:color="8EA9DB"/>
          <w:right w:val="single" w:sz="4" w:space="0" w:color="8EA9DB"/>
          <w:insideH w:val="single" w:sz="4" w:space="0" w:color="8EA9DB"/>
          <w:insideV w:val="single" w:sz="4" w:space="0" w:color="8EA9DB"/>
        </w:tblBorders>
        <w:tblLayout w:type="fixed"/>
        <w:tblLook w:val="04A0" w:firstRow="1" w:lastRow="0" w:firstColumn="1" w:lastColumn="0" w:noHBand="0" w:noVBand="1"/>
      </w:tblPr>
      <w:tblGrid>
        <w:gridCol w:w="2972"/>
        <w:gridCol w:w="1417"/>
        <w:gridCol w:w="1418"/>
        <w:gridCol w:w="1417"/>
        <w:gridCol w:w="1418"/>
      </w:tblGrid>
      <w:tr w:rsidR="00BA701D" w:rsidRPr="00BA701D" w14:paraId="5AD3B6BB" w14:textId="77777777" w:rsidTr="00BA701D">
        <w:trPr>
          <w:trHeight w:val="465"/>
        </w:trPr>
        <w:tc>
          <w:tcPr>
            <w:tcW w:w="2972" w:type="dxa"/>
            <w:tcBorders>
              <w:top w:val="single" w:sz="4" w:space="0" w:color="8EA9DB"/>
              <w:right w:val="nil"/>
            </w:tcBorders>
            <w:vAlign w:val="center"/>
          </w:tcPr>
          <w:p w14:paraId="3CD125C4" w14:textId="0586423F" w:rsidR="00BA701D" w:rsidRPr="00BA701D" w:rsidRDefault="00BA701D" w:rsidP="00BA701D">
            <w:pPr>
              <w:jc w:val="center"/>
              <w:rPr>
                <w:rFonts w:eastAsia="Calibri" w:cs="Calibri"/>
                <w:color w:val="000000" w:themeColor="text1"/>
                <w:sz w:val="22"/>
                <w:szCs w:val="22"/>
              </w:rPr>
            </w:pPr>
          </w:p>
        </w:tc>
        <w:tc>
          <w:tcPr>
            <w:tcW w:w="1417" w:type="dxa"/>
            <w:tcBorders>
              <w:top w:val="single" w:sz="4" w:space="0" w:color="8EA9DB"/>
              <w:left w:val="nil"/>
              <w:right w:val="nil"/>
            </w:tcBorders>
            <w:vAlign w:val="center"/>
          </w:tcPr>
          <w:p w14:paraId="4837CEAA" w14:textId="444CA018" w:rsidR="00BA701D" w:rsidRPr="00BA701D" w:rsidRDefault="00BA701D" w:rsidP="00BA701D">
            <w:pPr>
              <w:jc w:val="center"/>
            </w:pPr>
            <w:r w:rsidRPr="00BA701D">
              <w:rPr>
                <w:rFonts w:eastAsia="Calibri" w:cs="Calibri"/>
                <w:b/>
                <w:bCs/>
                <w:color w:val="000000" w:themeColor="text1"/>
                <w:sz w:val="22"/>
                <w:szCs w:val="22"/>
              </w:rPr>
              <w:t>All</w:t>
            </w:r>
          </w:p>
        </w:tc>
        <w:tc>
          <w:tcPr>
            <w:tcW w:w="1418" w:type="dxa"/>
            <w:tcBorders>
              <w:top w:val="single" w:sz="4" w:space="0" w:color="8EA9DB"/>
              <w:left w:val="nil"/>
              <w:right w:val="nil"/>
            </w:tcBorders>
            <w:vAlign w:val="center"/>
          </w:tcPr>
          <w:p w14:paraId="39AE55BB" w14:textId="20F1998E" w:rsidR="00BA701D" w:rsidRPr="00BA701D" w:rsidRDefault="00BA701D" w:rsidP="00BA701D">
            <w:pPr>
              <w:jc w:val="center"/>
            </w:pPr>
            <w:r w:rsidRPr="00BA701D">
              <w:rPr>
                <w:rFonts w:eastAsia="Calibri" w:cs="Calibri"/>
                <w:b/>
                <w:bCs/>
                <w:color w:val="000000" w:themeColor="text1"/>
                <w:sz w:val="22"/>
                <w:szCs w:val="22"/>
              </w:rPr>
              <w:t>SS</w:t>
            </w:r>
          </w:p>
        </w:tc>
        <w:tc>
          <w:tcPr>
            <w:tcW w:w="1417" w:type="dxa"/>
            <w:tcBorders>
              <w:top w:val="single" w:sz="4" w:space="0" w:color="8EA9DB"/>
              <w:left w:val="nil"/>
              <w:right w:val="nil"/>
            </w:tcBorders>
            <w:vAlign w:val="center"/>
          </w:tcPr>
          <w:p w14:paraId="6F645CF0" w14:textId="0299C064" w:rsidR="00BA701D" w:rsidRPr="00BA701D" w:rsidRDefault="00BA701D" w:rsidP="00BA701D">
            <w:pPr>
              <w:jc w:val="center"/>
            </w:pPr>
            <w:r w:rsidRPr="00BA701D">
              <w:rPr>
                <w:rFonts w:eastAsia="Calibri" w:cs="Calibri"/>
                <w:b/>
                <w:bCs/>
                <w:color w:val="000000" w:themeColor="text1"/>
                <w:sz w:val="22"/>
                <w:szCs w:val="22"/>
              </w:rPr>
              <w:t>GS</w:t>
            </w:r>
          </w:p>
        </w:tc>
        <w:tc>
          <w:tcPr>
            <w:tcW w:w="1418" w:type="dxa"/>
            <w:tcBorders>
              <w:left w:val="nil"/>
            </w:tcBorders>
            <w:vAlign w:val="center"/>
          </w:tcPr>
          <w:p w14:paraId="5CAC7CF3" w14:textId="217CEC0C" w:rsidR="00BA701D" w:rsidRPr="00BA701D" w:rsidRDefault="00BA701D" w:rsidP="00BA701D">
            <w:pPr>
              <w:jc w:val="center"/>
            </w:pPr>
            <w:r w:rsidRPr="00BA701D">
              <w:rPr>
                <w:rFonts w:eastAsia="Calibri" w:cs="Calibri"/>
                <w:b/>
                <w:bCs/>
                <w:color w:val="000000" w:themeColor="text1"/>
                <w:sz w:val="22"/>
                <w:szCs w:val="22"/>
              </w:rPr>
              <w:t>OTH</w:t>
            </w:r>
          </w:p>
        </w:tc>
      </w:tr>
      <w:tr w:rsidR="00BA701D" w:rsidRPr="00BA701D" w14:paraId="05F4E80B" w14:textId="77777777" w:rsidTr="00BA701D">
        <w:trPr>
          <w:trHeight w:val="300"/>
        </w:trPr>
        <w:tc>
          <w:tcPr>
            <w:tcW w:w="2972" w:type="dxa"/>
            <w:tcBorders>
              <w:top w:val="single" w:sz="4" w:space="0" w:color="8EA9DB"/>
              <w:right w:val="nil"/>
            </w:tcBorders>
            <w:vAlign w:val="center"/>
          </w:tcPr>
          <w:p w14:paraId="306A62DD" w14:textId="2DB72FA0" w:rsidR="00BA701D" w:rsidRPr="00BA701D" w:rsidRDefault="00BA701D">
            <w:r w:rsidRPr="00BA701D">
              <w:rPr>
                <w:rFonts w:eastAsia="Calibri" w:cs="Calibri"/>
                <w:b/>
                <w:bCs/>
                <w:color w:val="000000" w:themeColor="text1"/>
                <w:sz w:val="22"/>
                <w:szCs w:val="22"/>
              </w:rPr>
              <w:t>Congregated setting</w:t>
            </w:r>
            <w:r w:rsidRPr="00BA701D">
              <w:rPr>
                <w:rFonts w:eastAsia="Calibri" w:cs="Calibri"/>
                <w:color w:val="000000" w:themeColor="text1"/>
                <w:sz w:val="22"/>
                <w:szCs w:val="22"/>
              </w:rPr>
              <w:t xml:space="preserve"> </w:t>
            </w:r>
          </w:p>
        </w:tc>
        <w:tc>
          <w:tcPr>
            <w:tcW w:w="1417" w:type="dxa"/>
            <w:tcBorders>
              <w:top w:val="single" w:sz="4" w:space="0" w:color="8EA9DB"/>
              <w:left w:val="nil"/>
              <w:right w:val="nil"/>
            </w:tcBorders>
            <w:shd w:val="clear" w:color="auto" w:fill="DEEAF6" w:themeFill="accent1" w:themeFillTint="33"/>
            <w:vAlign w:val="center"/>
          </w:tcPr>
          <w:p w14:paraId="31D1BFA0" w14:textId="382618C3" w:rsidR="00BA701D" w:rsidRPr="00BA701D" w:rsidRDefault="00BA701D" w:rsidP="00BA701D">
            <w:pPr>
              <w:jc w:val="center"/>
            </w:pPr>
            <w:r w:rsidRPr="00BA701D">
              <w:rPr>
                <w:rFonts w:eastAsia="Calibri" w:cs="Calibri"/>
                <w:color w:val="000000" w:themeColor="text1"/>
                <w:sz w:val="22"/>
                <w:szCs w:val="22"/>
              </w:rPr>
              <w:t>37.5%</w:t>
            </w:r>
            <w:r>
              <w:rPr>
                <w:rFonts w:eastAsia="Calibri" w:cs="Calibri"/>
                <w:color w:val="000000" w:themeColor="text1"/>
                <w:sz w:val="22"/>
                <w:szCs w:val="22"/>
              </w:rPr>
              <w:t xml:space="preserve"> </w:t>
            </w:r>
            <w:r w:rsidRPr="00BA701D">
              <w:rPr>
                <w:rFonts w:eastAsia="Calibri" w:cs="Calibri"/>
                <w:color w:val="000000" w:themeColor="text1"/>
                <w:sz w:val="22"/>
                <w:szCs w:val="22"/>
              </w:rPr>
              <w:t>(n=12)</w:t>
            </w:r>
          </w:p>
        </w:tc>
        <w:tc>
          <w:tcPr>
            <w:tcW w:w="1418" w:type="dxa"/>
            <w:tcBorders>
              <w:top w:val="single" w:sz="4" w:space="0" w:color="8EA9DB"/>
              <w:left w:val="nil"/>
              <w:right w:val="nil"/>
            </w:tcBorders>
            <w:shd w:val="clear" w:color="auto" w:fill="DEEAF6" w:themeFill="accent1" w:themeFillTint="33"/>
            <w:vAlign w:val="center"/>
          </w:tcPr>
          <w:p w14:paraId="454C79C5" w14:textId="1C5EE7D6" w:rsidR="00BA701D" w:rsidRPr="00BA701D" w:rsidRDefault="00BA701D" w:rsidP="00BA701D">
            <w:pPr>
              <w:jc w:val="center"/>
              <w:rPr>
                <w:rFonts w:eastAsia="Calibri" w:cs="Calibri"/>
                <w:color w:val="000000" w:themeColor="text1"/>
                <w:sz w:val="22"/>
                <w:szCs w:val="22"/>
              </w:rPr>
            </w:pPr>
            <w:r w:rsidRPr="00BA701D">
              <w:rPr>
                <w:rFonts w:eastAsia="Calibri" w:cs="Calibri"/>
                <w:color w:val="000000" w:themeColor="text1"/>
                <w:sz w:val="22"/>
                <w:szCs w:val="22"/>
              </w:rPr>
              <w:t>37.5% (n=6)</w:t>
            </w:r>
          </w:p>
        </w:tc>
        <w:tc>
          <w:tcPr>
            <w:tcW w:w="1417" w:type="dxa"/>
            <w:tcBorders>
              <w:top w:val="single" w:sz="4" w:space="0" w:color="8EA9DB"/>
              <w:left w:val="nil"/>
              <w:right w:val="nil"/>
            </w:tcBorders>
            <w:shd w:val="clear" w:color="auto" w:fill="DEEAF6" w:themeFill="accent1" w:themeFillTint="33"/>
            <w:vAlign w:val="center"/>
          </w:tcPr>
          <w:p w14:paraId="37CBDBD9" w14:textId="4C3D16D7" w:rsidR="00BA701D" w:rsidRPr="00BA701D" w:rsidRDefault="00BA701D" w:rsidP="00BA701D">
            <w:pPr>
              <w:jc w:val="center"/>
              <w:rPr>
                <w:rFonts w:eastAsia="Calibri" w:cs="Calibri"/>
                <w:color w:val="000000" w:themeColor="text1"/>
                <w:sz w:val="22"/>
                <w:szCs w:val="22"/>
              </w:rPr>
            </w:pPr>
            <w:r w:rsidRPr="00BA701D">
              <w:rPr>
                <w:rFonts w:eastAsia="Calibri" w:cs="Calibri"/>
                <w:color w:val="000000" w:themeColor="text1"/>
                <w:sz w:val="22"/>
                <w:szCs w:val="22"/>
              </w:rPr>
              <w:t>50% (n=5)</w:t>
            </w:r>
          </w:p>
        </w:tc>
        <w:tc>
          <w:tcPr>
            <w:tcW w:w="1418" w:type="dxa"/>
            <w:tcBorders>
              <w:top w:val="single" w:sz="4" w:space="0" w:color="8EA9DB"/>
              <w:left w:val="nil"/>
            </w:tcBorders>
            <w:shd w:val="clear" w:color="auto" w:fill="DEEAF6" w:themeFill="accent1" w:themeFillTint="33"/>
            <w:vAlign w:val="center"/>
          </w:tcPr>
          <w:p w14:paraId="1A8A3D2D" w14:textId="51621F78" w:rsidR="00BA701D" w:rsidRPr="00BA701D" w:rsidRDefault="00BA701D" w:rsidP="00CF194F">
            <w:pPr>
              <w:jc w:val="center"/>
              <w:rPr>
                <w:rFonts w:eastAsia="Calibri" w:cs="Calibri"/>
                <w:color w:val="000000" w:themeColor="text1"/>
                <w:sz w:val="22"/>
                <w:szCs w:val="22"/>
              </w:rPr>
            </w:pPr>
            <w:r w:rsidRPr="00BA701D">
              <w:rPr>
                <w:rFonts w:eastAsia="Calibri" w:cs="Calibri"/>
                <w:color w:val="000000" w:themeColor="text1"/>
                <w:sz w:val="22"/>
                <w:szCs w:val="22"/>
              </w:rPr>
              <w:t>16.7% (n=1)</w:t>
            </w:r>
          </w:p>
        </w:tc>
      </w:tr>
      <w:tr w:rsidR="00BA701D" w:rsidRPr="00BA701D" w14:paraId="18A0898F" w14:textId="77777777" w:rsidTr="00BA701D">
        <w:trPr>
          <w:trHeight w:val="615"/>
        </w:trPr>
        <w:tc>
          <w:tcPr>
            <w:tcW w:w="2972" w:type="dxa"/>
            <w:tcBorders>
              <w:top w:val="single" w:sz="4" w:space="0" w:color="8EA9DB"/>
              <w:right w:val="nil"/>
            </w:tcBorders>
            <w:vAlign w:val="center"/>
          </w:tcPr>
          <w:p w14:paraId="35306284" w14:textId="516B4BCB" w:rsidR="00BA701D" w:rsidRPr="00BA701D" w:rsidRDefault="00BA701D">
            <w:r w:rsidRPr="00BA701D">
              <w:rPr>
                <w:rFonts w:eastAsia="Calibri" w:cs="Calibri"/>
                <w:b/>
                <w:bCs/>
                <w:color w:val="000000" w:themeColor="text1"/>
                <w:sz w:val="22"/>
                <w:szCs w:val="22"/>
              </w:rPr>
              <w:t>Individual homes in the community</w:t>
            </w:r>
            <w:r w:rsidRPr="00BA701D">
              <w:rPr>
                <w:rFonts w:eastAsia="Calibri" w:cs="Calibri"/>
                <w:color w:val="000000" w:themeColor="text1"/>
                <w:sz w:val="22"/>
                <w:szCs w:val="22"/>
              </w:rPr>
              <w:t xml:space="preserve"> </w:t>
            </w:r>
          </w:p>
        </w:tc>
        <w:tc>
          <w:tcPr>
            <w:tcW w:w="1417" w:type="dxa"/>
            <w:tcBorders>
              <w:top w:val="single" w:sz="4" w:space="0" w:color="8EA9DB"/>
              <w:left w:val="nil"/>
              <w:right w:val="nil"/>
            </w:tcBorders>
            <w:shd w:val="clear" w:color="auto" w:fill="DEEAF6" w:themeFill="accent1" w:themeFillTint="33"/>
            <w:vAlign w:val="center"/>
          </w:tcPr>
          <w:p w14:paraId="6B686379" w14:textId="16137137" w:rsidR="00BA701D" w:rsidRPr="00BA701D" w:rsidRDefault="00BA701D" w:rsidP="00BA701D">
            <w:pPr>
              <w:jc w:val="center"/>
              <w:rPr>
                <w:rFonts w:eastAsia="Calibri" w:cs="Calibri"/>
                <w:color w:val="000000" w:themeColor="text1"/>
                <w:sz w:val="22"/>
                <w:szCs w:val="22"/>
              </w:rPr>
            </w:pPr>
            <w:r w:rsidRPr="00BA701D">
              <w:rPr>
                <w:rFonts w:eastAsia="Calibri" w:cs="Calibri"/>
                <w:color w:val="000000" w:themeColor="text1"/>
                <w:sz w:val="22"/>
                <w:szCs w:val="22"/>
              </w:rPr>
              <w:t>81.3% (n=26)</w:t>
            </w:r>
          </w:p>
        </w:tc>
        <w:tc>
          <w:tcPr>
            <w:tcW w:w="1418" w:type="dxa"/>
            <w:tcBorders>
              <w:top w:val="single" w:sz="4" w:space="0" w:color="8EA9DB"/>
              <w:left w:val="nil"/>
              <w:right w:val="nil"/>
            </w:tcBorders>
            <w:shd w:val="clear" w:color="auto" w:fill="DEEAF6" w:themeFill="accent1" w:themeFillTint="33"/>
            <w:vAlign w:val="center"/>
          </w:tcPr>
          <w:p w14:paraId="24A2AD27" w14:textId="5864618E" w:rsidR="00BA701D" w:rsidRPr="00BA701D" w:rsidRDefault="00BA701D" w:rsidP="00BA701D">
            <w:pPr>
              <w:jc w:val="center"/>
              <w:rPr>
                <w:rFonts w:eastAsia="Calibri" w:cs="Calibri"/>
                <w:color w:val="000000" w:themeColor="text1"/>
                <w:sz w:val="22"/>
                <w:szCs w:val="22"/>
              </w:rPr>
            </w:pPr>
            <w:r w:rsidRPr="00BA701D">
              <w:rPr>
                <w:rFonts w:eastAsia="Calibri" w:cs="Calibri"/>
                <w:color w:val="000000" w:themeColor="text1"/>
                <w:sz w:val="22"/>
                <w:szCs w:val="22"/>
              </w:rPr>
              <w:t>93.8% (n=15)</w:t>
            </w:r>
          </w:p>
        </w:tc>
        <w:tc>
          <w:tcPr>
            <w:tcW w:w="1417" w:type="dxa"/>
            <w:tcBorders>
              <w:top w:val="single" w:sz="4" w:space="0" w:color="8EA9DB"/>
              <w:left w:val="nil"/>
              <w:right w:val="nil"/>
            </w:tcBorders>
            <w:shd w:val="clear" w:color="auto" w:fill="DEEAF6" w:themeFill="accent1" w:themeFillTint="33"/>
            <w:vAlign w:val="center"/>
          </w:tcPr>
          <w:p w14:paraId="32634EE0" w14:textId="7E4B7170" w:rsidR="00BA701D" w:rsidRPr="00BA701D" w:rsidRDefault="00BA701D" w:rsidP="00BA701D">
            <w:pPr>
              <w:jc w:val="center"/>
              <w:rPr>
                <w:rFonts w:eastAsia="Calibri" w:cs="Calibri"/>
                <w:color w:val="000000" w:themeColor="text1"/>
                <w:sz w:val="22"/>
                <w:szCs w:val="22"/>
              </w:rPr>
            </w:pPr>
            <w:r w:rsidRPr="00BA701D">
              <w:rPr>
                <w:rFonts w:eastAsia="Calibri" w:cs="Calibri"/>
                <w:color w:val="000000" w:themeColor="text1"/>
                <w:sz w:val="22"/>
                <w:szCs w:val="22"/>
              </w:rPr>
              <w:t>70% (n=7)</w:t>
            </w:r>
          </w:p>
        </w:tc>
        <w:tc>
          <w:tcPr>
            <w:tcW w:w="1418" w:type="dxa"/>
            <w:tcBorders>
              <w:top w:val="single" w:sz="4" w:space="0" w:color="8EA9DB"/>
              <w:left w:val="nil"/>
            </w:tcBorders>
            <w:shd w:val="clear" w:color="auto" w:fill="DEEAF6" w:themeFill="accent1" w:themeFillTint="33"/>
            <w:vAlign w:val="center"/>
          </w:tcPr>
          <w:p w14:paraId="1E847E9F" w14:textId="167321C3" w:rsidR="00BA701D" w:rsidRPr="00BA701D" w:rsidRDefault="00BA701D" w:rsidP="00CF194F">
            <w:pPr>
              <w:jc w:val="center"/>
              <w:rPr>
                <w:rFonts w:eastAsia="Calibri" w:cs="Calibri"/>
                <w:color w:val="000000" w:themeColor="text1"/>
                <w:sz w:val="22"/>
                <w:szCs w:val="22"/>
              </w:rPr>
            </w:pPr>
            <w:r w:rsidRPr="00BA701D">
              <w:rPr>
                <w:rFonts w:eastAsia="Calibri" w:cs="Calibri"/>
                <w:color w:val="000000" w:themeColor="text1"/>
                <w:sz w:val="22"/>
                <w:szCs w:val="22"/>
              </w:rPr>
              <w:t>66.7% (n=4)</w:t>
            </w:r>
          </w:p>
        </w:tc>
      </w:tr>
      <w:tr w:rsidR="00BA701D" w:rsidRPr="00BA701D" w14:paraId="7D35B2C0" w14:textId="77777777" w:rsidTr="00BA701D">
        <w:trPr>
          <w:trHeight w:val="615"/>
        </w:trPr>
        <w:tc>
          <w:tcPr>
            <w:tcW w:w="2972" w:type="dxa"/>
            <w:tcBorders>
              <w:top w:val="single" w:sz="4" w:space="0" w:color="8EA9DB"/>
              <w:right w:val="nil"/>
            </w:tcBorders>
            <w:vAlign w:val="center"/>
          </w:tcPr>
          <w:p w14:paraId="17A5CBCD" w14:textId="20DFDDD3" w:rsidR="00BA701D" w:rsidRPr="00BA701D" w:rsidRDefault="00BA701D">
            <w:r w:rsidRPr="00BA701D">
              <w:rPr>
                <w:rFonts w:eastAsia="Calibri" w:cs="Calibri"/>
                <w:b/>
                <w:bCs/>
                <w:color w:val="000000" w:themeColor="text1"/>
                <w:sz w:val="22"/>
                <w:szCs w:val="22"/>
              </w:rPr>
              <w:t>Clusters of homes in the community</w:t>
            </w:r>
            <w:r w:rsidRPr="00BA701D">
              <w:rPr>
                <w:rFonts w:eastAsia="Calibri" w:cs="Calibri"/>
                <w:color w:val="000000" w:themeColor="text1"/>
                <w:sz w:val="22"/>
                <w:szCs w:val="22"/>
              </w:rPr>
              <w:t xml:space="preserve"> </w:t>
            </w:r>
          </w:p>
        </w:tc>
        <w:tc>
          <w:tcPr>
            <w:tcW w:w="1417" w:type="dxa"/>
            <w:tcBorders>
              <w:top w:val="single" w:sz="4" w:space="0" w:color="8EA9DB"/>
              <w:left w:val="nil"/>
              <w:right w:val="nil"/>
            </w:tcBorders>
            <w:shd w:val="clear" w:color="auto" w:fill="DEEAF6" w:themeFill="accent1" w:themeFillTint="33"/>
            <w:vAlign w:val="center"/>
          </w:tcPr>
          <w:p w14:paraId="53AE5468" w14:textId="5C1354F4" w:rsidR="00BA701D" w:rsidRPr="00BA701D" w:rsidRDefault="00BA701D" w:rsidP="00BA701D">
            <w:pPr>
              <w:jc w:val="center"/>
              <w:rPr>
                <w:rFonts w:eastAsia="Calibri" w:cs="Calibri"/>
                <w:color w:val="000000" w:themeColor="text1"/>
                <w:sz w:val="22"/>
                <w:szCs w:val="22"/>
              </w:rPr>
            </w:pPr>
            <w:r w:rsidRPr="00BA701D">
              <w:rPr>
                <w:rFonts w:eastAsia="Calibri" w:cs="Calibri"/>
                <w:color w:val="000000" w:themeColor="text1"/>
                <w:sz w:val="22"/>
                <w:szCs w:val="22"/>
              </w:rPr>
              <w:t>18.8%</w:t>
            </w:r>
            <w:r>
              <w:rPr>
                <w:rFonts w:eastAsia="Calibri" w:cs="Calibri"/>
                <w:color w:val="000000" w:themeColor="text1"/>
                <w:sz w:val="22"/>
                <w:szCs w:val="22"/>
              </w:rPr>
              <w:t xml:space="preserve"> </w:t>
            </w:r>
            <w:r w:rsidRPr="00BA701D">
              <w:rPr>
                <w:rFonts w:eastAsia="Calibri" w:cs="Calibri"/>
                <w:color w:val="000000" w:themeColor="text1"/>
                <w:sz w:val="22"/>
                <w:szCs w:val="22"/>
              </w:rPr>
              <w:t xml:space="preserve"> (n=6)</w:t>
            </w:r>
          </w:p>
        </w:tc>
        <w:tc>
          <w:tcPr>
            <w:tcW w:w="1418" w:type="dxa"/>
            <w:tcBorders>
              <w:top w:val="single" w:sz="4" w:space="0" w:color="8EA9DB"/>
              <w:left w:val="nil"/>
              <w:right w:val="nil"/>
            </w:tcBorders>
            <w:shd w:val="clear" w:color="auto" w:fill="DEEAF6" w:themeFill="accent1" w:themeFillTint="33"/>
            <w:vAlign w:val="center"/>
          </w:tcPr>
          <w:p w14:paraId="6310B04A" w14:textId="506A9EE4" w:rsidR="00BA701D" w:rsidRPr="00BA701D" w:rsidRDefault="00BA701D" w:rsidP="00BA701D">
            <w:pPr>
              <w:jc w:val="center"/>
              <w:rPr>
                <w:rFonts w:eastAsia="Calibri" w:cs="Calibri"/>
                <w:color w:val="000000" w:themeColor="text1"/>
                <w:sz w:val="22"/>
                <w:szCs w:val="22"/>
              </w:rPr>
            </w:pPr>
            <w:r w:rsidRPr="00BA701D">
              <w:rPr>
                <w:rFonts w:eastAsia="Calibri" w:cs="Calibri"/>
                <w:color w:val="000000" w:themeColor="text1"/>
                <w:sz w:val="22"/>
                <w:szCs w:val="22"/>
              </w:rPr>
              <w:t>18.8% (n=3)</w:t>
            </w:r>
          </w:p>
        </w:tc>
        <w:tc>
          <w:tcPr>
            <w:tcW w:w="1417" w:type="dxa"/>
            <w:tcBorders>
              <w:top w:val="single" w:sz="4" w:space="0" w:color="8EA9DB"/>
              <w:left w:val="nil"/>
              <w:right w:val="nil"/>
            </w:tcBorders>
            <w:shd w:val="clear" w:color="auto" w:fill="DEEAF6" w:themeFill="accent1" w:themeFillTint="33"/>
            <w:vAlign w:val="center"/>
          </w:tcPr>
          <w:p w14:paraId="63339B48" w14:textId="340E07A5" w:rsidR="00BA701D" w:rsidRPr="00BA701D" w:rsidRDefault="00BA701D" w:rsidP="00BA701D">
            <w:pPr>
              <w:jc w:val="center"/>
              <w:rPr>
                <w:rFonts w:eastAsia="Calibri" w:cs="Calibri"/>
                <w:color w:val="000000" w:themeColor="text1"/>
                <w:sz w:val="22"/>
                <w:szCs w:val="22"/>
              </w:rPr>
            </w:pPr>
            <w:r w:rsidRPr="00BA701D">
              <w:rPr>
                <w:rFonts w:eastAsia="Calibri" w:cs="Calibri"/>
                <w:color w:val="000000" w:themeColor="text1"/>
                <w:sz w:val="22"/>
                <w:szCs w:val="22"/>
              </w:rPr>
              <w:t>20% (n=2)</w:t>
            </w:r>
          </w:p>
        </w:tc>
        <w:tc>
          <w:tcPr>
            <w:tcW w:w="1418" w:type="dxa"/>
            <w:tcBorders>
              <w:top w:val="single" w:sz="4" w:space="0" w:color="8EA9DB"/>
              <w:left w:val="nil"/>
            </w:tcBorders>
            <w:shd w:val="clear" w:color="auto" w:fill="DEEAF6" w:themeFill="accent1" w:themeFillTint="33"/>
            <w:vAlign w:val="center"/>
          </w:tcPr>
          <w:p w14:paraId="724ACF9F" w14:textId="4DBD7FA2" w:rsidR="00BA701D" w:rsidRPr="00BA701D" w:rsidRDefault="00BA701D" w:rsidP="00CF194F">
            <w:pPr>
              <w:jc w:val="center"/>
              <w:rPr>
                <w:rFonts w:eastAsia="Calibri" w:cs="Calibri"/>
                <w:color w:val="000000" w:themeColor="text1"/>
                <w:sz w:val="22"/>
                <w:szCs w:val="22"/>
              </w:rPr>
            </w:pPr>
            <w:r w:rsidRPr="00BA701D">
              <w:rPr>
                <w:rFonts w:eastAsia="Calibri" w:cs="Calibri"/>
                <w:color w:val="000000" w:themeColor="text1"/>
                <w:sz w:val="22"/>
                <w:szCs w:val="22"/>
              </w:rPr>
              <w:t>16.7% (n=1)</w:t>
            </w:r>
          </w:p>
        </w:tc>
      </w:tr>
      <w:tr w:rsidR="00BA701D" w:rsidRPr="00BA701D" w14:paraId="66BE9C06" w14:textId="77777777" w:rsidTr="00BA701D">
        <w:trPr>
          <w:trHeight w:val="615"/>
        </w:trPr>
        <w:tc>
          <w:tcPr>
            <w:tcW w:w="2972" w:type="dxa"/>
            <w:tcBorders>
              <w:top w:val="single" w:sz="4" w:space="0" w:color="8EA9DB"/>
              <w:right w:val="nil"/>
            </w:tcBorders>
            <w:vAlign w:val="center"/>
          </w:tcPr>
          <w:p w14:paraId="15E70D39" w14:textId="7697A860" w:rsidR="00BA701D" w:rsidRPr="00BA701D" w:rsidRDefault="00BA701D">
            <w:r w:rsidRPr="00BA701D">
              <w:rPr>
                <w:rFonts w:eastAsia="Calibri" w:cs="Calibri"/>
                <w:b/>
                <w:bCs/>
                <w:color w:val="000000" w:themeColor="text1"/>
                <w:sz w:val="22"/>
                <w:szCs w:val="22"/>
              </w:rPr>
              <w:t>In a home with family members</w:t>
            </w:r>
            <w:r w:rsidRPr="00BA701D">
              <w:rPr>
                <w:rFonts w:eastAsia="Calibri" w:cs="Calibri"/>
                <w:color w:val="000000" w:themeColor="text1"/>
                <w:sz w:val="22"/>
                <w:szCs w:val="22"/>
              </w:rPr>
              <w:t xml:space="preserve"> </w:t>
            </w:r>
          </w:p>
        </w:tc>
        <w:tc>
          <w:tcPr>
            <w:tcW w:w="1417" w:type="dxa"/>
            <w:tcBorders>
              <w:top w:val="single" w:sz="4" w:space="0" w:color="8EA9DB"/>
              <w:left w:val="nil"/>
              <w:right w:val="nil"/>
            </w:tcBorders>
            <w:shd w:val="clear" w:color="auto" w:fill="DEEAF6" w:themeFill="accent1" w:themeFillTint="33"/>
            <w:vAlign w:val="center"/>
          </w:tcPr>
          <w:p w14:paraId="6AECD13B" w14:textId="486BC93D" w:rsidR="00BA701D" w:rsidRPr="00BA701D" w:rsidRDefault="00BA701D" w:rsidP="00BA701D">
            <w:pPr>
              <w:jc w:val="center"/>
              <w:rPr>
                <w:rFonts w:eastAsia="Calibri" w:cs="Calibri"/>
                <w:color w:val="000000" w:themeColor="text1"/>
                <w:sz w:val="22"/>
                <w:szCs w:val="22"/>
              </w:rPr>
            </w:pPr>
            <w:r w:rsidRPr="00BA701D">
              <w:rPr>
                <w:rFonts w:eastAsia="Calibri" w:cs="Calibri"/>
                <w:color w:val="000000" w:themeColor="text1"/>
                <w:sz w:val="22"/>
                <w:szCs w:val="22"/>
              </w:rPr>
              <w:t>34.4%</w:t>
            </w:r>
            <w:r>
              <w:rPr>
                <w:rFonts w:eastAsia="Calibri" w:cs="Calibri"/>
                <w:color w:val="000000" w:themeColor="text1"/>
                <w:sz w:val="22"/>
                <w:szCs w:val="22"/>
              </w:rPr>
              <w:t xml:space="preserve"> </w:t>
            </w:r>
            <w:r w:rsidRPr="00BA701D">
              <w:rPr>
                <w:rFonts w:eastAsia="Calibri" w:cs="Calibri"/>
                <w:color w:val="000000" w:themeColor="text1"/>
                <w:sz w:val="22"/>
                <w:szCs w:val="22"/>
              </w:rPr>
              <w:t>(n=11)</w:t>
            </w:r>
          </w:p>
        </w:tc>
        <w:tc>
          <w:tcPr>
            <w:tcW w:w="1418" w:type="dxa"/>
            <w:tcBorders>
              <w:top w:val="single" w:sz="4" w:space="0" w:color="8EA9DB"/>
              <w:left w:val="nil"/>
              <w:right w:val="nil"/>
            </w:tcBorders>
            <w:shd w:val="clear" w:color="auto" w:fill="DEEAF6" w:themeFill="accent1" w:themeFillTint="33"/>
            <w:vAlign w:val="center"/>
          </w:tcPr>
          <w:p w14:paraId="3282E124" w14:textId="73676234" w:rsidR="00BA701D" w:rsidRPr="00BA701D" w:rsidRDefault="00BA701D" w:rsidP="00BA701D">
            <w:pPr>
              <w:jc w:val="center"/>
              <w:rPr>
                <w:rFonts w:eastAsia="Calibri" w:cs="Calibri"/>
                <w:color w:val="000000" w:themeColor="text1"/>
                <w:sz w:val="22"/>
                <w:szCs w:val="22"/>
              </w:rPr>
            </w:pPr>
            <w:r w:rsidRPr="00BA701D">
              <w:rPr>
                <w:rFonts w:eastAsia="Calibri" w:cs="Calibri"/>
                <w:color w:val="000000" w:themeColor="text1"/>
                <w:sz w:val="22"/>
                <w:szCs w:val="22"/>
              </w:rPr>
              <w:t>43.8% (n=7)</w:t>
            </w:r>
          </w:p>
        </w:tc>
        <w:tc>
          <w:tcPr>
            <w:tcW w:w="1417" w:type="dxa"/>
            <w:tcBorders>
              <w:top w:val="single" w:sz="4" w:space="0" w:color="8EA9DB"/>
              <w:left w:val="nil"/>
              <w:right w:val="nil"/>
            </w:tcBorders>
            <w:shd w:val="clear" w:color="auto" w:fill="DEEAF6" w:themeFill="accent1" w:themeFillTint="33"/>
            <w:vAlign w:val="center"/>
          </w:tcPr>
          <w:p w14:paraId="600C6631" w14:textId="3B8DACB0" w:rsidR="00BA701D" w:rsidRPr="00BA701D" w:rsidRDefault="00BA701D" w:rsidP="00BA701D">
            <w:pPr>
              <w:jc w:val="center"/>
              <w:rPr>
                <w:rFonts w:eastAsia="Calibri" w:cs="Calibri"/>
                <w:color w:val="000000" w:themeColor="text1"/>
                <w:sz w:val="22"/>
                <w:szCs w:val="22"/>
              </w:rPr>
            </w:pPr>
            <w:r w:rsidRPr="00BA701D">
              <w:rPr>
                <w:rFonts w:eastAsia="Calibri" w:cs="Calibri"/>
                <w:color w:val="000000" w:themeColor="text1"/>
                <w:sz w:val="22"/>
                <w:szCs w:val="22"/>
              </w:rPr>
              <w:t>30% (n=3)</w:t>
            </w:r>
          </w:p>
        </w:tc>
        <w:tc>
          <w:tcPr>
            <w:tcW w:w="1418" w:type="dxa"/>
            <w:tcBorders>
              <w:top w:val="single" w:sz="4" w:space="0" w:color="8EA9DB"/>
              <w:left w:val="nil"/>
            </w:tcBorders>
            <w:shd w:val="clear" w:color="auto" w:fill="DEEAF6" w:themeFill="accent1" w:themeFillTint="33"/>
            <w:vAlign w:val="center"/>
          </w:tcPr>
          <w:p w14:paraId="0C16B92D" w14:textId="604E79DC" w:rsidR="00BA701D" w:rsidRPr="00BA701D" w:rsidRDefault="00BA701D" w:rsidP="00CF194F">
            <w:pPr>
              <w:jc w:val="center"/>
              <w:rPr>
                <w:rFonts w:eastAsia="Calibri" w:cs="Calibri"/>
                <w:color w:val="000000" w:themeColor="text1"/>
                <w:sz w:val="22"/>
                <w:szCs w:val="22"/>
              </w:rPr>
            </w:pPr>
            <w:r w:rsidRPr="00BA701D">
              <w:rPr>
                <w:rFonts w:eastAsia="Calibri" w:cs="Calibri"/>
                <w:color w:val="000000" w:themeColor="text1"/>
                <w:sz w:val="22"/>
                <w:szCs w:val="22"/>
              </w:rPr>
              <w:t>16.7% (n=1)</w:t>
            </w:r>
          </w:p>
        </w:tc>
      </w:tr>
      <w:tr w:rsidR="00BA701D" w:rsidRPr="00BA701D" w14:paraId="3963DE46" w14:textId="77777777" w:rsidTr="00BA701D">
        <w:trPr>
          <w:trHeight w:val="540"/>
        </w:trPr>
        <w:tc>
          <w:tcPr>
            <w:tcW w:w="2972" w:type="dxa"/>
            <w:tcBorders>
              <w:top w:val="single" w:sz="4" w:space="0" w:color="8EA9DB"/>
              <w:right w:val="nil"/>
            </w:tcBorders>
            <w:vAlign w:val="center"/>
          </w:tcPr>
          <w:p w14:paraId="23419F34" w14:textId="1E1F65A5" w:rsidR="00BA701D" w:rsidRPr="00BA701D" w:rsidRDefault="00BA701D">
            <w:r w:rsidRPr="00BA701D">
              <w:rPr>
                <w:rFonts w:eastAsia="Calibri" w:cs="Calibri"/>
                <w:b/>
                <w:bCs/>
                <w:color w:val="000000" w:themeColor="text1"/>
                <w:sz w:val="22"/>
                <w:szCs w:val="22"/>
              </w:rPr>
              <w:t>Nursing home for people with intellectual disability</w:t>
            </w:r>
            <w:r w:rsidRPr="00BA701D">
              <w:rPr>
                <w:rFonts w:eastAsia="Calibri" w:cs="Calibri"/>
                <w:color w:val="000000" w:themeColor="text1"/>
                <w:sz w:val="22"/>
                <w:szCs w:val="22"/>
              </w:rPr>
              <w:t xml:space="preserve"> </w:t>
            </w:r>
          </w:p>
        </w:tc>
        <w:tc>
          <w:tcPr>
            <w:tcW w:w="1417" w:type="dxa"/>
            <w:tcBorders>
              <w:top w:val="single" w:sz="4" w:space="0" w:color="8EA9DB"/>
              <w:left w:val="nil"/>
              <w:right w:val="nil"/>
            </w:tcBorders>
            <w:shd w:val="clear" w:color="auto" w:fill="DEEAF6" w:themeFill="accent1" w:themeFillTint="33"/>
            <w:vAlign w:val="center"/>
          </w:tcPr>
          <w:p w14:paraId="677DCCB5" w14:textId="29629FC0" w:rsidR="00BA701D" w:rsidRPr="00BA701D" w:rsidRDefault="00BA701D" w:rsidP="00BA701D">
            <w:pPr>
              <w:jc w:val="center"/>
              <w:rPr>
                <w:rFonts w:eastAsia="Calibri" w:cs="Calibri"/>
                <w:color w:val="000000" w:themeColor="text1"/>
                <w:sz w:val="22"/>
                <w:szCs w:val="22"/>
              </w:rPr>
            </w:pPr>
            <w:r w:rsidRPr="00BA701D">
              <w:rPr>
                <w:rFonts w:eastAsia="Calibri" w:cs="Calibri"/>
                <w:color w:val="000000" w:themeColor="text1"/>
                <w:sz w:val="22"/>
                <w:szCs w:val="22"/>
              </w:rPr>
              <w:t>3.1% (n=1)</w:t>
            </w:r>
          </w:p>
        </w:tc>
        <w:tc>
          <w:tcPr>
            <w:tcW w:w="1418" w:type="dxa"/>
            <w:tcBorders>
              <w:top w:val="single" w:sz="4" w:space="0" w:color="8EA9DB"/>
              <w:left w:val="nil"/>
              <w:right w:val="nil"/>
            </w:tcBorders>
            <w:shd w:val="clear" w:color="auto" w:fill="DEEAF6" w:themeFill="accent1" w:themeFillTint="33"/>
            <w:vAlign w:val="center"/>
          </w:tcPr>
          <w:p w14:paraId="3EA46A3D" w14:textId="3EE5E817" w:rsidR="00BA701D" w:rsidRPr="00BA701D" w:rsidRDefault="00BA701D" w:rsidP="00CF194F">
            <w:pPr>
              <w:jc w:val="center"/>
              <w:rPr>
                <w:rFonts w:eastAsia="Calibri" w:cs="Calibri"/>
                <w:color w:val="000000" w:themeColor="text1"/>
                <w:sz w:val="22"/>
                <w:szCs w:val="22"/>
              </w:rPr>
            </w:pPr>
            <w:r w:rsidRPr="00BA701D">
              <w:rPr>
                <w:rFonts w:eastAsia="Calibri" w:cs="Calibri"/>
                <w:color w:val="000000" w:themeColor="text1"/>
                <w:sz w:val="22"/>
                <w:szCs w:val="22"/>
              </w:rPr>
              <w:t>0%</w:t>
            </w:r>
          </w:p>
        </w:tc>
        <w:tc>
          <w:tcPr>
            <w:tcW w:w="1417" w:type="dxa"/>
            <w:tcBorders>
              <w:top w:val="single" w:sz="4" w:space="0" w:color="8EA9DB"/>
              <w:left w:val="nil"/>
              <w:right w:val="nil"/>
            </w:tcBorders>
            <w:shd w:val="clear" w:color="auto" w:fill="DEEAF6" w:themeFill="accent1" w:themeFillTint="33"/>
            <w:vAlign w:val="center"/>
          </w:tcPr>
          <w:p w14:paraId="433992AC" w14:textId="6DD5AF98" w:rsidR="00BA701D" w:rsidRPr="00BA701D" w:rsidRDefault="00BA701D" w:rsidP="00CF194F">
            <w:pPr>
              <w:jc w:val="center"/>
              <w:rPr>
                <w:rFonts w:eastAsia="Calibri" w:cs="Calibri"/>
                <w:color w:val="000000" w:themeColor="text1"/>
                <w:sz w:val="22"/>
                <w:szCs w:val="22"/>
              </w:rPr>
            </w:pPr>
            <w:r w:rsidRPr="00BA701D">
              <w:rPr>
                <w:rFonts w:eastAsia="Calibri" w:cs="Calibri"/>
                <w:color w:val="000000" w:themeColor="text1"/>
                <w:sz w:val="22"/>
                <w:szCs w:val="22"/>
              </w:rPr>
              <w:t>0%</w:t>
            </w:r>
          </w:p>
        </w:tc>
        <w:tc>
          <w:tcPr>
            <w:tcW w:w="1418" w:type="dxa"/>
            <w:tcBorders>
              <w:top w:val="single" w:sz="4" w:space="0" w:color="8EA9DB"/>
              <w:left w:val="nil"/>
            </w:tcBorders>
            <w:shd w:val="clear" w:color="auto" w:fill="DEEAF6" w:themeFill="accent1" w:themeFillTint="33"/>
            <w:vAlign w:val="center"/>
          </w:tcPr>
          <w:p w14:paraId="3DCB030A" w14:textId="1747C4D0" w:rsidR="00BA701D" w:rsidRPr="00BA701D" w:rsidRDefault="00BA701D" w:rsidP="00CF194F">
            <w:pPr>
              <w:jc w:val="center"/>
              <w:rPr>
                <w:rFonts w:eastAsia="Calibri" w:cs="Calibri"/>
                <w:color w:val="000000" w:themeColor="text1"/>
                <w:sz w:val="22"/>
                <w:szCs w:val="22"/>
              </w:rPr>
            </w:pPr>
            <w:r w:rsidRPr="00BA701D">
              <w:rPr>
                <w:rFonts w:eastAsia="Calibri" w:cs="Calibri"/>
                <w:color w:val="000000" w:themeColor="text1"/>
                <w:sz w:val="22"/>
                <w:szCs w:val="22"/>
              </w:rPr>
              <w:t>16.7% (n=1)</w:t>
            </w:r>
          </w:p>
        </w:tc>
      </w:tr>
      <w:tr w:rsidR="00BA701D" w:rsidRPr="00BA701D" w14:paraId="66BE3672" w14:textId="77777777" w:rsidTr="00BA701D">
        <w:trPr>
          <w:trHeight w:val="405"/>
        </w:trPr>
        <w:tc>
          <w:tcPr>
            <w:tcW w:w="2972" w:type="dxa"/>
            <w:tcBorders>
              <w:top w:val="single" w:sz="4" w:space="0" w:color="8EA9DB"/>
              <w:right w:val="nil"/>
            </w:tcBorders>
            <w:vAlign w:val="center"/>
          </w:tcPr>
          <w:p w14:paraId="0CBBC491" w14:textId="48FC5B33" w:rsidR="00BA701D" w:rsidRPr="00BA701D" w:rsidRDefault="00BA701D">
            <w:r w:rsidRPr="00BA701D">
              <w:rPr>
                <w:rFonts w:eastAsia="Calibri" w:cs="Calibri"/>
                <w:b/>
                <w:bCs/>
                <w:color w:val="000000" w:themeColor="text1"/>
                <w:sz w:val="22"/>
                <w:szCs w:val="22"/>
              </w:rPr>
              <w:t>Specialised dementia residence</w:t>
            </w:r>
            <w:r w:rsidRPr="00BA701D">
              <w:rPr>
                <w:rFonts w:eastAsia="Calibri" w:cs="Calibri"/>
                <w:color w:val="000000" w:themeColor="text1"/>
                <w:sz w:val="22"/>
                <w:szCs w:val="22"/>
              </w:rPr>
              <w:t xml:space="preserve"> </w:t>
            </w:r>
          </w:p>
        </w:tc>
        <w:tc>
          <w:tcPr>
            <w:tcW w:w="1417" w:type="dxa"/>
            <w:tcBorders>
              <w:top w:val="single" w:sz="4" w:space="0" w:color="8EA9DB"/>
              <w:left w:val="nil"/>
              <w:right w:val="nil"/>
            </w:tcBorders>
            <w:shd w:val="clear" w:color="auto" w:fill="DEEAF6" w:themeFill="accent1" w:themeFillTint="33"/>
            <w:vAlign w:val="center"/>
          </w:tcPr>
          <w:p w14:paraId="6EDBFEA1" w14:textId="55EA216A" w:rsidR="00BA701D" w:rsidRPr="00BA701D" w:rsidRDefault="00BA701D" w:rsidP="00BA701D">
            <w:pPr>
              <w:jc w:val="center"/>
              <w:rPr>
                <w:rFonts w:eastAsia="Calibri" w:cs="Calibri"/>
                <w:color w:val="000000" w:themeColor="text1"/>
                <w:sz w:val="22"/>
                <w:szCs w:val="22"/>
              </w:rPr>
            </w:pPr>
            <w:r w:rsidRPr="00BA701D">
              <w:rPr>
                <w:rFonts w:eastAsia="Calibri" w:cs="Calibri"/>
                <w:color w:val="000000" w:themeColor="text1"/>
                <w:sz w:val="22"/>
                <w:szCs w:val="22"/>
              </w:rPr>
              <w:t>21.9% (n=7)</w:t>
            </w:r>
          </w:p>
        </w:tc>
        <w:tc>
          <w:tcPr>
            <w:tcW w:w="1418" w:type="dxa"/>
            <w:tcBorders>
              <w:top w:val="single" w:sz="4" w:space="0" w:color="8EA9DB"/>
              <w:left w:val="nil"/>
              <w:right w:val="nil"/>
            </w:tcBorders>
            <w:shd w:val="clear" w:color="auto" w:fill="DEEAF6" w:themeFill="accent1" w:themeFillTint="33"/>
            <w:vAlign w:val="center"/>
          </w:tcPr>
          <w:p w14:paraId="359B7EA5" w14:textId="18D725F9" w:rsidR="00BA701D" w:rsidRPr="00BA701D" w:rsidRDefault="00BA701D" w:rsidP="00BA701D">
            <w:pPr>
              <w:jc w:val="center"/>
              <w:rPr>
                <w:rFonts w:eastAsia="Calibri" w:cs="Calibri"/>
                <w:color w:val="000000" w:themeColor="text1"/>
                <w:sz w:val="22"/>
                <w:szCs w:val="22"/>
              </w:rPr>
            </w:pPr>
            <w:r w:rsidRPr="00BA701D">
              <w:rPr>
                <w:rFonts w:eastAsia="Calibri" w:cs="Calibri"/>
                <w:color w:val="000000" w:themeColor="text1"/>
                <w:sz w:val="22"/>
                <w:szCs w:val="22"/>
              </w:rPr>
              <w:t>25% (n=4)</w:t>
            </w:r>
          </w:p>
        </w:tc>
        <w:tc>
          <w:tcPr>
            <w:tcW w:w="1417" w:type="dxa"/>
            <w:tcBorders>
              <w:top w:val="single" w:sz="4" w:space="0" w:color="8EA9DB"/>
              <w:left w:val="nil"/>
              <w:right w:val="nil"/>
            </w:tcBorders>
            <w:shd w:val="clear" w:color="auto" w:fill="DEEAF6" w:themeFill="accent1" w:themeFillTint="33"/>
            <w:vAlign w:val="center"/>
          </w:tcPr>
          <w:p w14:paraId="53762246" w14:textId="084EFDE1" w:rsidR="00BA701D" w:rsidRPr="00BA701D" w:rsidRDefault="00BA701D" w:rsidP="00BA701D">
            <w:pPr>
              <w:jc w:val="center"/>
              <w:rPr>
                <w:rFonts w:eastAsia="Calibri" w:cs="Calibri"/>
                <w:color w:val="000000" w:themeColor="text1"/>
                <w:sz w:val="22"/>
                <w:szCs w:val="22"/>
              </w:rPr>
            </w:pPr>
            <w:r w:rsidRPr="00BA701D">
              <w:rPr>
                <w:rFonts w:eastAsia="Calibri" w:cs="Calibri"/>
                <w:color w:val="000000" w:themeColor="text1"/>
                <w:sz w:val="22"/>
                <w:szCs w:val="22"/>
              </w:rPr>
              <w:t>10% (n=1)</w:t>
            </w:r>
          </w:p>
        </w:tc>
        <w:tc>
          <w:tcPr>
            <w:tcW w:w="1418" w:type="dxa"/>
            <w:tcBorders>
              <w:top w:val="single" w:sz="4" w:space="0" w:color="8EA9DB"/>
              <w:left w:val="nil"/>
            </w:tcBorders>
            <w:shd w:val="clear" w:color="auto" w:fill="DEEAF6" w:themeFill="accent1" w:themeFillTint="33"/>
            <w:vAlign w:val="center"/>
          </w:tcPr>
          <w:p w14:paraId="5BFFDC7B" w14:textId="01EEF7EC" w:rsidR="00BA701D" w:rsidRPr="00BA701D" w:rsidRDefault="00BA701D" w:rsidP="00CF194F">
            <w:pPr>
              <w:jc w:val="center"/>
              <w:rPr>
                <w:rFonts w:eastAsia="Calibri" w:cs="Calibri"/>
                <w:color w:val="000000" w:themeColor="text1"/>
                <w:sz w:val="22"/>
                <w:szCs w:val="22"/>
              </w:rPr>
            </w:pPr>
            <w:r w:rsidRPr="00BA701D">
              <w:rPr>
                <w:rFonts w:eastAsia="Calibri" w:cs="Calibri"/>
                <w:color w:val="000000" w:themeColor="text1"/>
                <w:sz w:val="22"/>
                <w:szCs w:val="22"/>
              </w:rPr>
              <w:t>33.3% (n=2)</w:t>
            </w:r>
          </w:p>
        </w:tc>
      </w:tr>
      <w:tr w:rsidR="00BA701D" w:rsidRPr="00BA701D" w14:paraId="14D2B796" w14:textId="77777777" w:rsidTr="00284BF2">
        <w:trPr>
          <w:trHeight w:val="600"/>
        </w:trPr>
        <w:tc>
          <w:tcPr>
            <w:tcW w:w="2972" w:type="dxa"/>
            <w:tcBorders>
              <w:top w:val="single" w:sz="4" w:space="0" w:color="8EA9DB"/>
              <w:bottom w:val="single" w:sz="4" w:space="0" w:color="8EA9DB"/>
              <w:right w:val="nil"/>
            </w:tcBorders>
            <w:vAlign w:val="center"/>
          </w:tcPr>
          <w:p w14:paraId="24F67417" w14:textId="25A46715" w:rsidR="00BA701D" w:rsidRPr="00BA701D" w:rsidRDefault="00BA701D">
            <w:r w:rsidRPr="00BA701D">
              <w:rPr>
                <w:rFonts w:eastAsia="Calibri" w:cs="Calibri"/>
                <w:b/>
                <w:bCs/>
                <w:color w:val="000000" w:themeColor="text1"/>
                <w:sz w:val="22"/>
                <w:szCs w:val="22"/>
              </w:rPr>
              <w:t>Mainstream nursing home</w:t>
            </w:r>
            <w:r w:rsidRPr="00BA701D">
              <w:rPr>
                <w:rFonts w:eastAsia="Calibri" w:cs="Calibri"/>
                <w:color w:val="000000" w:themeColor="text1"/>
                <w:sz w:val="22"/>
                <w:szCs w:val="22"/>
              </w:rPr>
              <w:t xml:space="preserve"> </w:t>
            </w:r>
          </w:p>
        </w:tc>
        <w:tc>
          <w:tcPr>
            <w:tcW w:w="1417" w:type="dxa"/>
            <w:tcBorders>
              <w:top w:val="single" w:sz="4" w:space="0" w:color="8EA9DB"/>
              <w:left w:val="nil"/>
              <w:bottom w:val="single" w:sz="4" w:space="0" w:color="8EA9DB"/>
              <w:right w:val="nil"/>
            </w:tcBorders>
            <w:shd w:val="clear" w:color="auto" w:fill="DEEAF6" w:themeFill="accent1" w:themeFillTint="33"/>
            <w:vAlign w:val="center"/>
          </w:tcPr>
          <w:p w14:paraId="1A7A0745" w14:textId="779608B6" w:rsidR="00BA701D" w:rsidRPr="00BA701D" w:rsidRDefault="00BA701D" w:rsidP="00BA701D">
            <w:pPr>
              <w:jc w:val="center"/>
              <w:rPr>
                <w:rFonts w:eastAsia="Calibri" w:cs="Calibri"/>
                <w:color w:val="000000" w:themeColor="text1"/>
                <w:sz w:val="22"/>
                <w:szCs w:val="22"/>
              </w:rPr>
            </w:pPr>
            <w:r w:rsidRPr="00BA701D">
              <w:rPr>
                <w:rFonts w:eastAsia="Calibri" w:cs="Calibri"/>
                <w:color w:val="000000" w:themeColor="text1"/>
                <w:sz w:val="22"/>
                <w:szCs w:val="22"/>
              </w:rPr>
              <w:t>21.9% (n=7)</w:t>
            </w:r>
          </w:p>
        </w:tc>
        <w:tc>
          <w:tcPr>
            <w:tcW w:w="1418" w:type="dxa"/>
            <w:tcBorders>
              <w:top w:val="single" w:sz="4" w:space="0" w:color="8EA9DB"/>
              <w:left w:val="nil"/>
              <w:bottom w:val="single" w:sz="4" w:space="0" w:color="8EA9DB"/>
              <w:right w:val="nil"/>
            </w:tcBorders>
            <w:shd w:val="clear" w:color="auto" w:fill="DEEAF6" w:themeFill="accent1" w:themeFillTint="33"/>
            <w:vAlign w:val="center"/>
          </w:tcPr>
          <w:p w14:paraId="6AAECAD6" w14:textId="7E6258CF" w:rsidR="00BA701D" w:rsidRPr="00BA701D" w:rsidRDefault="00BA701D" w:rsidP="00BA701D">
            <w:pPr>
              <w:jc w:val="center"/>
              <w:rPr>
                <w:rFonts w:eastAsia="Calibri" w:cs="Calibri"/>
                <w:color w:val="000000" w:themeColor="text1"/>
                <w:sz w:val="22"/>
                <w:szCs w:val="22"/>
              </w:rPr>
            </w:pPr>
            <w:r w:rsidRPr="00BA701D">
              <w:rPr>
                <w:rFonts w:eastAsia="Calibri" w:cs="Calibri"/>
                <w:color w:val="000000" w:themeColor="text1"/>
                <w:sz w:val="22"/>
                <w:szCs w:val="22"/>
              </w:rPr>
              <w:t>35.7% (n=6)</w:t>
            </w:r>
          </w:p>
        </w:tc>
        <w:tc>
          <w:tcPr>
            <w:tcW w:w="1417" w:type="dxa"/>
            <w:tcBorders>
              <w:top w:val="single" w:sz="4" w:space="0" w:color="8EA9DB"/>
              <w:left w:val="nil"/>
              <w:bottom w:val="single" w:sz="4" w:space="0" w:color="8EA9DB"/>
              <w:right w:val="nil"/>
            </w:tcBorders>
            <w:shd w:val="clear" w:color="auto" w:fill="DEEAF6" w:themeFill="accent1" w:themeFillTint="33"/>
            <w:vAlign w:val="center"/>
          </w:tcPr>
          <w:p w14:paraId="59EE8CD6" w14:textId="22180B1D" w:rsidR="00BA701D" w:rsidRPr="00BA701D" w:rsidRDefault="00BA701D" w:rsidP="00CF194F">
            <w:pPr>
              <w:jc w:val="center"/>
              <w:rPr>
                <w:rFonts w:eastAsia="Calibri" w:cs="Calibri"/>
                <w:color w:val="000000" w:themeColor="text1"/>
                <w:sz w:val="22"/>
                <w:szCs w:val="22"/>
              </w:rPr>
            </w:pPr>
            <w:r w:rsidRPr="00BA701D">
              <w:rPr>
                <w:rFonts w:eastAsia="Calibri" w:cs="Calibri"/>
                <w:color w:val="000000" w:themeColor="text1"/>
                <w:sz w:val="22"/>
                <w:szCs w:val="22"/>
              </w:rPr>
              <w:t>0%</w:t>
            </w:r>
          </w:p>
        </w:tc>
        <w:tc>
          <w:tcPr>
            <w:tcW w:w="1418" w:type="dxa"/>
            <w:tcBorders>
              <w:top w:val="single" w:sz="4" w:space="0" w:color="8EA9DB"/>
              <w:left w:val="nil"/>
              <w:bottom w:val="single" w:sz="4" w:space="0" w:color="8EA9DB"/>
            </w:tcBorders>
            <w:shd w:val="clear" w:color="auto" w:fill="DEEAF6" w:themeFill="accent1" w:themeFillTint="33"/>
            <w:vAlign w:val="center"/>
          </w:tcPr>
          <w:p w14:paraId="4A5C3F34" w14:textId="5D259CB7" w:rsidR="00BA701D" w:rsidRPr="00BA701D" w:rsidRDefault="00BA701D" w:rsidP="00CF194F">
            <w:pPr>
              <w:jc w:val="center"/>
              <w:rPr>
                <w:rFonts w:eastAsia="Calibri" w:cs="Calibri"/>
                <w:color w:val="000000" w:themeColor="text1"/>
                <w:sz w:val="22"/>
                <w:szCs w:val="22"/>
              </w:rPr>
            </w:pPr>
            <w:r w:rsidRPr="00BA701D">
              <w:rPr>
                <w:rFonts w:eastAsia="Calibri" w:cs="Calibri"/>
                <w:color w:val="000000" w:themeColor="text1"/>
                <w:sz w:val="22"/>
                <w:szCs w:val="22"/>
              </w:rPr>
              <w:t>16.7% (n=1)</w:t>
            </w:r>
          </w:p>
        </w:tc>
      </w:tr>
      <w:tr w:rsidR="00284BF2" w:rsidRPr="00BA701D" w14:paraId="62C6AEA8" w14:textId="77777777" w:rsidTr="00BA701D">
        <w:trPr>
          <w:trHeight w:val="600"/>
        </w:trPr>
        <w:tc>
          <w:tcPr>
            <w:tcW w:w="2972" w:type="dxa"/>
            <w:tcBorders>
              <w:top w:val="single" w:sz="4" w:space="0" w:color="8EA9DB"/>
              <w:right w:val="nil"/>
            </w:tcBorders>
            <w:vAlign w:val="center"/>
          </w:tcPr>
          <w:p w14:paraId="538FFD6E" w14:textId="77777777" w:rsidR="00284BF2" w:rsidRPr="00BA701D" w:rsidRDefault="00284BF2">
            <w:pPr>
              <w:rPr>
                <w:rFonts w:eastAsia="Calibri" w:cs="Calibri"/>
                <w:b/>
                <w:bCs/>
                <w:color w:val="000000" w:themeColor="text1"/>
                <w:sz w:val="22"/>
                <w:szCs w:val="22"/>
              </w:rPr>
            </w:pPr>
          </w:p>
        </w:tc>
        <w:tc>
          <w:tcPr>
            <w:tcW w:w="1417" w:type="dxa"/>
            <w:tcBorders>
              <w:top w:val="single" w:sz="4" w:space="0" w:color="8EA9DB"/>
              <w:left w:val="nil"/>
              <w:right w:val="nil"/>
            </w:tcBorders>
            <w:shd w:val="clear" w:color="auto" w:fill="DEEAF6" w:themeFill="accent1" w:themeFillTint="33"/>
            <w:vAlign w:val="center"/>
          </w:tcPr>
          <w:p w14:paraId="55FA52CE" w14:textId="77777777" w:rsidR="00284BF2" w:rsidRPr="00BA701D" w:rsidRDefault="00284BF2" w:rsidP="00BA701D">
            <w:pPr>
              <w:jc w:val="center"/>
              <w:rPr>
                <w:rFonts w:eastAsia="Calibri" w:cs="Calibri"/>
                <w:color w:val="000000" w:themeColor="text1"/>
                <w:sz w:val="22"/>
                <w:szCs w:val="22"/>
              </w:rPr>
            </w:pPr>
          </w:p>
        </w:tc>
        <w:tc>
          <w:tcPr>
            <w:tcW w:w="1418" w:type="dxa"/>
            <w:tcBorders>
              <w:top w:val="single" w:sz="4" w:space="0" w:color="8EA9DB"/>
              <w:left w:val="nil"/>
              <w:right w:val="nil"/>
            </w:tcBorders>
            <w:shd w:val="clear" w:color="auto" w:fill="DEEAF6" w:themeFill="accent1" w:themeFillTint="33"/>
            <w:vAlign w:val="center"/>
          </w:tcPr>
          <w:p w14:paraId="7F478D9C" w14:textId="77777777" w:rsidR="00284BF2" w:rsidRPr="00BA701D" w:rsidRDefault="00284BF2" w:rsidP="00BA701D">
            <w:pPr>
              <w:jc w:val="center"/>
              <w:rPr>
                <w:rFonts w:eastAsia="Calibri" w:cs="Calibri"/>
                <w:color w:val="000000" w:themeColor="text1"/>
                <w:sz w:val="22"/>
                <w:szCs w:val="22"/>
              </w:rPr>
            </w:pPr>
          </w:p>
        </w:tc>
        <w:tc>
          <w:tcPr>
            <w:tcW w:w="1417" w:type="dxa"/>
            <w:tcBorders>
              <w:top w:val="single" w:sz="4" w:space="0" w:color="8EA9DB"/>
              <w:left w:val="nil"/>
              <w:right w:val="nil"/>
            </w:tcBorders>
            <w:shd w:val="clear" w:color="auto" w:fill="DEEAF6" w:themeFill="accent1" w:themeFillTint="33"/>
            <w:vAlign w:val="center"/>
          </w:tcPr>
          <w:p w14:paraId="7710A5A3" w14:textId="77777777" w:rsidR="00284BF2" w:rsidRPr="00BA701D" w:rsidRDefault="00284BF2" w:rsidP="00CF194F">
            <w:pPr>
              <w:jc w:val="center"/>
              <w:rPr>
                <w:rFonts w:eastAsia="Calibri" w:cs="Calibri"/>
                <w:color w:val="000000" w:themeColor="text1"/>
                <w:sz w:val="22"/>
                <w:szCs w:val="22"/>
              </w:rPr>
            </w:pPr>
          </w:p>
        </w:tc>
        <w:tc>
          <w:tcPr>
            <w:tcW w:w="1418" w:type="dxa"/>
            <w:tcBorders>
              <w:top w:val="single" w:sz="4" w:space="0" w:color="8EA9DB"/>
              <w:left w:val="nil"/>
            </w:tcBorders>
            <w:shd w:val="clear" w:color="auto" w:fill="DEEAF6" w:themeFill="accent1" w:themeFillTint="33"/>
            <w:vAlign w:val="center"/>
          </w:tcPr>
          <w:p w14:paraId="54AF43BE" w14:textId="77777777" w:rsidR="00284BF2" w:rsidRPr="00BA701D" w:rsidRDefault="00284BF2" w:rsidP="00CF194F">
            <w:pPr>
              <w:jc w:val="center"/>
              <w:rPr>
                <w:rFonts w:eastAsia="Calibri" w:cs="Calibri"/>
                <w:color w:val="000000" w:themeColor="text1"/>
                <w:sz w:val="22"/>
                <w:szCs w:val="22"/>
              </w:rPr>
            </w:pPr>
          </w:p>
        </w:tc>
      </w:tr>
    </w:tbl>
    <w:p w14:paraId="47F93D52" w14:textId="0A35890E" w:rsidR="11C55A92" w:rsidRDefault="11C55A92" w:rsidP="11C55A92"/>
    <w:p w14:paraId="028D37D3" w14:textId="77777777" w:rsidR="00A86140" w:rsidRPr="009E498C" w:rsidRDefault="00A86140" w:rsidP="00EA1C92">
      <w:pPr>
        <w:pStyle w:val="Heading2"/>
      </w:pPr>
      <w:bookmarkStart w:id="174" w:name="_Toc114072910"/>
      <w:bookmarkStart w:id="175" w:name="_Toc117628764"/>
      <w:bookmarkStart w:id="176" w:name="_Toc118555205"/>
      <w:bookmarkStart w:id="177" w:name="_Toc118558287"/>
      <w:bookmarkStart w:id="178" w:name="_Toc118558363"/>
      <w:bookmarkStart w:id="179" w:name="_Toc121830618"/>
      <w:r w:rsidRPr="009E498C">
        <w:t xml:space="preserve">Specialist </w:t>
      </w:r>
      <w:r>
        <w:t>s</w:t>
      </w:r>
      <w:r w:rsidRPr="009E498C">
        <w:t xml:space="preserve">ervice </w:t>
      </w:r>
      <w:r>
        <w:t>a</w:t>
      </w:r>
      <w:r w:rsidRPr="009E498C">
        <w:t>pproach</w:t>
      </w:r>
      <w:bookmarkEnd w:id="174"/>
      <w:bookmarkEnd w:id="175"/>
      <w:bookmarkEnd w:id="176"/>
      <w:bookmarkEnd w:id="177"/>
      <w:bookmarkEnd w:id="178"/>
      <w:bookmarkEnd w:id="179"/>
    </w:p>
    <w:p w14:paraId="7EA33B24" w14:textId="77777777" w:rsidR="00A86140" w:rsidRPr="009E498C" w:rsidRDefault="00A86140" w:rsidP="00A86140">
      <w:pPr>
        <w:rPr>
          <w:szCs w:val="26"/>
        </w:rPr>
      </w:pPr>
      <w:r w:rsidRPr="009E498C">
        <w:rPr>
          <w:szCs w:val="26"/>
        </w:rPr>
        <w:t>The first approach to service, the specialist approach, was described as one that is largely focused on meeting the needs of older individuals with intellectual disabilities with specific age-related complex concerns. Provision of specialist service was also seen to be something that was not location or unit-specific, but which could potentially be put in place, in the older person’s current living space:</w:t>
      </w:r>
    </w:p>
    <w:p w14:paraId="5720DBB3" w14:textId="60896438" w:rsidR="00A86140" w:rsidRPr="009E498C" w:rsidRDefault="00A86140" w:rsidP="00A86140">
      <w:pPr>
        <w:ind w:left="720"/>
        <w:rPr>
          <w:szCs w:val="26"/>
        </w:rPr>
      </w:pPr>
      <w:r w:rsidRPr="009E498C">
        <w:rPr>
          <w:i/>
          <w:szCs w:val="26"/>
        </w:rPr>
        <w:t>…specialist services might try and be developed around them where possible.</w:t>
      </w:r>
      <w:r w:rsidRPr="009E498C">
        <w:rPr>
          <w:szCs w:val="26"/>
        </w:rPr>
        <w:t xml:space="preserve"> (Michael, M, SS)</w:t>
      </w:r>
    </w:p>
    <w:p w14:paraId="22994A1B" w14:textId="446D053E" w:rsidR="00A86140" w:rsidRPr="009E498C" w:rsidRDefault="00A86140" w:rsidP="00A86140">
      <w:r w:rsidRPr="421B3188">
        <w:t>Unit-specific specialist services may cater for a wide range of complex age-related needs up to and including end</w:t>
      </w:r>
      <w:r w:rsidR="00AD236A">
        <w:t xml:space="preserve"> </w:t>
      </w:r>
      <w:r w:rsidRPr="421B3188">
        <w:t>of</w:t>
      </w:r>
      <w:r w:rsidR="00AD236A">
        <w:t xml:space="preserve"> </w:t>
      </w:r>
      <w:r w:rsidRPr="421B3188">
        <w:t>life care</w:t>
      </w:r>
      <w:r w:rsidR="38D7F21B" w:rsidRPr="4B19C871">
        <w:t>:</w:t>
      </w:r>
      <w:r w:rsidRPr="421B3188">
        <w:t xml:space="preserve"> </w:t>
      </w:r>
    </w:p>
    <w:p w14:paraId="6DBCACBF" w14:textId="50FB2BAB" w:rsidR="00A86140" w:rsidRPr="009E498C" w:rsidRDefault="00A86140" w:rsidP="6353D33D">
      <w:pPr>
        <w:ind w:left="709"/>
        <w:rPr>
          <w:rFonts w:eastAsia="Calibri" w:cs="Calibri"/>
          <w:color w:val="000000" w:themeColor="text1"/>
        </w:rPr>
      </w:pPr>
      <w:r w:rsidRPr="6353D33D">
        <w:rPr>
          <w:rFonts w:eastAsia="Calibri" w:cs="Calibri"/>
          <w:i/>
          <w:iCs/>
          <w:color w:val="000000" w:themeColor="text1"/>
          <w:lang w:val="en-GB"/>
        </w:rPr>
        <w:t>…our service would be classed as the ag</w:t>
      </w:r>
      <w:r w:rsidR="6BF11078" w:rsidRPr="6353D33D">
        <w:rPr>
          <w:rFonts w:eastAsia="Calibri" w:cs="Calibri"/>
          <w:i/>
          <w:iCs/>
          <w:color w:val="000000" w:themeColor="text1"/>
          <w:lang w:val="en-GB"/>
        </w:rPr>
        <w:t>e</w:t>
      </w:r>
      <w:r w:rsidRPr="6353D33D">
        <w:rPr>
          <w:rFonts w:eastAsia="Calibri" w:cs="Calibri"/>
          <w:i/>
          <w:iCs/>
          <w:color w:val="000000" w:themeColor="text1"/>
          <w:lang w:val="en-GB"/>
        </w:rPr>
        <w:t>ing opportunity house. So, within the mid…</w:t>
      </w:r>
      <w:r w:rsidRPr="6353D33D">
        <w:rPr>
          <w:rFonts w:eastAsia="Calibri" w:cs="Calibri"/>
          <w:color w:val="000000" w:themeColor="text1"/>
          <w:lang w:val="en-GB"/>
        </w:rPr>
        <w:t>[county name]…</w:t>
      </w:r>
      <w:r w:rsidRPr="6353D33D">
        <w:rPr>
          <w:rFonts w:eastAsia="Calibri" w:cs="Calibri"/>
          <w:i/>
          <w:iCs/>
          <w:color w:val="000000" w:themeColor="text1"/>
          <w:lang w:val="en-GB"/>
        </w:rPr>
        <w:t xml:space="preserve">area we are the only house in </w:t>
      </w:r>
      <w:r w:rsidRPr="6353D33D">
        <w:rPr>
          <w:rFonts w:eastAsia="Calibri" w:cs="Calibri"/>
          <w:color w:val="000000" w:themeColor="text1"/>
          <w:lang w:val="en-GB"/>
        </w:rPr>
        <w:t xml:space="preserve">[town name] </w:t>
      </w:r>
      <w:r w:rsidRPr="6353D33D">
        <w:rPr>
          <w:rFonts w:eastAsia="Calibri" w:cs="Calibri"/>
          <w:i/>
          <w:iCs/>
          <w:color w:val="000000" w:themeColor="text1"/>
          <w:lang w:val="en-GB"/>
        </w:rPr>
        <w:t>and surrounding areas that can cater for people with ag</w:t>
      </w:r>
      <w:r w:rsidR="52C63C6F" w:rsidRPr="6353D33D">
        <w:rPr>
          <w:rFonts w:eastAsia="Calibri" w:cs="Calibri"/>
          <w:i/>
          <w:iCs/>
          <w:color w:val="000000" w:themeColor="text1"/>
          <w:lang w:val="en-GB"/>
        </w:rPr>
        <w:t>e</w:t>
      </w:r>
      <w:r w:rsidRPr="6353D33D">
        <w:rPr>
          <w:rFonts w:eastAsia="Calibri" w:cs="Calibri"/>
          <w:i/>
          <w:iCs/>
          <w:color w:val="000000" w:themeColor="text1"/>
          <w:lang w:val="en-GB"/>
        </w:rPr>
        <w:t>ing needs and intellectual disability…we have epilepsy, dementia, and we also have more medical needs like MS, rheumatoid arthritis, we have three people in wheelchairs where they would have been mobile in their life and mobility has now decreased significantly where we are using either steadies or hoists. But more so we are looking at like you know we have some people that have developed even hemochromatosis, diabetes, cholesterol, high blood pressure…we'd hope that this would be the end</w:t>
      </w:r>
      <w:r w:rsidR="00AD236A" w:rsidRPr="6353D33D">
        <w:rPr>
          <w:rFonts w:eastAsia="Calibri" w:cs="Calibri"/>
          <w:i/>
          <w:iCs/>
          <w:color w:val="000000" w:themeColor="text1"/>
          <w:lang w:val="en-GB"/>
        </w:rPr>
        <w:t xml:space="preserve"> </w:t>
      </w:r>
      <w:r w:rsidRPr="6353D33D">
        <w:rPr>
          <w:rFonts w:eastAsia="Calibri" w:cs="Calibri"/>
          <w:i/>
          <w:iCs/>
          <w:color w:val="000000" w:themeColor="text1"/>
          <w:lang w:val="en-GB"/>
        </w:rPr>
        <w:t>of</w:t>
      </w:r>
      <w:r w:rsidR="00AD236A" w:rsidRPr="6353D33D">
        <w:rPr>
          <w:rFonts w:eastAsia="Calibri" w:cs="Calibri"/>
          <w:i/>
          <w:iCs/>
          <w:color w:val="000000" w:themeColor="text1"/>
          <w:lang w:val="en-GB"/>
        </w:rPr>
        <w:t xml:space="preserve"> </w:t>
      </w:r>
      <w:r w:rsidRPr="6353D33D">
        <w:rPr>
          <w:rFonts w:eastAsia="Calibri" w:cs="Calibri"/>
          <w:i/>
          <w:iCs/>
          <w:color w:val="000000" w:themeColor="text1"/>
          <w:lang w:val="en-GB"/>
        </w:rPr>
        <w:t xml:space="preserve">life unit for anybody that we care for. </w:t>
      </w:r>
      <w:r w:rsidRPr="6353D33D">
        <w:rPr>
          <w:rFonts w:eastAsia="Calibri" w:cs="Calibri"/>
          <w:color w:val="000000" w:themeColor="text1"/>
        </w:rPr>
        <w:t>(Ingrid, D, GS)</w:t>
      </w:r>
    </w:p>
    <w:p w14:paraId="7A3C0B67" w14:textId="451AFCFD" w:rsidR="00A86140" w:rsidRPr="009E498C" w:rsidRDefault="00A86140" w:rsidP="00A86140">
      <w:r w:rsidRPr="7450032E">
        <w:rPr>
          <w:rFonts w:eastAsia="Calibri" w:cs="Calibri"/>
        </w:rPr>
        <w:t xml:space="preserve">However, across the three service types, dementia was identified as presenting the most significant challenge to meeting the needs of older adults in the service. </w:t>
      </w:r>
      <w:r w:rsidRPr="7450032E">
        <w:t>The provision of specialist services to people with dementia clearly demands the availability of a multi-disciplinary skillset to meet the older persons’ holistic needs:</w:t>
      </w:r>
    </w:p>
    <w:p w14:paraId="6C8E5D89" w14:textId="77777777" w:rsidR="00A86140" w:rsidRPr="009E498C" w:rsidRDefault="00A86140" w:rsidP="00A86140">
      <w:pPr>
        <w:ind w:left="720"/>
        <w:rPr>
          <w:szCs w:val="26"/>
        </w:rPr>
      </w:pPr>
      <w:r w:rsidRPr="009E498C">
        <w:rPr>
          <w:i/>
          <w:szCs w:val="26"/>
        </w:rPr>
        <w:t>…we’ve invested a huge amount of resources into this dementia, this specific house, where the staff are trained…it’s a dementia team that’s made up of an OT, an ANP, and a behaviour therapist.</w:t>
      </w:r>
      <w:r w:rsidRPr="009E498C">
        <w:rPr>
          <w:szCs w:val="26"/>
        </w:rPr>
        <w:t xml:space="preserve"> (Mary, M, SS)</w:t>
      </w:r>
    </w:p>
    <w:p w14:paraId="2CA738FF" w14:textId="24A1A726" w:rsidR="00A86140" w:rsidRPr="009E498C" w:rsidRDefault="00A86140" w:rsidP="00A86140">
      <w:r w:rsidRPr="11C55A92">
        <w:rPr>
          <w:rFonts w:eastAsia="Calibri" w:cs="Calibri"/>
        </w:rPr>
        <w:t xml:space="preserve">One service reported using the Butterfly Model </w:t>
      </w:r>
      <w:r w:rsidRPr="11C55A92">
        <w:rPr>
          <w:color w:val="000000" w:themeColor="text1"/>
        </w:rPr>
        <w:t xml:space="preserve">which focuses on ‘delivering emotion-focused care that connects with people in a dignified, human way…[addressing]…the holistic needs of the individuals and supports quality of life for each person living with dementia across the whole of their lived experience’ </w:t>
      </w:r>
      <w:r w:rsidRPr="11C55A92">
        <w:rPr>
          <w:color w:val="000000" w:themeColor="text1"/>
        </w:rPr>
        <w:fldChar w:fldCharType="begin"/>
      </w:r>
      <w:r w:rsidRPr="11C55A92">
        <w:rPr>
          <w:color w:val="000000" w:themeColor="text1"/>
        </w:rPr>
        <w:instrText xml:space="preserve"> ADDIN EN.CITE &lt;EndNote&gt;&lt;Cite&gt;&lt;Author&gt;Primacare Living Solutions&lt;/Author&gt;&lt;Year&gt;2022&lt;/Year&gt;&lt;RecNum&gt;713&lt;/RecNum&gt;&lt;DisplayText&gt;(Primacare Living Solutions, 2022)&lt;/DisplayText&gt;&lt;record&gt;&lt;rec-number&gt;713&lt;/rec-number&gt;&lt;foreign-keys&gt;&lt;key app="EN" db-id="xtwfdzde5ttr0zevxrh5sf0c2wfzw5zf2vra" timestamp="1666112431" guid="db41dcc0-b6c9-40a7-a091-eedd073ee054"&gt;713&lt;/key&gt;&lt;/foreign-keys&gt;&lt;ref-type name="Web Page"&gt;12&lt;/ref-type&gt;&lt;contributors&gt;&lt;authors&gt;&lt;author&gt;Primacare Living Solutions, &lt;/author&gt;&lt;/authors&gt;&lt;/contributors&gt;&lt;titles&gt;&lt;title&gt;Innovations in Care&lt;/title&gt;&lt;/titles&gt;&lt;volume&gt;2022&lt;/volume&gt;&lt;number&gt;16/08/2022&lt;/number&gt;&lt;dates&gt;&lt;year&gt;2022&lt;/year&gt;&lt;/dates&gt;&lt;pub-location&gt;Ontario&lt;/pub-location&gt;&lt;urls&gt;&lt;related-urls&gt;&lt;url&gt;https://www.primacareliving.com/butterfly-model-of-care&lt;/url&gt;&lt;/related-urls&gt;&lt;/urls&gt;&lt;/record&gt;&lt;/Cite&gt;&lt;/EndNote&gt;</w:instrText>
      </w:r>
      <w:r w:rsidRPr="11C55A92">
        <w:rPr>
          <w:color w:val="000000" w:themeColor="text1"/>
        </w:rPr>
        <w:fldChar w:fldCharType="separate"/>
      </w:r>
      <w:r w:rsidR="00A21A0E" w:rsidRPr="11C55A92">
        <w:rPr>
          <w:color w:val="000000" w:themeColor="text1"/>
        </w:rPr>
        <w:t>(Primacare Living Solutions, 2022)</w:t>
      </w:r>
      <w:r w:rsidRPr="11C55A92">
        <w:rPr>
          <w:color w:val="000000" w:themeColor="text1"/>
        </w:rPr>
        <w:fldChar w:fldCharType="end"/>
      </w:r>
      <w:r w:rsidRPr="11C55A92">
        <w:rPr>
          <w:color w:val="000000" w:themeColor="text1"/>
        </w:rPr>
        <w:t xml:space="preserve">. </w:t>
      </w:r>
      <w:r w:rsidR="00C37E43">
        <w:t xml:space="preserve">It is a </w:t>
      </w:r>
      <w:r w:rsidR="00761986">
        <w:t xml:space="preserve">humanistic and sensitive </w:t>
      </w:r>
      <w:r>
        <w:t>model</w:t>
      </w:r>
      <w:r w:rsidR="00761986">
        <w:t xml:space="preserve"> </w:t>
      </w:r>
      <w:r w:rsidR="00C37E43">
        <w:t>without a</w:t>
      </w:r>
      <w:r w:rsidR="00761986">
        <w:t xml:space="preserve"> </w:t>
      </w:r>
      <w:r w:rsidR="00370B0C">
        <w:t>medical or professional</w:t>
      </w:r>
      <w:r w:rsidR="002D41F8">
        <w:t xml:space="preserve"> </w:t>
      </w:r>
      <w:r w:rsidR="00090730">
        <w:t>focus</w:t>
      </w:r>
      <w:r w:rsidR="00F5783A">
        <w:t xml:space="preserve"> which </w:t>
      </w:r>
      <w:r>
        <w:t>often underpins dementia care in nursing homes</w:t>
      </w:r>
      <w:r w:rsidR="00F5783A">
        <w:t>.</w:t>
      </w:r>
      <w:r w:rsidR="00333658">
        <w:t xml:space="preserve"> T</w:t>
      </w:r>
      <w:r>
        <w:t xml:space="preserve">his was the approach which was </w:t>
      </w:r>
      <w:r w:rsidR="00333658">
        <w:t xml:space="preserve">also </w:t>
      </w:r>
      <w:r>
        <w:t>employed in some specialist homes for those older people with intellectual disabilit</w:t>
      </w:r>
      <w:r w:rsidR="00C85736">
        <w:t>ies</w:t>
      </w:r>
      <w:r>
        <w:t xml:space="preserve"> and a diagnosis of dementia, offering a pathway from early through to end-stage of the disease:</w:t>
      </w:r>
    </w:p>
    <w:p w14:paraId="26425B97" w14:textId="77777777" w:rsidR="00A86140" w:rsidRPr="009E498C" w:rsidRDefault="00A86140" w:rsidP="00A86140">
      <w:pPr>
        <w:ind w:left="720"/>
        <w:rPr>
          <w:rFonts w:cstheme="minorBidi"/>
        </w:rPr>
      </w:pPr>
      <w:r w:rsidRPr="517F2F4F">
        <w:rPr>
          <w:rFonts w:cstheme="minorBidi"/>
          <w:i/>
        </w:rPr>
        <w:t>One of the homes supports people…at advanced mid stage dementia and there is…</w:t>
      </w:r>
      <w:r w:rsidRPr="517F2F4F">
        <w:rPr>
          <w:rFonts w:cstheme="minorBidi"/>
        </w:rPr>
        <w:t>[sic]</w:t>
      </w:r>
      <w:r w:rsidRPr="517F2F4F">
        <w:rPr>
          <w:rFonts w:cstheme="minorBidi"/>
          <w:i/>
        </w:rPr>
        <w:t>…admission criteria to enter this home setting. And the other home supports people at endstage dementia where they are offered palliative type care.</w:t>
      </w:r>
      <w:r w:rsidRPr="517F2F4F">
        <w:rPr>
          <w:rFonts w:cstheme="minorBidi"/>
        </w:rPr>
        <w:t xml:space="preserve"> (Sarah, M, SS)</w:t>
      </w:r>
    </w:p>
    <w:p w14:paraId="5AC0783C" w14:textId="77777777" w:rsidR="00A86140" w:rsidRPr="009E498C" w:rsidRDefault="00A86140" w:rsidP="00A86140">
      <w:pPr>
        <w:ind w:left="720"/>
        <w:rPr>
          <w:szCs w:val="26"/>
        </w:rPr>
      </w:pPr>
      <w:r w:rsidRPr="009E498C">
        <w:rPr>
          <w:i/>
          <w:szCs w:val="26"/>
        </w:rPr>
        <w:t>…you must have a diagnosis of dementia to move into this particular home…</w:t>
      </w:r>
      <w:r w:rsidRPr="009E498C">
        <w:rPr>
          <w:szCs w:val="26"/>
        </w:rPr>
        <w:t>[for]</w:t>
      </w:r>
      <w:r w:rsidRPr="009E498C">
        <w:rPr>
          <w:i/>
          <w:szCs w:val="26"/>
        </w:rPr>
        <w:t>…everybody who has that diagnosis of dementia, who’s living in the community.</w:t>
      </w:r>
      <w:r w:rsidRPr="009E498C">
        <w:rPr>
          <w:szCs w:val="26"/>
        </w:rPr>
        <w:t xml:space="preserve"> (Mary, M, SS)</w:t>
      </w:r>
    </w:p>
    <w:p w14:paraId="24D18179" w14:textId="77777777" w:rsidR="00A86140" w:rsidRPr="009E498C" w:rsidRDefault="00A86140" w:rsidP="00A86140">
      <w:pPr>
        <w:rPr>
          <w:color w:val="000000" w:themeColor="text1"/>
          <w:szCs w:val="26"/>
        </w:rPr>
      </w:pPr>
      <w:r w:rsidRPr="009E498C">
        <w:rPr>
          <w:color w:val="000000" w:themeColor="text1"/>
          <w:szCs w:val="26"/>
        </w:rPr>
        <w:t xml:space="preserve">Specialist service approaches tended to be directed primarily towards meeting the older person’s needs in the presence of a specific (typically) health-related problem. As such, it drew on the skills and knowledge of specialist practitioners. One other approach that was largely focused </w:t>
      </w:r>
      <w:r>
        <w:rPr>
          <w:color w:val="000000" w:themeColor="text1"/>
          <w:szCs w:val="26"/>
        </w:rPr>
        <w:t>on</w:t>
      </w:r>
      <w:r w:rsidRPr="009E498C">
        <w:rPr>
          <w:color w:val="000000" w:themeColor="text1"/>
          <w:szCs w:val="26"/>
        </w:rPr>
        <w:t xml:space="preserve"> health needs was the nurse-led one.</w:t>
      </w:r>
    </w:p>
    <w:p w14:paraId="1460B31C" w14:textId="616FF3F0" w:rsidR="00A86140" w:rsidRPr="00C00CA8" w:rsidRDefault="00A86140" w:rsidP="00EA1C92">
      <w:pPr>
        <w:pStyle w:val="Heading2"/>
      </w:pPr>
      <w:bookmarkStart w:id="180" w:name="_Toc114072911"/>
      <w:bookmarkStart w:id="181" w:name="_Toc117628765"/>
      <w:bookmarkStart w:id="182" w:name="_Toc118555206"/>
      <w:bookmarkStart w:id="183" w:name="_Toc118558288"/>
      <w:bookmarkStart w:id="184" w:name="_Toc118558364"/>
      <w:bookmarkStart w:id="185" w:name="_Toc121830619"/>
      <w:r w:rsidRPr="00C00CA8">
        <w:t>Nurse-</w:t>
      </w:r>
      <w:r>
        <w:t>l</w:t>
      </w:r>
      <w:r w:rsidRPr="00C00CA8">
        <w:t xml:space="preserve">ed </w:t>
      </w:r>
      <w:r>
        <w:t>a</w:t>
      </w:r>
      <w:r w:rsidRPr="00C00CA8">
        <w:t>pproaches</w:t>
      </w:r>
      <w:bookmarkEnd w:id="180"/>
      <w:bookmarkEnd w:id="181"/>
      <w:bookmarkEnd w:id="182"/>
      <w:bookmarkEnd w:id="183"/>
      <w:bookmarkEnd w:id="184"/>
      <w:bookmarkEnd w:id="185"/>
    </w:p>
    <w:p w14:paraId="5CC3FCD5" w14:textId="58AE3BFE" w:rsidR="00A86140" w:rsidRPr="009E498C" w:rsidRDefault="00A86140" w:rsidP="11C55A92">
      <w:pPr>
        <w:rPr>
          <w:rFonts w:cstheme="minorBidi"/>
        </w:rPr>
      </w:pPr>
      <w:r>
        <w:t>Nurses have been at the centre of service provision to people with intellectual disabilit</w:t>
      </w:r>
      <w:r w:rsidR="00C85736">
        <w:t>ies</w:t>
      </w:r>
      <w:r>
        <w:t xml:space="preserve"> for many years and many approaches have </w:t>
      </w:r>
      <w:r w:rsidR="00CF194F">
        <w:t>continued to see them as key to service provision</w:t>
      </w:r>
      <w:r>
        <w:t xml:space="preserve">, particularly where health is a focus. </w:t>
      </w:r>
      <w:r w:rsidRPr="11C55A92">
        <w:rPr>
          <w:rFonts w:cstheme="minorBidi"/>
        </w:rPr>
        <w:t>It was widely acknowledged that nursing care was an important part of service but that this could be offered within intellectual disability services under a nursing-led approach:</w:t>
      </w:r>
    </w:p>
    <w:p w14:paraId="65C7520A" w14:textId="77777777" w:rsidR="00A86140" w:rsidRPr="009E498C" w:rsidRDefault="00A86140" w:rsidP="00A86140">
      <w:pPr>
        <w:ind w:left="709"/>
        <w:rPr>
          <w:rFonts w:cstheme="minorHAnsi"/>
          <w:szCs w:val="26"/>
        </w:rPr>
      </w:pPr>
      <w:r w:rsidRPr="009E498C">
        <w:rPr>
          <w:rFonts w:cstheme="minorHAnsi"/>
          <w:i/>
          <w:szCs w:val="26"/>
        </w:rPr>
        <w:t>…we are talking…</w:t>
      </w:r>
      <w:r w:rsidRPr="009E498C">
        <w:rPr>
          <w:rFonts w:cstheme="minorHAnsi"/>
          <w:szCs w:val="26"/>
        </w:rPr>
        <w:t>[about]</w:t>
      </w:r>
      <w:r w:rsidRPr="009E498C">
        <w:rPr>
          <w:rFonts w:cstheme="minorHAnsi"/>
          <w:i/>
          <w:szCs w:val="26"/>
        </w:rPr>
        <w:t>…reverting back to more of a nurse led model.</w:t>
      </w:r>
      <w:r w:rsidRPr="009E498C">
        <w:rPr>
          <w:rFonts w:cstheme="minorHAnsi"/>
          <w:szCs w:val="26"/>
        </w:rPr>
        <w:t xml:space="preserve"> (Michael, M, SS)</w:t>
      </w:r>
    </w:p>
    <w:p w14:paraId="2AA34198" w14:textId="77777777" w:rsidR="00A86140" w:rsidRPr="009E498C" w:rsidRDefault="00A86140" w:rsidP="00A86140">
      <w:pPr>
        <w:ind w:left="709"/>
        <w:rPr>
          <w:rFonts w:cstheme="minorHAnsi"/>
          <w:szCs w:val="26"/>
        </w:rPr>
      </w:pPr>
      <w:r w:rsidRPr="009E498C">
        <w:rPr>
          <w:rFonts w:cstheme="minorHAnsi"/>
          <w:i/>
          <w:szCs w:val="26"/>
        </w:rPr>
        <w:t>…we use the Roper, Logan and Tierney model...we have got nurses on site each day.</w:t>
      </w:r>
      <w:r w:rsidRPr="009E498C">
        <w:rPr>
          <w:rFonts w:cstheme="minorHAnsi"/>
          <w:szCs w:val="26"/>
        </w:rPr>
        <w:t xml:space="preserve"> (Moya, M, SS)</w:t>
      </w:r>
    </w:p>
    <w:p w14:paraId="541836A4" w14:textId="71F75AB2" w:rsidR="00A86140" w:rsidRPr="009E498C" w:rsidRDefault="00A86140" w:rsidP="00A86140">
      <w:pPr>
        <w:rPr>
          <w:rFonts w:cstheme="minorHAnsi"/>
          <w:szCs w:val="26"/>
        </w:rPr>
      </w:pPr>
      <w:r w:rsidRPr="009E498C">
        <w:rPr>
          <w:rFonts w:cstheme="minorHAnsi"/>
          <w:szCs w:val="26"/>
        </w:rPr>
        <w:t>The manifestation of this, in terms of the structuring of care was, in some sites, in the form of a disability service-based nursing home, but geared towards meeting the developing needs of older people with intellectual disabilit</w:t>
      </w:r>
      <w:r w:rsidR="00C85736">
        <w:rPr>
          <w:rFonts w:cstheme="minorHAnsi"/>
          <w:szCs w:val="26"/>
        </w:rPr>
        <w:t>ies</w:t>
      </w:r>
      <w:r w:rsidRPr="009E498C">
        <w:rPr>
          <w:rFonts w:cstheme="minorHAnsi"/>
          <w:szCs w:val="26"/>
        </w:rPr>
        <w:t>:</w:t>
      </w:r>
    </w:p>
    <w:p w14:paraId="3FF503ED" w14:textId="77777777" w:rsidR="00A86140" w:rsidRPr="009E498C" w:rsidRDefault="00A86140" w:rsidP="00A86140">
      <w:pPr>
        <w:ind w:left="709"/>
        <w:rPr>
          <w:rFonts w:cstheme="minorHAnsi"/>
          <w:szCs w:val="26"/>
        </w:rPr>
      </w:pPr>
      <w:r w:rsidRPr="009E498C">
        <w:rPr>
          <w:rFonts w:cstheme="minorHAnsi"/>
          <w:i/>
          <w:szCs w:val="26"/>
        </w:rPr>
        <w:t>…it would be very much the nursing home model, because we are a specific retirement home for intellectual disability…people move from their own home into a nursing home…</w:t>
      </w:r>
      <w:r w:rsidRPr="009E498C">
        <w:rPr>
          <w:rFonts w:cstheme="minorHAnsi"/>
          <w:szCs w:val="26"/>
        </w:rPr>
        <w:t xml:space="preserve"> (Michael, M, SS)</w:t>
      </w:r>
    </w:p>
    <w:p w14:paraId="35A4667A" w14:textId="2B03010D" w:rsidR="00A86140" w:rsidRPr="009E498C" w:rsidRDefault="00A86140" w:rsidP="00A86140">
      <w:pPr>
        <w:ind w:left="709"/>
        <w:rPr>
          <w:rFonts w:cstheme="minorHAnsi"/>
          <w:szCs w:val="26"/>
        </w:rPr>
      </w:pPr>
      <w:r w:rsidRPr="009E498C">
        <w:rPr>
          <w:rFonts w:cstheme="minorHAnsi"/>
          <w:i/>
          <w:szCs w:val="26"/>
        </w:rPr>
        <w:t>…we saw the need of…not having a nursing home but a nursing home type model</w:t>
      </w:r>
      <w:r w:rsidR="005852BC">
        <w:rPr>
          <w:rFonts w:cstheme="minorHAnsi"/>
          <w:i/>
          <w:szCs w:val="26"/>
        </w:rPr>
        <w:t>…</w:t>
      </w:r>
      <w:r w:rsidRPr="009E498C">
        <w:rPr>
          <w:rFonts w:cstheme="minorHAnsi"/>
          <w:i/>
          <w:szCs w:val="26"/>
        </w:rPr>
        <w:t>we try to get resources into it, the expertise, the skills set in order to support people to age in place</w:t>
      </w:r>
      <w:r w:rsidRPr="009E498C">
        <w:rPr>
          <w:rFonts w:cstheme="minorHAnsi"/>
          <w:szCs w:val="26"/>
        </w:rPr>
        <w:t>. (Claire, M, GS)</w:t>
      </w:r>
    </w:p>
    <w:p w14:paraId="7EFC25D1" w14:textId="0B0667CB" w:rsidR="00A86140" w:rsidRPr="009E498C" w:rsidRDefault="00A86140" w:rsidP="00A86140">
      <w:pPr>
        <w:rPr>
          <w:szCs w:val="26"/>
        </w:rPr>
      </w:pPr>
      <w:r w:rsidRPr="009E498C">
        <w:rPr>
          <w:szCs w:val="26"/>
        </w:rPr>
        <w:t>A key reason for such developments was the absence of appropriate accommodation within organisations where the ageing person with intellectual disabilit</w:t>
      </w:r>
      <w:r w:rsidR="00B032E8">
        <w:rPr>
          <w:szCs w:val="26"/>
        </w:rPr>
        <w:t>ies’</w:t>
      </w:r>
      <w:r w:rsidRPr="009E498C">
        <w:rPr>
          <w:szCs w:val="26"/>
        </w:rPr>
        <w:t xml:space="preserve"> needs could be met. Whilst nurse-led approaches were described, most participants did not consider generic nursing homes to be the best setting for providing service to older people with intellectual disabilit</w:t>
      </w:r>
      <w:r w:rsidR="00C85736">
        <w:rPr>
          <w:szCs w:val="26"/>
        </w:rPr>
        <w:t>ies</w:t>
      </w:r>
      <w:r w:rsidRPr="009E498C">
        <w:rPr>
          <w:szCs w:val="26"/>
        </w:rPr>
        <w:t xml:space="preserve"> and some suggested that when this became a ‘solution’ to meeting the older person’s needs, it represented a step backwards, out of tune with the values underpinning intellectual disability service:</w:t>
      </w:r>
    </w:p>
    <w:p w14:paraId="2A43B86A" w14:textId="77777777" w:rsidR="00A86140" w:rsidRPr="009E498C" w:rsidRDefault="00A86140" w:rsidP="00A86140">
      <w:pPr>
        <w:ind w:left="720"/>
        <w:rPr>
          <w:szCs w:val="26"/>
        </w:rPr>
      </w:pPr>
      <w:r w:rsidRPr="009E498C">
        <w:rPr>
          <w:i/>
          <w:szCs w:val="26"/>
        </w:rPr>
        <w:t>…the nursing model in the nursing homes don’t…</w:t>
      </w:r>
      <w:r w:rsidRPr="009E498C">
        <w:rPr>
          <w:szCs w:val="26"/>
        </w:rPr>
        <w:t>[sic]</w:t>
      </w:r>
      <w:r w:rsidRPr="009E498C">
        <w:rPr>
          <w:i/>
          <w:szCs w:val="26"/>
        </w:rPr>
        <w:t>…accommodate for other needs that a person with intellectual disability needs.</w:t>
      </w:r>
      <w:r w:rsidRPr="009E498C">
        <w:rPr>
          <w:szCs w:val="26"/>
        </w:rPr>
        <w:t xml:space="preserve"> (Carol, M, GS)</w:t>
      </w:r>
    </w:p>
    <w:p w14:paraId="03068D28" w14:textId="77777777" w:rsidR="00A86140" w:rsidRPr="009E498C" w:rsidRDefault="00A86140" w:rsidP="00A86140">
      <w:pPr>
        <w:rPr>
          <w:rFonts w:eastAsia="Calibri" w:cs="Calibri"/>
          <w:szCs w:val="26"/>
        </w:rPr>
      </w:pPr>
      <w:r w:rsidRPr="009E498C">
        <w:rPr>
          <w:rFonts w:eastAsia="Calibri" w:cs="Calibri"/>
          <w:szCs w:val="26"/>
        </w:rPr>
        <w:t>Indeed, it was considered that this could lead to negative consequences for the older person:</w:t>
      </w:r>
    </w:p>
    <w:p w14:paraId="2D61F86C" w14:textId="77777777" w:rsidR="00A86140" w:rsidRPr="009E498C" w:rsidRDefault="00A86140" w:rsidP="00A86140">
      <w:pPr>
        <w:ind w:left="709"/>
        <w:textAlignment w:val="baseline"/>
        <w:rPr>
          <w:rFonts w:cs="Segoe UI"/>
          <w:szCs w:val="26"/>
          <w:lang w:eastAsia="en-IE"/>
        </w:rPr>
      </w:pPr>
      <w:r w:rsidRPr="009E498C">
        <w:rPr>
          <w:rFonts w:cs="Calibri"/>
          <w:i/>
          <w:szCs w:val="26"/>
          <w:lang w:eastAsia="en-IE"/>
        </w:rPr>
        <w:t>…people who were in a nursing home with…</w:t>
      </w:r>
      <w:r w:rsidRPr="009E498C">
        <w:rPr>
          <w:rFonts w:cs="Calibri"/>
          <w:szCs w:val="26"/>
          <w:lang w:eastAsia="en-IE"/>
        </w:rPr>
        <w:t>[intellectual and developmental disabilities]…</w:t>
      </w:r>
      <w:r w:rsidRPr="009E498C">
        <w:rPr>
          <w:rFonts w:cs="Calibri"/>
          <w:i/>
          <w:szCs w:val="26"/>
          <w:lang w:eastAsia="en-IE"/>
        </w:rPr>
        <w:t>have had significant adverse consequences because they have been misplaced in nursing homes when they are under sixty-five and no residential place.</w:t>
      </w:r>
      <w:r w:rsidRPr="009E498C">
        <w:rPr>
          <w:rFonts w:cs="Calibri"/>
          <w:szCs w:val="26"/>
          <w:lang w:eastAsia="en-IE"/>
        </w:rPr>
        <w:t xml:space="preserve"> (Anne, M, SS) </w:t>
      </w:r>
    </w:p>
    <w:p w14:paraId="22840641" w14:textId="1BD719A3" w:rsidR="00A86140" w:rsidRPr="009E498C" w:rsidRDefault="00A86140" w:rsidP="00A86140">
      <w:pPr>
        <w:rPr>
          <w:color w:val="000000" w:themeColor="text1"/>
        </w:rPr>
      </w:pPr>
      <w:r w:rsidRPr="4EA0BFEA">
        <w:rPr>
          <w:color w:val="000000" w:themeColor="text1"/>
        </w:rPr>
        <w:t>Nurse-led approaches prevailed in intellectual disability services for many decades but were questioned in the light of moves to community living, as the pendulum swung away from a medical model towards a social one. The health-related complexity now being seen early and late in the lives of older people with intellectual disabilit</w:t>
      </w:r>
      <w:r w:rsidR="00C85736">
        <w:rPr>
          <w:color w:val="000000" w:themeColor="text1"/>
        </w:rPr>
        <w:t>ies</w:t>
      </w:r>
      <w:r w:rsidRPr="4EA0BFEA">
        <w:rPr>
          <w:color w:val="000000" w:themeColor="text1"/>
        </w:rPr>
        <w:t xml:space="preserve"> have necessitated approaches combining health and social care. </w:t>
      </w:r>
    </w:p>
    <w:p w14:paraId="3DF0ACE0" w14:textId="77777777" w:rsidR="00A86140" w:rsidRPr="00C00CA8" w:rsidRDefault="00A86140" w:rsidP="00EA1C92">
      <w:pPr>
        <w:pStyle w:val="Heading2"/>
      </w:pPr>
      <w:bookmarkStart w:id="186" w:name="_Toc114072912"/>
      <w:bookmarkStart w:id="187" w:name="_Toc117628766"/>
      <w:bookmarkStart w:id="188" w:name="_Toc118555207"/>
      <w:bookmarkStart w:id="189" w:name="_Toc118558289"/>
      <w:bookmarkStart w:id="190" w:name="_Toc118558365"/>
      <w:bookmarkStart w:id="191" w:name="_Toc121830620"/>
      <w:r w:rsidRPr="00C00CA8">
        <w:t xml:space="preserve">Health and </w:t>
      </w:r>
      <w:r>
        <w:t>s</w:t>
      </w:r>
      <w:r w:rsidRPr="00C00CA8">
        <w:t xml:space="preserve">ocial </w:t>
      </w:r>
      <w:r>
        <w:t>c</w:t>
      </w:r>
      <w:r w:rsidRPr="00C00CA8">
        <w:t xml:space="preserve">are </w:t>
      </w:r>
      <w:r>
        <w:t>a</w:t>
      </w:r>
      <w:r w:rsidRPr="00C00CA8">
        <w:t>pproaches</w:t>
      </w:r>
      <w:bookmarkEnd w:id="186"/>
      <w:bookmarkEnd w:id="187"/>
      <w:bookmarkEnd w:id="188"/>
      <w:bookmarkEnd w:id="189"/>
      <w:bookmarkEnd w:id="190"/>
      <w:bookmarkEnd w:id="191"/>
    </w:p>
    <w:p w14:paraId="5524EF3B" w14:textId="77777777" w:rsidR="00A86140" w:rsidRPr="009E498C" w:rsidRDefault="00A86140" w:rsidP="00A86140">
      <w:pPr>
        <w:rPr>
          <w:rFonts w:eastAsia="Calibri" w:cs="Calibri"/>
          <w:color w:val="FF0000"/>
          <w:szCs w:val="26"/>
        </w:rPr>
      </w:pPr>
      <w:r w:rsidRPr="009E498C">
        <w:rPr>
          <w:rFonts w:eastAsia="Calibri" w:cs="Calibri"/>
          <w:szCs w:val="26"/>
        </w:rPr>
        <w:t xml:space="preserve">Across all the service types, the social model was most frequently reported in the survey as one used to guide services (all: 75%, n=24; SS: 81.3%, n=13; GS: 90%, n=9; OTH: 33.3%, n=2). </w:t>
      </w:r>
      <w:r w:rsidRPr="009E498C">
        <w:rPr>
          <w:szCs w:val="26"/>
        </w:rPr>
        <w:t>Some focus group participants saw nursing as a manifestation of the ‘medical model’ and, in the case of one service, they made a decision to move away from a nurse-led approach towards one grounded in social care:</w:t>
      </w:r>
    </w:p>
    <w:p w14:paraId="04FA8CD2" w14:textId="77777777" w:rsidR="00A86140" w:rsidRPr="009E498C" w:rsidRDefault="00A86140" w:rsidP="00A86140">
      <w:pPr>
        <w:ind w:left="709"/>
        <w:rPr>
          <w:szCs w:val="26"/>
        </w:rPr>
      </w:pPr>
      <w:r w:rsidRPr="009E498C">
        <w:rPr>
          <w:i/>
          <w:szCs w:val="26"/>
        </w:rPr>
        <w:t>We have tried to move away from the nursing home type scenario…while we have lots of nursing oversight, the people that are providing the hands-on care on a day-to-day basis would come from a social care model.</w:t>
      </w:r>
      <w:r w:rsidRPr="009E498C">
        <w:rPr>
          <w:szCs w:val="26"/>
        </w:rPr>
        <w:t xml:space="preserve"> (Jane, M, SS)</w:t>
      </w:r>
    </w:p>
    <w:p w14:paraId="1AF8F45C" w14:textId="77777777" w:rsidR="00A86140" w:rsidRPr="009E498C" w:rsidRDefault="00A86140" w:rsidP="00A86140">
      <w:pPr>
        <w:rPr>
          <w:szCs w:val="26"/>
        </w:rPr>
      </w:pPr>
      <w:r w:rsidRPr="009E498C">
        <w:rPr>
          <w:szCs w:val="26"/>
        </w:rPr>
        <w:t>The social care approach was seen to be well suited to community-based situations:</w:t>
      </w:r>
    </w:p>
    <w:p w14:paraId="5BC33D5E" w14:textId="77777777" w:rsidR="00A86140" w:rsidRPr="009E498C" w:rsidRDefault="00A86140" w:rsidP="00A86140">
      <w:pPr>
        <w:ind w:left="709"/>
        <w:rPr>
          <w:szCs w:val="26"/>
        </w:rPr>
      </w:pPr>
      <w:r w:rsidRPr="009E498C">
        <w:rPr>
          <w:i/>
          <w:szCs w:val="26"/>
        </w:rPr>
        <w:t>…it's mainly a social model within the community…we are trying to keep them within their homes as long as possible.</w:t>
      </w:r>
      <w:r w:rsidRPr="009E498C">
        <w:rPr>
          <w:szCs w:val="26"/>
        </w:rPr>
        <w:t xml:space="preserve"> (Carol, M, GS)</w:t>
      </w:r>
    </w:p>
    <w:p w14:paraId="6C163815" w14:textId="77777777" w:rsidR="00A86140" w:rsidRPr="009E498C" w:rsidRDefault="00A86140" w:rsidP="00A86140">
      <w:pPr>
        <w:ind w:left="709"/>
        <w:rPr>
          <w:szCs w:val="26"/>
        </w:rPr>
      </w:pPr>
      <w:r w:rsidRPr="009E498C">
        <w:rPr>
          <w:i/>
          <w:szCs w:val="26"/>
        </w:rPr>
        <w:t>…we’d have a lot of focus on our social care model with a person-centred approach and that would be regarding quality of life and how they can enhance a person’s participation in the community as much as possible.</w:t>
      </w:r>
      <w:r w:rsidRPr="009E498C">
        <w:rPr>
          <w:szCs w:val="26"/>
        </w:rPr>
        <w:t xml:space="preserve"> (Moya, M, SS)</w:t>
      </w:r>
    </w:p>
    <w:p w14:paraId="2B725DEA" w14:textId="1587F994" w:rsidR="00A86140" w:rsidRPr="009E498C" w:rsidRDefault="00A86140" w:rsidP="00A86140">
      <w:pPr>
        <w:rPr>
          <w:rFonts w:eastAsia="Calibri" w:cs="Calibri"/>
          <w:color w:val="FF0000"/>
        </w:rPr>
      </w:pPr>
      <w:r w:rsidRPr="4B19C871">
        <w:rPr>
          <w:rFonts w:eastAsia="Calibri" w:cs="Calibri"/>
        </w:rPr>
        <w:t>However, the staffing structure of social care houses and the lack of flexibility around resourcing staffing may limit the support that can be given within these settings as described by a survey respondent</w:t>
      </w:r>
      <w:r w:rsidR="429C08C4" w:rsidRPr="4B19C871">
        <w:rPr>
          <w:rFonts w:eastAsia="Calibri" w:cs="Calibri"/>
        </w:rPr>
        <w:t>:</w:t>
      </w:r>
      <w:r w:rsidRPr="4B19C871">
        <w:rPr>
          <w:rFonts w:eastAsia="Calibri" w:cs="Calibri"/>
        </w:rPr>
        <w:t xml:space="preserve"> </w:t>
      </w:r>
    </w:p>
    <w:p w14:paraId="5D899D38" w14:textId="5E6ED653" w:rsidR="00A86140" w:rsidRPr="009E498C" w:rsidRDefault="00A86140" w:rsidP="00A86140">
      <w:pPr>
        <w:ind w:left="709" w:firstLine="11"/>
        <w:rPr>
          <w:rFonts w:eastAsia="Calibri" w:cs="Calibri"/>
          <w:color w:val="000000" w:themeColor="text1"/>
          <w:szCs w:val="26"/>
        </w:rPr>
      </w:pPr>
      <w:r w:rsidRPr="009E498C">
        <w:rPr>
          <w:rFonts w:eastAsia="Calibri" w:cs="Calibri"/>
          <w:i/>
          <w:color w:val="000000" w:themeColor="text1"/>
          <w:szCs w:val="26"/>
        </w:rPr>
        <w:t>Staffing issues as most social care houses have a sleep over staff only. If a service users</w:t>
      </w:r>
      <w:r>
        <w:rPr>
          <w:rFonts w:eastAsia="Calibri" w:cs="Calibri"/>
          <w:i/>
          <w:color w:val="000000" w:themeColor="text1"/>
          <w:szCs w:val="26"/>
        </w:rPr>
        <w:t>’</w:t>
      </w:r>
      <w:r w:rsidRPr="009E498C">
        <w:rPr>
          <w:rFonts w:eastAsia="Calibri" w:cs="Calibri"/>
          <w:i/>
          <w:color w:val="000000" w:themeColor="text1"/>
          <w:szCs w:val="26"/>
        </w:rPr>
        <w:t xml:space="preserve"> needs change and require a waking </w:t>
      </w:r>
      <w:r w:rsidR="00340C23">
        <w:rPr>
          <w:rFonts w:eastAsia="Calibri" w:cs="Calibri"/>
          <w:i/>
          <w:color w:val="000000" w:themeColor="text1"/>
          <w:szCs w:val="26"/>
        </w:rPr>
        <w:t>n</w:t>
      </w:r>
      <w:r w:rsidRPr="009E498C">
        <w:rPr>
          <w:rFonts w:eastAsia="Calibri" w:cs="Calibri"/>
          <w:i/>
          <w:color w:val="000000" w:themeColor="text1"/>
          <w:szCs w:val="26"/>
        </w:rPr>
        <w:t xml:space="preserve">ight staff due to financial constraints a move of unit/house is </w:t>
      </w:r>
      <w:r w:rsidRPr="009E498C">
        <w:rPr>
          <w:color w:val="000000" w:themeColor="text1"/>
          <w:szCs w:val="26"/>
        </w:rPr>
        <w:tab/>
      </w:r>
      <w:r w:rsidRPr="009E498C">
        <w:rPr>
          <w:rFonts w:eastAsia="Calibri" w:cs="Calibri"/>
          <w:i/>
          <w:color w:val="000000" w:themeColor="text1"/>
          <w:szCs w:val="26"/>
        </w:rPr>
        <w:t xml:space="preserve">proposed. </w:t>
      </w:r>
      <w:r w:rsidRPr="009E498C">
        <w:rPr>
          <w:rFonts w:eastAsia="Calibri" w:cs="Calibri"/>
          <w:color w:val="000000" w:themeColor="text1"/>
          <w:szCs w:val="26"/>
        </w:rPr>
        <w:t>(S)</w:t>
      </w:r>
    </w:p>
    <w:p w14:paraId="03614490" w14:textId="77777777" w:rsidR="00A86140" w:rsidRPr="009E498C" w:rsidRDefault="00A86140" w:rsidP="00A86140">
      <w:pPr>
        <w:rPr>
          <w:rFonts w:eastAsia="Daytona"/>
          <w:szCs w:val="26"/>
        </w:rPr>
      </w:pPr>
      <w:r w:rsidRPr="009E498C">
        <w:rPr>
          <w:rFonts w:eastAsia="Calibri" w:cs="Calibri"/>
          <w:szCs w:val="26"/>
        </w:rPr>
        <w:t>In an appropriate environmental setting, some social care staff were confidently supporting service users with a myriad of complex conditions to ensure that service users could live in their homes for as long as possible.</w:t>
      </w:r>
      <w:r w:rsidRPr="009E498C">
        <w:rPr>
          <w:rFonts w:eastAsia="Daytona"/>
          <w:szCs w:val="26"/>
        </w:rPr>
        <w:t xml:space="preserve"> Many social care staff have become increasingly skilled and confident in dealing with significant health conditions:</w:t>
      </w:r>
    </w:p>
    <w:p w14:paraId="45900C46" w14:textId="20322F5C" w:rsidR="00A86140" w:rsidRPr="009E498C" w:rsidRDefault="00A86140" w:rsidP="6353D33D">
      <w:pPr>
        <w:ind w:left="720"/>
        <w:rPr>
          <w:rFonts w:eastAsia="Daytona"/>
        </w:rPr>
      </w:pPr>
      <w:r w:rsidRPr="6353D33D">
        <w:rPr>
          <w:rFonts w:eastAsia="Daytona"/>
          <w:i/>
          <w:iCs/>
        </w:rPr>
        <w:t>Yes, it's social care, we’ve learnt an awful lot about medical conditions though, very much so. We’ve had to become kind of quite comfortable with quite serious medical conditions in terms of particularly uncontrolled diabetes, and medical conditions that come along with ag</w:t>
      </w:r>
      <w:r w:rsidR="01B691BF" w:rsidRPr="6353D33D">
        <w:rPr>
          <w:rFonts w:eastAsia="Daytona"/>
          <w:i/>
          <w:iCs/>
        </w:rPr>
        <w:t>e</w:t>
      </w:r>
      <w:r w:rsidRPr="6353D33D">
        <w:rPr>
          <w:rFonts w:eastAsia="Daytona"/>
          <w:i/>
          <w:iCs/>
        </w:rPr>
        <w:t xml:space="preserve">ing. </w:t>
      </w:r>
      <w:r w:rsidRPr="6353D33D">
        <w:rPr>
          <w:rFonts w:eastAsia="Daytona"/>
        </w:rPr>
        <w:t>(Hannah, D, GS)</w:t>
      </w:r>
    </w:p>
    <w:p w14:paraId="4233A99A" w14:textId="77777777" w:rsidR="00A86140" w:rsidRPr="009E498C" w:rsidRDefault="00A86140" w:rsidP="00A86140">
      <w:pPr>
        <w:rPr>
          <w:szCs w:val="26"/>
        </w:rPr>
      </w:pPr>
      <w:r w:rsidRPr="009E498C">
        <w:rPr>
          <w:rFonts w:eastAsiaTheme="minorEastAsia"/>
          <w:szCs w:val="26"/>
        </w:rPr>
        <w:t xml:space="preserve">However, </w:t>
      </w:r>
      <w:r w:rsidRPr="009E498C">
        <w:rPr>
          <w:szCs w:val="26"/>
        </w:rPr>
        <w:t xml:space="preserve">other services brought together a variety of components to create eclectic approach to care. It was acknowledged that nursing remained involved in some settings, </w:t>
      </w:r>
      <w:r w:rsidRPr="009E498C">
        <w:rPr>
          <w:i/>
          <w:szCs w:val="26"/>
        </w:rPr>
        <w:t>working collaboratively</w:t>
      </w:r>
      <w:r w:rsidRPr="009E498C">
        <w:rPr>
          <w:szCs w:val="26"/>
        </w:rPr>
        <w:t xml:space="preserve"> (Moya, M, SS), something which was common across a number of the services represented at the focus groups. Bringing together health and social care was not always easy though:</w:t>
      </w:r>
    </w:p>
    <w:p w14:paraId="52FE606C" w14:textId="77777777" w:rsidR="00A86140" w:rsidRPr="009E498C" w:rsidRDefault="00A86140" w:rsidP="00A86140">
      <w:pPr>
        <w:ind w:left="709"/>
        <w:rPr>
          <w:szCs w:val="26"/>
        </w:rPr>
      </w:pPr>
      <w:r w:rsidRPr="009E498C">
        <w:rPr>
          <w:i/>
          <w:szCs w:val="26"/>
        </w:rPr>
        <w:t>But because people’s needs are changing, we are trying to merge both medical and social and that is causing a lot of difficulties.</w:t>
      </w:r>
      <w:r w:rsidRPr="009E498C">
        <w:rPr>
          <w:szCs w:val="26"/>
        </w:rPr>
        <w:t xml:space="preserve"> (Carol, M, GS)</w:t>
      </w:r>
    </w:p>
    <w:p w14:paraId="03C5E328" w14:textId="77777777" w:rsidR="00A86140" w:rsidRPr="009E498C" w:rsidRDefault="00A86140" w:rsidP="00A86140">
      <w:pPr>
        <w:rPr>
          <w:szCs w:val="26"/>
        </w:rPr>
      </w:pPr>
      <w:r w:rsidRPr="009E498C">
        <w:rPr>
          <w:szCs w:val="26"/>
        </w:rPr>
        <w:t>This appears to be linked to the fluidity of the older person’s needs and the requirements for service to be able to respond in an agile manner. It may also relate to the lingering perception that the medical and social models are irreconcilable and cannot exist together. Caring for people with complex needs shows that this is not necessarily the case:</w:t>
      </w:r>
    </w:p>
    <w:p w14:paraId="59A839CA" w14:textId="77777777" w:rsidR="00A86140" w:rsidRPr="009E498C" w:rsidRDefault="00A86140" w:rsidP="00A86140">
      <w:pPr>
        <w:ind w:left="709"/>
        <w:rPr>
          <w:szCs w:val="26"/>
        </w:rPr>
      </w:pPr>
      <w:r w:rsidRPr="009E498C">
        <w:rPr>
          <w:i/>
          <w:szCs w:val="26"/>
        </w:rPr>
        <w:t>Where we are very much a social model but as people age, I suppose there’s a huge recognition the need for that nursing model of supports.</w:t>
      </w:r>
      <w:r w:rsidRPr="009E498C">
        <w:rPr>
          <w:szCs w:val="26"/>
        </w:rPr>
        <w:t xml:space="preserve"> (Claire, M, GS)</w:t>
      </w:r>
    </w:p>
    <w:p w14:paraId="25BDE66E" w14:textId="77777777" w:rsidR="00A86140" w:rsidRPr="009E498C" w:rsidRDefault="00A86140" w:rsidP="00A86140">
      <w:pPr>
        <w:ind w:left="709"/>
        <w:rPr>
          <w:szCs w:val="26"/>
        </w:rPr>
      </w:pPr>
      <w:r w:rsidRPr="009E498C">
        <w:rPr>
          <w:rFonts w:eastAsia="Daytona"/>
          <w:i/>
          <w:color w:val="000000" w:themeColor="text1"/>
          <w:szCs w:val="26"/>
        </w:rPr>
        <w:t xml:space="preserve">Some of the more complex areas where people have additional needs, a lot of medical needs and are quite vulnerable, there would be social care, care staff and nursing RNIDs. </w:t>
      </w:r>
      <w:r w:rsidRPr="009E498C">
        <w:rPr>
          <w:rFonts w:eastAsia="Daytona"/>
          <w:color w:val="000000" w:themeColor="text1"/>
          <w:szCs w:val="26"/>
        </w:rPr>
        <w:t>(Geraldine, D, SS)</w:t>
      </w:r>
    </w:p>
    <w:p w14:paraId="013DE0F5" w14:textId="77777777" w:rsidR="00A86140" w:rsidRPr="009E498C" w:rsidRDefault="00A86140" w:rsidP="00A86140">
      <w:pPr>
        <w:ind w:left="709"/>
        <w:rPr>
          <w:szCs w:val="26"/>
        </w:rPr>
      </w:pPr>
      <w:r w:rsidRPr="009E498C">
        <w:rPr>
          <w:i/>
          <w:szCs w:val="26"/>
        </w:rPr>
        <w:t>…we’re a social care model so when it comes to the medical, a lot of residents would have moved on to a nursing home, would have been supported with the MDT, with family, myself and the day service, we’d work together.</w:t>
      </w:r>
      <w:r w:rsidRPr="009E498C">
        <w:rPr>
          <w:szCs w:val="26"/>
        </w:rPr>
        <w:t xml:space="preserve"> (Kate, M, GS)</w:t>
      </w:r>
    </w:p>
    <w:p w14:paraId="3DEBC60F" w14:textId="77777777" w:rsidR="00A86140" w:rsidRPr="009E498C" w:rsidRDefault="00A86140" w:rsidP="00A86140">
      <w:pPr>
        <w:rPr>
          <w:szCs w:val="26"/>
        </w:rPr>
      </w:pPr>
      <w:r w:rsidRPr="009E498C">
        <w:rPr>
          <w:szCs w:val="26"/>
        </w:rPr>
        <w:t>This was particularly relevant in the case of conditions such as dementia, the prevalence of which is significant in the ageing intellectual disability population, and especially in those with Down syndrome. Indeed, Alzheimer’s dementia was noted by many of the participants:</w:t>
      </w:r>
    </w:p>
    <w:p w14:paraId="191A09FD" w14:textId="77777777" w:rsidR="00A86140" w:rsidRPr="009E498C" w:rsidRDefault="00A86140" w:rsidP="00A86140">
      <w:pPr>
        <w:ind w:left="709"/>
        <w:rPr>
          <w:szCs w:val="26"/>
        </w:rPr>
      </w:pPr>
      <w:r w:rsidRPr="009E498C">
        <w:rPr>
          <w:i/>
          <w:szCs w:val="26"/>
        </w:rPr>
        <w:t>…the model of care is living well, as people age and that is the key thing that we’re trying to come out…living well through the continuum of dementia was hugely important. Making sure that people had all the supports in place to ensure that they have everything that they need to live well, particularly with dementia.</w:t>
      </w:r>
      <w:r w:rsidRPr="009E498C">
        <w:rPr>
          <w:szCs w:val="26"/>
        </w:rPr>
        <w:t xml:space="preserve"> (Sarah, M, SS)</w:t>
      </w:r>
    </w:p>
    <w:p w14:paraId="16FDFA5E" w14:textId="77777777" w:rsidR="00A86140" w:rsidRPr="009E498C" w:rsidRDefault="00A86140" w:rsidP="00A86140">
      <w:pPr>
        <w:ind w:left="709"/>
        <w:rPr>
          <w:szCs w:val="26"/>
        </w:rPr>
      </w:pPr>
      <w:r w:rsidRPr="009E498C">
        <w:rPr>
          <w:i/>
          <w:szCs w:val="26"/>
        </w:rPr>
        <w:t>…we have set up two high support homes and we are supporting people as they age with complex needs…we have a high incidence of dementia</w:t>
      </w:r>
      <w:r>
        <w:rPr>
          <w:i/>
          <w:szCs w:val="26"/>
        </w:rPr>
        <w:t>,</w:t>
      </w:r>
      <w:r w:rsidRPr="009E498C">
        <w:rPr>
          <w:i/>
          <w:szCs w:val="26"/>
        </w:rPr>
        <w:t xml:space="preserve"> so they are supported now to remain in their homes surrounded by their friends and their family. We’ve had to change our model of care from the social model to the biopsychosocial model and that has proven very positive…</w:t>
      </w:r>
      <w:r w:rsidRPr="009E498C">
        <w:rPr>
          <w:szCs w:val="26"/>
        </w:rPr>
        <w:t xml:space="preserve"> (Emily, M, GS)</w:t>
      </w:r>
    </w:p>
    <w:p w14:paraId="287A9841" w14:textId="7FA73247" w:rsidR="00A86140" w:rsidRPr="009E498C" w:rsidRDefault="00A86140" w:rsidP="00A86140">
      <w:pPr>
        <w:rPr>
          <w:szCs w:val="26"/>
        </w:rPr>
      </w:pPr>
      <w:r w:rsidRPr="009E498C">
        <w:rPr>
          <w:szCs w:val="26"/>
        </w:rPr>
        <w:t xml:space="preserve">Despite the conceptualisation of services being categorizable under ‘ageing specific’ and </w:t>
      </w:r>
      <w:r w:rsidR="005B4074">
        <w:rPr>
          <w:szCs w:val="26"/>
        </w:rPr>
        <w:t>‘</w:t>
      </w:r>
      <w:r w:rsidRPr="009E498C">
        <w:rPr>
          <w:szCs w:val="26"/>
        </w:rPr>
        <w:t>ageing non-specific’ labels, it was very apparent that most organisations actually met the needs of their ageing service users in a variety of settings: generic areas without a specific focus on age; homes in the community; campus settings; and specialist areas centred on service older people:</w:t>
      </w:r>
    </w:p>
    <w:p w14:paraId="022FC09F" w14:textId="77777777" w:rsidR="00A86140" w:rsidRPr="009E498C" w:rsidRDefault="00A86140" w:rsidP="00A86140">
      <w:pPr>
        <w:ind w:left="709"/>
        <w:rPr>
          <w:szCs w:val="26"/>
        </w:rPr>
      </w:pPr>
      <w:r w:rsidRPr="009E498C">
        <w:rPr>
          <w:i/>
          <w:szCs w:val="26"/>
        </w:rPr>
        <w:t>On campus we have…people living here and they’re all in big bungalows...</w:t>
      </w:r>
      <w:r w:rsidRPr="009E498C">
        <w:rPr>
          <w:szCs w:val="26"/>
        </w:rPr>
        <w:t>[and]…</w:t>
      </w:r>
      <w:r w:rsidRPr="009E498C">
        <w:rPr>
          <w:i/>
          <w:szCs w:val="26"/>
        </w:rPr>
        <w:t xml:space="preserve">two community settings with small bungalows in two different locations…out in the community... </w:t>
      </w:r>
      <w:r w:rsidRPr="009E498C">
        <w:rPr>
          <w:szCs w:val="26"/>
        </w:rPr>
        <w:t>(Moya, M, SS)</w:t>
      </w:r>
    </w:p>
    <w:p w14:paraId="7CFD406A" w14:textId="77777777" w:rsidR="00A86140" w:rsidRPr="009E498C" w:rsidRDefault="00A86140" w:rsidP="00A86140">
      <w:pPr>
        <w:rPr>
          <w:szCs w:val="26"/>
        </w:rPr>
      </w:pPr>
      <w:r w:rsidRPr="009E498C">
        <w:rPr>
          <w:szCs w:val="26"/>
        </w:rPr>
        <w:t>This was due to the fact that, despite a desire to meet the older person’s wishes to…</w:t>
      </w:r>
    </w:p>
    <w:p w14:paraId="1A9D2C9B" w14:textId="77777777" w:rsidR="00A86140" w:rsidRPr="009E498C" w:rsidRDefault="00A86140" w:rsidP="00A86140">
      <w:pPr>
        <w:ind w:left="709"/>
        <w:rPr>
          <w:szCs w:val="26"/>
        </w:rPr>
      </w:pPr>
      <w:r w:rsidRPr="009E498C">
        <w:rPr>
          <w:i/>
          <w:szCs w:val="26"/>
        </w:rPr>
        <w:t>…remain in their home surrounded by the people that knows them best and surrounded by their friends…</w:t>
      </w:r>
      <w:r w:rsidRPr="009E498C">
        <w:rPr>
          <w:szCs w:val="26"/>
        </w:rPr>
        <w:t xml:space="preserve"> (Emily, M, GS)</w:t>
      </w:r>
    </w:p>
    <w:p w14:paraId="1AC4F7B9" w14:textId="77777777" w:rsidR="00A86140" w:rsidRPr="009E498C" w:rsidRDefault="00A86140" w:rsidP="00A86140">
      <w:pPr>
        <w:rPr>
          <w:szCs w:val="26"/>
        </w:rPr>
      </w:pPr>
      <w:r w:rsidRPr="009E498C">
        <w:rPr>
          <w:szCs w:val="26"/>
        </w:rPr>
        <w:t>…this was not always possible due to lack of resources, particularly financial, and so the realisation of an approach to care that could be responsive to the needs of the individual older person was often not achieved. These and other challenges will be considered later in this chapter.</w:t>
      </w:r>
    </w:p>
    <w:p w14:paraId="11603DA4" w14:textId="77777777" w:rsidR="00A86140" w:rsidRPr="00CF194F" w:rsidRDefault="00A86140" w:rsidP="00CF194F">
      <w:pPr>
        <w:pStyle w:val="Heading2"/>
      </w:pPr>
      <w:bookmarkStart w:id="192" w:name="_Toc114072914"/>
      <w:bookmarkStart w:id="193" w:name="_Toc117628767"/>
      <w:bookmarkStart w:id="194" w:name="_Toc118558290"/>
      <w:bookmarkStart w:id="195" w:name="_Toc121830621"/>
      <w:r w:rsidRPr="00CF194F">
        <w:t xml:space="preserve">Flexibility across </w:t>
      </w:r>
      <w:bookmarkEnd w:id="192"/>
      <w:r w:rsidRPr="00CF194F">
        <w:t>service approaches</w:t>
      </w:r>
      <w:bookmarkEnd w:id="193"/>
      <w:bookmarkEnd w:id="194"/>
      <w:bookmarkEnd w:id="195"/>
    </w:p>
    <w:p w14:paraId="3429705B" w14:textId="77777777" w:rsidR="00A86140" w:rsidRPr="009E498C" w:rsidRDefault="00A86140" w:rsidP="00A86140">
      <w:pPr>
        <w:rPr>
          <w:szCs w:val="26"/>
        </w:rPr>
      </w:pPr>
      <w:r w:rsidRPr="009E498C">
        <w:rPr>
          <w:szCs w:val="26"/>
        </w:rPr>
        <w:t>The challenge of providing an agile service approach was discussed in the focus groups in terms of how movement across approaches of care might be facilitated. This might involve transitioning from an intellectual disability service to a generic older person setting or an acute setting.</w:t>
      </w:r>
    </w:p>
    <w:p w14:paraId="34C81A3E" w14:textId="77777777" w:rsidR="00A86140" w:rsidRPr="009E498C" w:rsidRDefault="00A86140" w:rsidP="00A86140">
      <w:pPr>
        <w:rPr>
          <w:rFonts w:cstheme="minorHAnsi"/>
          <w:szCs w:val="26"/>
        </w:rPr>
      </w:pPr>
      <w:r w:rsidRPr="009E498C">
        <w:rPr>
          <w:rFonts w:cstheme="minorHAnsi"/>
          <w:szCs w:val="26"/>
        </w:rPr>
        <w:t>Transitions happened for a number of reasons, but the primary one was that of changing needs. Where a person is supported to live in a social care setting, there may be no nurses available, and this might result in the older person having to move to a nursing home:</w:t>
      </w:r>
    </w:p>
    <w:p w14:paraId="7BA3856D" w14:textId="77777777" w:rsidR="00A86140" w:rsidRPr="009E498C" w:rsidRDefault="00A86140" w:rsidP="00A86140">
      <w:pPr>
        <w:ind w:left="709"/>
        <w:rPr>
          <w:rFonts w:cstheme="minorHAnsi"/>
          <w:szCs w:val="26"/>
        </w:rPr>
      </w:pPr>
      <w:r w:rsidRPr="009E498C">
        <w:rPr>
          <w:rFonts w:cstheme="minorHAnsi"/>
          <w:i/>
          <w:szCs w:val="26"/>
        </w:rPr>
        <w:t>…we don’t have nurses so when it comes to their medical needs, if it’s something that we can’t provide then the transition is looked at with nursing homes…</w:t>
      </w:r>
      <w:r w:rsidRPr="009E498C">
        <w:rPr>
          <w:rFonts w:cstheme="minorHAnsi"/>
          <w:szCs w:val="26"/>
        </w:rPr>
        <w:t xml:space="preserve"> (Kate, M, GS)</w:t>
      </w:r>
    </w:p>
    <w:p w14:paraId="4B429CAF" w14:textId="77777777" w:rsidR="00A86140" w:rsidRPr="009E498C" w:rsidRDefault="00A86140" w:rsidP="00A86140">
      <w:pPr>
        <w:ind w:left="709"/>
        <w:rPr>
          <w:rFonts w:cstheme="minorHAnsi"/>
          <w:szCs w:val="26"/>
        </w:rPr>
      </w:pPr>
      <w:r w:rsidRPr="009E498C">
        <w:rPr>
          <w:rFonts w:cstheme="minorHAnsi"/>
          <w:i/>
          <w:szCs w:val="26"/>
        </w:rPr>
        <w:t>…</w:t>
      </w:r>
      <w:r w:rsidRPr="009E498C">
        <w:rPr>
          <w:rFonts w:eastAsia="Daytona"/>
          <w:i/>
          <w:color w:val="000000" w:themeColor="text1"/>
          <w:szCs w:val="26"/>
          <w:lang w:val="en-GB"/>
        </w:rPr>
        <w:t>once you start looking at severe mobility issues or hoisting and things like that, that would be transition to nursing home.</w:t>
      </w:r>
      <w:r w:rsidRPr="009E498C">
        <w:rPr>
          <w:rFonts w:eastAsia="Daytona"/>
          <w:color w:val="000000" w:themeColor="text1"/>
          <w:szCs w:val="26"/>
          <w:lang w:val="en-GB"/>
        </w:rPr>
        <w:t xml:space="preserve"> </w:t>
      </w:r>
      <w:r w:rsidRPr="009E498C">
        <w:rPr>
          <w:rFonts w:eastAsia="Daytona"/>
          <w:color w:val="000000" w:themeColor="text1"/>
          <w:szCs w:val="26"/>
        </w:rPr>
        <w:t>(Hannah, D, GS)</w:t>
      </w:r>
    </w:p>
    <w:p w14:paraId="5581C99A" w14:textId="77777777" w:rsidR="00A86140" w:rsidRPr="009E498C" w:rsidRDefault="00A86140" w:rsidP="00A86140">
      <w:pPr>
        <w:rPr>
          <w:rFonts w:cstheme="minorHAnsi"/>
          <w:szCs w:val="26"/>
        </w:rPr>
      </w:pPr>
      <w:r w:rsidRPr="009E498C">
        <w:rPr>
          <w:rFonts w:cstheme="minorHAnsi"/>
          <w:szCs w:val="26"/>
        </w:rPr>
        <w:t>Others addressed this by changing the skill mix of staff:</w:t>
      </w:r>
    </w:p>
    <w:p w14:paraId="6F200597" w14:textId="77777777" w:rsidR="00A86140" w:rsidRPr="009E498C" w:rsidRDefault="00A86140" w:rsidP="00A86140">
      <w:pPr>
        <w:ind w:left="709"/>
        <w:rPr>
          <w:szCs w:val="26"/>
        </w:rPr>
      </w:pPr>
      <w:r w:rsidRPr="009E498C">
        <w:rPr>
          <w:i/>
          <w:szCs w:val="26"/>
        </w:rPr>
        <w:t>We were a social model…we are introducing nurses into it because people have had expressed the wish to remain in their homes…we now have the biopsychosocial model where we have nursing involved.</w:t>
      </w:r>
      <w:r w:rsidRPr="009E498C">
        <w:rPr>
          <w:szCs w:val="26"/>
        </w:rPr>
        <w:t xml:space="preserve"> (Emily, M, GS)</w:t>
      </w:r>
    </w:p>
    <w:p w14:paraId="3A835A3B" w14:textId="77777777" w:rsidR="00A86140" w:rsidRPr="009E498C" w:rsidRDefault="00A86140" w:rsidP="00A86140">
      <w:pPr>
        <w:rPr>
          <w:szCs w:val="26"/>
        </w:rPr>
      </w:pPr>
      <w:r w:rsidRPr="009E498C">
        <w:rPr>
          <w:szCs w:val="26"/>
        </w:rPr>
        <w:t>When internal transfers were required, assessment, planning and collaboration between parts of the intellectual disability service itself were considered vital, particularly between staff and the multi-disciplinary team:</w:t>
      </w:r>
    </w:p>
    <w:p w14:paraId="5C296452" w14:textId="77777777" w:rsidR="00A86140" w:rsidRPr="009E498C" w:rsidRDefault="00A86140" w:rsidP="00A86140">
      <w:pPr>
        <w:ind w:left="709"/>
        <w:rPr>
          <w:szCs w:val="26"/>
        </w:rPr>
      </w:pPr>
      <w:r w:rsidRPr="009E498C">
        <w:rPr>
          <w:i/>
          <w:szCs w:val="26"/>
        </w:rPr>
        <w:t>We would have had a transition for a nursing home for one gentleman. And there was a lot of work done between like the day staff…he was supported with staff if needed. But then again as we are a social care model, it was the medical model that was needed. The transition worked very well.</w:t>
      </w:r>
      <w:r w:rsidRPr="009E498C">
        <w:rPr>
          <w:szCs w:val="26"/>
        </w:rPr>
        <w:t xml:space="preserve"> (Kate, M, GS)</w:t>
      </w:r>
    </w:p>
    <w:p w14:paraId="3AFA844B" w14:textId="77777777" w:rsidR="00A86140" w:rsidRPr="009E498C" w:rsidRDefault="00A86140" w:rsidP="00A86140">
      <w:pPr>
        <w:rPr>
          <w:szCs w:val="26"/>
        </w:rPr>
      </w:pPr>
      <w:r w:rsidRPr="009E498C">
        <w:rPr>
          <w:szCs w:val="26"/>
        </w:rPr>
        <w:t>Flexibility within the intellectual disability services, however, has certain limits and in some instances</w:t>
      </w:r>
      <w:r>
        <w:rPr>
          <w:szCs w:val="26"/>
        </w:rPr>
        <w:t>,</w:t>
      </w:r>
      <w:r w:rsidRPr="009E498C">
        <w:rPr>
          <w:szCs w:val="26"/>
        </w:rPr>
        <w:t xml:space="preserve"> this led to older people no longer being able to receive support there. Despite the widely stated opinion amongst service staff and family members that moving an older person to a nursing home was not a desirable outcome of care, it did happen, and staff tried to make this as positive an experience as possible. It was suggested that consultation with the nursing home was key to the success of this move. One participant spoke of transitioning older people to community nursing homes noting that it required…</w:t>
      </w:r>
    </w:p>
    <w:p w14:paraId="37B1F74E" w14:textId="77777777" w:rsidR="00A86140" w:rsidRPr="009E498C" w:rsidRDefault="00A86140" w:rsidP="00A86140">
      <w:pPr>
        <w:ind w:left="709"/>
        <w:rPr>
          <w:szCs w:val="26"/>
        </w:rPr>
      </w:pPr>
      <w:r w:rsidRPr="009E498C">
        <w:rPr>
          <w:szCs w:val="26"/>
        </w:rPr>
        <w:t>…</w:t>
      </w:r>
      <w:r w:rsidRPr="009E498C">
        <w:rPr>
          <w:i/>
          <w:szCs w:val="26"/>
        </w:rPr>
        <w:t>a lot of transitioning planning, introducing the individuals to the nursing homes</w:t>
      </w:r>
      <w:r w:rsidRPr="009E498C">
        <w:rPr>
          <w:szCs w:val="26"/>
        </w:rPr>
        <w:t>…[involving]…</w:t>
      </w:r>
      <w:r w:rsidRPr="009E498C">
        <w:rPr>
          <w:i/>
          <w:szCs w:val="26"/>
        </w:rPr>
        <w:t>the nursing home staff</w:t>
      </w:r>
      <w:r w:rsidRPr="009E498C">
        <w:rPr>
          <w:szCs w:val="26"/>
        </w:rPr>
        <w:t>. (Katrin, M, GS)</w:t>
      </w:r>
    </w:p>
    <w:p w14:paraId="41693ECE" w14:textId="77777777" w:rsidR="00A86140" w:rsidRPr="009E498C" w:rsidRDefault="00A86140" w:rsidP="00A86140">
      <w:pPr>
        <w:rPr>
          <w:rFonts w:cstheme="minorHAnsi"/>
          <w:szCs w:val="26"/>
        </w:rPr>
      </w:pPr>
      <w:r w:rsidRPr="009E498C">
        <w:rPr>
          <w:rFonts w:cstheme="minorHAnsi"/>
          <w:szCs w:val="26"/>
        </w:rPr>
        <w:t xml:space="preserve">It appears, therefore, that decisions related to transitions and to responding to changing individual needs require a level of agility and flexibility in the service approach that calls for significant resources. These two aspects of service provision will be addressed anon. </w:t>
      </w:r>
    </w:p>
    <w:p w14:paraId="7D9B4C02" w14:textId="77777777" w:rsidR="00A86140" w:rsidRPr="00C00CA8" w:rsidRDefault="00A86140" w:rsidP="00CF194F">
      <w:pPr>
        <w:pStyle w:val="Heading2"/>
      </w:pPr>
      <w:bookmarkStart w:id="196" w:name="_Toc117628768"/>
      <w:bookmarkStart w:id="197" w:name="_Toc118558291"/>
      <w:bookmarkStart w:id="198" w:name="_Toc121830622"/>
      <w:r w:rsidRPr="00C00CA8">
        <w:t xml:space="preserve">Key </w:t>
      </w:r>
      <w:r>
        <w:t>p</w:t>
      </w:r>
      <w:r w:rsidRPr="00C00CA8">
        <w:t xml:space="preserve">rinciples of </w:t>
      </w:r>
      <w:r>
        <w:t>s</w:t>
      </w:r>
      <w:r w:rsidRPr="00C00CA8">
        <w:t xml:space="preserve">ervice </w:t>
      </w:r>
      <w:r>
        <w:t>p</w:t>
      </w:r>
      <w:r w:rsidRPr="00C00CA8">
        <w:t>rovision</w:t>
      </w:r>
      <w:bookmarkEnd w:id="196"/>
      <w:bookmarkEnd w:id="197"/>
      <w:bookmarkEnd w:id="198"/>
    </w:p>
    <w:p w14:paraId="49BFED80" w14:textId="4EDCA273" w:rsidR="00A86140" w:rsidRPr="009E498C" w:rsidRDefault="23146D49" w:rsidP="68A51868">
      <w:pPr>
        <w:rPr>
          <w:rFonts w:eastAsiaTheme="minorEastAsia"/>
        </w:rPr>
      </w:pPr>
      <w:r w:rsidRPr="68A51868">
        <w:rPr>
          <w:rFonts w:eastAsiaTheme="minorEastAsia"/>
        </w:rPr>
        <w:t xml:space="preserve">Throughout the focus groups, interviews and </w:t>
      </w:r>
      <w:r w:rsidR="4C507D4A" w:rsidRPr="68A51868">
        <w:rPr>
          <w:rFonts w:eastAsiaTheme="minorEastAsia"/>
        </w:rPr>
        <w:t xml:space="preserve">main </w:t>
      </w:r>
      <w:r w:rsidRPr="68A51868">
        <w:rPr>
          <w:rFonts w:eastAsiaTheme="minorEastAsia"/>
        </w:rPr>
        <w:t>survey, perspectives were obtained on the aspects of components of service</w:t>
      </w:r>
      <w:r w:rsidR="4983FD52" w:rsidRPr="68A51868">
        <w:rPr>
          <w:rFonts w:eastAsiaTheme="minorEastAsia"/>
        </w:rPr>
        <w:t>s</w:t>
      </w:r>
      <w:r w:rsidRPr="68A51868">
        <w:rPr>
          <w:rFonts w:eastAsiaTheme="minorEastAsia"/>
        </w:rPr>
        <w:t xml:space="preserve"> that participants considered integral to providing service</w:t>
      </w:r>
      <w:r w:rsidR="78CE15D5" w:rsidRPr="68A51868">
        <w:rPr>
          <w:rFonts w:eastAsiaTheme="minorEastAsia"/>
        </w:rPr>
        <w:t>s</w:t>
      </w:r>
      <w:r w:rsidRPr="68A51868">
        <w:rPr>
          <w:rFonts w:eastAsiaTheme="minorEastAsia"/>
        </w:rPr>
        <w:t xml:space="preserve"> to older people with intellectual disabilities. </w:t>
      </w:r>
      <w:r w:rsidR="44E3AA57" w:rsidRPr="68A51868">
        <w:rPr>
          <w:rFonts w:eastAsiaTheme="minorEastAsia"/>
        </w:rPr>
        <w:t xml:space="preserve">In the survey, participants were asked to rank key aspects </w:t>
      </w:r>
      <w:r w:rsidR="62821FF5" w:rsidRPr="68A51868">
        <w:rPr>
          <w:rFonts w:eastAsiaTheme="minorEastAsia"/>
        </w:rPr>
        <w:t xml:space="preserve">and it </w:t>
      </w:r>
      <w:r w:rsidRPr="68A51868">
        <w:rPr>
          <w:rFonts w:eastAsiaTheme="minorEastAsia"/>
        </w:rPr>
        <w:t>is notable that there was no difference in responses and views across nominally specialist and non-specialist services</w:t>
      </w:r>
      <w:r w:rsidR="64C092D4" w:rsidRPr="68A51868">
        <w:rPr>
          <w:rFonts w:eastAsiaTheme="minorEastAsia"/>
        </w:rPr>
        <w:t xml:space="preserve">. </w:t>
      </w:r>
      <w:r w:rsidR="1984B7FD" w:rsidRPr="68A51868">
        <w:rPr>
          <w:rFonts w:eastAsiaTheme="minorEastAsia"/>
        </w:rPr>
        <w:t>A</w:t>
      </w:r>
      <w:r w:rsidRPr="68A51868">
        <w:rPr>
          <w:rFonts w:eastAsiaTheme="minorEastAsia"/>
        </w:rPr>
        <w:t>ll ranked person-centred support, ageing in place</w:t>
      </w:r>
      <w:r w:rsidR="4250D906" w:rsidRPr="68A51868">
        <w:rPr>
          <w:rFonts w:eastAsiaTheme="minorEastAsia"/>
        </w:rPr>
        <w:t>,</w:t>
      </w:r>
      <w:r w:rsidRPr="68A51868">
        <w:rPr>
          <w:rFonts w:eastAsiaTheme="minorEastAsia"/>
        </w:rPr>
        <w:t xml:space="preserve"> responsivity to the person’s needs and proactive future planning highly. Less highly ranked components were having skilled staff, effective links to generic and specialist health services and family involvement. </w:t>
      </w:r>
      <w:r w:rsidR="40BC1ED3" w:rsidRPr="68A51868">
        <w:rPr>
          <w:rFonts w:eastAsiaTheme="minorEastAsia"/>
        </w:rPr>
        <w:t>It is notable that v</w:t>
      </w:r>
      <w:r w:rsidRPr="68A51868">
        <w:rPr>
          <w:rFonts w:eastAsiaTheme="minorEastAsia"/>
        </w:rPr>
        <w:t>ery few ranked the physical environment at all</w:t>
      </w:r>
      <w:r w:rsidR="2B1572EE" w:rsidRPr="68A51868">
        <w:rPr>
          <w:rFonts w:eastAsiaTheme="minorEastAsia"/>
        </w:rPr>
        <w:t xml:space="preserve"> an interesting point</w:t>
      </w:r>
      <w:r w:rsidRPr="68A51868">
        <w:rPr>
          <w:rFonts w:eastAsiaTheme="minorEastAsia"/>
        </w:rPr>
        <w:t xml:space="preserve"> as many focus group and interview participants considered this to be an important factor in meeting service needs.</w:t>
      </w:r>
    </w:p>
    <w:p w14:paraId="63071C3E" w14:textId="77777777" w:rsidR="00A86140" w:rsidRPr="0008323B" w:rsidRDefault="00A86140" w:rsidP="11C55A92">
      <w:pPr>
        <w:pStyle w:val="Heading4"/>
        <w:rPr>
          <w:rFonts w:eastAsia="Calibri"/>
          <w:color w:val="auto"/>
        </w:rPr>
      </w:pPr>
      <w:bookmarkStart w:id="199" w:name="_Toc114072918"/>
      <w:r w:rsidRPr="0008323B">
        <w:rPr>
          <w:color w:val="auto"/>
        </w:rPr>
        <w:t xml:space="preserve">Person-centred </w:t>
      </w:r>
      <w:bookmarkEnd w:id="199"/>
      <w:r w:rsidRPr="0008323B">
        <w:rPr>
          <w:color w:val="auto"/>
        </w:rPr>
        <w:t xml:space="preserve">support </w:t>
      </w:r>
    </w:p>
    <w:p w14:paraId="22D36113" w14:textId="18BD153C" w:rsidR="00A86140" w:rsidRPr="009E498C" w:rsidRDefault="00A86140" w:rsidP="00A86140">
      <w:pPr>
        <w:rPr>
          <w:rFonts w:eastAsia="Calibri" w:cs="Calibri"/>
          <w:color w:val="FF0000"/>
        </w:rPr>
      </w:pPr>
      <w:r w:rsidRPr="48978CF4">
        <w:rPr>
          <w:rFonts w:eastAsiaTheme="minorEastAsia"/>
        </w:rPr>
        <w:t>The importance of person</w:t>
      </w:r>
      <w:r w:rsidRPr="5D0C6AE9">
        <w:rPr>
          <w:rFonts w:eastAsiaTheme="minorEastAsia"/>
        </w:rPr>
        <w:t>-</w:t>
      </w:r>
      <w:r w:rsidRPr="48978CF4">
        <w:rPr>
          <w:rFonts w:eastAsiaTheme="minorEastAsia"/>
        </w:rPr>
        <w:t>centeredness was repeatedly stated by participants whether explicitly or in respect of older persons being valued as individuals who have the right to make informed choices about their lives.</w:t>
      </w:r>
      <w:r w:rsidR="00991E69">
        <w:rPr>
          <w:rFonts w:eastAsiaTheme="minorEastAsia"/>
        </w:rPr>
        <w:t xml:space="preserve"> </w:t>
      </w:r>
      <w:r w:rsidRPr="48978CF4">
        <w:rPr>
          <w:rFonts w:eastAsiaTheme="minorEastAsia"/>
        </w:rPr>
        <w:t xml:space="preserve">It was also inherent in a focus on the core tenets of individuality, equality, dignity and inclusion. </w:t>
      </w:r>
      <w:r w:rsidRPr="48978CF4">
        <w:rPr>
          <w:rFonts w:eastAsia="Calibri" w:cs="Calibri"/>
          <w:color w:val="000000" w:themeColor="text1"/>
        </w:rPr>
        <w:t>Almost 30% (n=8) of survey respondents cited person-centred support as the most important component of a specialist ageing service for older people with intellectual disabilit</w:t>
      </w:r>
      <w:r w:rsidR="00C85736">
        <w:rPr>
          <w:rFonts w:eastAsia="Calibri" w:cs="Calibri"/>
          <w:color w:val="000000" w:themeColor="text1"/>
        </w:rPr>
        <w:t>ies</w:t>
      </w:r>
      <w:r w:rsidRPr="48978CF4">
        <w:rPr>
          <w:rFonts w:eastAsia="Calibri" w:cs="Calibri"/>
          <w:color w:val="000000" w:themeColor="text1"/>
        </w:rPr>
        <w:t xml:space="preserve"> and complex needs. </w:t>
      </w:r>
      <w:r w:rsidRPr="48978CF4">
        <w:rPr>
          <w:rFonts w:eastAsia="Calibri" w:cs="Calibri"/>
        </w:rPr>
        <w:t>Likewise, 96.6% (n=28) of respondents reported</w:t>
      </w:r>
      <w:r w:rsidR="0002475B">
        <w:rPr>
          <w:rFonts w:eastAsia="Calibri" w:cs="Calibri"/>
        </w:rPr>
        <w:t xml:space="preserve">, in </w:t>
      </w:r>
      <w:r w:rsidR="00E46E02">
        <w:rPr>
          <w:rFonts w:eastAsia="Calibri" w:cs="Calibri"/>
        </w:rPr>
        <w:t>line</w:t>
      </w:r>
      <w:r w:rsidR="0002475B">
        <w:rPr>
          <w:rFonts w:eastAsia="Calibri" w:cs="Calibri"/>
        </w:rPr>
        <w:t xml:space="preserve"> with </w:t>
      </w:r>
      <w:r w:rsidR="00E46E02">
        <w:rPr>
          <w:rFonts w:eastAsia="Calibri" w:cs="Calibri"/>
        </w:rPr>
        <w:t xml:space="preserve">Article 3 of </w:t>
      </w:r>
      <w:r w:rsidR="0002475B">
        <w:rPr>
          <w:rFonts w:eastAsia="Calibri" w:cs="Calibri"/>
        </w:rPr>
        <w:t>the UNCRPD (United Nations, 2006), that</w:t>
      </w:r>
      <w:r w:rsidRPr="48978CF4">
        <w:rPr>
          <w:rFonts w:eastAsia="Calibri" w:cs="Calibri"/>
        </w:rPr>
        <w:t xml:space="preserve"> exercising choice and control was a very relevant quality of life outcome for older people with intellectual disabilit</w:t>
      </w:r>
      <w:r w:rsidR="00C85736">
        <w:rPr>
          <w:rFonts w:eastAsia="Calibri" w:cs="Calibri"/>
        </w:rPr>
        <w:t>ies</w:t>
      </w:r>
      <w:r w:rsidRPr="48978CF4">
        <w:rPr>
          <w:rFonts w:eastAsia="Calibri" w:cs="Calibri"/>
        </w:rPr>
        <w:t>.</w:t>
      </w:r>
    </w:p>
    <w:p w14:paraId="223FD49F" w14:textId="77777777" w:rsidR="00A86140" w:rsidRPr="009E498C" w:rsidRDefault="00A86140" w:rsidP="00A86140">
      <w:pPr>
        <w:rPr>
          <w:szCs w:val="26"/>
        </w:rPr>
      </w:pPr>
      <w:r w:rsidRPr="009E498C">
        <w:rPr>
          <w:rFonts w:eastAsiaTheme="minorEastAsia"/>
          <w:szCs w:val="26"/>
        </w:rPr>
        <w:t>The achievement of person</w:t>
      </w:r>
      <w:r>
        <w:rPr>
          <w:rFonts w:eastAsiaTheme="minorEastAsia"/>
          <w:szCs w:val="26"/>
        </w:rPr>
        <w:t>-</w:t>
      </w:r>
      <w:r w:rsidRPr="009E498C">
        <w:rPr>
          <w:rFonts w:eastAsiaTheme="minorEastAsia"/>
          <w:szCs w:val="26"/>
        </w:rPr>
        <w:t>centred support was not always easy</w:t>
      </w:r>
      <w:r>
        <w:rPr>
          <w:rFonts w:eastAsiaTheme="minorEastAsia"/>
          <w:szCs w:val="26"/>
        </w:rPr>
        <w:t>,</w:t>
      </w:r>
      <w:r w:rsidRPr="009E498C">
        <w:rPr>
          <w:rFonts w:eastAsiaTheme="minorEastAsia"/>
          <w:szCs w:val="26"/>
        </w:rPr>
        <w:t xml:space="preserve"> and participants also identified some of the challenges they faced in implementing and upholding it. </w:t>
      </w:r>
      <w:r w:rsidRPr="009E498C">
        <w:rPr>
          <w:rFonts w:eastAsia="Calibri"/>
          <w:szCs w:val="26"/>
        </w:rPr>
        <w:t xml:space="preserve">A </w:t>
      </w:r>
      <w:r w:rsidRPr="009E498C">
        <w:rPr>
          <w:szCs w:val="26"/>
        </w:rPr>
        <w:t>person</w:t>
      </w:r>
      <w:r>
        <w:rPr>
          <w:szCs w:val="26"/>
        </w:rPr>
        <w:t>-</w:t>
      </w:r>
      <w:r w:rsidRPr="009E498C">
        <w:rPr>
          <w:szCs w:val="26"/>
        </w:rPr>
        <w:t>centred approach, as identified by participants, focused on the person being central to all aspects of the service they are receiving:</w:t>
      </w:r>
    </w:p>
    <w:p w14:paraId="05CC8C84" w14:textId="77777777" w:rsidR="00A86140" w:rsidRPr="009E498C" w:rsidRDefault="00A86140" w:rsidP="00A86140">
      <w:pPr>
        <w:ind w:left="709"/>
        <w:rPr>
          <w:rFonts w:eastAsia="Calibri" w:cstheme="minorHAnsi"/>
          <w:szCs w:val="26"/>
        </w:rPr>
      </w:pPr>
      <w:r w:rsidRPr="009E498C">
        <w:rPr>
          <w:rFonts w:cstheme="minorHAnsi"/>
          <w:i/>
          <w:szCs w:val="26"/>
        </w:rPr>
        <w:t xml:space="preserve">…you’re looking at the person as an individual, their needs are done as an individual as well and their choices and getting to know the other voice and being able to speak for themselves or have advocacy for each individual. I think it’s vital to a person’s quality of life. </w:t>
      </w:r>
      <w:r w:rsidRPr="009E498C">
        <w:rPr>
          <w:rFonts w:cstheme="minorHAnsi"/>
          <w:szCs w:val="26"/>
        </w:rPr>
        <w:t>(Moya, M, SS)</w:t>
      </w:r>
      <w:r w:rsidRPr="009E498C">
        <w:rPr>
          <w:rFonts w:eastAsia="Calibri" w:cstheme="minorHAnsi"/>
          <w:szCs w:val="26"/>
        </w:rPr>
        <w:t xml:space="preserve"> </w:t>
      </w:r>
    </w:p>
    <w:p w14:paraId="133752A3" w14:textId="77777777" w:rsidR="00A86140" w:rsidRPr="009E498C" w:rsidRDefault="00A86140" w:rsidP="00A86140">
      <w:pPr>
        <w:ind w:left="709"/>
        <w:rPr>
          <w:rFonts w:eastAsia="Calibri" w:cstheme="minorHAnsi"/>
          <w:szCs w:val="26"/>
        </w:rPr>
      </w:pPr>
      <w:r w:rsidRPr="009E498C">
        <w:rPr>
          <w:rFonts w:eastAsia="Calibri" w:cstheme="minorHAnsi"/>
          <w:szCs w:val="26"/>
        </w:rPr>
        <w:t>...</w:t>
      </w:r>
      <w:r w:rsidRPr="009E498C">
        <w:rPr>
          <w:rFonts w:cstheme="minorHAnsi"/>
          <w:i/>
          <w:szCs w:val="26"/>
        </w:rPr>
        <w:t xml:space="preserve">giving back the decision making to the person, with the support network around them. But the person being...centred rightly at the centre of it. </w:t>
      </w:r>
      <w:r w:rsidRPr="009E498C">
        <w:rPr>
          <w:rFonts w:cstheme="minorHAnsi"/>
          <w:szCs w:val="26"/>
        </w:rPr>
        <w:t>(Emily, M, GS)</w:t>
      </w:r>
      <w:r w:rsidRPr="009E498C">
        <w:rPr>
          <w:rFonts w:eastAsia="Calibri" w:cstheme="minorHAnsi"/>
          <w:szCs w:val="26"/>
        </w:rPr>
        <w:t xml:space="preserve"> </w:t>
      </w:r>
    </w:p>
    <w:p w14:paraId="4C69F0E9" w14:textId="5C0BE05B" w:rsidR="00A86140" w:rsidRPr="009E498C" w:rsidRDefault="00A86140" w:rsidP="00A86140">
      <w:r w:rsidRPr="49CA8733">
        <w:rPr>
          <w:rFonts w:eastAsia="Calibri"/>
        </w:rPr>
        <w:t>Acknowledging the changing needs and wishes of the person, person-centred planning meetings were held annually in some settings to ascertain the person’s current needs and their personal goals for the forthcoming year, with plans revisited during the year as required. Reflecting the core principles of person- centredness, individuals were enabled and supported to take an active part in their planning meeting and were afforded the opportunity to invite a person/s of their choice, if they so wished, to advocate on their behalf</w:t>
      </w:r>
      <w:r w:rsidR="0A5FD8D1" w:rsidRPr="130AB55D">
        <w:rPr>
          <w:rFonts w:eastAsia="Calibri"/>
        </w:rPr>
        <w:t>:</w:t>
      </w:r>
    </w:p>
    <w:p w14:paraId="174BEF3E" w14:textId="3329036D" w:rsidR="00A86140" w:rsidRPr="009E498C" w:rsidRDefault="00A86140" w:rsidP="00A86140">
      <w:pPr>
        <w:ind w:left="709"/>
        <w:rPr>
          <w:rFonts w:eastAsia="Calibri" w:cs="Calibri"/>
          <w:color w:val="000000" w:themeColor="text1"/>
        </w:rPr>
      </w:pPr>
      <w:r w:rsidRPr="05AB8F62">
        <w:rPr>
          <w:rFonts w:eastAsia="Calibri" w:cs="Calibri"/>
          <w:i/>
          <w:color w:val="000000" w:themeColor="text1"/>
        </w:rPr>
        <w:t xml:space="preserve">…we do that meeting annual every year just to see what their needs are and what their goals would be and what they would like to achieve within the year…they would invite in who they would like to invite. It would be an ongoing assessment over the year but in terms of </w:t>
      </w:r>
      <w:r w:rsidR="00CC345A" w:rsidRPr="05AB8F62">
        <w:rPr>
          <w:rFonts w:eastAsia="Calibri" w:cs="Calibri"/>
          <w:i/>
          <w:color w:val="000000" w:themeColor="text1"/>
        </w:rPr>
        <w:t>person-centred</w:t>
      </w:r>
      <w:r w:rsidRPr="05AB8F62">
        <w:rPr>
          <w:rFonts w:eastAsia="Calibri" w:cs="Calibri"/>
          <w:i/>
          <w:color w:val="000000" w:themeColor="text1"/>
        </w:rPr>
        <w:t xml:space="preserve"> we are trying to tailor the care to suit them.</w:t>
      </w:r>
      <w:r w:rsidRPr="05AB8F62">
        <w:rPr>
          <w:rFonts w:eastAsia="Calibri" w:cs="Calibri"/>
          <w:color w:val="000000" w:themeColor="text1"/>
        </w:rPr>
        <w:t xml:space="preserve"> (Noreen, M, SS)</w:t>
      </w:r>
    </w:p>
    <w:p w14:paraId="5725D3C5" w14:textId="77777777" w:rsidR="00A86140" w:rsidRPr="009E498C" w:rsidRDefault="00A86140" w:rsidP="00A86140">
      <w:pPr>
        <w:rPr>
          <w:rFonts w:cstheme="minorHAnsi"/>
          <w:szCs w:val="26"/>
        </w:rPr>
      </w:pPr>
      <w:r w:rsidRPr="009E498C">
        <w:rPr>
          <w:rFonts w:cstheme="minorHAnsi"/>
          <w:szCs w:val="26"/>
        </w:rPr>
        <w:t>The nature of age-related needs is such that changes can occur rapidly, raising the need for proactive planning and responsivity:</w:t>
      </w:r>
    </w:p>
    <w:p w14:paraId="613A19E3" w14:textId="77777777" w:rsidR="00A86140" w:rsidRPr="009E498C" w:rsidRDefault="00A86140" w:rsidP="00A86140">
      <w:pPr>
        <w:ind w:left="720"/>
        <w:rPr>
          <w:rFonts w:cstheme="minorHAnsi"/>
          <w:szCs w:val="26"/>
        </w:rPr>
      </w:pPr>
      <w:r w:rsidRPr="009E498C">
        <w:rPr>
          <w:rFonts w:eastAsia="Daytona"/>
          <w:i/>
          <w:color w:val="000000" w:themeColor="text1"/>
          <w:szCs w:val="26"/>
        </w:rPr>
        <w:t xml:space="preserve">Just, like, it hits you in the face...I was in a house a couple of weeks ago, one of the ladies was walking up the corridor...and only last week she pinched up and now she can’t walk at all...So now she needs to use a hoist for everything. </w:t>
      </w:r>
      <w:r w:rsidRPr="009E498C">
        <w:rPr>
          <w:rFonts w:eastAsia="Daytona"/>
          <w:color w:val="000000" w:themeColor="text1"/>
          <w:szCs w:val="26"/>
        </w:rPr>
        <w:t>(Freda, D, SS)</w:t>
      </w:r>
    </w:p>
    <w:p w14:paraId="0CFFF3D5" w14:textId="77777777" w:rsidR="00A86140" w:rsidRPr="009E498C" w:rsidRDefault="00A86140" w:rsidP="00A86140">
      <w:pPr>
        <w:rPr>
          <w:color w:val="000000" w:themeColor="text1"/>
        </w:rPr>
      </w:pPr>
      <w:r w:rsidRPr="13EFA8D5">
        <w:t>Thus, whilst an annual review approach may allow for future planning, it is important that this is followed up by more frequent reviews to support the responsivity required to achieve person</w:t>
      </w:r>
      <w:r w:rsidRPr="00C511E5">
        <w:t>-</w:t>
      </w:r>
      <w:r w:rsidRPr="13EFA8D5">
        <w:t xml:space="preserve">centred support. A level of frustration was evident among some direct care staff about an inadequacy of planning and projection describing </w:t>
      </w:r>
      <w:r w:rsidRPr="13EFA8D5">
        <w:rPr>
          <w:rFonts w:eastAsia="Calibri" w:cs="Calibri"/>
        </w:rPr>
        <w:t>reactive firefighting rather than a proactive approach to the needs of their service users as they age:</w:t>
      </w:r>
    </w:p>
    <w:p w14:paraId="5239E81A" w14:textId="77777777" w:rsidR="00A86140" w:rsidRPr="009E498C" w:rsidRDefault="00A86140" w:rsidP="00A86140">
      <w:pPr>
        <w:ind w:left="709"/>
        <w:rPr>
          <w:rFonts w:eastAsia="Calibri" w:cs="Calibri"/>
          <w:szCs w:val="26"/>
        </w:rPr>
      </w:pPr>
      <w:r w:rsidRPr="009E498C">
        <w:rPr>
          <w:rFonts w:eastAsia="Calibri" w:cs="Calibri"/>
          <w:i/>
          <w:szCs w:val="26"/>
        </w:rPr>
        <w:t>…I suppose that’s probably a negative really that we don’t have that five</w:t>
      </w:r>
      <w:r>
        <w:rPr>
          <w:rFonts w:eastAsia="Calibri" w:cs="Calibri"/>
          <w:i/>
          <w:szCs w:val="26"/>
        </w:rPr>
        <w:t>-</w:t>
      </w:r>
      <w:r w:rsidRPr="009E498C">
        <w:rPr>
          <w:rFonts w:eastAsia="Calibri" w:cs="Calibri"/>
          <w:i/>
          <w:szCs w:val="26"/>
        </w:rPr>
        <w:t>year plan. That that’s not something that we have looked at...it’s very frustrating in ways, because a lot of our things are very, are reactive to emergency situations. And that’s when things happen</w:t>
      </w:r>
      <w:r>
        <w:rPr>
          <w:rFonts w:eastAsia="Calibri" w:cs="Calibri"/>
          <w:i/>
          <w:szCs w:val="26"/>
        </w:rPr>
        <w:t>…</w:t>
      </w:r>
      <w:r w:rsidRPr="009E498C">
        <w:rPr>
          <w:rFonts w:eastAsia="Calibri" w:cs="Calibri"/>
          <w:i/>
          <w:szCs w:val="26"/>
        </w:rPr>
        <w:t>know what I mean.</w:t>
      </w:r>
      <w:r w:rsidRPr="009E498C">
        <w:rPr>
          <w:rFonts w:eastAsia="Calibri" w:cs="Calibri"/>
          <w:szCs w:val="26"/>
        </w:rPr>
        <w:t xml:space="preserve"> (Betty, D, SS)</w:t>
      </w:r>
    </w:p>
    <w:p w14:paraId="128A105B" w14:textId="5DCC4C04" w:rsidR="00A86140" w:rsidRPr="009E498C" w:rsidRDefault="00A86140" w:rsidP="00A86140">
      <w:pPr>
        <w:ind w:left="709"/>
        <w:rPr>
          <w:rFonts w:eastAsia="Calibri" w:cs="Calibri"/>
          <w:szCs w:val="26"/>
        </w:rPr>
      </w:pPr>
      <w:r w:rsidRPr="009E498C">
        <w:rPr>
          <w:rFonts w:eastAsia="Calibri" w:cs="Calibri"/>
          <w:i/>
          <w:szCs w:val="26"/>
        </w:rPr>
        <w:t xml:space="preserve">I think there’s a lot of talk about forward planning, but it doesn’t seem to happen until, its nearly always crisis managed. And as I say there’s loads and loads of talk, but the resources aren’t there to put those ideas and those things in place. As I say </w:t>
      </w:r>
      <w:r>
        <w:rPr>
          <w:rFonts w:eastAsia="Calibri" w:cs="Calibri"/>
          <w:i/>
          <w:szCs w:val="26"/>
        </w:rPr>
        <w:t xml:space="preserve">to </w:t>
      </w:r>
      <w:r w:rsidRPr="009E498C">
        <w:rPr>
          <w:rFonts w:eastAsia="Calibri" w:cs="Calibri"/>
          <w:i/>
          <w:szCs w:val="26"/>
        </w:rPr>
        <w:t>my group</w:t>
      </w:r>
      <w:r>
        <w:rPr>
          <w:rFonts w:eastAsia="Calibri" w:cs="Calibri"/>
          <w:i/>
          <w:szCs w:val="26"/>
        </w:rPr>
        <w:t>,</w:t>
      </w:r>
      <w:r w:rsidRPr="009E498C">
        <w:rPr>
          <w:rFonts w:eastAsia="Calibri" w:cs="Calibri"/>
          <w:i/>
          <w:szCs w:val="26"/>
        </w:rPr>
        <w:t xml:space="preserve"> I feel that everything is crisis managed. </w:t>
      </w:r>
      <w:r w:rsidRPr="009E498C">
        <w:rPr>
          <w:rFonts w:eastAsia="Calibri" w:cs="Calibri"/>
          <w:szCs w:val="26"/>
        </w:rPr>
        <w:t>(Eve, D, GS)</w:t>
      </w:r>
    </w:p>
    <w:p w14:paraId="55A21D8B" w14:textId="5DA7022C" w:rsidR="00A86140" w:rsidRPr="009E498C" w:rsidRDefault="00A86140" w:rsidP="00A86140">
      <w:pPr>
        <w:rPr>
          <w:rFonts w:eastAsia="Calibri" w:cs="Calibri"/>
          <w:color w:val="000000" w:themeColor="text1"/>
          <w:szCs w:val="26"/>
        </w:rPr>
      </w:pPr>
      <w:r w:rsidRPr="009E498C">
        <w:rPr>
          <w:rFonts w:eastAsia="Calibri" w:cs="Calibri"/>
          <w:color w:val="000000" w:themeColor="text1"/>
          <w:szCs w:val="26"/>
        </w:rPr>
        <w:t>The realisation of person-centred support is vital if older people with intellectual disabilit</w:t>
      </w:r>
      <w:r w:rsidR="00C85736">
        <w:rPr>
          <w:rFonts w:eastAsia="Calibri" w:cs="Calibri"/>
          <w:color w:val="000000" w:themeColor="text1"/>
          <w:szCs w:val="26"/>
        </w:rPr>
        <w:t>ies</w:t>
      </w:r>
      <w:r w:rsidRPr="009E498C">
        <w:rPr>
          <w:rFonts w:eastAsia="Calibri" w:cs="Calibri"/>
          <w:color w:val="000000" w:themeColor="text1"/>
          <w:szCs w:val="26"/>
        </w:rPr>
        <w:t xml:space="preserve"> are to be able to remain supported in their own homes and proper resourcing is key to this happening. Failure to do this will place another key principle of older person service at risk, that of ageing in place.</w:t>
      </w:r>
    </w:p>
    <w:p w14:paraId="475436F6" w14:textId="77777777" w:rsidR="00A86140" w:rsidRPr="0008323B" w:rsidRDefault="00A86140" w:rsidP="00A86140">
      <w:pPr>
        <w:pStyle w:val="Heading4"/>
        <w:rPr>
          <w:color w:val="auto"/>
        </w:rPr>
      </w:pPr>
      <w:r w:rsidRPr="0008323B">
        <w:rPr>
          <w:color w:val="auto"/>
        </w:rPr>
        <w:t>Ageing in place</w:t>
      </w:r>
    </w:p>
    <w:p w14:paraId="04CD5091" w14:textId="20F58470" w:rsidR="00A86140" w:rsidRPr="009E498C" w:rsidRDefault="52FA60F7" w:rsidP="00A86140">
      <w:r w:rsidRPr="704DFAFB">
        <w:rPr>
          <w:rStyle w:val="normaltextrun"/>
          <w:rFonts w:cs="Calibri"/>
          <w:color w:val="000000"/>
          <w:shd w:val="clear" w:color="auto" w:fill="FFFFFF"/>
        </w:rPr>
        <w:t xml:space="preserve">Ageing in place is “the ability to live in one’s own home and community safely, independently and comfortably, regardless of age, income or ability level” </w:t>
      </w:r>
      <w:r w:rsidR="00A86140" w:rsidRPr="704DFAFB">
        <w:rPr>
          <w:rStyle w:val="normaltextrun"/>
          <w:rFonts w:cs="Calibri"/>
          <w:color w:val="000000"/>
          <w:shd w:val="clear" w:color="auto" w:fill="FFFFFF"/>
        </w:rPr>
        <w:fldChar w:fldCharType="begin"/>
      </w:r>
      <w:r w:rsidR="00DF51CF">
        <w:rPr>
          <w:rStyle w:val="normaltextrun"/>
          <w:rFonts w:cs="Calibri"/>
          <w:color w:val="000000"/>
          <w:shd w:val="clear" w:color="auto" w:fill="FFFFFF"/>
        </w:rPr>
        <w:instrText xml:space="preserve"> ADDIN EN.CITE &lt;EndNote&gt;&lt;Cite&gt;&lt;Author&gt;Center for Disease Control and Prevention&lt;/Author&gt;&lt;Year&gt;2009&lt;/Year&gt;&lt;RecNum&gt;527&lt;/RecNum&gt;&lt;Pages&gt;1&lt;/Pages&gt;&lt;DisplayText&gt;(Center for Disease Control and Prevention, 2009, p. 1)&lt;/DisplayText&gt;&lt;record&gt;&lt;rec-number&gt;527&lt;/rec-number&gt;&lt;foreign-keys&gt;&lt;key app="EN" db-id="xtwfdzde5ttr0zevxrh5sf0c2wfzw5zf2vra" timestamp="1649171702" guid="93f74641-13ea-4ef3-a29d-1a3a234d52be"&gt;527&lt;/key&gt;&lt;/foreign-keys&gt;&lt;ref-type name="Web Page"&gt;12&lt;/ref-type&gt;&lt;contributors&gt;&lt;authors&gt;&lt;author&gt;Center for Disease Control and Prevention, &lt;/author&gt;&lt;/authors&gt;&lt;/contributors&gt;&lt;titles&gt;&lt;title&gt;Healthy Places Terminology&lt;/title&gt;&lt;/titles&gt;&lt;volume&gt;2022&lt;/volume&gt;&lt;number&gt;18/02/2022&lt;/number&gt;&lt;dates&gt;&lt;year&gt;2009&lt;/year&gt;&lt;/dates&gt;&lt;urls&gt;&lt;related-urls&gt;&lt;url&gt;https://www.cdc.gov/healthyplaces/terminology.htm&lt;/url&gt;&lt;/related-urls&gt;&lt;/urls&gt;&lt;/record&gt;&lt;/Cite&gt;&lt;/EndNote&gt;</w:instrText>
      </w:r>
      <w:r w:rsidR="00A86140" w:rsidRPr="704DFAFB">
        <w:rPr>
          <w:rStyle w:val="normaltextrun"/>
          <w:rFonts w:cs="Calibri"/>
          <w:color w:val="000000"/>
          <w:shd w:val="clear" w:color="auto" w:fill="FFFFFF"/>
        </w:rPr>
        <w:fldChar w:fldCharType="separate"/>
      </w:r>
      <w:r w:rsidR="00DF51CF">
        <w:rPr>
          <w:rStyle w:val="normaltextrun"/>
          <w:rFonts w:cs="Calibri"/>
          <w:color w:val="000000"/>
          <w:shd w:val="clear" w:color="auto" w:fill="FFFFFF"/>
        </w:rPr>
        <w:t>(Center for Disease Control and Prevention, 2009, p. 1)</w:t>
      </w:r>
      <w:r w:rsidR="00A86140" w:rsidRPr="704DFAFB">
        <w:rPr>
          <w:rStyle w:val="normaltextrun"/>
          <w:rFonts w:cs="Calibri"/>
          <w:color w:val="000000"/>
          <w:shd w:val="clear" w:color="auto" w:fill="FFFFFF"/>
        </w:rPr>
        <w:fldChar w:fldCharType="end"/>
      </w:r>
      <w:r w:rsidRPr="704DFAFB">
        <w:rPr>
          <w:rStyle w:val="normaltextrun"/>
          <w:rFonts w:cs="Calibri"/>
          <w:color w:val="000000"/>
          <w:shd w:val="clear" w:color="auto" w:fill="FFFFFF"/>
        </w:rPr>
        <w:t xml:space="preserve"> or, more simply, ‘staying in your own home or community as you age </w:t>
      </w:r>
      <w:r w:rsidR="00A86140" w:rsidRPr="704DFAFB">
        <w:rPr>
          <w:rStyle w:val="normaltextrun"/>
          <w:rFonts w:cs="Calibri"/>
          <w:color w:val="000000"/>
          <w:shd w:val="clear" w:color="auto" w:fill="FFFFFF"/>
        </w:rPr>
        <w:fldChar w:fldCharType="begin"/>
      </w:r>
      <w:r w:rsidR="00DF51CF">
        <w:rPr>
          <w:rStyle w:val="normaltextrun"/>
          <w:rFonts w:cs="Calibri"/>
          <w:color w:val="000000"/>
          <w:shd w:val="clear" w:color="auto" w:fill="FFFFFF"/>
        </w:rPr>
        <w:instrText xml:space="preserve"> ADDIN EN.CITE &lt;EndNote&gt;&lt;Cite&gt;&lt;Author&gt;Grove&lt;/Author&gt;&lt;Year&gt;2021&lt;/Year&gt;&lt;RecNum&gt;714&lt;/RecNum&gt;&lt;Pages&gt;2&lt;/Pages&gt;&lt;DisplayText&gt;(Grove, 2021, p. 2)&lt;/DisplayText&gt;&lt;record&gt;&lt;rec-number&gt;714&lt;/rec-number&gt;&lt;foreign-keys&gt;&lt;key app="EN" db-id="xtwfdzde5ttr0zevxrh5sf0c2wfzw5zf2vra" timestamp="1666112621" guid="eacb31ef-6a45-467c-bc4f-f9001ff8a09f"&gt;714&lt;/key&gt;&lt;/foreign-keys&gt;&lt;ref-type name="Journal Article"&gt;17&lt;/ref-type&gt;&lt;contributors&gt;&lt;authors&gt;&lt;author&gt;Grove, Hannah&lt;/author&gt;&lt;/authors&gt;&lt;/contributors&gt;&lt;titles&gt;&lt;title&gt;Ageing as well as you can in place: Applying a geographical lens to the capability approach&lt;/title&gt;&lt;secondary-title&gt;Social Science &amp;amp; Medicine&lt;/secondary-title&gt;&lt;/titles&gt;&lt;periodical&gt;&lt;full-title&gt;Social science &amp;amp; medicine&lt;/full-title&gt;&lt;/periodical&gt;&lt;pages&gt;1-10&lt;/pages&gt;&lt;volume&gt;288&lt;/volume&gt;&lt;dates&gt;&lt;year&gt;2021&lt;/year&gt;&lt;/dates&gt;&lt;isbn&gt;0277-9536&lt;/isbn&gt;&lt;urls&gt;&lt;/urls&gt;&lt;/record&gt;&lt;/Cite&gt;&lt;/EndNote&gt;</w:instrText>
      </w:r>
      <w:r w:rsidR="00A86140" w:rsidRPr="704DFAFB">
        <w:rPr>
          <w:rStyle w:val="normaltextrun"/>
          <w:rFonts w:cs="Calibri"/>
          <w:color w:val="000000"/>
          <w:shd w:val="clear" w:color="auto" w:fill="FFFFFF"/>
        </w:rPr>
        <w:fldChar w:fldCharType="separate"/>
      </w:r>
      <w:r w:rsidR="00DF51CF">
        <w:rPr>
          <w:rStyle w:val="normaltextrun"/>
          <w:rFonts w:cs="Calibri"/>
          <w:color w:val="000000"/>
          <w:shd w:val="clear" w:color="auto" w:fill="FFFFFF"/>
        </w:rPr>
        <w:t>(Grove, 2021, p. 2)</w:t>
      </w:r>
      <w:r w:rsidR="00A86140" w:rsidRPr="704DFAFB">
        <w:rPr>
          <w:rStyle w:val="normaltextrun"/>
          <w:rFonts w:cs="Calibri"/>
          <w:color w:val="000000"/>
          <w:shd w:val="clear" w:color="auto" w:fill="FFFFFF"/>
        </w:rPr>
        <w:fldChar w:fldCharType="end"/>
      </w:r>
      <w:r w:rsidR="00A86140" w:rsidRPr="0AC154F4">
        <w:rPr>
          <w:rStyle w:val="normaltextrun"/>
          <w:rFonts w:cs="Calibri"/>
          <w:color w:val="000000"/>
          <w:shd w:val="clear" w:color="auto" w:fill="FFFFFF"/>
        </w:rPr>
        <w:t xml:space="preserve"> with an appropriate level of independence</w:t>
      </w:r>
      <w:r w:rsidR="00FD24A7">
        <w:rPr>
          <w:rStyle w:val="normaltextrun"/>
          <w:rFonts w:cs="Calibri"/>
          <w:color w:val="000000"/>
          <w:shd w:val="clear" w:color="auto" w:fill="FFFFFF"/>
        </w:rPr>
        <w:t xml:space="preserve"> </w:t>
      </w:r>
      <w:r w:rsidR="00FD24A7">
        <w:rPr>
          <w:rStyle w:val="normaltextrun"/>
          <w:rFonts w:cs="Calibri"/>
          <w:color w:val="000000"/>
          <w:shd w:val="clear" w:color="auto" w:fill="FFFFFF"/>
        </w:rPr>
        <w:fldChar w:fldCharType="begin"/>
      </w:r>
      <w:r w:rsidR="006A378C">
        <w:rPr>
          <w:rStyle w:val="normaltextrun"/>
          <w:rFonts w:cs="Calibri"/>
          <w:color w:val="000000"/>
          <w:shd w:val="clear" w:color="auto" w:fill="FFFFFF"/>
        </w:rPr>
        <w:instrText xml:space="preserve"> ADDIN EN.CITE &lt;EndNote&gt;&lt;Cite&gt;&lt;Author&gt;O’Sullivan&lt;/Author&gt;&lt;Year&gt;2022&lt;/Year&gt;&lt;RecNum&gt;715&lt;/RecNum&gt;&lt;DisplayText&gt;(O’Sullivan et al., 2022)&lt;/DisplayText&gt;&lt;record&gt;&lt;rec-number&gt;715&lt;/rec-number&gt;&lt;foreign-keys&gt;&lt;key app="EN" db-id="xtwfdzde5ttr0zevxrh5sf0c2wfzw5zf2vra" timestamp="1666113019" guid="63b04b4d-fcd1-4fbf-8fcc-989f4138e233"&gt;715&lt;/key&gt;&lt;/foreign-keys&gt;&lt;ref-type name="Report"&gt;27&lt;/ref-type&gt;&lt;contributors&gt;&lt;authors&gt;&lt;author&gt;O’Sullivan, S.&lt;/author&gt;&lt;author&gt;Buckley, M.&lt;/author&gt;&lt;author&gt;Desmond, E.&lt;/author&gt;&lt;author&gt;Bantry-White, E.&lt;/author&gt;&lt;author&gt;Cassarino, M. &lt;/author&gt;&lt;/authors&gt;&lt;/contributors&gt;&lt;titles&gt;&lt;title&gt;Agency and Ageing in Place in Rural Ireland&lt;/title&gt;&lt;/titles&gt;&lt;dates&gt;&lt;year&gt;2022&lt;/year&gt;&lt;/dates&gt;&lt;pub-location&gt;Ireland&lt;/pub-location&gt;&lt;publisher&gt;University College Cork and Age Action&lt;/publisher&gt;&lt;urls&gt;&lt;related-urls&gt;&lt;url&gt;https://www.ageaction.ie/sites/default/files/agency_and_ageing_in_place_in_rural_ireland_report_2022.pdf&lt;/url&gt;&lt;/related-urls&gt;&lt;/urls&gt;&lt;/record&gt;&lt;/Cite&gt;&lt;/EndNote&gt;</w:instrText>
      </w:r>
      <w:r w:rsidR="00FD24A7">
        <w:rPr>
          <w:rStyle w:val="normaltextrun"/>
          <w:rFonts w:cs="Calibri"/>
          <w:color w:val="000000"/>
          <w:shd w:val="clear" w:color="auto" w:fill="FFFFFF"/>
        </w:rPr>
        <w:fldChar w:fldCharType="separate"/>
      </w:r>
      <w:r w:rsidR="00FD24A7">
        <w:rPr>
          <w:rStyle w:val="normaltextrun"/>
          <w:rFonts w:cs="Calibri"/>
          <w:color w:val="000000"/>
          <w:shd w:val="clear" w:color="auto" w:fill="FFFFFF"/>
        </w:rPr>
        <w:t>(O’Sullivan et al., 2022)</w:t>
      </w:r>
      <w:r w:rsidR="00FD24A7">
        <w:rPr>
          <w:rStyle w:val="normaltextrun"/>
          <w:rFonts w:cs="Calibri"/>
          <w:color w:val="000000"/>
          <w:shd w:val="clear" w:color="auto" w:fill="FFFFFF"/>
        </w:rPr>
        <w:fldChar w:fldCharType="end"/>
      </w:r>
      <w:r w:rsidR="00A86140" w:rsidRPr="0AC154F4">
        <w:rPr>
          <w:rStyle w:val="normaltextrun"/>
          <w:rFonts w:cs="Calibri"/>
          <w:color w:val="000000"/>
          <w:shd w:val="clear" w:color="auto" w:fill="FFFFFF"/>
        </w:rPr>
        <w:t>. It is recognised as a key component in achieving healthy ageing</w:t>
      </w:r>
      <w:r w:rsidR="00F40162">
        <w:rPr>
          <w:rStyle w:val="normaltextrun"/>
          <w:rFonts w:cs="Calibri"/>
          <w:color w:val="000000"/>
          <w:shd w:val="clear" w:color="auto" w:fill="FFFFFF"/>
        </w:rPr>
        <w:t xml:space="preserve"> </w:t>
      </w:r>
      <w:r w:rsidR="00F40162">
        <w:rPr>
          <w:rStyle w:val="normaltextrun"/>
          <w:rFonts w:cs="Calibri"/>
          <w:color w:val="000000"/>
          <w:shd w:val="clear" w:color="auto" w:fill="FFFFFF"/>
        </w:rPr>
        <w:fldChar w:fldCharType="begin"/>
      </w:r>
      <w:r w:rsidR="006A378C">
        <w:rPr>
          <w:rStyle w:val="normaltextrun"/>
          <w:rFonts w:cs="Calibri"/>
          <w:color w:val="000000"/>
          <w:shd w:val="clear" w:color="auto" w:fill="FFFFFF"/>
        </w:rPr>
        <w:instrText xml:space="preserve"> ADDIN EN.CITE &lt;EndNote&gt;&lt;Cite&gt;&lt;Author&gt;WHO&lt;/Author&gt;&lt;Year&gt;2007&lt;/Year&gt;&lt;RecNum&gt;716&lt;/RecNum&gt;&lt;DisplayText&gt;(WHO, 2007)&lt;/DisplayText&gt;&lt;record&gt;&lt;rec-number&gt;716&lt;/rec-number&gt;&lt;foreign-keys&gt;&lt;key app="EN" db-id="xtwfdzde5ttr0zevxrh5sf0c2wfzw5zf2vra" timestamp="1666113402" guid="fae94885-cbc0-417d-b704-da6bdc90bd2e"&gt;716&lt;/key&gt;&lt;/foreign-keys&gt;&lt;ref-type name="Book"&gt;6&lt;/ref-type&gt;&lt;contributors&gt;&lt;authors&gt;&lt;author&gt;WHO, &lt;/author&gt;&lt;/authors&gt;&lt;/contributors&gt;&lt;titles&gt;&lt;title&gt;Global age-friendly cities: A guide&lt;/title&gt;&lt;/titles&gt;&lt;dates&gt;&lt;year&gt;2007&lt;/year&gt;&lt;/dates&gt;&lt;pub-location&gt;Switzerland&lt;/pub-location&gt;&lt;publisher&gt;World Health Organization&lt;/publisher&gt;&lt;isbn&gt;9241547308&lt;/isbn&gt;&lt;urls&gt;&lt;/urls&gt;&lt;/record&gt;&lt;/Cite&gt;&lt;/EndNote&gt;</w:instrText>
      </w:r>
      <w:r w:rsidR="00F40162">
        <w:rPr>
          <w:rStyle w:val="normaltextrun"/>
          <w:rFonts w:cs="Calibri"/>
          <w:color w:val="000000"/>
          <w:shd w:val="clear" w:color="auto" w:fill="FFFFFF"/>
        </w:rPr>
        <w:fldChar w:fldCharType="separate"/>
      </w:r>
      <w:r w:rsidR="00F40162">
        <w:rPr>
          <w:rStyle w:val="normaltextrun"/>
          <w:rFonts w:cs="Calibri"/>
          <w:color w:val="000000"/>
          <w:shd w:val="clear" w:color="auto" w:fill="FFFFFF"/>
        </w:rPr>
        <w:t>(WHO, 2007)</w:t>
      </w:r>
      <w:r w:rsidR="00F40162">
        <w:rPr>
          <w:rStyle w:val="normaltextrun"/>
          <w:rFonts w:cs="Calibri"/>
          <w:color w:val="000000"/>
          <w:shd w:val="clear" w:color="auto" w:fill="FFFFFF"/>
        </w:rPr>
        <w:fldChar w:fldCharType="end"/>
      </w:r>
      <w:r w:rsidR="00A86140" w:rsidRPr="0AC154F4">
        <w:rPr>
          <w:rStyle w:val="normaltextrun"/>
          <w:rFonts w:cs="Calibri"/>
          <w:color w:val="000000"/>
          <w:shd w:val="clear" w:color="auto" w:fill="FFFFFF"/>
        </w:rPr>
        <w:t>.</w:t>
      </w:r>
      <w:r w:rsidR="00A86140" w:rsidRPr="0AC154F4" w:rsidDel="00F40162">
        <w:rPr>
          <w:rStyle w:val="normaltextrun"/>
          <w:rFonts w:cs="Calibri"/>
          <w:color w:val="000000"/>
          <w:shd w:val="clear" w:color="auto" w:fill="FFFFFF"/>
        </w:rPr>
        <w:t xml:space="preserve"> </w:t>
      </w:r>
      <w:r w:rsidR="00A86140" w:rsidRPr="0AC154F4">
        <w:rPr>
          <w:rFonts w:eastAsia="Calibri" w:cs="Calibri"/>
          <w:color w:val="000000" w:themeColor="text1"/>
        </w:rPr>
        <w:t xml:space="preserve">This was confirmed by survey participants who, overall, ranked the importance of ageing in place second only to person-centred support (22.2%, n=6), though 40% of non-specialist services ranked it as most important. </w:t>
      </w:r>
      <w:r w:rsidR="00A86140" w:rsidRPr="0AC154F4">
        <w:rPr>
          <w:rStyle w:val="normaltextrun"/>
          <w:rFonts w:cs="Calibri"/>
          <w:color w:val="000000"/>
          <w:shd w:val="clear" w:color="auto" w:fill="FFFFFF"/>
        </w:rPr>
        <w:t>Participants acknowledged its importance in respect of how service should be configured for people with intellectual disabilit</w:t>
      </w:r>
      <w:r w:rsidR="00C85736">
        <w:rPr>
          <w:rStyle w:val="normaltextrun"/>
          <w:rFonts w:cs="Calibri"/>
          <w:color w:val="000000"/>
          <w:shd w:val="clear" w:color="auto" w:fill="FFFFFF"/>
        </w:rPr>
        <w:t>ies</w:t>
      </w:r>
      <w:r w:rsidR="00A86140" w:rsidRPr="0AC154F4">
        <w:rPr>
          <w:rStyle w:val="normaltextrun"/>
          <w:rFonts w:cs="Calibri"/>
          <w:color w:val="000000"/>
          <w:shd w:val="clear" w:color="auto" w:fill="FFFFFF"/>
        </w:rPr>
        <w:t>, as they age, but noted that w</w:t>
      </w:r>
      <w:r w:rsidR="00A86140" w:rsidRPr="0AC154F4">
        <w:t>hilst some community intellectual disability services currently support the person to age in place, other services have not reached that stage yet with ageing in place something that they aspire to</w:t>
      </w:r>
      <w:r w:rsidR="3F8BBA9F" w:rsidRPr="0AC154F4">
        <w:t>:</w:t>
      </w:r>
      <w:r w:rsidR="00A86140" w:rsidRPr="0AC154F4">
        <w:t xml:space="preserve"> </w:t>
      </w:r>
    </w:p>
    <w:p w14:paraId="53986BF1" w14:textId="77777777" w:rsidR="00A86140" w:rsidRPr="009E498C" w:rsidRDefault="00A86140" w:rsidP="00A86140">
      <w:pPr>
        <w:ind w:left="720"/>
        <w:rPr>
          <w:rFonts w:cstheme="minorHAnsi"/>
          <w:szCs w:val="26"/>
        </w:rPr>
      </w:pPr>
      <w:r w:rsidRPr="009E498C">
        <w:rPr>
          <w:rFonts w:cstheme="minorHAnsi"/>
          <w:i/>
          <w:szCs w:val="26"/>
        </w:rPr>
        <w:t>…we have people who are getting older who are being supported…</w:t>
      </w:r>
      <w:r w:rsidRPr="009E498C">
        <w:rPr>
          <w:rFonts w:cstheme="minorHAnsi"/>
          <w:szCs w:val="26"/>
        </w:rPr>
        <w:t>[to]</w:t>
      </w:r>
      <w:r w:rsidRPr="009E498C">
        <w:rPr>
          <w:rFonts w:cstheme="minorHAnsi"/>
          <w:i/>
          <w:szCs w:val="26"/>
        </w:rPr>
        <w:t>…age in place.</w:t>
      </w:r>
      <w:r w:rsidRPr="009E498C">
        <w:rPr>
          <w:rFonts w:cstheme="minorHAnsi"/>
          <w:szCs w:val="26"/>
        </w:rPr>
        <w:t xml:space="preserve"> (Anne, M, SS)</w:t>
      </w:r>
    </w:p>
    <w:p w14:paraId="1971EF45" w14:textId="77777777" w:rsidR="00A86140" w:rsidRPr="009E498C" w:rsidRDefault="00A86140" w:rsidP="00A86140">
      <w:pPr>
        <w:ind w:left="720"/>
        <w:rPr>
          <w:rFonts w:cstheme="minorHAnsi"/>
          <w:i/>
          <w:szCs w:val="26"/>
        </w:rPr>
      </w:pPr>
      <w:r w:rsidRPr="009E498C">
        <w:rPr>
          <w:rStyle w:val="normaltextrun"/>
          <w:rFonts w:cstheme="minorHAnsi"/>
          <w:i/>
          <w:color w:val="000000"/>
          <w:szCs w:val="26"/>
          <w:shd w:val="clear" w:color="auto" w:fill="FFFFFF"/>
        </w:rPr>
        <w:t>…I’m in a service that is entering into the older ageing adult…our main aim at the moment is to age in place, that’s kind of what we’re trying to aim for</w:t>
      </w:r>
      <w:r w:rsidRPr="009E498C">
        <w:rPr>
          <w:rStyle w:val="normaltextrun"/>
          <w:rFonts w:cstheme="minorHAnsi"/>
          <w:color w:val="000000"/>
          <w:szCs w:val="26"/>
          <w:shd w:val="clear" w:color="auto" w:fill="FFFFFF"/>
        </w:rPr>
        <w:t>. (Noreen, M, SS)</w:t>
      </w:r>
    </w:p>
    <w:p w14:paraId="42F4E110" w14:textId="77777777" w:rsidR="00A86140" w:rsidRPr="009E498C" w:rsidRDefault="00A86140" w:rsidP="00A86140">
      <w:pPr>
        <w:rPr>
          <w:rFonts w:eastAsia="Daytona"/>
        </w:rPr>
      </w:pPr>
      <w:r w:rsidRPr="07A33307">
        <w:t xml:space="preserve">The aforenoted potential for </w:t>
      </w:r>
      <w:r w:rsidRPr="07A33307">
        <w:rPr>
          <w:rFonts w:eastAsia="Daytona"/>
        </w:rPr>
        <w:t xml:space="preserve">changes in health status and, consequently, in support needs inevitably requires an ability for service to be reconfigured in terms of staffing and other resources, if ageing in place is to be achieved. Thus, changes brought on </w:t>
      </w:r>
      <w:r w:rsidRPr="40FF06F8">
        <w:rPr>
          <w:rFonts w:eastAsia="Daytona"/>
        </w:rPr>
        <w:t>by</w:t>
      </w:r>
      <w:r w:rsidRPr="07A33307">
        <w:rPr>
          <w:rFonts w:eastAsia="Daytona"/>
        </w:rPr>
        <w:t xml:space="preserve"> ageing should not necessarily lead to a movement out of one’s home. It was noted, though, that processes related to recruitment and finance may not be timely enough to achieve this: </w:t>
      </w:r>
    </w:p>
    <w:p w14:paraId="476B0917" w14:textId="77777777" w:rsidR="00A86140" w:rsidRPr="009E498C" w:rsidRDefault="00A86140" w:rsidP="00A86140">
      <w:pPr>
        <w:ind w:left="720"/>
        <w:rPr>
          <w:rFonts w:eastAsia="Daytona"/>
          <w:color w:val="000000" w:themeColor="text1"/>
          <w:szCs w:val="26"/>
        </w:rPr>
      </w:pPr>
      <w:r w:rsidRPr="009E498C">
        <w:rPr>
          <w:rFonts w:eastAsia="Daytona"/>
          <w:i/>
          <w:color w:val="000000" w:themeColor="text1"/>
          <w:szCs w:val="26"/>
        </w:rPr>
        <w:t>One lady had dementia and for us to put, say the staffing complement went from one staff to two staff on the day. And then two staff at night…and you’re talking about your business cases</w:t>
      </w:r>
      <w:r>
        <w:rPr>
          <w:rFonts w:eastAsia="Daytona"/>
          <w:i/>
          <w:color w:val="000000" w:themeColor="text1"/>
          <w:szCs w:val="26"/>
        </w:rPr>
        <w:t>,</w:t>
      </w:r>
      <w:r w:rsidRPr="009E498C">
        <w:rPr>
          <w:rFonts w:eastAsia="Daytona"/>
          <w:i/>
          <w:color w:val="000000" w:themeColor="text1"/>
          <w:szCs w:val="26"/>
        </w:rPr>
        <w:t xml:space="preserve"> and you have paper trails going in. </w:t>
      </w:r>
      <w:r w:rsidRPr="009E498C">
        <w:rPr>
          <w:rFonts w:eastAsia="Daytona"/>
          <w:color w:val="000000" w:themeColor="text1"/>
          <w:szCs w:val="26"/>
        </w:rPr>
        <w:t>(Ann, D, SS)</w:t>
      </w:r>
    </w:p>
    <w:p w14:paraId="70488EDE" w14:textId="77777777" w:rsidR="00A86140" w:rsidRPr="009E498C" w:rsidRDefault="00A86140" w:rsidP="00A86140">
      <w:pPr>
        <w:ind w:left="720"/>
        <w:rPr>
          <w:rFonts w:eastAsia="Daytona"/>
          <w:color w:val="000000" w:themeColor="text1"/>
          <w:szCs w:val="26"/>
        </w:rPr>
      </w:pPr>
      <w:r w:rsidRPr="009E498C">
        <w:rPr>
          <w:rFonts w:eastAsia="Daytona"/>
          <w:i/>
          <w:color w:val="000000" w:themeColor="text1"/>
          <w:szCs w:val="26"/>
          <w:lang w:val="en-GB"/>
        </w:rPr>
        <w:t xml:space="preserve">…I would have a lot, they are very, I think I heard some number, say of twenty business plans that go…two might be accepted. </w:t>
      </w:r>
      <w:r w:rsidRPr="009E498C">
        <w:rPr>
          <w:rFonts w:eastAsia="Daytona"/>
          <w:color w:val="000000" w:themeColor="text1"/>
          <w:szCs w:val="26"/>
        </w:rPr>
        <w:t>(Eve, D, GS)</w:t>
      </w:r>
    </w:p>
    <w:p w14:paraId="2A9DE0D9" w14:textId="77777777" w:rsidR="00A86140" w:rsidRPr="009E498C" w:rsidRDefault="00A86140" w:rsidP="00A86140">
      <w:pPr>
        <w:rPr>
          <w:rStyle w:val="normaltextrun"/>
          <w:rFonts w:eastAsia="Calibri"/>
          <w:szCs w:val="26"/>
        </w:rPr>
      </w:pPr>
      <w:r w:rsidRPr="009E498C">
        <w:rPr>
          <w:rStyle w:val="normaltextrun"/>
          <w:rFonts w:eastAsia="Daytona" w:cstheme="minorHAnsi"/>
          <w:szCs w:val="26"/>
        </w:rPr>
        <w:t>Changing needs and developing complexity in such needs may also negatively impact other service users, challenging the potential for ageing in place:</w:t>
      </w:r>
    </w:p>
    <w:p w14:paraId="05C7A49A" w14:textId="77777777" w:rsidR="00A86140" w:rsidRPr="009E498C" w:rsidRDefault="00A86140" w:rsidP="00A86140">
      <w:pPr>
        <w:ind w:left="709"/>
        <w:rPr>
          <w:rFonts w:eastAsia="Daytona"/>
          <w:color w:val="000000" w:themeColor="text1"/>
          <w:szCs w:val="26"/>
        </w:rPr>
      </w:pPr>
      <w:r w:rsidRPr="009E498C">
        <w:rPr>
          <w:rFonts w:eastAsia="Daytona"/>
          <w:i/>
          <w:color w:val="000000" w:themeColor="text1"/>
          <w:szCs w:val="26"/>
          <w:lang w:val="en-GB"/>
        </w:rPr>
        <w:t xml:space="preserve">…I would find a lot of it would be behaviours for a start, it could be being up all night…everybody is in bed by 11, up at 7, and then you have maybe this one person up all night and then the other ladies are disturbed, or gentlemen you know…so it's like a social impact in anybody’s houses. </w:t>
      </w:r>
      <w:r w:rsidRPr="009E498C">
        <w:rPr>
          <w:rFonts w:eastAsia="Daytona"/>
          <w:color w:val="000000" w:themeColor="text1"/>
          <w:szCs w:val="26"/>
        </w:rPr>
        <w:t>(Freda, D, SS)</w:t>
      </w:r>
    </w:p>
    <w:p w14:paraId="57024B29" w14:textId="77777777" w:rsidR="00A86140" w:rsidRPr="009E498C" w:rsidRDefault="00A86140" w:rsidP="00A86140">
      <w:pPr>
        <w:ind w:left="709"/>
        <w:rPr>
          <w:rFonts w:eastAsia="Daytona" w:cstheme="minorBidi"/>
          <w:color w:val="000000" w:themeColor="text1"/>
          <w:szCs w:val="26"/>
          <w:lang w:val="en-GB"/>
        </w:rPr>
      </w:pPr>
      <w:r w:rsidRPr="009E498C">
        <w:rPr>
          <w:rFonts w:eastAsia="Daytona"/>
          <w:i/>
          <w:color w:val="000000" w:themeColor="text1"/>
          <w:szCs w:val="26"/>
          <w:lang w:val="en-GB"/>
        </w:rPr>
        <w:t>I think especially for the other people who live with the person; sometimes the person with the illness or the dementia their needs come first and…</w:t>
      </w:r>
      <w:r w:rsidRPr="009E498C">
        <w:rPr>
          <w:rFonts w:eastAsia="Daytona"/>
          <w:color w:val="000000" w:themeColor="text1"/>
          <w:szCs w:val="26"/>
          <w:lang w:val="en-GB"/>
        </w:rPr>
        <w:t>[other people]…</w:t>
      </w:r>
      <w:r w:rsidRPr="009E498C">
        <w:rPr>
          <w:rFonts w:eastAsia="Daytona"/>
          <w:i/>
          <w:color w:val="000000" w:themeColor="text1"/>
          <w:szCs w:val="26"/>
          <w:lang w:val="en-GB"/>
        </w:rPr>
        <w:t>get left behind and they feel they are not getting the support they need.</w:t>
      </w:r>
      <w:r w:rsidRPr="009E498C">
        <w:rPr>
          <w:rFonts w:eastAsia="Daytona"/>
          <w:color w:val="000000" w:themeColor="text1"/>
          <w:szCs w:val="26"/>
          <w:lang w:val="en-GB"/>
        </w:rPr>
        <w:t xml:space="preserve"> (Geraldine, D, SS)</w:t>
      </w:r>
    </w:p>
    <w:p w14:paraId="0E0A4BF9" w14:textId="77777777" w:rsidR="00A86140" w:rsidRPr="009E498C" w:rsidRDefault="00A86140" w:rsidP="00A86140">
      <w:pPr>
        <w:rPr>
          <w:rFonts w:eastAsia="Daytona"/>
          <w:color w:val="000000" w:themeColor="text1"/>
        </w:rPr>
      </w:pPr>
      <w:r>
        <w:rPr>
          <w:rFonts w:eastAsia="Daytona"/>
          <w:color w:val="000000" w:themeColor="text1"/>
        </w:rPr>
        <w:t>Acknowledging their</w:t>
      </w:r>
      <w:r w:rsidRPr="62E93A8C">
        <w:rPr>
          <w:rFonts w:eastAsia="Daytona"/>
          <w:color w:val="000000" w:themeColor="text1"/>
        </w:rPr>
        <w:t xml:space="preserve"> belief that ageing in place is a principle that should be aspired to, some participants considered it to be morally wrong that it has been </w:t>
      </w:r>
      <w:r>
        <w:rPr>
          <w:rFonts w:eastAsia="Daytona"/>
          <w:color w:val="000000" w:themeColor="text1"/>
        </w:rPr>
        <w:t>explicitly or implicitly ‘promised’ by</w:t>
      </w:r>
      <w:r w:rsidRPr="62E93A8C">
        <w:rPr>
          <w:rFonts w:eastAsia="Daytona"/>
          <w:color w:val="000000" w:themeColor="text1"/>
        </w:rPr>
        <w:t xml:space="preserve"> services </w:t>
      </w:r>
      <w:r>
        <w:rPr>
          <w:rFonts w:eastAsia="Daytona"/>
          <w:color w:val="000000" w:themeColor="text1"/>
        </w:rPr>
        <w:t>yet has</w:t>
      </w:r>
      <w:r w:rsidRPr="62E93A8C">
        <w:rPr>
          <w:rFonts w:eastAsia="Daytona"/>
          <w:color w:val="000000" w:themeColor="text1"/>
        </w:rPr>
        <w:t xml:space="preserve"> not been realised for some people: </w:t>
      </w:r>
    </w:p>
    <w:p w14:paraId="3C114E66" w14:textId="77777777" w:rsidR="00A86140" w:rsidRPr="009E498C" w:rsidRDefault="00A86140" w:rsidP="00A86140">
      <w:pPr>
        <w:ind w:left="720"/>
        <w:rPr>
          <w:rFonts w:eastAsia="Daytona"/>
          <w:i/>
          <w:color w:val="000000" w:themeColor="text1"/>
          <w:szCs w:val="26"/>
        </w:rPr>
      </w:pPr>
      <w:r w:rsidRPr="009E498C">
        <w:rPr>
          <w:rFonts w:eastAsia="Daytona"/>
          <w:i/>
          <w:color w:val="000000" w:themeColor="text1"/>
          <w:szCs w:val="26"/>
        </w:rPr>
        <w:t>People are individuals, their needs need to be assessed and a service built around that individual…they are talking about that since I was in college…it has happened for some people</w:t>
      </w:r>
      <w:r>
        <w:rPr>
          <w:rFonts w:eastAsia="Daytona"/>
          <w:i/>
          <w:color w:val="000000" w:themeColor="text1"/>
          <w:szCs w:val="26"/>
        </w:rPr>
        <w:t>,</w:t>
      </w:r>
      <w:r w:rsidRPr="009E498C">
        <w:rPr>
          <w:rFonts w:eastAsia="Daytona"/>
          <w:i/>
          <w:color w:val="000000" w:themeColor="text1"/>
          <w:szCs w:val="26"/>
        </w:rPr>
        <w:t xml:space="preserve"> but it hasn’t happened for everybody. It's cruel to have to push somebody out of their home where they have lived for whatever number of years and say ‘right we can’t look after you anymore’... </w:t>
      </w:r>
      <w:r w:rsidRPr="009E498C">
        <w:rPr>
          <w:rFonts w:eastAsia="Daytona"/>
          <w:color w:val="000000" w:themeColor="text1"/>
          <w:szCs w:val="26"/>
        </w:rPr>
        <w:t>(Eve, D, GS)</w:t>
      </w:r>
    </w:p>
    <w:p w14:paraId="7EF968B5" w14:textId="77777777" w:rsidR="00A86140" w:rsidRPr="009E498C" w:rsidRDefault="00A86140" w:rsidP="00A86140">
      <w:pPr>
        <w:rPr>
          <w:rFonts w:eastAsia="Daytona" w:cstheme="minorHAnsi"/>
          <w:color w:val="000000" w:themeColor="text1"/>
          <w:szCs w:val="26"/>
        </w:rPr>
      </w:pPr>
      <w:r w:rsidRPr="009E498C">
        <w:rPr>
          <w:rFonts w:eastAsia="Daytona" w:cstheme="minorHAnsi"/>
          <w:color w:val="000000" w:themeColor="text1"/>
          <w:szCs w:val="26"/>
        </w:rPr>
        <w:t xml:space="preserve">However, it was noted that, in the absence of alternatives and when the risk of continuing to care for a person </w:t>
      </w:r>
      <w:r w:rsidRPr="009E498C">
        <w:rPr>
          <w:rFonts w:eastAsia="Daytona" w:cstheme="minorHAnsi"/>
          <w:i/>
          <w:color w:val="000000" w:themeColor="text1"/>
          <w:szCs w:val="26"/>
        </w:rPr>
        <w:t>in situ</w:t>
      </w:r>
      <w:r w:rsidRPr="009E498C">
        <w:rPr>
          <w:rFonts w:eastAsia="Daytona" w:cstheme="minorHAnsi"/>
          <w:color w:val="000000" w:themeColor="text1"/>
          <w:szCs w:val="26"/>
        </w:rPr>
        <w:t xml:space="preserve"> becomes too great, some service users may be transferred to generic nursing homes:</w:t>
      </w:r>
    </w:p>
    <w:p w14:paraId="4132D6CC" w14:textId="018D2FD1" w:rsidR="00A86140" w:rsidRPr="009E498C" w:rsidRDefault="00A86140" w:rsidP="00A86140">
      <w:pPr>
        <w:ind w:left="720"/>
        <w:rPr>
          <w:rFonts w:eastAsia="Daytona" w:cs="Daytona"/>
          <w:color w:val="000000" w:themeColor="text1"/>
          <w:szCs w:val="26"/>
        </w:rPr>
      </w:pPr>
      <w:r w:rsidRPr="009E498C">
        <w:rPr>
          <w:rFonts w:eastAsia="Daytona"/>
          <w:i/>
          <w:color w:val="000000" w:themeColor="text1"/>
          <w:szCs w:val="26"/>
        </w:rPr>
        <w:t>So</w:t>
      </w:r>
      <w:r>
        <w:rPr>
          <w:rFonts w:eastAsia="Daytona"/>
          <w:i/>
          <w:color w:val="000000" w:themeColor="text1"/>
          <w:szCs w:val="26"/>
        </w:rPr>
        <w:t>,</w:t>
      </w:r>
      <w:r w:rsidRPr="009E498C">
        <w:rPr>
          <w:rFonts w:eastAsia="Daytona"/>
          <w:i/>
          <w:color w:val="000000" w:themeColor="text1"/>
          <w:szCs w:val="26"/>
        </w:rPr>
        <w:t xml:space="preserve"> I don’t think much fazes us here, until it comes to a point where you are looking at the risk and where we stand with that…where we are holding a lot of that without the acute support.</w:t>
      </w:r>
      <w:r w:rsidR="00991E69">
        <w:rPr>
          <w:rFonts w:eastAsia="Daytona"/>
          <w:i/>
          <w:color w:val="000000" w:themeColor="text1"/>
          <w:szCs w:val="26"/>
        </w:rPr>
        <w:t xml:space="preserve"> </w:t>
      </w:r>
      <w:r w:rsidRPr="009E498C">
        <w:rPr>
          <w:rFonts w:eastAsia="Daytona"/>
          <w:color w:val="000000" w:themeColor="text1"/>
          <w:szCs w:val="26"/>
        </w:rPr>
        <w:t>(Ingrid, D, GS</w:t>
      </w:r>
      <w:r w:rsidRPr="009E498C">
        <w:rPr>
          <w:rFonts w:eastAsia="Daytona" w:cs="Daytona"/>
          <w:color w:val="000000" w:themeColor="text1"/>
          <w:szCs w:val="26"/>
        </w:rPr>
        <w:t>)</w:t>
      </w:r>
    </w:p>
    <w:p w14:paraId="56673171" w14:textId="77777777" w:rsidR="00A86140" w:rsidRPr="009E498C" w:rsidRDefault="00A86140" w:rsidP="00A86140">
      <w:pPr>
        <w:rPr>
          <w:rFonts w:eastAsia="Daytona" w:cstheme="minorBidi"/>
          <w:szCs w:val="26"/>
        </w:rPr>
      </w:pPr>
      <w:r w:rsidRPr="009E498C">
        <w:rPr>
          <w:rFonts w:eastAsia="Daytona"/>
          <w:szCs w:val="26"/>
        </w:rPr>
        <w:t>Survey responses confirmed this view. Although nearly half of survey respondents (43%; n=13) believed that most people within their service would likely age in place as they developed complex age-related needs, 32% (n=8) believed that some people would likely need to be transferred to a mainstream nursing home due to a lack of available and suitable options within their service. Survey respondents also identified a need for increased medical support for people with a diagnosis of dementia, and that people might need to move to a dementia-specific service as the disease progressed.</w:t>
      </w:r>
    </w:p>
    <w:p w14:paraId="4FE09404" w14:textId="77777777" w:rsidR="00A86140" w:rsidRPr="009E498C" w:rsidRDefault="00A86140" w:rsidP="00A86140">
      <w:pPr>
        <w:rPr>
          <w:rStyle w:val="normaltextrun"/>
          <w:rFonts w:eastAsiaTheme="minorEastAsia" w:cstheme="minorHAnsi"/>
          <w:szCs w:val="26"/>
        </w:rPr>
      </w:pPr>
      <w:r w:rsidRPr="009E498C">
        <w:rPr>
          <w:rStyle w:val="normaltextrun"/>
          <w:rFonts w:eastAsiaTheme="minorEastAsia" w:cstheme="minorHAnsi"/>
          <w:szCs w:val="26"/>
        </w:rPr>
        <w:t>Decisions regarding the use of generic nursing homes arose, therefore from a care dilemma and were contextualised by a consideration that the needs of older adults with intellectual disabilities could not be adequately addressed in such settings:</w:t>
      </w:r>
    </w:p>
    <w:p w14:paraId="759B40BB" w14:textId="77777777" w:rsidR="00A86140" w:rsidRPr="009E498C" w:rsidRDefault="00A86140" w:rsidP="00A86140">
      <w:pPr>
        <w:ind w:left="720"/>
        <w:rPr>
          <w:rFonts w:eastAsia="Daytona"/>
          <w:color w:val="000000" w:themeColor="text1"/>
          <w:szCs w:val="26"/>
        </w:rPr>
      </w:pPr>
      <w:r w:rsidRPr="009E498C">
        <w:rPr>
          <w:rFonts w:eastAsia="Daytona"/>
          <w:i/>
          <w:color w:val="000000" w:themeColor="text1"/>
          <w:szCs w:val="26"/>
        </w:rPr>
        <w:t xml:space="preserve">They need so much more time, they need people that know them, they need people that care about them. They do need people that are watching out for them in relation to abuse and everything. But they need so much more care than they’ll ever get in a nursing home, and such different care. They cannot be put into a bed, or in a chair and just left there. They need to be stimulated at all times. </w:t>
      </w:r>
      <w:r w:rsidRPr="009E498C">
        <w:rPr>
          <w:rFonts w:eastAsia="Daytona"/>
          <w:color w:val="000000" w:themeColor="text1"/>
          <w:szCs w:val="26"/>
        </w:rPr>
        <w:t>(Freda, D, SS)</w:t>
      </w:r>
    </w:p>
    <w:p w14:paraId="600F399F" w14:textId="77777777" w:rsidR="00A86140" w:rsidRPr="009E498C" w:rsidRDefault="00A86140" w:rsidP="00A86140">
      <w:pPr>
        <w:rPr>
          <w:rStyle w:val="normaltextrun"/>
          <w:rFonts w:eastAsiaTheme="minorEastAsia" w:cstheme="minorHAnsi"/>
          <w:szCs w:val="26"/>
        </w:rPr>
      </w:pPr>
      <w:r w:rsidRPr="009E498C">
        <w:rPr>
          <w:rStyle w:val="normaltextrun"/>
          <w:rFonts w:eastAsiaTheme="minorEastAsia" w:cstheme="minorHAnsi"/>
          <w:szCs w:val="26"/>
        </w:rPr>
        <w:t>One participant noted that a positive and collaborative relationship had been built between her service and a local generic nursing home to address any potential shortcomings:</w:t>
      </w:r>
    </w:p>
    <w:p w14:paraId="432273FC" w14:textId="46C794FE" w:rsidR="00A86140" w:rsidRPr="009E498C" w:rsidRDefault="00A86140" w:rsidP="00A86140">
      <w:pPr>
        <w:ind w:left="720"/>
        <w:rPr>
          <w:rFonts w:eastAsia="Daytona"/>
          <w:color w:val="000000" w:themeColor="text1"/>
          <w:szCs w:val="26"/>
        </w:rPr>
      </w:pPr>
      <w:r w:rsidRPr="009E498C">
        <w:rPr>
          <w:rFonts w:eastAsia="Daytona"/>
          <w:i/>
          <w:color w:val="000000" w:themeColor="text1"/>
          <w:szCs w:val="26"/>
          <w:lang w:val="en-GB"/>
        </w:rPr>
        <w:t>Our service users were the first people with intellectual disability that they had dealt with.</w:t>
      </w:r>
      <w:r w:rsidR="00991E69">
        <w:rPr>
          <w:rFonts w:eastAsia="Daytona"/>
          <w:i/>
          <w:color w:val="000000" w:themeColor="text1"/>
          <w:szCs w:val="26"/>
          <w:lang w:val="en-GB"/>
        </w:rPr>
        <w:t xml:space="preserve"> </w:t>
      </w:r>
      <w:r w:rsidRPr="009E498C">
        <w:rPr>
          <w:rFonts w:eastAsia="Daytona"/>
          <w:i/>
          <w:color w:val="000000" w:themeColor="text1"/>
          <w:szCs w:val="26"/>
          <w:lang w:val="en-GB"/>
        </w:rPr>
        <w:t>And we built up a very strong relationship with them initially…for me it was about building up the relationships, an education process for everyone involved really. But the nursing homes yes, it has been positive, our relationship with them are good.</w:t>
      </w:r>
      <w:r w:rsidRPr="009E498C">
        <w:rPr>
          <w:rFonts w:eastAsia="Daytona"/>
          <w:color w:val="000000" w:themeColor="text1"/>
          <w:szCs w:val="26"/>
          <w:lang w:val="en-GB"/>
        </w:rPr>
        <w:t xml:space="preserve"> </w:t>
      </w:r>
      <w:r w:rsidRPr="009E498C">
        <w:rPr>
          <w:rFonts w:eastAsia="Daytona"/>
          <w:color w:val="000000" w:themeColor="text1"/>
          <w:szCs w:val="26"/>
        </w:rPr>
        <w:t>(Hannah, D, GS)</w:t>
      </w:r>
    </w:p>
    <w:p w14:paraId="1BC8619E" w14:textId="77777777" w:rsidR="00A86140" w:rsidRPr="009E498C" w:rsidRDefault="00A86140" w:rsidP="00A86140">
      <w:pPr>
        <w:rPr>
          <w:rFonts w:eastAsia="Daytona" w:cstheme="minorHAnsi"/>
          <w:szCs w:val="26"/>
        </w:rPr>
      </w:pPr>
      <w:r w:rsidRPr="009E498C">
        <w:rPr>
          <w:rFonts w:eastAsia="Daytona" w:cstheme="minorHAnsi"/>
          <w:szCs w:val="26"/>
        </w:rPr>
        <w:t xml:space="preserve">The predominating view was, though, that ageing in place was something that should underpin a quality ageing service, but that it needs to be properly resourced and is based on a combined and integrated effort by all parties, drawing from the various strands of service alluded to earlier in this section: </w:t>
      </w:r>
    </w:p>
    <w:p w14:paraId="7155A06B" w14:textId="1C8FA057" w:rsidR="00A86140" w:rsidRPr="009E498C" w:rsidRDefault="00A86140" w:rsidP="6353D33D">
      <w:pPr>
        <w:ind w:left="709"/>
        <w:rPr>
          <w:rFonts w:eastAsia="Daytona"/>
        </w:rPr>
      </w:pPr>
      <w:r w:rsidRPr="6353D33D">
        <w:rPr>
          <w:rFonts w:eastAsia="Daytona"/>
          <w:i/>
          <w:iCs/>
        </w:rPr>
        <w:t>It’s really a social care model but with the assistance of nursing. And multidisciplinary team are really invaluable with the OT and physio, speech therapy…we’ve a very good staff you know very low turnover of staff…and they’ve got to know them, got to know their families. And they’re also in their own communities, they’re living out in the community and attending their local ag</w:t>
      </w:r>
      <w:r w:rsidR="7F03C731" w:rsidRPr="6353D33D">
        <w:rPr>
          <w:rFonts w:eastAsia="Daytona"/>
          <w:i/>
          <w:iCs/>
        </w:rPr>
        <w:t>e</w:t>
      </w:r>
      <w:r w:rsidRPr="6353D33D">
        <w:rPr>
          <w:rFonts w:eastAsia="Daytona"/>
          <w:i/>
          <w:iCs/>
        </w:rPr>
        <w:t>ing you know, active ag</w:t>
      </w:r>
      <w:r w:rsidR="18545859" w:rsidRPr="6353D33D">
        <w:rPr>
          <w:rFonts w:eastAsia="Daytona"/>
          <w:i/>
          <w:iCs/>
        </w:rPr>
        <w:t>e</w:t>
      </w:r>
      <w:r w:rsidRPr="6353D33D">
        <w:rPr>
          <w:rFonts w:eastAsia="Daytona"/>
          <w:i/>
          <w:iCs/>
        </w:rPr>
        <w:t>ing groups. They’re known in the community. You</w:t>
      </w:r>
      <w:r w:rsidRPr="6353D33D">
        <w:rPr>
          <w:rFonts w:eastAsia="Daytona"/>
          <w:color w:val="000000" w:themeColor="text1"/>
        </w:rPr>
        <w:t xml:space="preserve"> </w:t>
      </w:r>
      <w:r w:rsidRPr="6353D33D">
        <w:rPr>
          <w:rFonts w:eastAsia="Daytona"/>
          <w:i/>
          <w:iCs/>
        </w:rPr>
        <w:t xml:space="preserve">know they’re looked after I suppose by the people around them as well…they’re living in their own little community areas. </w:t>
      </w:r>
      <w:r w:rsidRPr="6353D33D">
        <w:rPr>
          <w:rFonts w:eastAsia="Daytona"/>
        </w:rPr>
        <w:t>(Cathy, D, SS)</w:t>
      </w:r>
    </w:p>
    <w:p w14:paraId="7CF827A5" w14:textId="77777777" w:rsidR="00A86140" w:rsidRPr="009E498C" w:rsidRDefault="00A86140" w:rsidP="00A86140">
      <w:pPr>
        <w:ind w:left="709"/>
        <w:rPr>
          <w:rFonts w:eastAsia="Calibri" w:cs="Calibri"/>
          <w:szCs w:val="26"/>
        </w:rPr>
      </w:pPr>
      <w:r w:rsidRPr="009E498C">
        <w:rPr>
          <w:rFonts w:eastAsia="Calibri" w:cs="Calibri"/>
          <w:i/>
          <w:szCs w:val="26"/>
        </w:rPr>
        <w:t>We would have a very close working relationship with the residential staff. And we would like to kind of have a holistic approach to the service users there where we’re all kind of working together.</w:t>
      </w:r>
      <w:r w:rsidRPr="009E498C">
        <w:rPr>
          <w:rFonts w:eastAsia="Calibri" w:cs="Calibri"/>
          <w:szCs w:val="26"/>
        </w:rPr>
        <w:t xml:space="preserve"> (Katrin, M, GS)</w:t>
      </w:r>
    </w:p>
    <w:p w14:paraId="5715F208" w14:textId="77777777" w:rsidR="00A86140" w:rsidRPr="009E498C" w:rsidRDefault="00A86140" w:rsidP="00A86140">
      <w:pPr>
        <w:rPr>
          <w:rFonts w:eastAsia="Calibri" w:cs="Calibri"/>
          <w:color w:val="000000" w:themeColor="text1"/>
          <w:szCs w:val="26"/>
        </w:rPr>
      </w:pPr>
      <w:r w:rsidRPr="009E498C">
        <w:rPr>
          <w:rFonts w:eastAsia="Calibri" w:cs="Calibri"/>
          <w:color w:val="000000" w:themeColor="text1"/>
          <w:szCs w:val="26"/>
        </w:rPr>
        <w:t>The question of resources led one survey respondent to propose that the</w:t>
      </w:r>
      <w:r>
        <w:rPr>
          <w:rFonts w:eastAsia="Calibri" w:cs="Calibri"/>
          <w:color w:val="000000" w:themeColor="text1"/>
          <w:szCs w:val="26"/>
        </w:rPr>
        <w:t>re</w:t>
      </w:r>
      <w:r w:rsidRPr="009E498C">
        <w:rPr>
          <w:rFonts w:eastAsia="Calibri" w:cs="Calibri"/>
          <w:color w:val="000000" w:themeColor="text1"/>
          <w:szCs w:val="26"/>
        </w:rPr>
        <w:t xml:space="preserve"> should be a…</w:t>
      </w:r>
    </w:p>
    <w:p w14:paraId="7FF2F7F1" w14:textId="2F6DEE63" w:rsidR="00A86140" w:rsidRPr="009E498C" w:rsidRDefault="00A86140" w:rsidP="11C55A92">
      <w:pPr>
        <w:ind w:left="709"/>
        <w:rPr>
          <w:rFonts w:eastAsia="Calibri" w:cs="Calibri"/>
          <w:i/>
          <w:iCs/>
          <w:color w:val="FF0000"/>
        </w:rPr>
      </w:pPr>
      <w:r w:rsidRPr="11C55A92">
        <w:rPr>
          <w:i/>
          <w:iCs/>
          <w:color w:val="000000" w:themeColor="text1"/>
        </w:rPr>
        <w:t>…review of decongregation policy to reflect the changing needs of older people with an</w:t>
      </w:r>
      <w:r w:rsidR="00340C23" w:rsidRPr="11C55A92">
        <w:rPr>
          <w:i/>
          <w:iCs/>
          <w:color w:val="000000" w:themeColor="text1"/>
        </w:rPr>
        <w:t xml:space="preserve"> </w:t>
      </w:r>
      <w:r w:rsidRPr="11C55A92">
        <w:rPr>
          <w:i/>
          <w:iCs/>
          <w:color w:val="000000" w:themeColor="text1"/>
        </w:rPr>
        <w:t>ID…</w:t>
      </w:r>
      <w:r w:rsidRPr="11C55A92">
        <w:rPr>
          <w:color w:val="000000" w:themeColor="text1"/>
        </w:rPr>
        <w:t>[sic]…</w:t>
      </w:r>
      <w:r w:rsidRPr="11C55A92">
        <w:rPr>
          <w:i/>
          <w:iCs/>
          <w:color w:val="000000" w:themeColor="text1"/>
        </w:rPr>
        <w:t xml:space="preserve">and the resource requirements to manage </w:t>
      </w:r>
      <w:r w:rsidR="51861355" w:rsidRPr="11C55A92">
        <w:rPr>
          <w:i/>
          <w:iCs/>
          <w:color w:val="000000" w:themeColor="text1"/>
        </w:rPr>
        <w:t>ageing</w:t>
      </w:r>
      <w:r w:rsidRPr="11C55A92">
        <w:rPr>
          <w:i/>
          <w:iCs/>
          <w:color w:val="000000" w:themeColor="text1"/>
        </w:rPr>
        <w:t xml:space="preserve"> in place. </w:t>
      </w:r>
      <w:r w:rsidRPr="11C55A92">
        <w:rPr>
          <w:color w:val="000000" w:themeColor="text1"/>
        </w:rPr>
        <w:t>(S)</w:t>
      </w:r>
      <w:r w:rsidRPr="11C55A92">
        <w:rPr>
          <w:i/>
          <w:iCs/>
          <w:color w:val="000000" w:themeColor="text1"/>
        </w:rPr>
        <w:t xml:space="preserve"> </w:t>
      </w:r>
    </w:p>
    <w:p w14:paraId="271ECCFE" w14:textId="77777777" w:rsidR="00A86140" w:rsidRPr="009E498C" w:rsidRDefault="00A86140" w:rsidP="00A86140">
      <w:pPr>
        <w:rPr>
          <w:rFonts w:eastAsia="Calibri" w:cs="Calibri"/>
          <w:color w:val="000000" w:themeColor="text1"/>
          <w:szCs w:val="26"/>
        </w:rPr>
      </w:pPr>
      <w:r w:rsidRPr="009E498C">
        <w:rPr>
          <w:rFonts w:eastAsia="Calibri" w:cs="Calibri"/>
          <w:color w:val="000000" w:themeColor="text1"/>
          <w:szCs w:val="26"/>
        </w:rPr>
        <w:t>The above reference to proper resourcing is a repeating thread throughout the findings and one upon which a quality service is premised. This does not mean that there is a need to duplicate supports that are already there, but, perhaps, facilitate increasing use of mainstream community and health resources through developing formal and reliable lines of communication between such services and those working in the intellectual disability sector.</w:t>
      </w:r>
    </w:p>
    <w:p w14:paraId="63AAEA3D" w14:textId="77777777" w:rsidR="00A86140" w:rsidRPr="0008323B" w:rsidRDefault="00A86140" w:rsidP="00A86140">
      <w:pPr>
        <w:pStyle w:val="Heading4"/>
        <w:rPr>
          <w:color w:val="auto"/>
        </w:rPr>
      </w:pPr>
      <w:r w:rsidRPr="0008323B">
        <w:rPr>
          <w:color w:val="auto"/>
        </w:rPr>
        <w:t>Networking and multidisciplinary support</w:t>
      </w:r>
    </w:p>
    <w:p w14:paraId="2EE90851" w14:textId="77777777" w:rsidR="00A86140" w:rsidRPr="009E498C" w:rsidRDefault="00A86140" w:rsidP="00A86140">
      <w:pPr>
        <w:rPr>
          <w:rFonts w:eastAsia="Calibri" w:cs="Calibri"/>
        </w:rPr>
      </w:pPr>
      <w:r w:rsidRPr="022652B5">
        <w:rPr>
          <w:rFonts w:eastAsia="Calibri" w:cs="Calibri"/>
        </w:rPr>
        <w:t>Participants, therefore, recognised the importance of the networking across members of the multidisciplinary team and their role in identifying supports that the person may require and to ensure continuity of care across the service that the person utilises:</w:t>
      </w:r>
    </w:p>
    <w:p w14:paraId="3CF0E351" w14:textId="77777777" w:rsidR="00A86140" w:rsidRPr="009E498C" w:rsidRDefault="00A86140" w:rsidP="00A86140">
      <w:pPr>
        <w:ind w:left="709"/>
        <w:rPr>
          <w:szCs w:val="26"/>
        </w:rPr>
      </w:pPr>
      <w:r>
        <w:rPr>
          <w:rFonts w:eastAsia="Calibri" w:cs="Calibri"/>
          <w:i/>
          <w:szCs w:val="26"/>
        </w:rPr>
        <w:t>…</w:t>
      </w:r>
      <w:r w:rsidRPr="009E498C">
        <w:rPr>
          <w:rFonts w:eastAsia="Calibri" w:cs="Calibri"/>
          <w:i/>
          <w:szCs w:val="26"/>
        </w:rPr>
        <w:t>MDT meetings to see what environmental supports we can put in place…whether it's OT, SLT, whether it's behavioural or it's psychiatric consultations.</w:t>
      </w:r>
      <w:r w:rsidRPr="009E498C">
        <w:rPr>
          <w:rFonts w:eastAsia="Calibri" w:cs="Calibri"/>
          <w:szCs w:val="26"/>
        </w:rPr>
        <w:t xml:space="preserve"> (Michael, M, SS) </w:t>
      </w:r>
    </w:p>
    <w:p w14:paraId="004D76BE" w14:textId="77777777" w:rsidR="00A86140" w:rsidRPr="009E498C" w:rsidRDefault="00A86140" w:rsidP="00A86140">
      <w:pPr>
        <w:ind w:left="709"/>
        <w:rPr>
          <w:szCs w:val="26"/>
        </w:rPr>
      </w:pPr>
      <w:r w:rsidRPr="009E498C">
        <w:rPr>
          <w:rFonts w:eastAsia="Calibri" w:cs="Calibri"/>
          <w:i/>
          <w:color w:val="000000" w:themeColor="text1"/>
          <w:szCs w:val="26"/>
        </w:rPr>
        <w:t>we have an activation team that would link in on those meetings as well to</w:t>
      </w:r>
      <w:r w:rsidRPr="009E498C">
        <w:rPr>
          <w:rFonts w:eastAsia="Calibri" w:cs="Calibri"/>
          <w:i/>
          <w:strike/>
          <w:color w:val="D13438"/>
          <w:szCs w:val="26"/>
        </w:rPr>
        <w:t xml:space="preserve"> </w:t>
      </w:r>
      <w:r w:rsidRPr="009E498C">
        <w:rPr>
          <w:rFonts w:eastAsia="Calibri" w:cs="Calibri"/>
          <w:i/>
          <w:color w:val="000000" w:themeColor="text1"/>
          <w:szCs w:val="26"/>
        </w:rPr>
        <w:t xml:space="preserve">help them progress their goals from that side of things. We’d have the nursing team and then we’d also have the activation team. </w:t>
      </w:r>
      <w:r w:rsidRPr="009E498C">
        <w:rPr>
          <w:rFonts w:eastAsia="Calibri" w:cs="Calibri"/>
          <w:color w:val="000000" w:themeColor="text1"/>
          <w:szCs w:val="26"/>
        </w:rPr>
        <w:t>(Noreen, M, SS)</w:t>
      </w:r>
    </w:p>
    <w:p w14:paraId="36D1021C" w14:textId="77777777" w:rsidR="00A86140" w:rsidRPr="009E498C" w:rsidRDefault="00A86140" w:rsidP="00A86140">
      <w:pPr>
        <w:rPr>
          <w:szCs w:val="26"/>
        </w:rPr>
      </w:pPr>
      <w:r w:rsidRPr="009E498C">
        <w:rPr>
          <w:szCs w:val="26"/>
        </w:rPr>
        <w:t>The importance of networking extended beyond multidisciplinary interactions within services</w:t>
      </w:r>
      <w:r>
        <w:rPr>
          <w:szCs w:val="26"/>
        </w:rPr>
        <w:t>,</w:t>
      </w:r>
      <w:r w:rsidRPr="009E498C">
        <w:rPr>
          <w:szCs w:val="26"/>
        </w:rPr>
        <w:t xml:space="preserve"> and it was noted that linkages between generic and disability services were also vital, allowing for a sharing of knowledge and skills as well as to maximising the potential for the older person to obtain health services whilst remaining in their home setting. One participant described a broad network of such links:</w:t>
      </w:r>
    </w:p>
    <w:p w14:paraId="0B4AB0A9" w14:textId="77777777" w:rsidR="00A86140" w:rsidRPr="009E498C" w:rsidRDefault="00A86140" w:rsidP="00A86140">
      <w:pPr>
        <w:ind w:left="709"/>
        <w:rPr>
          <w:rFonts w:cstheme="minorHAnsi"/>
          <w:szCs w:val="26"/>
        </w:rPr>
      </w:pPr>
      <w:r w:rsidRPr="009E498C">
        <w:rPr>
          <w:rFonts w:cstheme="minorHAnsi"/>
          <w:i/>
          <w:szCs w:val="26"/>
        </w:rPr>
        <w:t>…when it comes to palliative care and that…diabetes and neurology we have a consultant at the end of a mobile phone nearly all the time…We have access now to wound care…advice from mainstream hospitals…a consultant psychiatrist…GP…team of nurse prescribers …</w:t>
      </w:r>
      <w:r w:rsidRPr="009E498C">
        <w:rPr>
          <w:rFonts w:cstheme="minorHAnsi"/>
          <w:szCs w:val="26"/>
        </w:rPr>
        <w:t>[and]</w:t>
      </w:r>
      <w:r w:rsidRPr="009E498C">
        <w:rPr>
          <w:rFonts w:cstheme="minorHAnsi"/>
          <w:i/>
          <w:szCs w:val="26"/>
        </w:rPr>
        <w:t>…an Advance Nurse Practitioner who…has her own referral pathways…she will put twenty times more detail than what our own GP would put into a referral letter.</w:t>
      </w:r>
      <w:r w:rsidRPr="009E498C">
        <w:rPr>
          <w:rFonts w:cstheme="minorHAnsi"/>
          <w:szCs w:val="26"/>
        </w:rPr>
        <w:t xml:space="preserve"> (Michael, M, SS)</w:t>
      </w:r>
    </w:p>
    <w:p w14:paraId="4B680601" w14:textId="74D55A61" w:rsidR="00A86140" w:rsidRPr="009E498C" w:rsidRDefault="00A86140" w:rsidP="11C55A92">
      <w:pPr>
        <w:rPr>
          <w:rFonts w:cstheme="minorBidi"/>
        </w:rPr>
      </w:pPr>
      <w:r w:rsidRPr="11C55A92">
        <w:rPr>
          <w:rFonts w:cstheme="minorBidi"/>
        </w:rPr>
        <w:t xml:space="preserve">Many of these links were described as being informal contacts made between someone in the disability service and someone in the other health setting. It was acknowledged that there was a somewhat </w:t>
      </w:r>
      <w:r w:rsidR="00E46E02">
        <w:rPr>
          <w:rFonts w:cstheme="minorBidi"/>
        </w:rPr>
        <w:t>tenuous</w:t>
      </w:r>
      <w:r w:rsidRPr="11C55A92">
        <w:rPr>
          <w:rFonts w:cstheme="minorBidi"/>
        </w:rPr>
        <w:t xml:space="preserve"> nature to these, </w:t>
      </w:r>
      <w:r w:rsidR="00E46E02">
        <w:rPr>
          <w:rFonts w:cstheme="minorBidi"/>
        </w:rPr>
        <w:t>such that</w:t>
      </w:r>
      <w:r w:rsidRPr="11C55A92">
        <w:rPr>
          <w:rFonts w:cstheme="minorBidi"/>
        </w:rPr>
        <w:t xml:space="preserve"> if key personnel changed</w:t>
      </w:r>
      <w:r w:rsidR="00E46E02">
        <w:rPr>
          <w:rFonts w:cstheme="minorBidi"/>
        </w:rPr>
        <w:t>, they could be lost</w:t>
      </w:r>
      <w:r w:rsidRPr="11C55A92">
        <w:rPr>
          <w:rFonts w:cstheme="minorBidi"/>
        </w:rPr>
        <w:t>. It was for this reason that one participant considered such pathways needed to be more formally established:</w:t>
      </w:r>
    </w:p>
    <w:p w14:paraId="70BB408F" w14:textId="77777777" w:rsidR="00A86140" w:rsidRPr="009E498C" w:rsidRDefault="00A86140" w:rsidP="00A86140">
      <w:pPr>
        <w:ind w:left="709"/>
        <w:rPr>
          <w:rFonts w:cstheme="minorHAnsi"/>
          <w:szCs w:val="26"/>
        </w:rPr>
      </w:pPr>
      <w:r w:rsidRPr="009E498C">
        <w:rPr>
          <w:rFonts w:cstheme="minorHAnsi"/>
          <w:i/>
          <w:szCs w:val="26"/>
        </w:rPr>
        <w:t xml:space="preserve">I see the benefit of having formalised pathways and I think especially with the acute it's an area that we need to progress further, especially in terms of older persons. </w:t>
      </w:r>
      <w:r w:rsidRPr="009E498C">
        <w:rPr>
          <w:rFonts w:cstheme="minorHAnsi"/>
          <w:szCs w:val="26"/>
        </w:rPr>
        <w:t>(Anne, M, SS)</w:t>
      </w:r>
    </w:p>
    <w:p w14:paraId="5AA892E0" w14:textId="77777777" w:rsidR="00A86140" w:rsidRPr="009E498C" w:rsidRDefault="00A86140" w:rsidP="00A86140">
      <w:pPr>
        <w:rPr>
          <w:rFonts w:cstheme="minorHAnsi"/>
          <w:szCs w:val="26"/>
        </w:rPr>
      </w:pPr>
      <w:r w:rsidRPr="009E498C">
        <w:rPr>
          <w:rFonts w:cstheme="minorHAnsi"/>
          <w:szCs w:val="26"/>
        </w:rPr>
        <w:t>That said, there was a benefit in having informal connections as it helped to access services that might otherwise be difficult to access:</w:t>
      </w:r>
    </w:p>
    <w:p w14:paraId="10178EFE" w14:textId="77777777" w:rsidR="00A86140" w:rsidRPr="009E498C" w:rsidRDefault="00A86140" w:rsidP="00A86140">
      <w:pPr>
        <w:ind w:left="709"/>
        <w:rPr>
          <w:szCs w:val="26"/>
        </w:rPr>
      </w:pPr>
      <w:r w:rsidRPr="009E498C">
        <w:rPr>
          <w:rStyle w:val="normaltextrun"/>
          <w:i/>
          <w:szCs w:val="26"/>
          <w:shd w:val="clear" w:color="auto" w:fill="FFFFFF"/>
        </w:rPr>
        <w:t>…an ophthalmologist…will do their yearly eye check and things like that. However, we also have like a very good referral system with them, a private ophthalmologist who gets good links then to the primary care hospital as well.</w:t>
      </w:r>
      <w:r w:rsidRPr="009E498C">
        <w:rPr>
          <w:rStyle w:val="normaltextrun"/>
          <w:szCs w:val="26"/>
          <w:shd w:val="clear" w:color="auto" w:fill="FFFFFF"/>
        </w:rPr>
        <w:t xml:space="preserve"> (Noreen, M, SS)</w:t>
      </w:r>
    </w:p>
    <w:p w14:paraId="72D56429" w14:textId="77777777" w:rsidR="00A86140" w:rsidRPr="009E498C" w:rsidRDefault="00A86140" w:rsidP="00A86140">
      <w:pPr>
        <w:rPr>
          <w:rFonts w:cstheme="minorHAnsi"/>
          <w:szCs w:val="26"/>
        </w:rPr>
      </w:pPr>
      <w:r w:rsidRPr="009E498C">
        <w:rPr>
          <w:rFonts w:cstheme="minorHAnsi"/>
          <w:szCs w:val="26"/>
        </w:rPr>
        <w:t>Establishing, and nurturing such links can be particularly crucial where it is difficult to find expertise within the services:</w:t>
      </w:r>
    </w:p>
    <w:p w14:paraId="7F707A71" w14:textId="77777777" w:rsidR="00A86140" w:rsidRPr="009E498C" w:rsidRDefault="00A86140" w:rsidP="00A86140">
      <w:pPr>
        <w:ind w:left="709"/>
        <w:rPr>
          <w:rFonts w:cstheme="minorHAnsi"/>
          <w:szCs w:val="26"/>
        </w:rPr>
      </w:pPr>
      <w:r w:rsidRPr="009E498C">
        <w:rPr>
          <w:rFonts w:cstheme="minorHAnsi"/>
          <w:i/>
          <w:szCs w:val="26"/>
        </w:rPr>
        <w:t xml:space="preserve">…integration with other services…and referral out is very important and making sure that the person has all of the links with all of the carers that they need. </w:t>
      </w:r>
      <w:r w:rsidRPr="009E498C">
        <w:rPr>
          <w:rFonts w:cstheme="minorHAnsi"/>
          <w:szCs w:val="26"/>
        </w:rPr>
        <w:t>(Sarah, M, SS)</w:t>
      </w:r>
    </w:p>
    <w:p w14:paraId="19164381" w14:textId="5DCBCF53" w:rsidR="00A86140" w:rsidRPr="009E498C" w:rsidRDefault="00A86140" w:rsidP="00A86140">
      <w:pPr>
        <w:rPr>
          <w:rFonts w:cstheme="minorHAnsi"/>
          <w:szCs w:val="26"/>
        </w:rPr>
      </w:pPr>
      <w:r w:rsidRPr="009E498C">
        <w:rPr>
          <w:rFonts w:cstheme="minorHAnsi"/>
          <w:szCs w:val="26"/>
        </w:rPr>
        <w:t>The ageing profile of service users that has become characteristic in most intellectual disability organisations has led to a greater focus on end</w:t>
      </w:r>
      <w:r w:rsidR="00AD236A">
        <w:rPr>
          <w:rFonts w:cstheme="minorHAnsi"/>
          <w:szCs w:val="26"/>
        </w:rPr>
        <w:t xml:space="preserve"> of life</w:t>
      </w:r>
      <w:r w:rsidRPr="009E498C">
        <w:rPr>
          <w:rFonts w:cstheme="minorHAnsi"/>
          <w:szCs w:val="26"/>
        </w:rPr>
        <w:t xml:space="preserve"> care and this has required staff to learn new skills. Close links with hospices have been important in this regard:</w:t>
      </w:r>
    </w:p>
    <w:p w14:paraId="0628687C" w14:textId="2BF3DD35" w:rsidR="00A86140" w:rsidRPr="009E498C" w:rsidRDefault="00A86140" w:rsidP="00A86140">
      <w:pPr>
        <w:ind w:left="709"/>
        <w:rPr>
          <w:rFonts w:cstheme="minorBidi"/>
        </w:rPr>
      </w:pPr>
      <w:r w:rsidRPr="70D440E4">
        <w:rPr>
          <w:rFonts w:cstheme="minorBidi"/>
          <w:i/>
        </w:rPr>
        <w:t>…we are now trying to train up staff with end</w:t>
      </w:r>
      <w:r w:rsidR="00AD236A">
        <w:rPr>
          <w:rFonts w:cstheme="minorBidi"/>
          <w:i/>
        </w:rPr>
        <w:t xml:space="preserve"> </w:t>
      </w:r>
      <w:r w:rsidRPr="70D440E4">
        <w:rPr>
          <w:rFonts w:cstheme="minorBidi"/>
          <w:i/>
        </w:rPr>
        <w:t>of</w:t>
      </w:r>
      <w:r w:rsidR="00AD236A">
        <w:rPr>
          <w:rFonts w:cstheme="minorBidi"/>
          <w:i/>
        </w:rPr>
        <w:t xml:space="preserve"> </w:t>
      </w:r>
      <w:r w:rsidRPr="70D440E4">
        <w:rPr>
          <w:rFonts w:cstheme="minorBidi"/>
          <w:i/>
        </w:rPr>
        <w:t>life care. We’ve built up links with the local hospice...they are coming in and supporting the staff on site to support people right to end</w:t>
      </w:r>
      <w:r w:rsidR="000C5FF7">
        <w:rPr>
          <w:rFonts w:cstheme="minorBidi"/>
          <w:i/>
        </w:rPr>
        <w:t xml:space="preserve"> </w:t>
      </w:r>
      <w:r w:rsidRPr="70D440E4">
        <w:rPr>
          <w:rFonts w:cstheme="minorBidi"/>
          <w:i/>
        </w:rPr>
        <w:t xml:space="preserve">of </w:t>
      </w:r>
      <w:r w:rsidRPr="564390AA">
        <w:rPr>
          <w:rFonts w:cstheme="minorBidi"/>
          <w:i/>
        </w:rPr>
        <w:t>life</w:t>
      </w:r>
      <w:r w:rsidRPr="70D440E4">
        <w:rPr>
          <w:rFonts w:cstheme="minorBidi"/>
          <w:i/>
        </w:rPr>
        <w:t>, offering them day to day support about, you know, skin care, skin integrity, mouth care, medications and so forth…</w:t>
      </w:r>
      <w:r w:rsidRPr="70D440E4">
        <w:rPr>
          <w:rFonts w:cstheme="minorBidi"/>
        </w:rPr>
        <w:t xml:space="preserve"> (Sarah, M, SS)</w:t>
      </w:r>
    </w:p>
    <w:p w14:paraId="573D0E80" w14:textId="77777777" w:rsidR="00A86140" w:rsidRPr="009E498C" w:rsidRDefault="00A86140" w:rsidP="00A86140">
      <w:pPr>
        <w:rPr>
          <w:rFonts w:cstheme="minorHAnsi"/>
          <w:szCs w:val="26"/>
        </w:rPr>
      </w:pPr>
      <w:r w:rsidRPr="009E498C">
        <w:rPr>
          <w:rFonts w:cstheme="minorHAnsi"/>
          <w:szCs w:val="26"/>
        </w:rPr>
        <w:t>Developing relationships between intellectual disability and non-disability services can support ageing in place, increase inclusion and bring benefits for both partners:</w:t>
      </w:r>
    </w:p>
    <w:p w14:paraId="5C6219D8" w14:textId="77777777" w:rsidR="00A86140" w:rsidRPr="009E498C" w:rsidRDefault="00A86140" w:rsidP="00A86140">
      <w:pPr>
        <w:ind w:left="709"/>
        <w:rPr>
          <w:rFonts w:cstheme="minorHAnsi"/>
          <w:szCs w:val="26"/>
        </w:rPr>
      </w:pPr>
      <w:r w:rsidRPr="009E498C">
        <w:rPr>
          <w:rFonts w:cstheme="minorHAnsi"/>
          <w:i/>
          <w:szCs w:val="26"/>
        </w:rPr>
        <w:t>…the nursing home geographically it’s just across the road…they would have a music session on a Friday so our service users would go over to join their group and…in turn then we would have different events happening in our day service so we would extend the invitation.</w:t>
      </w:r>
      <w:r w:rsidRPr="009E498C">
        <w:rPr>
          <w:rFonts w:cstheme="minorHAnsi"/>
          <w:szCs w:val="26"/>
        </w:rPr>
        <w:t xml:space="preserve"> (Margaret, M, GS)</w:t>
      </w:r>
    </w:p>
    <w:p w14:paraId="3A86490A" w14:textId="77777777" w:rsidR="00A86140" w:rsidRPr="009E498C" w:rsidRDefault="00A86140" w:rsidP="00A86140">
      <w:pPr>
        <w:rPr>
          <w:rFonts w:cstheme="minorHAnsi"/>
          <w:szCs w:val="26"/>
        </w:rPr>
      </w:pPr>
      <w:r w:rsidRPr="009E498C">
        <w:rPr>
          <w:rFonts w:cstheme="minorHAnsi"/>
          <w:szCs w:val="26"/>
        </w:rPr>
        <w:t>They were also considered to have the potential to reduce hospital admissions:</w:t>
      </w:r>
    </w:p>
    <w:p w14:paraId="4CACC8BE" w14:textId="77777777" w:rsidR="00A86140" w:rsidRPr="009E498C" w:rsidRDefault="00A86140" w:rsidP="00A86140">
      <w:pPr>
        <w:ind w:left="709"/>
        <w:rPr>
          <w:rFonts w:cstheme="minorHAnsi"/>
          <w:szCs w:val="26"/>
        </w:rPr>
      </w:pPr>
      <w:r w:rsidRPr="009E498C">
        <w:rPr>
          <w:rFonts w:cstheme="minorHAnsi"/>
          <w:i/>
          <w:szCs w:val="26"/>
        </w:rPr>
        <w:t>…linking in with individual supports…would help maintain…</w:t>
      </w:r>
      <w:r w:rsidRPr="009E498C">
        <w:rPr>
          <w:rFonts w:cstheme="minorHAnsi"/>
          <w:szCs w:val="26"/>
        </w:rPr>
        <w:t>[older people with intellectual disabilities]…</w:t>
      </w:r>
      <w:r w:rsidRPr="009E498C">
        <w:rPr>
          <w:rFonts w:cstheme="minorHAnsi"/>
          <w:i/>
          <w:szCs w:val="26"/>
        </w:rPr>
        <w:t>at home and out of hospital and the number of admissions possibly would be reduced into the acute services if we had that ongoing link into the acute services and the gerontology specialists’ services.</w:t>
      </w:r>
      <w:r w:rsidRPr="009E498C">
        <w:rPr>
          <w:rFonts w:cstheme="minorHAnsi"/>
          <w:szCs w:val="26"/>
        </w:rPr>
        <w:t xml:space="preserve"> (Anne, M, SS)</w:t>
      </w:r>
    </w:p>
    <w:p w14:paraId="1B9DFF23" w14:textId="10221011" w:rsidR="00A86140" w:rsidRPr="009E498C" w:rsidRDefault="00A86140" w:rsidP="00A86140">
      <w:r w:rsidRPr="5CD11971">
        <w:t>Despite these positive accounts, others noted a reticence on the part of some generic services to respond to requests of support, assuming that the presence of health care professionals in the disability service meant that they already had the required expertise</w:t>
      </w:r>
      <w:r w:rsidR="2D458AA4" w:rsidRPr="5CD11971">
        <w:t>:</w:t>
      </w:r>
    </w:p>
    <w:p w14:paraId="17519A97" w14:textId="77777777" w:rsidR="00A86140" w:rsidRPr="009E498C" w:rsidRDefault="00A86140" w:rsidP="00A86140">
      <w:pPr>
        <w:ind w:left="709"/>
        <w:rPr>
          <w:szCs w:val="26"/>
        </w:rPr>
      </w:pPr>
      <w:r w:rsidRPr="009E498C">
        <w:rPr>
          <w:szCs w:val="26"/>
        </w:rPr>
        <w:t>…</w:t>
      </w:r>
      <w:r w:rsidRPr="009E498C">
        <w:rPr>
          <w:i/>
          <w:szCs w:val="26"/>
        </w:rPr>
        <w:t>there’s a presumption that you have…somebody supporting people; they are not inclined to support us because we have nursing support.</w:t>
      </w:r>
      <w:r w:rsidRPr="009E498C">
        <w:rPr>
          <w:szCs w:val="26"/>
        </w:rPr>
        <w:t xml:space="preserve"> (Jane, M, SS)</w:t>
      </w:r>
    </w:p>
    <w:p w14:paraId="30A4412A" w14:textId="77777777" w:rsidR="00A86140" w:rsidRPr="009E498C" w:rsidRDefault="00A86140" w:rsidP="00A86140">
      <w:pPr>
        <w:rPr>
          <w:szCs w:val="26"/>
        </w:rPr>
      </w:pPr>
      <w:r w:rsidRPr="009E498C">
        <w:rPr>
          <w:szCs w:val="26"/>
        </w:rPr>
        <w:t>This was echoed in a survey respondent’s comment in which s/he noted the assumption in generic services that intellectual disability services have unending resources such that…</w:t>
      </w:r>
    </w:p>
    <w:p w14:paraId="2864A57A" w14:textId="77777777" w:rsidR="00A86140" w:rsidRPr="009E498C" w:rsidRDefault="00A86140" w:rsidP="00A86140">
      <w:pPr>
        <w:ind w:left="709"/>
        <w:rPr>
          <w:color w:val="000000" w:themeColor="text1"/>
          <w:szCs w:val="26"/>
        </w:rPr>
      </w:pPr>
      <w:r w:rsidRPr="009E498C">
        <w:rPr>
          <w:i/>
          <w:color w:val="000000" w:themeColor="text1"/>
          <w:szCs w:val="26"/>
        </w:rPr>
        <w:t>…the person is well catered for in the service</w:t>
      </w:r>
      <w:r w:rsidRPr="00DE4661">
        <w:rPr>
          <w:color w:val="000000" w:themeColor="text1"/>
          <w:szCs w:val="26"/>
        </w:rPr>
        <w:t>…[and]</w:t>
      </w:r>
      <w:r w:rsidRPr="009E498C">
        <w:rPr>
          <w:i/>
          <w:color w:val="000000" w:themeColor="text1"/>
          <w:szCs w:val="26"/>
        </w:rPr>
        <w:t>…would not benefit from other supports.</w:t>
      </w:r>
      <w:r w:rsidRPr="009E498C">
        <w:rPr>
          <w:color w:val="000000" w:themeColor="text1"/>
          <w:szCs w:val="26"/>
        </w:rPr>
        <w:t xml:space="preserve"> (S)</w:t>
      </w:r>
    </w:p>
    <w:p w14:paraId="382CFC28" w14:textId="77777777" w:rsidR="00A86140" w:rsidRPr="0008323B" w:rsidRDefault="00A86140" w:rsidP="00A86140">
      <w:pPr>
        <w:pStyle w:val="Heading3"/>
        <w:rPr>
          <w:color w:val="auto"/>
        </w:rPr>
      </w:pPr>
      <w:bookmarkStart w:id="200" w:name="_Toc117628769"/>
      <w:bookmarkStart w:id="201" w:name="_Toc118558292"/>
      <w:r w:rsidRPr="0008323B">
        <w:rPr>
          <w:color w:val="auto"/>
        </w:rPr>
        <w:t>Realising specialist ageing service: barriers and facilitators</w:t>
      </w:r>
      <w:bookmarkEnd w:id="200"/>
      <w:bookmarkEnd w:id="201"/>
    </w:p>
    <w:p w14:paraId="30D26545" w14:textId="54AA93BC" w:rsidR="00A86140" w:rsidRPr="009E498C" w:rsidRDefault="00A86140" w:rsidP="00A86140">
      <w:pPr>
        <w:rPr>
          <w:rFonts w:eastAsia="Calibri" w:cs="Calibri"/>
          <w:szCs w:val="26"/>
        </w:rPr>
      </w:pPr>
      <w:r w:rsidRPr="009E498C">
        <w:rPr>
          <w:rFonts w:eastAsia="Calibri" w:cs="Calibri"/>
          <w:szCs w:val="26"/>
        </w:rPr>
        <w:t>Participants demonstrated a strong commitment to seeing the central concepts of service delivery enacted in their workplaces. They acknowledged, though, that these were hard to achieve where re</w:t>
      </w:r>
      <w:r w:rsidR="00FB76F4">
        <w:rPr>
          <w:rFonts w:eastAsia="Calibri" w:cs="Calibri"/>
          <w:szCs w:val="26"/>
        </w:rPr>
        <w:t>s</w:t>
      </w:r>
      <w:r w:rsidRPr="009E498C">
        <w:rPr>
          <w:rFonts w:eastAsia="Calibri" w:cs="Calibri"/>
          <w:szCs w:val="26"/>
        </w:rPr>
        <w:t>our</w:t>
      </w:r>
      <w:r w:rsidR="00FB76F4">
        <w:rPr>
          <w:rFonts w:eastAsia="Calibri" w:cs="Calibri"/>
          <w:szCs w:val="26"/>
        </w:rPr>
        <w:t>c</w:t>
      </w:r>
      <w:r w:rsidRPr="009E498C">
        <w:rPr>
          <w:rFonts w:eastAsia="Calibri" w:cs="Calibri"/>
          <w:szCs w:val="26"/>
        </w:rPr>
        <w:t>es, particularly housing and funding, were not made available:</w:t>
      </w:r>
    </w:p>
    <w:p w14:paraId="1283E0A2" w14:textId="77777777" w:rsidR="00A86140" w:rsidRPr="009E498C" w:rsidRDefault="00A86140" w:rsidP="00A86140">
      <w:pPr>
        <w:ind w:left="709"/>
        <w:rPr>
          <w:rFonts w:eastAsia="Calibri" w:cs="Calibri"/>
          <w:szCs w:val="26"/>
        </w:rPr>
      </w:pPr>
      <w:r w:rsidRPr="009E498C">
        <w:rPr>
          <w:rFonts w:eastAsia="Calibri" w:cs="Calibri"/>
          <w:i/>
          <w:szCs w:val="26"/>
        </w:rPr>
        <w:t>…if we don’t have the resources and the funding it's very challenging for staff to try and apply a person-centred approach for that person and to really realise what their own decisions are and give them the choice and decisions on their day.</w:t>
      </w:r>
      <w:r w:rsidRPr="009E498C">
        <w:rPr>
          <w:rFonts w:eastAsia="Calibri" w:cs="Calibri"/>
          <w:szCs w:val="26"/>
        </w:rPr>
        <w:t xml:space="preserve"> (Anne, M, SS)</w:t>
      </w:r>
    </w:p>
    <w:p w14:paraId="684D7526" w14:textId="3ABD91CF" w:rsidR="00A86140" w:rsidRPr="009E498C" w:rsidRDefault="00A86140" w:rsidP="00A86140">
      <w:pPr>
        <w:rPr>
          <w:rFonts w:cs="Segoe UI"/>
          <w:szCs w:val="26"/>
          <w:lang w:eastAsia="en-IE"/>
        </w:rPr>
      </w:pPr>
      <w:r w:rsidRPr="009E498C">
        <w:rPr>
          <w:rFonts w:eastAsia="Calibri" w:cs="Calibri"/>
          <w:szCs w:val="26"/>
        </w:rPr>
        <w:t xml:space="preserve">Where resources were unavailable, older people often found themselves moved to settings which were not best suited to their needs or desires, perhaps to a nursing home, or a service house simply because there was a vacancy. </w:t>
      </w:r>
      <w:r w:rsidRPr="009E498C">
        <w:rPr>
          <w:rFonts w:cs="Calibri"/>
          <w:szCs w:val="26"/>
          <w:lang w:eastAsia="en-IE"/>
        </w:rPr>
        <w:t xml:space="preserve">These decisions often </w:t>
      </w:r>
      <w:r w:rsidR="00E50343">
        <w:rPr>
          <w:rFonts w:cs="Calibri"/>
          <w:szCs w:val="26"/>
          <w:lang w:eastAsia="en-IE"/>
        </w:rPr>
        <w:t>resulted in a definitive outcome, with</w:t>
      </w:r>
      <w:r w:rsidRPr="009E498C">
        <w:rPr>
          <w:rFonts w:cs="Calibri"/>
          <w:szCs w:val="26"/>
          <w:lang w:eastAsia="en-IE"/>
        </w:rPr>
        <w:t xml:space="preserve"> a permanent move for the older person</w:t>
      </w:r>
      <w:r w:rsidR="00E50343">
        <w:rPr>
          <w:rFonts w:cs="Calibri"/>
          <w:szCs w:val="26"/>
          <w:lang w:eastAsia="en-IE"/>
        </w:rPr>
        <w:t xml:space="preserve"> ensuing</w:t>
      </w:r>
      <w:r w:rsidRPr="009E498C">
        <w:rPr>
          <w:rFonts w:cs="Calibri"/>
          <w:szCs w:val="26"/>
          <w:lang w:eastAsia="en-IE"/>
        </w:rPr>
        <w:t>. The idea of setting up step-down facilities to support people with, for example, acute illnesses and injuries was proposed as a way of avoiding permanent moves and supporting the person along a path back to their regular living situation, similar to that provided in mainstream services: </w:t>
      </w:r>
    </w:p>
    <w:p w14:paraId="7E942BE3" w14:textId="77777777" w:rsidR="00A86140" w:rsidRPr="009E498C" w:rsidRDefault="00A86140" w:rsidP="00A86140">
      <w:pPr>
        <w:ind w:left="709"/>
        <w:textAlignment w:val="baseline"/>
        <w:rPr>
          <w:rFonts w:cs="Segoe UI"/>
          <w:szCs w:val="26"/>
          <w:lang w:eastAsia="en-IE"/>
        </w:rPr>
      </w:pPr>
      <w:r w:rsidRPr="009E498C">
        <w:rPr>
          <w:rFonts w:cs="Calibri"/>
          <w:i/>
          <w:szCs w:val="26"/>
          <w:lang w:eastAsia="en-IE"/>
        </w:rPr>
        <w:t>So, I suppose it's the nursing aspects of it then I suppose we were looking at maybe a step-down service, somewhere that people need to be between coming out of hospital and then coming back to their community-based home.</w:t>
      </w:r>
      <w:r w:rsidRPr="009E498C">
        <w:rPr>
          <w:rFonts w:cs="Calibri"/>
          <w:szCs w:val="26"/>
          <w:lang w:eastAsia="en-IE"/>
        </w:rPr>
        <w:t xml:space="preserve"> (Jane, M, SS) </w:t>
      </w:r>
    </w:p>
    <w:p w14:paraId="156491B0" w14:textId="77777777" w:rsidR="00A86140" w:rsidRPr="009E498C" w:rsidRDefault="00A86140" w:rsidP="00A86140">
      <w:pPr>
        <w:textAlignment w:val="baseline"/>
        <w:rPr>
          <w:rFonts w:cs="Segoe UI"/>
          <w:szCs w:val="26"/>
          <w:lang w:eastAsia="en-IE"/>
        </w:rPr>
      </w:pPr>
      <w:r w:rsidRPr="009E498C">
        <w:rPr>
          <w:rFonts w:cs="Calibri"/>
          <w:szCs w:val="26"/>
          <w:lang w:eastAsia="en-IE"/>
        </w:rPr>
        <w:t>Whereas, in this case, the step-down was provided within the intellectual disability service, others had sourced such facilities in mainstream health service settings: </w:t>
      </w:r>
    </w:p>
    <w:p w14:paraId="4E35C7E8" w14:textId="77777777" w:rsidR="00A86140" w:rsidRPr="009E498C" w:rsidRDefault="00A86140" w:rsidP="00A86140">
      <w:pPr>
        <w:ind w:left="709"/>
        <w:textAlignment w:val="baseline"/>
        <w:rPr>
          <w:rFonts w:cs="Segoe UI"/>
          <w:szCs w:val="26"/>
          <w:lang w:eastAsia="en-IE"/>
        </w:rPr>
      </w:pPr>
      <w:r w:rsidRPr="009E498C">
        <w:rPr>
          <w:rFonts w:cs="Calibri"/>
          <w:i/>
          <w:szCs w:val="26"/>
          <w:lang w:eastAsia="en-IE"/>
        </w:rPr>
        <w:t xml:space="preserve">So, like people coming out of hospital as well sometimes it can be very difficult for them to go back into their own house…we’ve had to try and access that through generic services in our area. </w:t>
      </w:r>
      <w:r w:rsidRPr="009E498C">
        <w:rPr>
          <w:rFonts w:cs="Calibri"/>
          <w:szCs w:val="26"/>
          <w:lang w:eastAsia="en-IE"/>
        </w:rPr>
        <w:t>(Anne, M, SS) </w:t>
      </w:r>
    </w:p>
    <w:p w14:paraId="0042E740" w14:textId="77777777" w:rsidR="00A86140" w:rsidRPr="009E498C" w:rsidRDefault="00A86140" w:rsidP="00A86140">
      <w:pPr>
        <w:textAlignment w:val="baseline"/>
        <w:rPr>
          <w:rFonts w:cs="Segoe UI"/>
          <w:szCs w:val="26"/>
          <w:lang w:eastAsia="en-IE"/>
        </w:rPr>
      </w:pPr>
      <w:r w:rsidRPr="009E498C">
        <w:rPr>
          <w:rFonts w:cs="Calibri"/>
          <w:szCs w:val="26"/>
          <w:lang w:eastAsia="en-IE"/>
        </w:rPr>
        <w:t>Whenever a person’s changing needs required an alteration in the care pathway, and particularly a change in accommodation, it was considered that there was a need for careful planning and for the person’s choice to be central to any decisions that were made: </w:t>
      </w:r>
    </w:p>
    <w:p w14:paraId="21AE3F2B" w14:textId="77777777" w:rsidR="00A86140" w:rsidRPr="009E498C" w:rsidRDefault="00A86140" w:rsidP="00A86140">
      <w:pPr>
        <w:ind w:left="709"/>
        <w:textAlignment w:val="baseline"/>
        <w:rPr>
          <w:rFonts w:cs="Segoe UI"/>
          <w:szCs w:val="26"/>
          <w:lang w:eastAsia="en-IE"/>
        </w:rPr>
      </w:pPr>
      <w:r w:rsidRPr="009E498C">
        <w:rPr>
          <w:rFonts w:cs="Calibri"/>
          <w:i/>
          <w:szCs w:val="26"/>
          <w:lang w:eastAsia="en-IE"/>
        </w:rPr>
        <w:t>…we had one lady that moved through choice because a lady she was living with had to go to a nursing home; now hers was an easy transition…her friend, whom she lived with for thirty odd years, wanted to go and live with her best friend. But that was very planned, and we could organise that.</w:t>
      </w:r>
      <w:r w:rsidRPr="009E498C">
        <w:rPr>
          <w:rFonts w:cs="Calibri"/>
          <w:szCs w:val="26"/>
          <w:lang w:eastAsia="en-IE"/>
        </w:rPr>
        <w:t xml:space="preserve"> (Claire, M, GS) </w:t>
      </w:r>
    </w:p>
    <w:p w14:paraId="34BA21F3" w14:textId="77777777" w:rsidR="00A86140" w:rsidRPr="009E498C" w:rsidRDefault="00A86140" w:rsidP="00A86140">
      <w:pPr>
        <w:textAlignment w:val="baseline"/>
        <w:rPr>
          <w:rFonts w:cs="Segoe UI"/>
          <w:szCs w:val="26"/>
          <w:lang w:eastAsia="en-IE"/>
        </w:rPr>
      </w:pPr>
      <w:r w:rsidRPr="009E498C">
        <w:rPr>
          <w:rFonts w:cs="Calibri"/>
          <w:szCs w:val="26"/>
          <w:lang w:eastAsia="en-IE"/>
        </w:rPr>
        <w:t>Two survey respondents noted the importance of ‘pre-planning’ but highlighted the fact that it often does not take place, leading to reactivity in the face of an approaching crisis. But even with proper planning, such moves could be difficult for all involved: </w:t>
      </w:r>
    </w:p>
    <w:p w14:paraId="63B53A85" w14:textId="77777777" w:rsidR="00A86140" w:rsidRPr="009E498C" w:rsidRDefault="00A86140" w:rsidP="00A86140">
      <w:pPr>
        <w:ind w:left="709"/>
        <w:textAlignment w:val="baseline"/>
        <w:rPr>
          <w:rFonts w:cs="Calibri"/>
          <w:szCs w:val="26"/>
          <w:lang w:eastAsia="en-IE"/>
        </w:rPr>
      </w:pPr>
      <w:r w:rsidRPr="009E498C">
        <w:rPr>
          <w:rFonts w:cs="Calibri"/>
          <w:i/>
          <w:szCs w:val="26"/>
          <w:lang w:eastAsia="en-IE"/>
        </w:rPr>
        <w:t>…families because it is a big change. They trust the staff, and this is the person’s home and for them the transition to a nursing home can be quite hard, and for the staff themselves.</w:t>
      </w:r>
      <w:r w:rsidRPr="009E498C">
        <w:rPr>
          <w:rFonts w:cs="Calibri"/>
          <w:szCs w:val="26"/>
          <w:lang w:eastAsia="en-IE"/>
        </w:rPr>
        <w:t xml:space="preserve"> (Kate, M, GS) </w:t>
      </w:r>
    </w:p>
    <w:p w14:paraId="3A92F8F4" w14:textId="109B187F" w:rsidR="00A86140" w:rsidRPr="00177E66" w:rsidRDefault="00A86140" w:rsidP="00A86140">
      <w:pPr>
        <w:textAlignment w:val="baseline"/>
        <w:rPr>
          <w:rFonts w:cs="Calibri"/>
          <w:lang w:eastAsia="en-IE"/>
        </w:rPr>
      </w:pPr>
      <w:r w:rsidRPr="00BC6699">
        <w:t>In the review of the data presented in this section of the findings chapter</w:t>
      </w:r>
      <w:r w:rsidR="001F642E">
        <w:t>,</w:t>
      </w:r>
      <w:r w:rsidRPr="00BC6699">
        <w:t xml:space="preserve"> it is evident</w:t>
      </w:r>
      <w:r w:rsidRPr="00177E66">
        <w:rPr>
          <w:rFonts w:cs="Calibri"/>
          <w:lang w:eastAsia="en-IE"/>
        </w:rPr>
        <w:t xml:space="preserve"> that there were no clear service types or approaches manifest in the services that took part in this study. Whilst some services may have had specific older person pathways, often linked to the development of health-related complexities such as dementia, they also had generic paths through which many older people will receive service. Similarly, the other services had some examples of specific older person services and a range of other more generic ones. Participants in all of these aspired to the key older person service principles of ageing in place and person-centred support but these were mediated through service approaches that were often an eclectic mix of health and social care. The ability to realise an individualised service that met the older person’s needs and desires was, however, seriously challenged by resource limitations and difficulties in accessing mainstream health and social care services. Despite this, all were committed to ensuring that they could provide the best quality service to meet these older individuals’ needs as they developed. </w:t>
      </w:r>
    </w:p>
    <w:p w14:paraId="5D6DB4E3" w14:textId="76B88D25" w:rsidR="001A2B40" w:rsidRDefault="001A2B40">
      <w:pPr>
        <w:spacing w:after="0"/>
        <w:rPr>
          <w:rFonts w:cs="Calibri"/>
          <w:lang w:eastAsia="en-IE"/>
        </w:rPr>
      </w:pPr>
      <w:r>
        <w:rPr>
          <w:rFonts w:cs="Calibri"/>
          <w:lang w:eastAsia="en-IE"/>
        </w:rPr>
        <w:br w:type="page"/>
      </w:r>
    </w:p>
    <w:p w14:paraId="33656D0D" w14:textId="1E93E2F7" w:rsidR="00A86140" w:rsidRPr="00C00CA8" w:rsidRDefault="00AB2C01" w:rsidP="00AB2C01">
      <w:pPr>
        <w:pStyle w:val="Heading1"/>
      </w:pPr>
      <w:bookmarkStart w:id="202" w:name="_Toc117628770"/>
      <w:bookmarkStart w:id="203" w:name="_Toc118555208"/>
      <w:bookmarkStart w:id="204" w:name="_Toc118558293"/>
      <w:bookmarkStart w:id="205" w:name="_Toc118558366"/>
      <w:bookmarkStart w:id="206" w:name="_Toc121830623"/>
      <w:r>
        <w:t xml:space="preserve">Chapter 4: Findings: </w:t>
      </w:r>
      <w:r w:rsidR="00A86140" w:rsidRPr="00C00CA8">
        <w:t xml:space="preserve">Providing </w:t>
      </w:r>
      <w:r w:rsidR="00A86140">
        <w:t>s</w:t>
      </w:r>
      <w:r w:rsidR="00A86140" w:rsidRPr="00C00CA8">
        <w:t xml:space="preserve">ervices to </w:t>
      </w:r>
      <w:r w:rsidR="00A86140">
        <w:t>m</w:t>
      </w:r>
      <w:r w:rsidR="00A86140" w:rsidRPr="00C00CA8">
        <w:t xml:space="preserve">eet </w:t>
      </w:r>
      <w:r w:rsidR="00A86140">
        <w:t>o</w:t>
      </w:r>
      <w:r w:rsidR="00A86140" w:rsidRPr="00C00CA8">
        <w:t xml:space="preserve">lder </w:t>
      </w:r>
      <w:r w:rsidR="00A86140">
        <w:t>i</w:t>
      </w:r>
      <w:r w:rsidR="00A86140" w:rsidRPr="00C00CA8">
        <w:t xml:space="preserve">ndividuals’ </w:t>
      </w:r>
      <w:r w:rsidR="00A86140">
        <w:t>n</w:t>
      </w:r>
      <w:r w:rsidR="00A86140" w:rsidRPr="00C00CA8">
        <w:t>eeds</w:t>
      </w:r>
      <w:bookmarkEnd w:id="202"/>
      <w:bookmarkEnd w:id="203"/>
      <w:bookmarkEnd w:id="204"/>
      <w:bookmarkEnd w:id="205"/>
      <w:bookmarkEnd w:id="206"/>
    </w:p>
    <w:p w14:paraId="55155F57" w14:textId="5773531E" w:rsidR="00A86140" w:rsidRPr="009E498C" w:rsidRDefault="00A86140" w:rsidP="00A86140">
      <w:pPr>
        <w:rPr>
          <w:rStyle w:val="normaltextrun"/>
          <w:rFonts w:cstheme="minorBidi"/>
          <w:color w:val="2E74B5" w:themeColor="accent1" w:themeShade="BF"/>
        </w:rPr>
      </w:pPr>
      <w:r w:rsidRPr="5177A76B">
        <w:rPr>
          <w:rStyle w:val="normaltextrun"/>
          <w:rFonts w:cstheme="minorBidi"/>
        </w:rPr>
        <w:t>Some challenges of matching care models to the changing needs of service users have already been highlighted. Participants explored the potential for addressing these and how services might be modified. They addressed these through consideration of the changing needs of the population, the service environment, the impact of regulatory requirements, end</w:t>
      </w:r>
      <w:r w:rsidR="00AD236A">
        <w:rPr>
          <w:rStyle w:val="normaltextrun"/>
          <w:rFonts w:cstheme="minorBidi"/>
        </w:rPr>
        <w:t xml:space="preserve"> of life</w:t>
      </w:r>
      <w:r w:rsidRPr="5177A76B">
        <w:rPr>
          <w:rStyle w:val="normaltextrun"/>
          <w:rFonts w:cstheme="minorBidi"/>
        </w:rPr>
        <w:t xml:space="preserve"> care, changing service needs and financial realities.</w:t>
      </w:r>
    </w:p>
    <w:p w14:paraId="2FF781B8" w14:textId="77777777" w:rsidR="00A86140" w:rsidRPr="00C00CA8" w:rsidRDefault="00A86140" w:rsidP="001A2B40">
      <w:pPr>
        <w:pStyle w:val="Heading2"/>
      </w:pPr>
      <w:bookmarkStart w:id="207" w:name="_Toc114072923"/>
      <w:bookmarkStart w:id="208" w:name="_Toc117628771"/>
      <w:bookmarkStart w:id="209" w:name="_Toc118555209"/>
      <w:bookmarkStart w:id="210" w:name="_Toc118558294"/>
      <w:bookmarkStart w:id="211" w:name="_Toc118558367"/>
      <w:bookmarkStart w:id="212" w:name="_Toc121830624"/>
      <w:r w:rsidRPr="00C00CA8">
        <w:t xml:space="preserve">Changing needs of the </w:t>
      </w:r>
      <w:r>
        <w:t>p</w:t>
      </w:r>
      <w:r w:rsidRPr="00C00CA8">
        <w:t xml:space="preserve">opulation as they </w:t>
      </w:r>
      <w:r>
        <w:t>a</w:t>
      </w:r>
      <w:r w:rsidRPr="00C00CA8">
        <w:t>ge</w:t>
      </w:r>
      <w:bookmarkEnd w:id="207"/>
      <w:bookmarkEnd w:id="208"/>
      <w:bookmarkEnd w:id="209"/>
      <w:bookmarkEnd w:id="210"/>
      <w:bookmarkEnd w:id="211"/>
      <w:bookmarkEnd w:id="212"/>
      <w:r w:rsidRPr="00C00CA8">
        <w:t> </w:t>
      </w:r>
    </w:p>
    <w:p w14:paraId="45384603" w14:textId="58049C0A" w:rsidR="00A86140" w:rsidRPr="009E498C" w:rsidRDefault="00A86140" w:rsidP="11C55A92">
      <w:pPr>
        <w:rPr>
          <w:rFonts w:cstheme="minorBidi"/>
          <w:lang w:eastAsia="en-IE"/>
        </w:rPr>
      </w:pPr>
      <w:r>
        <w:t xml:space="preserve">As people with intellectual disabilities live longer, organisations have had to respond by developing services </w:t>
      </w:r>
      <w:r w:rsidR="31CF5B2F">
        <w:t xml:space="preserve">to </w:t>
      </w:r>
      <w:r w:rsidR="005E0F80">
        <w:t xml:space="preserve">meet </w:t>
      </w:r>
      <w:r w:rsidR="31CF5B2F">
        <w:t>issues which may arise</w:t>
      </w:r>
      <w:r w:rsidR="005E0F80">
        <w:t xml:space="preserve"> as a result of this.</w:t>
      </w:r>
      <w:r w:rsidR="31CF5B2F">
        <w:t xml:space="preserve"> </w:t>
      </w:r>
      <w:r>
        <w:t xml:space="preserve">These may relate to ageing itself or to specific conditions that tend to become more prevalent in older age. </w:t>
      </w:r>
      <w:r w:rsidRPr="11C55A92">
        <w:rPr>
          <w:rFonts w:cstheme="minorBidi"/>
          <w:lang w:eastAsia="en-IE"/>
        </w:rPr>
        <w:t>The main areas of changing need that were identified in the focus groups and interviews related to dementia and end</w:t>
      </w:r>
      <w:r w:rsidR="00AD236A" w:rsidRPr="11C55A92">
        <w:rPr>
          <w:rFonts w:cstheme="minorBidi"/>
          <w:lang w:eastAsia="en-IE"/>
        </w:rPr>
        <w:t xml:space="preserve"> of life</w:t>
      </w:r>
      <w:r w:rsidRPr="11C55A92">
        <w:rPr>
          <w:rFonts w:cstheme="minorBidi"/>
          <w:lang w:eastAsia="en-IE"/>
        </w:rPr>
        <w:t xml:space="preserve">, but a number of others, including behaviour, mental health, frailty, multi-morbidity and polypharmacy were also briefly noted and some of these also arose in the surveys (Table </w:t>
      </w:r>
      <w:r w:rsidR="0002475B">
        <w:rPr>
          <w:rFonts w:cstheme="minorBidi"/>
          <w:lang w:eastAsia="en-IE"/>
        </w:rPr>
        <w:t>5</w:t>
      </w:r>
      <w:r w:rsidRPr="11C55A92">
        <w:rPr>
          <w:rFonts w:cstheme="minorBidi"/>
          <w:lang w:eastAsia="en-IE"/>
        </w:rPr>
        <w:t>).</w:t>
      </w:r>
    </w:p>
    <w:p w14:paraId="1AE2B696" w14:textId="72395C57" w:rsidR="00A86140" w:rsidRPr="005B4145" w:rsidRDefault="00430214" w:rsidP="00430214">
      <w:pPr>
        <w:pStyle w:val="Caption"/>
        <w:keepNext/>
      </w:pPr>
      <w:bookmarkStart w:id="213" w:name="_Toc121830416"/>
      <w:r>
        <w:t xml:space="preserve">Table </w:t>
      </w:r>
      <w:r>
        <w:fldChar w:fldCharType="begin"/>
      </w:r>
      <w:r>
        <w:instrText>SEQ Table \* ARABIC</w:instrText>
      </w:r>
      <w:r>
        <w:fldChar w:fldCharType="separate"/>
      </w:r>
      <w:r>
        <w:rPr>
          <w:noProof/>
        </w:rPr>
        <w:t>5</w:t>
      </w:r>
      <w:r>
        <w:fldChar w:fldCharType="end"/>
      </w:r>
      <w:r>
        <w:t xml:space="preserve">: </w:t>
      </w:r>
      <w:r w:rsidR="00DA2469" w:rsidRPr="005B4145">
        <w:t>Significant age-related concerns for older adults in services</w:t>
      </w:r>
      <w:bookmarkEnd w:id="213"/>
    </w:p>
    <w:tbl>
      <w:tblPr>
        <w:tblStyle w:val="TableGridLight"/>
        <w:tblW w:w="9067" w:type="dxa"/>
        <w:tblBorders>
          <w:top w:val="single" w:sz="4" w:space="0" w:color="8EA9DB"/>
          <w:left w:val="single" w:sz="4" w:space="0" w:color="8EA9DB"/>
          <w:bottom w:val="single" w:sz="4" w:space="0" w:color="8EA9DB"/>
          <w:right w:val="single" w:sz="4" w:space="0" w:color="8EA9DB"/>
          <w:insideH w:val="single" w:sz="4" w:space="0" w:color="8EA9DB"/>
          <w:insideV w:val="single" w:sz="4" w:space="0" w:color="8EA9DB"/>
        </w:tblBorders>
        <w:tblLayout w:type="fixed"/>
        <w:tblLook w:val="04A0" w:firstRow="1" w:lastRow="0" w:firstColumn="1" w:lastColumn="0" w:noHBand="0" w:noVBand="1"/>
      </w:tblPr>
      <w:tblGrid>
        <w:gridCol w:w="2263"/>
        <w:gridCol w:w="1701"/>
        <w:gridCol w:w="1701"/>
        <w:gridCol w:w="1560"/>
        <w:gridCol w:w="1842"/>
      </w:tblGrid>
      <w:tr w:rsidR="00A86140" w:rsidRPr="00C00CA8" w14:paraId="435AD442" w14:textId="77777777" w:rsidTr="00696520">
        <w:trPr>
          <w:trHeight w:val="300"/>
        </w:trPr>
        <w:tc>
          <w:tcPr>
            <w:tcW w:w="2263" w:type="dxa"/>
          </w:tcPr>
          <w:p w14:paraId="068355A3" w14:textId="77777777" w:rsidR="00A86140" w:rsidRPr="00C00CA8" w:rsidRDefault="00A86140" w:rsidP="0062753B">
            <w:pPr>
              <w:spacing w:after="0"/>
              <w:rPr>
                <w:rFonts w:eastAsia="Calibri" w:cs="Calibri"/>
                <w:b/>
                <w:color w:val="000000" w:themeColor="text1"/>
                <w:sz w:val="22"/>
                <w:szCs w:val="22"/>
              </w:rPr>
            </w:pPr>
            <w:r w:rsidRPr="00C00CA8">
              <w:rPr>
                <w:rFonts w:eastAsia="Calibri" w:cs="Calibri"/>
                <w:b/>
                <w:color w:val="000000" w:themeColor="text1"/>
                <w:sz w:val="22"/>
                <w:szCs w:val="22"/>
              </w:rPr>
              <w:t>Issue of Concern</w:t>
            </w:r>
          </w:p>
        </w:tc>
        <w:tc>
          <w:tcPr>
            <w:tcW w:w="1701" w:type="dxa"/>
            <w:tcBorders>
              <w:right w:val="nil"/>
            </w:tcBorders>
          </w:tcPr>
          <w:p w14:paraId="77790A14" w14:textId="77777777" w:rsidR="00A86140" w:rsidRPr="00C00CA8" w:rsidRDefault="00A86140" w:rsidP="00696520">
            <w:pPr>
              <w:spacing w:after="0"/>
              <w:jc w:val="center"/>
              <w:rPr>
                <w:rFonts w:eastAsia="Calibri" w:cs="Calibri"/>
                <w:b/>
                <w:color w:val="000000" w:themeColor="text1"/>
                <w:sz w:val="22"/>
                <w:szCs w:val="22"/>
              </w:rPr>
            </w:pPr>
            <w:r w:rsidRPr="00C00CA8">
              <w:rPr>
                <w:rFonts w:eastAsia="Calibri" w:cs="Calibri"/>
                <w:b/>
                <w:color w:val="000000" w:themeColor="text1"/>
                <w:sz w:val="22"/>
                <w:szCs w:val="22"/>
              </w:rPr>
              <w:t>All</w:t>
            </w:r>
          </w:p>
        </w:tc>
        <w:tc>
          <w:tcPr>
            <w:tcW w:w="1701" w:type="dxa"/>
            <w:tcBorders>
              <w:left w:val="nil"/>
              <w:right w:val="nil"/>
            </w:tcBorders>
          </w:tcPr>
          <w:p w14:paraId="7984A67C" w14:textId="77777777" w:rsidR="00A86140" w:rsidRPr="00C00CA8" w:rsidRDefault="00A86140" w:rsidP="00696520">
            <w:pPr>
              <w:spacing w:after="0"/>
              <w:jc w:val="center"/>
              <w:rPr>
                <w:rFonts w:eastAsia="Calibri" w:cs="Calibri"/>
                <w:b/>
                <w:color w:val="000000" w:themeColor="text1"/>
                <w:sz w:val="22"/>
                <w:szCs w:val="22"/>
              </w:rPr>
            </w:pPr>
            <w:r w:rsidRPr="00C00CA8">
              <w:rPr>
                <w:rFonts w:eastAsia="Calibri" w:cs="Calibri"/>
                <w:b/>
                <w:color w:val="000000" w:themeColor="text1"/>
                <w:sz w:val="22"/>
                <w:szCs w:val="22"/>
              </w:rPr>
              <w:t>SS</w:t>
            </w:r>
          </w:p>
        </w:tc>
        <w:tc>
          <w:tcPr>
            <w:tcW w:w="1560" w:type="dxa"/>
            <w:tcBorders>
              <w:left w:val="nil"/>
              <w:right w:val="nil"/>
            </w:tcBorders>
          </w:tcPr>
          <w:p w14:paraId="70F3E1BF" w14:textId="77777777" w:rsidR="00A86140" w:rsidRPr="00C00CA8" w:rsidRDefault="00A86140" w:rsidP="00696520">
            <w:pPr>
              <w:spacing w:after="0"/>
              <w:jc w:val="center"/>
              <w:rPr>
                <w:rFonts w:eastAsia="Calibri" w:cs="Calibri"/>
                <w:b/>
                <w:color w:val="000000" w:themeColor="text1"/>
                <w:sz w:val="22"/>
                <w:szCs w:val="22"/>
              </w:rPr>
            </w:pPr>
            <w:r w:rsidRPr="00C00CA8">
              <w:rPr>
                <w:rFonts w:eastAsia="Calibri" w:cs="Calibri"/>
                <w:b/>
                <w:color w:val="000000" w:themeColor="text1"/>
                <w:sz w:val="22"/>
                <w:szCs w:val="22"/>
              </w:rPr>
              <w:t>GS</w:t>
            </w:r>
          </w:p>
        </w:tc>
        <w:tc>
          <w:tcPr>
            <w:tcW w:w="1842" w:type="dxa"/>
            <w:tcBorders>
              <w:left w:val="nil"/>
            </w:tcBorders>
          </w:tcPr>
          <w:p w14:paraId="57286295" w14:textId="77777777" w:rsidR="00A86140" w:rsidRPr="00C00CA8" w:rsidRDefault="00A86140" w:rsidP="00696520">
            <w:pPr>
              <w:spacing w:after="0"/>
              <w:jc w:val="center"/>
              <w:rPr>
                <w:rFonts w:eastAsia="Calibri" w:cs="Calibri"/>
                <w:b/>
                <w:color w:val="000000" w:themeColor="text1"/>
                <w:sz w:val="22"/>
                <w:szCs w:val="22"/>
              </w:rPr>
            </w:pPr>
            <w:r w:rsidRPr="00C00CA8">
              <w:rPr>
                <w:rFonts w:eastAsia="Calibri" w:cs="Calibri"/>
                <w:b/>
                <w:color w:val="000000" w:themeColor="text1"/>
                <w:sz w:val="22"/>
                <w:szCs w:val="22"/>
              </w:rPr>
              <w:t>OTH</w:t>
            </w:r>
          </w:p>
        </w:tc>
      </w:tr>
      <w:tr w:rsidR="00A86140" w:rsidRPr="00C00CA8" w14:paraId="5F4D28CB" w14:textId="77777777" w:rsidTr="00696520">
        <w:trPr>
          <w:trHeight w:val="300"/>
        </w:trPr>
        <w:tc>
          <w:tcPr>
            <w:tcW w:w="2263" w:type="dxa"/>
          </w:tcPr>
          <w:p w14:paraId="0E8DB18F" w14:textId="77777777" w:rsidR="00A86140" w:rsidRPr="00C00CA8" w:rsidRDefault="00A86140" w:rsidP="0062753B">
            <w:pPr>
              <w:spacing w:after="0"/>
              <w:rPr>
                <w:rFonts w:eastAsia="Calibri" w:cs="Calibri"/>
                <w:color w:val="000000" w:themeColor="text1"/>
                <w:sz w:val="22"/>
                <w:szCs w:val="22"/>
              </w:rPr>
            </w:pPr>
            <w:r w:rsidRPr="0062753B">
              <w:rPr>
                <w:rFonts w:eastAsia="Calibri" w:cs="Calibri"/>
                <w:color w:val="000000" w:themeColor="text1"/>
                <w:sz w:val="22"/>
                <w:szCs w:val="22"/>
              </w:rPr>
              <w:t>Dementia</w:t>
            </w:r>
          </w:p>
        </w:tc>
        <w:tc>
          <w:tcPr>
            <w:tcW w:w="1701" w:type="dxa"/>
            <w:tcBorders>
              <w:right w:val="nil"/>
            </w:tcBorders>
            <w:shd w:val="clear" w:color="auto" w:fill="D9E2F3"/>
          </w:tcPr>
          <w:p w14:paraId="6CE17CA9" w14:textId="77777777" w:rsidR="00A86140" w:rsidRPr="00C00CA8" w:rsidRDefault="00A86140" w:rsidP="0062753B">
            <w:pPr>
              <w:spacing w:after="0"/>
              <w:jc w:val="right"/>
              <w:rPr>
                <w:rFonts w:eastAsia="Calibri" w:cs="Calibri"/>
                <w:color w:val="000000" w:themeColor="text1"/>
                <w:sz w:val="22"/>
                <w:szCs w:val="22"/>
              </w:rPr>
            </w:pPr>
            <w:r w:rsidRPr="00C00CA8">
              <w:rPr>
                <w:rFonts w:eastAsia="Calibri" w:cs="Calibri"/>
                <w:color w:val="000000" w:themeColor="text1"/>
                <w:sz w:val="22"/>
                <w:szCs w:val="22"/>
              </w:rPr>
              <w:t>55.2% (n=16)</w:t>
            </w:r>
          </w:p>
        </w:tc>
        <w:tc>
          <w:tcPr>
            <w:tcW w:w="1701" w:type="dxa"/>
            <w:tcBorders>
              <w:left w:val="nil"/>
              <w:right w:val="nil"/>
            </w:tcBorders>
            <w:shd w:val="clear" w:color="auto" w:fill="D9E2F3"/>
          </w:tcPr>
          <w:p w14:paraId="217844B3" w14:textId="77777777" w:rsidR="00A86140" w:rsidRPr="00C00CA8" w:rsidRDefault="00A86140" w:rsidP="0062753B">
            <w:pPr>
              <w:spacing w:after="0"/>
              <w:jc w:val="right"/>
              <w:rPr>
                <w:rFonts w:eastAsia="Calibri" w:cs="Calibri"/>
                <w:color w:val="000000" w:themeColor="text1"/>
                <w:sz w:val="22"/>
                <w:szCs w:val="22"/>
              </w:rPr>
            </w:pPr>
            <w:r w:rsidRPr="00C00CA8">
              <w:rPr>
                <w:rFonts w:eastAsia="Calibri" w:cs="Calibri"/>
                <w:color w:val="000000" w:themeColor="text1"/>
                <w:sz w:val="22"/>
                <w:szCs w:val="22"/>
              </w:rPr>
              <w:t>64.3% (n=9)</w:t>
            </w:r>
          </w:p>
        </w:tc>
        <w:tc>
          <w:tcPr>
            <w:tcW w:w="1560" w:type="dxa"/>
            <w:tcBorders>
              <w:left w:val="nil"/>
              <w:right w:val="nil"/>
            </w:tcBorders>
            <w:shd w:val="clear" w:color="auto" w:fill="D9E2F3"/>
          </w:tcPr>
          <w:p w14:paraId="1DF050AF" w14:textId="77777777" w:rsidR="00A86140" w:rsidRPr="00C00CA8" w:rsidRDefault="00A86140" w:rsidP="0062753B">
            <w:pPr>
              <w:spacing w:after="0"/>
              <w:jc w:val="right"/>
              <w:rPr>
                <w:rFonts w:eastAsia="Calibri" w:cs="Calibri"/>
                <w:color w:val="000000" w:themeColor="text1"/>
                <w:sz w:val="22"/>
                <w:szCs w:val="22"/>
              </w:rPr>
            </w:pPr>
            <w:r w:rsidRPr="00C00CA8">
              <w:rPr>
                <w:rFonts w:eastAsia="Calibri" w:cs="Calibri"/>
                <w:color w:val="000000" w:themeColor="text1"/>
                <w:sz w:val="22"/>
                <w:szCs w:val="22"/>
              </w:rPr>
              <w:t>44.4% (n=4)</w:t>
            </w:r>
          </w:p>
        </w:tc>
        <w:tc>
          <w:tcPr>
            <w:tcW w:w="1842" w:type="dxa"/>
            <w:tcBorders>
              <w:left w:val="nil"/>
            </w:tcBorders>
            <w:shd w:val="clear" w:color="auto" w:fill="D9E2F3"/>
          </w:tcPr>
          <w:p w14:paraId="27541242" w14:textId="77777777" w:rsidR="00A86140" w:rsidRPr="00C00CA8" w:rsidRDefault="00A86140" w:rsidP="0062753B">
            <w:pPr>
              <w:spacing w:after="0"/>
              <w:jc w:val="right"/>
              <w:rPr>
                <w:rFonts w:eastAsia="Calibri" w:cs="Calibri"/>
                <w:color w:val="000000" w:themeColor="text1"/>
                <w:sz w:val="22"/>
                <w:szCs w:val="22"/>
              </w:rPr>
            </w:pPr>
            <w:r w:rsidRPr="00C00CA8">
              <w:rPr>
                <w:rFonts w:eastAsia="Calibri" w:cs="Calibri"/>
                <w:color w:val="000000" w:themeColor="text1"/>
                <w:sz w:val="22"/>
                <w:szCs w:val="22"/>
              </w:rPr>
              <w:t>50% (n=3)</w:t>
            </w:r>
          </w:p>
        </w:tc>
      </w:tr>
      <w:tr w:rsidR="00A86140" w:rsidRPr="00C00CA8" w14:paraId="14BF1BB7" w14:textId="77777777" w:rsidTr="00696520">
        <w:trPr>
          <w:trHeight w:val="300"/>
        </w:trPr>
        <w:tc>
          <w:tcPr>
            <w:tcW w:w="2263" w:type="dxa"/>
          </w:tcPr>
          <w:p w14:paraId="2E22E424" w14:textId="77777777" w:rsidR="00A86140" w:rsidRPr="00C00CA8" w:rsidRDefault="00A86140" w:rsidP="0062753B">
            <w:pPr>
              <w:spacing w:after="0"/>
              <w:rPr>
                <w:rFonts w:eastAsia="Calibri" w:cs="Calibri"/>
                <w:color w:val="000000" w:themeColor="text1"/>
                <w:sz w:val="22"/>
                <w:szCs w:val="22"/>
              </w:rPr>
            </w:pPr>
            <w:r w:rsidRPr="0062753B">
              <w:rPr>
                <w:rFonts w:eastAsia="Calibri" w:cs="Calibri"/>
                <w:color w:val="000000" w:themeColor="text1"/>
                <w:sz w:val="22"/>
                <w:szCs w:val="22"/>
              </w:rPr>
              <w:t>Mental health</w:t>
            </w:r>
          </w:p>
        </w:tc>
        <w:tc>
          <w:tcPr>
            <w:tcW w:w="1701" w:type="dxa"/>
            <w:tcBorders>
              <w:right w:val="nil"/>
            </w:tcBorders>
            <w:shd w:val="clear" w:color="auto" w:fill="D9E2F3"/>
          </w:tcPr>
          <w:p w14:paraId="0B96FE3E" w14:textId="77777777" w:rsidR="00A86140" w:rsidRPr="00C00CA8" w:rsidRDefault="00A86140" w:rsidP="0062753B">
            <w:pPr>
              <w:spacing w:after="0"/>
              <w:jc w:val="right"/>
              <w:rPr>
                <w:rFonts w:eastAsia="Calibri" w:cs="Calibri"/>
                <w:color w:val="000000" w:themeColor="text1"/>
                <w:sz w:val="22"/>
                <w:szCs w:val="22"/>
              </w:rPr>
            </w:pPr>
            <w:r w:rsidRPr="00C00CA8">
              <w:rPr>
                <w:rFonts w:eastAsia="Calibri" w:cs="Calibri"/>
                <w:color w:val="000000" w:themeColor="text1"/>
                <w:sz w:val="22"/>
                <w:szCs w:val="22"/>
              </w:rPr>
              <w:t>27.6% (n=8)</w:t>
            </w:r>
          </w:p>
        </w:tc>
        <w:tc>
          <w:tcPr>
            <w:tcW w:w="1701" w:type="dxa"/>
            <w:tcBorders>
              <w:left w:val="nil"/>
              <w:right w:val="nil"/>
            </w:tcBorders>
            <w:shd w:val="clear" w:color="auto" w:fill="D9E2F3"/>
          </w:tcPr>
          <w:p w14:paraId="3AA436BD" w14:textId="77777777" w:rsidR="00A86140" w:rsidRPr="00C00CA8" w:rsidRDefault="00A86140" w:rsidP="0062753B">
            <w:pPr>
              <w:spacing w:after="0"/>
              <w:jc w:val="right"/>
              <w:rPr>
                <w:rFonts w:eastAsia="Calibri" w:cs="Calibri"/>
                <w:color w:val="000000" w:themeColor="text1"/>
                <w:sz w:val="22"/>
                <w:szCs w:val="22"/>
              </w:rPr>
            </w:pPr>
            <w:r w:rsidRPr="00C00CA8">
              <w:rPr>
                <w:rFonts w:eastAsia="Calibri" w:cs="Calibri"/>
                <w:color w:val="000000" w:themeColor="text1"/>
                <w:sz w:val="22"/>
                <w:szCs w:val="22"/>
              </w:rPr>
              <w:t>28.6% (n=4)</w:t>
            </w:r>
          </w:p>
        </w:tc>
        <w:tc>
          <w:tcPr>
            <w:tcW w:w="1560" w:type="dxa"/>
            <w:tcBorders>
              <w:left w:val="nil"/>
              <w:right w:val="nil"/>
            </w:tcBorders>
            <w:shd w:val="clear" w:color="auto" w:fill="D9E2F3"/>
          </w:tcPr>
          <w:p w14:paraId="48D4BC90" w14:textId="77777777" w:rsidR="00A86140" w:rsidRPr="00C00CA8" w:rsidRDefault="00A86140" w:rsidP="0062753B">
            <w:pPr>
              <w:spacing w:after="0"/>
              <w:jc w:val="right"/>
              <w:rPr>
                <w:rFonts w:eastAsia="Calibri" w:cs="Calibri"/>
                <w:color w:val="000000" w:themeColor="text1"/>
                <w:sz w:val="22"/>
                <w:szCs w:val="22"/>
              </w:rPr>
            </w:pPr>
            <w:r w:rsidRPr="00C00CA8">
              <w:rPr>
                <w:rFonts w:eastAsia="Calibri" w:cs="Calibri"/>
                <w:color w:val="000000" w:themeColor="text1"/>
                <w:sz w:val="22"/>
                <w:szCs w:val="22"/>
              </w:rPr>
              <w:t>33.3% (n=3)</w:t>
            </w:r>
          </w:p>
        </w:tc>
        <w:tc>
          <w:tcPr>
            <w:tcW w:w="1842" w:type="dxa"/>
            <w:tcBorders>
              <w:left w:val="nil"/>
            </w:tcBorders>
            <w:shd w:val="clear" w:color="auto" w:fill="D9E2F3"/>
          </w:tcPr>
          <w:p w14:paraId="2452BA3A" w14:textId="77777777" w:rsidR="00A86140" w:rsidRPr="00C00CA8" w:rsidRDefault="00A86140" w:rsidP="0062753B">
            <w:pPr>
              <w:spacing w:after="0"/>
              <w:jc w:val="right"/>
              <w:rPr>
                <w:rFonts w:eastAsia="Calibri" w:cs="Calibri"/>
                <w:color w:val="000000" w:themeColor="text1"/>
                <w:sz w:val="22"/>
                <w:szCs w:val="22"/>
              </w:rPr>
            </w:pPr>
            <w:r w:rsidRPr="00C00CA8">
              <w:rPr>
                <w:rFonts w:eastAsia="Calibri" w:cs="Calibri"/>
                <w:color w:val="000000" w:themeColor="text1"/>
                <w:sz w:val="22"/>
                <w:szCs w:val="22"/>
              </w:rPr>
              <w:t>16.7% (n=1)</w:t>
            </w:r>
          </w:p>
        </w:tc>
      </w:tr>
      <w:tr w:rsidR="00A86140" w:rsidRPr="00C00CA8" w14:paraId="26728F01" w14:textId="77777777" w:rsidTr="00696520">
        <w:trPr>
          <w:trHeight w:val="300"/>
        </w:trPr>
        <w:tc>
          <w:tcPr>
            <w:tcW w:w="2263" w:type="dxa"/>
          </w:tcPr>
          <w:p w14:paraId="0296EA64" w14:textId="77777777" w:rsidR="00A86140" w:rsidRPr="00C00CA8" w:rsidRDefault="00A86140" w:rsidP="0062753B">
            <w:pPr>
              <w:spacing w:after="0"/>
              <w:rPr>
                <w:rFonts w:eastAsia="Calibri" w:cs="Calibri"/>
                <w:color w:val="000000" w:themeColor="text1"/>
                <w:sz w:val="22"/>
                <w:szCs w:val="22"/>
              </w:rPr>
            </w:pPr>
            <w:r w:rsidRPr="0062753B">
              <w:rPr>
                <w:rFonts w:eastAsia="Calibri" w:cs="Calibri"/>
                <w:color w:val="000000" w:themeColor="text1"/>
                <w:sz w:val="22"/>
                <w:szCs w:val="22"/>
              </w:rPr>
              <w:t>Behaviours</w:t>
            </w:r>
          </w:p>
        </w:tc>
        <w:tc>
          <w:tcPr>
            <w:tcW w:w="1701" w:type="dxa"/>
            <w:tcBorders>
              <w:right w:val="nil"/>
            </w:tcBorders>
            <w:shd w:val="clear" w:color="auto" w:fill="D9E2F3"/>
          </w:tcPr>
          <w:p w14:paraId="72AAA690" w14:textId="77777777" w:rsidR="00A86140" w:rsidRPr="00C00CA8" w:rsidRDefault="00A86140" w:rsidP="0062753B">
            <w:pPr>
              <w:spacing w:after="0"/>
              <w:jc w:val="right"/>
              <w:rPr>
                <w:rFonts w:eastAsia="Calibri" w:cs="Calibri"/>
                <w:color w:val="000000" w:themeColor="text1"/>
                <w:sz w:val="22"/>
                <w:szCs w:val="22"/>
              </w:rPr>
            </w:pPr>
            <w:r w:rsidRPr="00C00CA8">
              <w:rPr>
                <w:rFonts w:eastAsia="Calibri" w:cs="Calibri"/>
                <w:color w:val="000000" w:themeColor="text1"/>
                <w:sz w:val="22"/>
                <w:szCs w:val="22"/>
              </w:rPr>
              <w:t>20.7% (n=6)</w:t>
            </w:r>
          </w:p>
        </w:tc>
        <w:tc>
          <w:tcPr>
            <w:tcW w:w="1701" w:type="dxa"/>
            <w:tcBorders>
              <w:left w:val="nil"/>
              <w:right w:val="nil"/>
            </w:tcBorders>
            <w:shd w:val="clear" w:color="auto" w:fill="D9E2F3"/>
          </w:tcPr>
          <w:p w14:paraId="17C4D0E9" w14:textId="77777777" w:rsidR="00A86140" w:rsidRPr="00C00CA8" w:rsidRDefault="00A86140" w:rsidP="0062753B">
            <w:pPr>
              <w:spacing w:after="0"/>
              <w:jc w:val="right"/>
              <w:rPr>
                <w:rFonts w:eastAsia="Calibri" w:cs="Calibri"/>
                <w:color w:val="000000" w:themeColor="text1"/>
                <w:sz w:val="22"/>
                <w:szCs w:val="22"/>
              </w:rPr>
            </w:pPr>
            <w:r w:rsidRPr="00C00CA8">
              <w:rPr>
                <w:rFonts w:eastAsia="Calibri" w:cs="Calibri"/>
                <w:color w:val="000000" w:themeColor="text1"/>
                <w:sz w:val="22"/>
                <w:szCs w:val="22"/>
              </w:rPr>
              <w:t>14.3% (n=2)</w:t>
            </w:r>
          </w:p>
        </w:tc>
        <w:tc>
          <w:tcPr>
            <w:tcW w:w="1560" w:type="dxa"/>
            <w:tcBorders>
              <w:left w:val="nil"/>
              <w:right w:val="nil"/>
            </w:tcBorders>
            <w:shd w:val="clear" w:color="auto" w:fill="D9E2F3"/>
          </w:tcPr>
          <w:p w14:paraId="748F4917" w14:textId="77777777" w:rsidR="00A86140" w:rsidRPr="00C00CA8" w:rsidRDefault="00A86140" w:rsidP="0062753B">
            <w:pPr>
              <w:spacing w:after="0"/>
              <w:jc w:val="right"/>
              <w:rPr>
                <w:rFonts w:eastAsia="Calibri" w:cs="Calibri"/>
                <w:color w:val="000000" w:themeColor="text1"/>
                <w:sz w:val="22"/>
                <w:szCs w:val="22"/>
              </w:rPr>
            </w:pPr>
            <w:r w:rsidRPr="00C00CA8">
              <w:rPr>
                <w:rFonts w:eastAsia="Calibri" w:cs="Calibri"/>
                <w:color w:val="000000" w:themeColor="text1"/>
                <w:sz w:val="22"/>
                <w:szCs w:val="22"/>
              </w:rPr>
              <w:t>44.4% (n=4)</w:t>
            </w:r>
          </w:p>
        </w:tc>
        <w:tc>
          <w:tcPr>
            <w:tcW w:w="1842" w:type="dxa"/>
            <w:tcBorders>
              <w:left w:val="nil"/>
            </w:tcBorders>
            <w:shd w:val="clear" w:color="auto" w:fill="D9E2F3"/>
          </w:tcPr>
          <w:p w14:paraId="37F3FE61" w14:textId="77777777" w:rsidR="00A86140" w:rsidRPr="00C00CA8" w:rsidRDefault="00A86140" w:rsidP="0062753B">
            <w:pPr>
              <w:spacing w:after="0"/>
              <w:jc w:val="right"/>
              <w:rPr>
                <w:rFonts w:eastAsia="Calibri" w:cs="Calibri"/>
                <w:color w:val="000000" w:themeColor="text1"/>
                <w:sz w:val="22"/>
                <w:szCs w:val="22"/>
              </w:rPr>
            </w:pPr>
            <w:r w:rsidRPr="00C00CA8">
              <w:rPr>
                <w:rFonts w:eastAsia="Calibri" w:cs="Calibri"/>
                <w:color w:val="000000" w:themeColor="text1"/>
                <w:sz w:val="22"/>
                <w:szCs w:val="22"/>
              </w:rPr>
              <w:t>0%</w:t>
            </w:r>
          </w:p>
        </w:tc>
      </w:tr>
      <w:tr w:rsidR="00A86140" w:rsidRPr="00C00CA8" w14:paraId="0D977552" w14:textId="77777777" w:rsidTr="00696520">
        <w:trPr>
          <w:trHeight w:val="300"/>
        </w:trPr>
        <w:tc>
          <w:tcPr>
            <w:tcW w:w="2263" w:type="dxa"/>
          </w:tcPr>
          <w:p w14:paraId="13E4E2F2" w14:textId="74031E4E" w:rsidR="00A86140" w:rsidRPr="00C00CA8" w:rsidRDefault="007F6D2A" w:rsidP="0062753B">
            <w:pPr>
              <w:spacing w:after="0"/>
              <w:rPr>
                <w:rFonts w:eastAsia="Calibri" w:cs="Calibri"/>
                <w:color w:val="000000" w:themeColor="text1"/>
                <w:sz w:val="22"/>
                <w:szCs w:val="22"/>
              </w:rPr>
            </w:pPr>
            <w:r w:rsidRPr="0062753B">
              <w:rPr>
                <w:rFonts w:eastAsia="Calibri" w:cs="Calibri"/>
                <w:color w:val="000000" w:themeColor="text1"/>
                <w:sz w:val="22"/>
                <w:szCs w:val="22"/>
              </w:rPr>
              <w:t>Frailty</w:t>
            </w:r>
          </w:p>
        </w:tc>
        <w:tc>
          <w:tcPr>
            <w:tcW w:w="1701" w:type="dxa"/>
            <w:tcBorders>
              <w:bottom w:val="single" w:sz="4" w:space="0" w:color="8EA9DB"/>
              <w:right w:val="nil"/>
            </w:tcBorders>
            <w:shd w:val="clear" w:color="auto" w:fill="D9E2F3"/>
          </w:tcPr>
          <w:p w14:paraId="4EE31FA0" w14:textId="77777777" w:rsidR="00A86140" w:rsidRPr="00C00CA8" w:rsidRDefault="00A86140" w:rsidP="0062753B">
            <w:pPr>
              <w:spacing w:after="0"/>
              <w:jc w:val="right"/>
              <w:rPr>
                <w:rFonts w:eastAsia="Calibri" w:cs="Calibri"/>
                <w:color w:val="000000" w:themeColor="text1"/>
                <w:sz w:val="22"/>
                <w:szCs w:val="22"/>
              </w:rPr>
            </w:pPr>
            <w:r w:rsidRPr="00C00CA8">
              <w:rPr>
                <w:rFonts w:eastAsia="Calibri" w:cs="Calibri"/>
                <w:color w:val="000000" w:themeColor="text1"/>
                <w:sz w:val="22"/>
                <w:szCs w:val="22"/>
              </w:rPr>
              <w:t>17.2% (n=5)</w:t>
            </w:r>
          </w:p>
        </w:tc>
        <w:tc>
          <w:tcPr>
            <w:tcW w:w="1701" w:type="dxa"/>
            <w:tcBorders>
              <w:left w:val="nil"/>
              <w:bottom w:val="single" w:sz="4" w:space="0" w:color="8EA9DB"/>
              <w:right w:val="nil"/>
            </w:tcBorders>
            <w:shd w:val="clear" w:color="auto" w:fill="D9E2F3"/>
          </w:tcPr>
          <w:p w14:paraId="7A41226D" w14:textId="77777777" w:rsidR="00A86140" w:rsidRPr="00C00CA8" w:rsidRDefault="00A86140" w:rsidP="0062753B">
            <w:pPr>
              <w:spacing w:after="0"/>
              <w:jc w:val="right"/>
              <w:rPr>
                <w:rFonts w:eastAsia="Calibri" w:cs="Calibri"/>
                <w:color w:val="000000" w:themeColor="text1"/>
                <w:sz w:val="22"/>
                <w:szCs w:val="22"/>
              </w:rPr>
            </w:pPr>
            <w:r w:rsidRPr="00C00CA8">
              <w:rPr>
                <w:rFonts w:eastAsia="Calibri" w:cs="Calibri"/>
                <w:color w:val="000000" w:themeColor="text1"/>
                <w:sz w:val="22"/>
                <w:szCs w:val="22"/>
              </w:rPr>
              <w:t>7.1% (n=1)</w:t>
            </w:r>
          </w:p>
        </w:tc>
        <w:tc>
          <w:tcPr>
            <w:tcW w:w="1560" w:type="dxa"/>
            <w:tcBorders>
              <w:left w:val="nil"/>
              <w:bottom w:val="single" w:sz="4" w:space="0" w:color="8EA9DB"/>
              <w:right w:val="nil"/>
            </w:tcBorders>
            <w:shd w:val="clear" w:color="auto" w:fill="D9E2F3"/>
          </w:tcPr>
          <w:p w14:paraId="2FD29F9E" w14:textId="77777777" w:rsidR="00A86140" w:rsidRPr="00C00CA8" w:rsidRDefault="00A86140" w:rsidP="0062753B">
            <w:pPr>
              <w:spacing w:after="0"/>
              <w:jc w:val="right"/>
              <w:rPr>
                <w:rFonts w:eastAsia="Calibri" w:cs="Calibri"/>
                <w:color w:val="000000" w:themeColor="text1"/>
                <w:sz w:val="22"/>
                <w:szCs w:val="22"/>
              </w:rPr>
            </w:pPr>
            <w:r w:rsidRPr="00C00CA8">
              <w:rPr>
                <w:rFonts w:eastAsia="Calibri" w:cs="Calibri"/>
                <w:color w:val="000000" w:themeColor="text1"/>
                <w:sz w:val="22"/>
                <w:szCs w:val="22"/>
              </w:rPr>
              <w:t>44.4% (n=4)</w:t>
            </w:r>
          </w:p>
        </w:tc>
        <w:tc>
          <w:tcPr>
            <w:tcW w:w="1842" w:type="dxa"/>
            <w:tcBorders>
              <w:left w:val="nil"/>
              <w:bottom w:val="single" w:sz="4" w:space="0" w:color="8EA9DB"/>
            </w:tcBorders>
            <w:shd w:val="clear" w:color="auto" w:fill="D9E2F3"/>
          </w:tcPr>
          <w:p w14:paraId="3E423927" w14:textId="77777777" w:rsidR="00A86140" w:rsidRPr="00C00CA8" w:rsidRDefault="00A86140" w:rsidP="0062753B">
            <w:pPr>
              <w:spacing w:after="0"/>
              <w:jc w:val="right"/>
              <w:rPr>
                <w:rFonts w:eastAsia="Calibri" w:cs="Calibri"/>
                <w:color w:val="000000" w:themeColor="text1"/>
                <w:sz w:val="22"/>
                <w:szCs w:val="22"/>
              </w:rPr>
            </w:pPr>
            <w:r w:rsidRPr="00C00CA8">
              <w:rPr>
                <w:rFonts w:eastAsia="Calibri" w:cs="Calibri"/>
                <w:color w:val="000000" w:themeColor="text1"/>
                <w:sz w:val="22"/>
                <w:szCs w:val="22"/>
              </w:rPr>
              <w:t>0%</w:t>
            </w:r>
          </w:p>
        </w:tc>
      </w:tr>
      <w:tr w:rsidR="00A86140" w:rsidRPr="00C00CA8" w14:paraId="62197ED5" w14:textId="77777777" w:rsidTr="00696520">
        <w:trPr>
          <w:trHeight w:val="300"/>
        </w:trPr>
        <w:tc>
          <w:tcPr>
            <w:tcW w:w="2263" w:type="dxa"/>
          </w:tcPr>
          <w:p w14:paraId="067C90B3" w14:textId="77777777" w:rsidR="00A86140" w:rsidRPr="00C00CA8" w:rsidRDefault="00A86140" w:rsidP="0062753B">
            <w:pPr>
              <w:spacing w:after="0"/>
              <w:rPr>
                <w:rFonts w:eastAsia="Calibri" w:cs="Calibri"/>
                <w:color w:val="000000" w:themeColor="text1"/>
                <w:sz w:val="22"/>
                <w:szCs w:val="22"/>
              </w:rPr>
            </w:pPr>
            <w:r w:rsidRPr="0062753B">
              <w:rPr>
                <w:rFonts w:eastAsia="Calibri" w:cs="Calibri"/>
                <w:color w:val="000000" w:themeColor="text1"/>
                <w:sz w:val="22"/>
                <w:szCs w:val="22"/>
              </w:rPr>
              <w:t>Multi-morbidity</w:t>
            </w:r>
          </w:p>
        </w:tc>
        <w:tc>
          <w:tcPr>
            <w:tcW w:w="1701" w:type="dxa"/>
            <w:tcBorders>
              <w:right w:val="nil"/>
            </w:tcBorders>
            <w:shd w:val="clear" w:color="auto" w:fill="D9E2F3"/>
          </w:tcPr>
          <w:p w14:paraId="73C7E88F" w14:textId="77777777" w:rsidR="00A86140" w:rsidRPr="00C00CA8" w:rsidRDefault="00A86140" w:rsidP="0062753B">
            <w:pPr>
              <w:spacing w:after="0"/>
              <w:jc w:val="right"/>
              <w:rPr>
                <w:rFonts w:eastAsia="Calibri" w:cs="Calibri"/>
                <w:color w:val="000000" w:themeColor="text1"/>
                <w:sz w:val="22"/>
                <w:szCs w:val="22"/>
              </w:rPr>
            </w:pPr>
            <w:r w:rsidRPr="00C00CA8">
              <w:rPr>
                <w:rFonts w:eastAsia="Calibri" w:cs="Calibri"/>
                <w:color w:val="000000" w:themeColor="text1"/>
                <w:sz w:val="22"/>
                <w:szCs w:val="22"/>
              </w:rPr>
              <w:t>20.7% (n=6)</w:t>
            </w:r>
          </w:p>
        </w:tc>
        <w:tc>
          <w:tcPr>
            <w:tcW w:w="1701" w:type="dxa"/>
            <w:tcBorders>
              <w:left w:val="nil"/>
              <w:right w:val="nil"/>
            </w:tcBorders>
            <w:shd w:val="clear" w:color="auto" w:fill="D9E2F3"/>
          </w:tcPr>
          <w:p w14:paraId="5731A55E" w14:textId="77777777" w:rsidR="00A86140" w:rsidRPr="00C00CA8" w:rsidRDefault="00A86140" w:rsidP="0062753B">
            <w:pPr>
              <w:spacing w:after="0"/>
              <w:jc w:val="right"/>
              <w:rPr>
                <w:rFonts w:eastAsia="Calibri" w:cs="Calibri"/>
                <w:color w:val="000000" w:themeColor="text1"/>
                <w:sz w:val="22"/>
                <w:szCs w:val="22"/>
              </w:rPr>
            </w:pPr>
            <w:r w:rsidRPr="00C00CA8">
              <w:rPr>
                <w:rFonts w:eastAsia="Calibri" w:cs="Calibri"/>
                <w:color w:val="000000" w:themeColor="text1"/>
                <w:sz w:val="22"/>
                <w:szCs w:val="22"/>
              </w:rPr>
              <w:t>28.6% (n=4)</w:t>
            </w:r>
          </w:p>
        </w:tc>
        <w:tc>
          <w:tcPr>
            <w:tcW w:w="1560" w:type="dxa"/>
            <w:tcBorders>
              <w:left w:val="nil"/>
              <w:right w:val="nil"/>
            </w:tcBorders>
            <w:shd w:val="clear" w:color="auto" w:fill="D9E2F3"/>
          </w:tcPr>
          <w:p w14:paraId="26A1E4E3" w14:textId="77777777" w:rsidR="00A86140" w:rsidRPr="00C00CA8" w:rsidRDefault="00A86140" w:rsidP="0062753B">
            <w:pPr>
              <w:spacing w:after="0"/>
              <w:jc w:val="right"/>
              <w:rPr>
                <w:rFonts w:eastAsia="Calibri" w:cs="Calibri"/>
                <w:color w:val="000000" w:themeColor="text1"/>
                <w:sz w:val="22"/>
                <w:szCs w:val="22"/>
              </w:rPr>
            </w:pPr>
            <w:r w:rsidRPr="00C00CA8">
              <w:rPr>
                <w:rFonts w:eastAsia="Calibri" w:cs="Calibri"/>
                <w:color w:val="000000" w:themeColor="text1"/>
                <w:sz w:val="22"/>
                <w:szCs w:val="22"/>
              </w:rPr>
              <w:t>22.2% (n=2)</w:t>
            </w:r>
          </w:p>
        </w:tc>
        <w:tc>
          <w:tcPr>
            <w:tcW w:w="1842" w:type="dxa"/>
            <w:tcBorders>
              <w:left w:val="nil"/>
            </w:tcBorders>
            <w:shd w:val="clear" w:color="auto" w:fill="D9E2F3"/>
          </w:tcPr>
          <w:p w14:paraId="2BD694DC" w14:textId="77777777" w:rsidR="00A86140" w:rsidRPr="00C00CA8" w:rsidRDefault="00A86140" w:rsidP="0062753B">
            <w:pPr>
              <w:spacing w:after="0"/>
              <w:jc w:val="right"/>
              <w:rPr>
                <w:rFonts w:eastAsia="Calibri" w:cs="Calibri"/>
                <w:color w:val="000000" w:themeColor="text1"/>
                <w:sz w:val="22"/>
                <w:szCs w:val="22"/>
              </w:rPr>
            </w:pPr>
            <w:r w:rsidRPr="00C00CA8">
              <w:rPr>
                <w:rFonts w:eastAsia="Calibri" w:cs="Calibri"/>
                <w:color w:val="000000" w:themeColor="text1"/>
                <w:sz w:val="22"/>
                <w:szCs w:val="22"/>
              </w:rPr>
              <w:t>0%</w:t>
            </w:r>
          </w:p>
        </w:tc>
      </w:tr>
    </w:tbl>
    <w:p w14:paraId="07239317" w14:textId="77777777" w:rsidR="00A86140" w:rsidRDefault="00A86140" w:rsidP="00A86140">
      <w:pPr>
        <w:rPr>
          <w:szCs w:val="26"/>
        </w:rPr>
      </w:pPr>
    </w:p>
    <w:p w14:paraId="7ACE876F" w14:textId="457A14FE" w:rsidR="00A86140" w:rsidRPr="009E498C" w:rsidRDefault="00A86140" w:rsidP="00A86140">
      <w:r>
        <w:t xml:space="preserve">A majority of respondents noted that there are limited or effective pathways in place for dementia, mental health concerns and behavioural concerns, with a minority indicating </w:t>
      </w:r>
      <w:r w:rsidR="7E037413">
        <w:t xml:space="preserve">that </w:t>
      </w:r>
      <w:r>
        <w:t xml:space="preserve">there </w:t>
      </w:r>
      <w:r w:rsidR="3860E478">
        <w:t xml:space="preserve">are </w:t>
      </w:r>
      <w:r>
        <w:t xml:space="preserve">effective formal pathways to address obesity (22.6%; n=7), cancer (32.3%; n=10), multi-morbidity (32.3%; n=10), frailty (35.5%; n=11) and chronic illness (35.5%; n=11). </w:t>
      </w:r>
    </w:p>
    <w:p w14:paraId="602EA25C" w14:textId="77777777" w:rsidR="00A86140" w:rsidRPr="008A142F" w:rsidRDefault="00A86140" w:rsidP="00EA1C92">
      <w:pPr>
        <w:pStyle w:val="Heading2"/>
      </w:pPr>
      <w:bookmarkStart w:id="214" w:name="_Toc118555210"/>
      <w:bookmarkStart w:id="215" w:name="_Toc118558295"/>
      <w:bookmarkStart w:id="216" w:name="_Toc118558368"/>
      <w:bookmarkStart w:id="217" w:name="_Toc121830625"/>
      <w:r w:rsidRPr="008A142F">
        <w:t>Dementia</w:t>
      </w:r>
      <w:bookmarkEnd w:id="214"/>
      <w:bookmarkEnd w:id="215"/>
      <w:bookmarkEnd w:id="216"/>
      <w:bookmarkEnd w:id="217"/>
    </w:p>
    <w:p w14:paraId="78179922" w14:textId="77777777" w:rsidR="00A86140" w:rsidRPr="009E498C" w:rsidRDefault="00A86140" w:rsidP="00A86140">
      <w:pPr>
        <w:rPr>
          <w:szCs w:val="26"/>
        </w:rPr>
      </w:pPr>
      <w:r w:rsidRPr="009E498C">
        <w:rPr>
          <w:szCs w:val="26"/>
        </w:rPr>
        <w:t>One key area of particular concern was dementia. It was noted that, as the older person transitioned through different stages of the disease, their needs changed too. Participants highlighted the importance of support needs being tailored to meeting those developing needs. The multidisciplinary approach was considered to be of particular significance in addressing these, as it allowed different skillsets to be called on to respond in a coordinated and individualised manner. That said, participants reported delays in getting diagnoses for conditions like dementia, perhaps due to diagnostic overshadowing, and this made it difficult for services to respond in a timely manner:</w:t>
      </w:r>
    </w:p>
    <w:p w14:paraId="3C5A94E7" w14:textId="77777777" w:rsidR="00A86140" w:rsidRPr="009E498C" w:rsidRDefault="00A86140" w:rsidP="00A86140">
      <w:pPr>
        <w:ind w:left="709"/>
        <w:rPr>
          <w:rFonts w:cstheme="minorHAnsi"/>
          <w:szCs w:val="26"/>
          <w:lang w:eastAsia="en-IE"/>
        </w:rPr>
      </w:pPr>
      <w:r w:rsidRPr="009E498C">
        <w:rPr>
          <w:rFonts w:cstheme="minorHAnsi"/>
          <w:i/>
          <w:szCs w:val="26"/>
          <w:lang w:eastAsia="en-IE"/>
        </w:rPr>
        <w:t>…we would be seeing a lot of people now who are probably waiting for a diagnosis for dementia.</w:t>
      </w:r>
      <w:r w:rsidRPr="009E498C">
        <w:rPr>
          <w:rFonts w:cstheme="minorHAnsi"/>
          <w:szCs w:val="26"/>
          <w:lang w:eastAsia="en-IE"/>
        </w:rPr>
        <w:t xml:space="preserve"> (Moya, M, SS)</w:t>
      </w:r>
    </w:p>
    <w:p w14:paraId="7A0F3CF4" w14:textId="77777777" w:rsidR="00A86140" w:rsidRPr="009E498C" w:rsidRDefault="00A86140" w:rsidP="00A86140">
      <w:pPr>
        <w:rPr>
          <w:rFonts w:eastAsiaTheme="minorEastAsia"/>
          <w:szCs w:val="26"/>
        </w:rPr>
      </w:pPr>
      <w:r w:rsidRPr="009E498C">
        <w:rPr>
          <w:rFonts w:eastAsiaTheme="minorEastAsia"/>
          <w:szCs w:val="26"/>
        </w:rPr>
        <w:t xml:space="preserve">This was also highlighted by family members who spoke of delayed diagnoses and wrong diagnoses. Epilepsy was the precursor to the dementia diagnosis for three of the family members who noted that health professionals had not made them aware that this might be an indicator of dementia: </w:t>
      </w:r>
    </w:p>
    <w:p w14:paraId="35A25115" w14:textId="3FD2BD16" w:rsidR="00A86140" w:rsidRPr="009E498C" w:rsidRDefault="00A86140" w:rsidP="00A86140">
      <w:pPr>
        <w:ind w:left="709"/>
        <w:rPr>
          <w:rFonts w:eastAsiaTheme="minorEastAsia"/>
          <w:szCs w:val="26"/>
        </w:rPr>
      </w:pPr>
      <w:r w:rsidRPr="009E498C">
        <w:rPr>
          <w:rFonts w:eastAsiaTheme="minorEastAsia"/>
          <w:i/>
          <w:szCs w:val="26"/>
        </w:rPr>
        <w:t>I don’t think that it was ever mentioned about dementia setting in at a later age. “Oh it’s, you know, the seizures” but the seizures were only a symptom. So</w:t>
      </w:r>
      <w:r>
        <w:rPr>
          <w:rFonts w:eastAsiaTheme="minorEastAsia"/>
          <w:i/>
          <w:szCs w:val="26"/>
        </w:rPr>
        <w:t>,</w:t>
      </w:r>
      <w:r w:rsidRPr="009E498C">
        <w:rPr>
          <w:rFonts w:eastAsiaTheme="minorEastAsia"/>
          <w:i/>
          <w:szCs w:val="26"/>
        </w:rPr>
        <w:t xml:space="preserve"> I think that information is the name of the game really, informing families what to expect and the, I suppose, the keyworker, I come back to the key worker, monitoring what’s going on with each resident</w:t>
      </w:r>
      <w:r w:rsidRPr="009E498C">
        <w:rPr>
          <w:rFonts w:eastAsiaTheme="minorEastAsia"/>
          <w:szCs w:val="26"/>
        </w:rPr>
        <w:t>. (Nancy, Fam)</w:t>
      </w:r>
    </w:p>
    <w:p w14:paraId="2F0D5099" w14:textId="2E346CBA" w:rsidR="00A86140" w:rsidRPr="009E498C" w:rsidRDefault="00A86140" w:rsidP="00A86140">
      <w:pPr>
        <w:rPr>
          <w:rFonts w:cstheme="minorHAnsi"/>
          <w:szCs w:val="26"/>
          <w:lang w:eastAsia="en-IE"/>
        </w:rPr>
      </w:pPr>
      <w:r w:rsidRPr="009E498C">
        <w:rPr>
          <w:rFonts w:cstheme="minorHAnsi"/>
          <w:szCs w:val="26"/>
          <w:lang w:eastAsia="en-IE"/>
        </w:rPr>
        <w:t>The capacity to be able to reach a clear and timely diagnosis was seen to be crucial to planning future service responses</w:t>
      </w:r>
      <w:r w:rsidR="00246051">
        <w:rPr>
          <w:rFonts w:cstheme="minorHAnsi"/>
          <w:szCs w:val="26"/>
          <w:lang w:eastAsia="en-IE"/>
        </w:rPr>
        <w:t xml:space="preserve">, something </w:t>
      </w:r>
      <w:r w:rsidR="00733E34">
        <w:rPr>
          <w:rFonts w:cstheme="minorHAnsi"/>
          <w:szCs w:val="26"/>
          <w:lang w:eastAsia="en-IE"/>
        </w:rPr>
        <w:t>also highlighted by</w:t>
      </w:r>
      <w:r w:rsidR="001410A7">
        <w:rPr>
          <w:rFonts w:cstheme="minorHAnsi"/>
          <w:szCs w:val="26"/>
          <w:lang w:eastAsia="en-IE"/>
        </w:rPr>
        <w:t xml:space="preserve"> </w:t>
      </w:r>
      <w:r w:rsidR="001410A7">
        <w:rPr>
          <w:rFonts w:cstheme="minorHAnsi"/>
          <w:szCs w:val="26"/>
          <w:lang w:eastAsia="en-IE"/>
        </w:rPr>
        <w:fldChar w:fldCharType="begin"/>
      </w:r>
      <w:r w:rsidR="00C22B30">
        <w:rPr>
          <w:rFonts w:cstheme="minorHAnsi"/>
          <w:szCs w:val="26"/>
          <w:lang w:eastAsia="en-IE"/>
        </w:rPr>
        <w:instrText xml:space="preserve"> ADDIN EN.CITE &lt;EndNote&gt;&lt;Cite&gt;&lt;Author&gt;Dennehy&lt;/Author&gt;&lt;Year&gt;2022&lt;/Year&gt;&lt;RecNum&gt;769&lt;/RecNum&gt;&lt;DisplayText&gt;(Dennehy et al., 2022)&lt;/DisplayText&gt;&lt;record&gt;&lt;rec-number&gt;769&lt;/rec-number&gt;&lt;foreign-keys&gt;&lt;key app="EN" db-id="xtwfdzde5ttr0zevxrh5sf0c2wfzw5zf2vra" timestamp="1667665195" guid="9788cdf4-0976-41ba-be62-f1fc6df87caf"&gt;769&lt;/key&gt;&lt;/foreign-keys&gt;&lt;ref-type name="Journal Article"&gt;17&lt;/ref-type&gt;&lt;contributors&gt;&lt;authors&gt;&lt;author&gt;Dennehy, Holly&lt;/author&gt;&lt;author&gt;Allen, Andrew P&lt;/author&gt;&lt;author&gt;McGlinchey, Eimear&lt;/author&gt;&lt;author&gt;Buttery, Nadine&lt;/author&gt;&lt;author&gt;García-Domínguez, Laura&lt;/author&gt;&lt;author&gt;Chansler, Rachael&lt;/author&gt;&lt;author&gt;Corr, Christina&lt;/author&gt;&lt;author&gt;Dunne, Pamela&lt;/author&gt;&lt;author&gt;Kennelly, Seán&lt;/author&gt;&lt;author&gt;Daly, Louise&lt;/author&gt;&lt;/authors&gt;&lt;/contributors&gt;&lt;titles&gt;&lt;title&gt;A scoping review of post-diagnostic dementia supports for people with intellectual disability&lt;/title&gt;&lt;secondary-title&gt;Aging &amp;amp; Mental Health&lt;/secondary-title&gt;&lt;/titles&gt;&lt;periodical&gt;&lt;full-title&gt;Aging &amp;amp; mental health&lt;/full-title&gt;&lt;/periodical&gt;&lt;pages&gt;1-10&lt;/pages&gt;&lt;dates&gt;&lt;year&gt;2022&lt;/year&gt;&lt;/dates&gt;&lt;isbn&gt;1360-7863&lt;/isbn&gt;&lt;urls&gt;&lt;/urls&gt;&lt;/record&gt;&lt;/Cite&gt;&lt;/EndNote&gt;</w:instrText>
      </w:r>
      <w:r w:rsidR="001410A7">
        <w:rPr>
          <w:rFonts w:cstheme="minorHAnsi"/>
          <w:szCs w:val="26"/>
          <w:lang w:eastAsia="en-IE"/>
        </w:rPr>
        <w:fldChar w:fldCharType="separate"/>
      </w:r>
      <w:r w:rsidR="001410A7">
        <w:rPr>
          <w:rFonts w:cstheme="minorHAnsi"/>
          <w:noProof/>
          <w:szCs w:val="26"/>
          <w:lang w:eastAsia="en-IE"/>
        </w:rPr>
        <w:t>(Dennehy et al., 2022)</w:t>
      </w:r>
      <w:r w:rsidR="001410A7">
        <w:rPr>
          <w:rFonts w:cstheme="minorHAnsi"/>
          <w:szCs w:val="26"/>
          <w:lang w:eastAsia="en-IE"/>
        </w:rPr>
        <w:fldChar w:fldCharType="end"/>
      </w:r>
      <w:r w:rsidRPr="009E498C">
        <w:rPr>
          <w:rFonts w:cstheme="minorHAnsi"/>
          <w:szCs w:val="26"/>
          <w:lang w:eastAsia="en-IE"/>
        </w:rPr>
        <w:t>:</w:t>
      </w:r>
    </w:p>
    <w:p w14:paraId="2CD9B960" w14:textId="77777777" w:rsidR="00A86140" w:rsidRPr="009E498C" w:rsidRDefault="00A86140" w:rsidP="00A86140">
      <w:pPr>
        <w:ind w:left="709"/>
        <w:rPr>
          <w:rFonts w:cstheme="minorHAnsi"/>
          <w:szCs w:val="26"/>
          <w:lang w:eastAsia="en-IE"/>
        </w:rPr>
      </w:pPr>
      <w:r w:rsidRPr="009E498C">
        <w:rPr>
          <w:rFonts w:cstheme="minorHAnsi"/>
          <w:i/>
          <w:szCs w:val="26"/>
          <w:lang w:eastAsia="en-IE"/>
        </w:rPr>
        <w:t>…we are trying to get ahead of that future planning needs as opposed to being in that reactive mode all the time…we have had incidents where somebody gets a diagnosis of dementia and…very rapidly somebody can be living quite a nice lifestyle over here in the service to absolutely not being able to meet their needs and then we are only heading in one direction.</w:t>
      </w:r>
      <w:r w:rsidRPr="009E498C">
        <w:rPr>
          <w:rFonts w:cstheme="minorHAnsi"/>
          <w:szCs w:val="26"/>
          <w:lang w:eastAsia="en-IE"/>
        </w:rPr>
        <w:t xml:space="preserve"> (Claire, M, GS)</w:t>
      </w:r>
    </w:p>
    <w:p w14:paraId="37A96FC4" w14:textId="77777777" w:rsidR="00A86140" w:rsidRPr="009E498C" w:rsidRDefault="00A86140" w:rsidP="00A86140">
      <w:pPr>
        <w:rPr>
          <w:rFonts w:eastAsiaTheme="minorEastAsia"/>
          <w:szCs w:val="26"/>
        </w:rPr>
      </w:pPr>
      <w:r w:rsidRPr="009E498C">
        <w:rPr>
          <w:rFonts w:eastAsiaTheme="minorEastAsia"/>
          <w:szCs w:val="26"/>
        </w:rPr>
        <w:t>It was also observed that there can be a lack of connectivity between services, contributing to diagnostic delay. One family member observed that the siloed nature of the health and care services frustrated her attempts to get appropriate care for her sister:</w:t>
      </w:r>
    </w:p>
    <w:p w14:paraId="7A318E83" w14:textId="57DD24DD" w:rsidR="00A86140" w:rsidRPr="009E498C" w:rsidRDefault="00A86140" w:rsidP="00A86140">
      <w:pPr>
        <w:ind w:left="720"/>
        <w:rPr>
          <w:rFonts w:eastAsiaTheme="minorEastAsia"/>
          <w:szCs w:val="26"/>
        </w:rPr>
      </w:pPr>
      <w:r w:rsidRPr="009E498C">
        <w:rPr>
          <w:rFonts w:eastAsiaTheme="minorEastAsia"/>
          <w:i/>
          <w:szCs w:val="26"/>
        </w:rPr>
        <w:t>…I was going with all the information and</w:t>
      </w:r>
      <w:r>
        <w:rPr>
          <w:rFonts w:eastAsiaTheme="minorEastAsia"/>
          <w:i/>
          <w:szCs w:val="26"/>
        </w:rPr>
        <w:t>…</w:t>
      </w:r>
      <w:r w:rsidRPr="009E498C">
        <w:rPr>
          <w:rFonts w:eastAsiaTheme="minorEastAsia"/>
          <w:szCs w:val="26"/>
        </w:rPr>
        <w:t>[sister’s name]</w:t>
      </w:r>
      <w:r>
        <w:rPr>
          <w:rFonts w:eastAsiaTheme="minorEastAsia"/>
          <w:szCs w:val="26"/>
        </w:rPr>
        <w:t>…</w:t>
      </w:r>
      <w:r w:rsidRPr="009E498C">
        <w:rPr>
          <w:rFonts w:eastAsiaTheme="minorEastAsia"/>
          <w:i/>
          <w:szCs w:val="26"/>
        </w:rPr>
        <w:t>was being chopped up into different sections.</w:t>
      </w:r>
      <w:r w:rsidR="00991E69">
        <w:rPr>
          <w:rFonts w:eastAsiaTheme="minorEastAsia"/>
          <w:i/>
          <w:szCs w:val="26"/>
        </w:rPr>
        <w:t xml:space="preserve"> </w:t>
      </w:r>
      <w:r w:rsidRPr="009E498C">
        <w:rPr>
          <w:rFonts w:eastAsiaTheme="minorEastAsia"/>
          <w:i/>
          <w:szCs w:val="26"/>
        </w:rPr>
        <w:t>So I was going for her epilepsy to</w:t>
      </w:r>
      <w:r>
        <w:rPr>
          <w:rFonts w:eastAsiaTheme="minorEastAsia"/>
          <w:i/>
          <w:szCs w:val="26"/>
        </w:rPr>
        <w:t>…</w:t>
      </w:r>
      <w:r w:rsidRPr="009E498C">
        <w:rPr>
          <w:rFonts w:eastAsiaTheme="minorEastAsia"/>
          <w:szCs w:val="26"/>
        </w:rPr>
        <w:t>[hospital name]</w:t>
      </w:r>
      <w:r>
        <w:rPr>
          <w:rFonts w:eastAsiaTheme="minorEastAsia"/>
          <w:i/>
          <w:szCs w:val="26"/>
        </w:rPr>
        <w:t>…</w:t>
      </w:r>
      <w:r w:rsidRPr="009E498C">
        <w:rPr>
          <w:rFonts w:eastAsiaTheme="minorEastAsia"/>
          <w:i/>
          <w:szCs w:val="26"/>
        </w:rPr>
        <w:t>who couldn’t care less about the dementia, and then I was going to</w:t>
      </w:r>
      <w:r>
        <w:rPr>
          <w:rFonts w:eastAsiaTheme="minorEastAsia"/>
          <w:i/>
          <w:szCs w:val="26"/>
        </w:rPr>
        <w:t>…</w:t>
      </w:r>
      <w:r w:rsidRPr="009E498C">
        <w:rPr>
          <w:rFonts w:eastAsiaTheme="minorEastAsia"/>
          <w:szCs w:val="26"/>
        </w:rPr>
        <w:t>[service name]</w:t>
      </w:r>
      <w:r>
        <w:rPr>
          <w:rFonts w:eastAsiaTheme="minorEastAsia"/>
          <w:szCs w:val="26"/>
        </w:rPr>
        <w:t>…</w:t>
      </w:r>
      <w:r w:rsidRPr="009E498C">
        <w:rPr>
          <w:rFonts w:eastAsiaTheme="minorEastAsia"/>
          <w:i/>
          <w:szCs w:val="26"/>
        </w:rPr>
        <w:t>with the dementia, thinking, you know, does anybody know anything about this...none of the pieces were put together.</w:t>
      </w:r>
      <w:r w:rsidRPr="009E498C">
        <w:rPr>
          <w:rFonts w:eastAsiaTheme="minorEastAsia"/>
          <w:szCs w:val="26"/>
        </w:rPr>
        <w:t xml:space="preserve"> (Siobhan, Fam)</w:t>
      </w:r>
    </w:p>
    <w:p w14:paraId="5A352F66" w14:textId="77777777" w:rsidR="00A86140" w:rsidRPr="009E498C" w:rsidRDefault="00A86140" w:rsidP="00A86140">
      <w:pPr>
        <w:rPr>
          <w:rFonts w:cstheme="minorHAnsi"/>
          <w:szCs w:val="26"/>
          <w:lang w:eastAsia="en-IE"/>
        </w:rPr>
      </w:pPr>
      <w:r w:rsidRPr="009E498C">
        <w:rPr>
          <w:rFonts w:cstheme="minorHAnsi"/>
          <w:szCs w:val="26"/>
          <w:lang w:eastAsia="en-IE"/>
        </w:rPr>
        <w:t>A number of participants in services without age-specific pathways observed that the complexity of health needs associated with dementia meant that they could not always be met in the person’s home setting and that an alternative living setting was often needed:</w:t>
      </w:r>
    </w:p>
    <w:p w14:paraId="456846FA" w14:textId="77777777" w:rsidR="00A86140" w:rsidRPr="009E498C" w:rsidRDefault="00A86140" w:rsidP="00A86140">
      <w:pPr>
        <w:ind w:left="709"/>
        <w:rPr>
          <w:rFonts w:cstheme="minorHAnsi"/>
          <w:szCs w:val="26"/>
          <w:lang w:eastAsia="en-IE"/>
        </w:rPr>
      </w:pPr>
      <w:r w:rsidRPr="009E498C">
        <w:rPr>
          <w:rFonts w:cstheme="minorHAnsi"/>
          <w:i/>
          <w:szCs w:val="26"/>
          <w:lang w:eastAsia="en-IE"/>
        </w:rPr>
        <w:t>It is a challenge for our residential service when people become unwell physically and also in terms of dementia because our houses are absolutely community homes. They are the same as anybody else’s home in the community and…when people, decisions are being made about whether somebody needs a nursing home, it’s usually around the nursing needs because we really almost don’t have any nurses in our services at all…</w:t>
      </w:r>
      <w:r w:rsidRPr="009E498C">
        <w:rPr>
          <w:rFonts w:cstheme="minorHAnsi"/>
          <w:szCs w:val="26"/>
          <w:lang w:eastAsia="en-IE"/>
        </w:rPr>
        <w:t xml:space="preserve"> (Elizabeth, M, GS)</w:t>
      </w:r>
    </w:p>
    <w:p w14:paraId="4C77C660" w14:textId="77777777" w:rsidR="00A86140" w:rsidRPr="009E498C" w:rsidRDefault="00A86140" w:rsidP="00A86140">
      <w:pPr>
        <w:ind w:left="709"/>
        <w:rPr>
          <w:szCs w:val="26"/>
          <w:lang w:eastAsia="en-IE"/>
        </w:rPr>
      </w:pPr>
      <w:r w:rsidRPr="009E498C">
        <w:rPr>
          <w:i/>
          <w:szCs w:val="26"/>
          <w:lang w:eastAsia="en-IE"/>
        </w:rPr>
        <w:t>…we’ve had a couple of individuals that moved from their family into nursing homes because of dementia. It got to the stage that we couldn’t look after them in the best possible way in day services. The environment was just becoming way, way too stressful for them. It was very stressful for families as well.</w:t>
      </w:r>
      <w:r w:rsidRPr="009E498C">
        <w:rPr>
          <w:szCs w:val="26"/>
          <w:lang w:eastAsia="en-IE"/>
        </w:rPr>
        <w:t xml:space="preserve"> (Katrin, M, GS)</w:t>
      </w:r>
    </w:p>
    <w:p w14:paraId="2A023DBF" w14:textId="77777777" w:rsidR="00A86140" w:rsidRPr="009E498C" w:rsidRDefault="00A86140" w:rsidP="00A86140">
      <w:pPr>
        <w:rPr>
          <w:rFonts w:cstheme="minorHAnsi"/>
          <w:szCs w:val="26"/>
          <w:lang w:eastAsia="en-IE"/>
        </w:rPr>
      </w:pPr>
      <w:r w:rsidRPr="009E498C">
        <w:rPr>
          <w:rFonts w:cstheme="minorHAnsi"/>
          <w:szCs w:val="26"/>
          <w:lang w:eastAsia="en-IE"/>
        </w:rPr>
        <w:t xml:space="preserve">It was noted that meeting those needs in a community house inevitably has an impact on others who are living there: </w:t>
      </w:r>
    </w:p>
    <w:p w14:paraId="33079F4E" w14:textId="0BE3DA65" w:rsidR="00A86140" w:rsidRPr="009E498C" w:rsidRDefault="00A86140" w:rsidP="6353D33D">
      <w:pPr>
        <w:ind w:left="709"/>
        <w:rPr>
          <w:rFonts w:cstheme="minorBidi"/>
          <w:lang w:eastAsia="en-IE"/>
        </w:rPr>
      </w:pPr>
      <w:r w:rsidRPr="6353D33D">
        <w:rPr>
          <w:i/>
          <w:iCs/>
          <w:lang w:eastAsia="en-IE"/>
        </w:rPr>
        <w:t>…we would have a number of individuals living in smaller community houses that are ag</w:t>
      </w:r>
      <w:r w:rsidR="79359B0D" w:rsidRPr="6353D33D">
        <w:rPr>
          <w:i/>
          <w:iCs/>
          <w:lang w:eastAsia="en-IE"/>
        </w:rPr>
        <w:t>e</w:t>
      </w:r>
      <w:r w:rsidRPr="6353D33D">
        <w:rPr>
          <w:i/>
          <w:iCs/>
          <w:lang w:eastAsia="en-IE"/>
        </w:rPr>
        <w:t>ing and are showing signs of dementia, one or two would have got a diagnosis. So, it's trying to find a space where we are continuously bringing in different equipment, we are trying to teach the people they live with that there’s things changing.</w:t>
      </w:r>
      <w:r w:rsidRPr="6353D33D">
        <w:rPr>
          <w:lang w:eastAsia="en-IE"/>
        </w:rPr>
        <w:t xml:space="preserve"> (Jane, M, SS)</w:t>
      </w:r>
    </w:p>
    <w:p w14:paraId="467741C9" w14:textId="77777777" w:rsidR="00A86140" w:rsidRPr="009E498C" w:rsidRDefault="00A86140" w:rsidP="00A86140">
      <w:pPr>
        <w:rPr>
          <w:szCs w:val="26"/>
          <w:lang w:eastAsia="en-IE"/>
        </w:rPr>
      </w:pPr>
      <w:r w:rsidRPr="009E498C">
        <w:rPr>
          <w:szCs w:val="26"/>
          <w:lang w:eastAsia="en-IE"/>
        </w:rPr>
        <w:t xml:space="preserve">Notwithstanding any health concerns, the needs of people often change as they age, and this may simply include the need or desire to slow down and to take life at a different pace. </w:t>
      </w:r>
    </w:p>
    <w:p w14:paraId="68239CAD" w14:textId="77777777" w:rsidR="00A86140" w:rsidRPr="008A142F" w:rsidRDefault="00A86140" w:rsidP="007F607F">
      <w:pPr>
        <w:pStyle w:val="Heading2"/>
      </w:pPr>
      <w:bookmarkStart w:id="218" w:name="_Toc118555211"/>
      <w:bookmarkStart w:id="219" w:name="_Toc118558296"/>
      <w:bookmarkStart w:id="220" w:name="_Toc118558369"/>
      <w:bookmarkStart w:id="221" w:name="_Toc121830626"/>
      <w:r w:rsidRPr="008A142F">
        <w:t>Retirement</w:t>
      </w:r>
      <w:bookmarkEnd w:id="218"/>
      <w:bookmarkEnd w:id="219"/>
      <w:bookmarkEnd w:id="220"/>
      <w:bookmarkEnd w:id="221"/>
    </w:p>
    <w:p w14:paraId="393E7ED3" w14:textId="41A2C0B0" w:rsidR="00A86140" w:rsidRPr="009E498C" w:rsidRDefault="00A86140" w:rsidP="00A86140">
      <w:pPr>
        <w:rPr>
          <w:lang w:eastAsia="en-IE"/>
        </w:rPr>
      </w:pPr>
      <w:r w:rsidRPr="758830B6">
        <w:rPr>
          <w:lang w:eastAsia="en-IE"/>
        </w:rPr>
        <w:t>Whereas service managers largely focused on health and structural service issues, such as dementia, end</w:t>
      </w:r>
      <w:r w:rsidR="00AD236A">
        <w:rPr>
          <w:lang w:eastAsia="en-IE"/>
        </w:rPr>
        <w:t xml:space="preserve"> of life</w:t>
      </w:r>
      <w:r w:rsidRPr="758830B6">
        <w:rPr>
          <w:lang w:eastAsia="en-IE"/>
        </w:rPr>
        <w:t xml:space="preserve"> care and advanced planning, direct care staff, family members and older people themselves also identified the importance of retirement in the lives of older people with intellectual disabilit</w:t>
      </w:r>
      <w:r w:rsidR="00C85736">
        <w:rPr>
          <w:lang w:eastAsia="en-IE"/>
        </w:rPr>
        <w:t>ies</w:t>
      </w:r>
      <w:r w:rsidRPr="758830B6">
        <w:rPr>
          <w:lang w:eastAsia="en-IE"/>
        </w:rPr>
        <w:t>. It was noted that the traditional service structure meant that older people usually had to continue taking part in day services, requiring them to rise early in the morning. This essentially removed the possibility for a transition from ‘work-life’ to retirement:</w:t>
      </w:r>
    </w:p>
    <w:p w14:paraId="2D9446A9" w14:textId="77777777" w:rsidR="00A86140" w:rsidRPr="009E498C" w:rsidRDefault="00A86140" w:rsidP="00A86140">
      <w:pPr>
        <w:ind w:left="720"/>
        <w:rPr>
          <w:rFonts w:eastAsia="Daytona" w:cstheme="minorHAnsi"/>
          <w:szCs w:val="26"/>
        </w:rPr>
      </w:pPr>
      <w:r w:rsidRPr="009E498C">
        <w:rPr>
          <w:rFonts w:eastAsia="Daytona" w:cstheme="minorHAnsi"/>
          <w:i/>
          <w:szCs w:val="26"/>
        </w:rPr>
        <w:t>…they are not able to be out and about five days a week, going swimming one day and dancing another…they have done that, they have worn the tee-shirt.</w:t>
      </w:r>
      <w:r w:rsidRPr="009E498C">
        <w:rPr>
          <w:rFonts w:cstheme="minorHAnsi"/>
          <w:szCs w:val="26"/>
        </w:rPr>
        <w:t xml:space="preserve"> </w:t>
      </w:r>
      <w:r w:rsidRPr="009E498C">
        <w:rPr>
          <w:rFonts w:eastAsia="Daytona" w:cstheme="minorHAnsi"/>
          <w:i/>
          <w:szCs w:val="26"/>
        </w:rPr>
        <w:t xml:space="preserve">They have done work experience, they have had the jobs, they have done the training. And now it's an opportunity for them to take it easy for a little while and enjoy their life for what’s left of it…here, they are not under pressure to take part in anything really to be honest. Like, if they come in the morning and they say, ‘I just want to sit and do my knitting today’. </w:t>
      </w:r>
      <w:r w:rsidRPr="009E498C">
        <w:rPr>
          <w:rFonts w:eastAsia="Daytona" w:cstheme="minorHAnsi"/>
          <w:szCs w:val="26"/>
        </w:rPr>
        <w:t>(Hannah, D, GS)</w:t>
      </w:r>
    </w:p>
    <w:p w14:paraId="2C678B5A" w14:textId="77777777" w:rsidR="00A86140" w:rsidRPr="009E498C" w:rsidRDefault="00A86140" w:rsidP="00A86140">
      <w:pPr>
        <w:rPr>
          <w:rFonts w:eastAsia="Daytona" w:cstheme="minorHAnsi"/>
          <w:szCs w:val="26"/>
        </w:rPr>
      </w:pPr>
      <w:r w:rsidRPr="009E498C">
        <w:rPr>
          <w:rFonts w:eastAsia="Daytona" w:cstheme="minorHAnsi"/>
          <w:szCs w:val="26"/>
        </w:rPr>
        <w:t>One survey respondent noted that the day activities for older persons can be quite limited and have not really been adequately addressed:</w:t>
      </w:r>
    </w:p>
    <w:p w14:paraId="1B59B9E3" w14:textId="182B1B2B" w:rsidR="00A86140" w:rsidRPr="009E498C" w:rsidRDefault="00A86140" w:rsidP="00A86140">
      <w:pPr>
        <w:ind w:left="709"/>
        <w:rPr>
          <w:rFonts w:eastAsia="Daytona" w:cstheme="minorBidi"/>
          <w:i/>
        </w:rPr>
      </w:pPr>
      <w:r w:rsidRPr="488B7C21">
        <w:rPr>
          <w:i/>
          <w:color w:val="000000" w:themeColor="text1"/>
        </w:rPr>
        <w:t xml:space="preserve">Day services are now concentrated on New Directions for younger persons. Older persons require a place to meet up, meet friends, have routine and orientation. Older persons like older persons in generic community require active age groups with qualified staff to provide specific activities to specific needs. Integration to community-based active age groups doesn’t work for everyone particularly if complex needs, non-verbal and any behavioural or psychological needs. </w:t>
      </w:r>
      <w:r w:rsidRPr="488B7C21">
        <w:rPr>
          <w:color w:val="000000" w:themeColor="text1"/>
        </w:rPr>
        <w:t>(S)</w:t>
      </w:r>
    </w:p>
    <w:p w14:paraId="5C3D0A29" w14:textId="77777777" w:rsidR="00A86140" w:rsidRPr="009E498C" w:rsidRDefault="00A86140" w:rsidP="00A86140">
      <w:pPr>
        <w:rPr>
          <w:rFonts w:eastAsia="Calibri" w:cstheme="minorHAnsi"/>
          <w:szCs w:val="26"/>
        </w:rPr>
      </w:pPr>
      <w:r w:rsidRPr="009E498C">
        <w:rPr>
          <w:rFonts w:eastAsia="Daytona" w:cstheme="minorHAnsi"/>
          <w:szCs w:val="26"/>
        </w:rPr>
        <w:t>Quality of life for some people, as they age, may involve less, rather than more community engagement. And although community engagement is a key</w:t>
      </w:r>
      <w:r>
        <w:rPr>
          <w:rFonts w:eastAsia="Daytona" w:cstheme="minorHAnsi"/>
          <w:szCs w:val="26"/>
        </w:rPr>
        <w:t xml:space="preserve"> Health Information and Quality Authority (</w:t>
      </w:r>
      <w:r w:rsidRPr="009E498C">
        <w:rPr>
          <w:rFonts w:eastAsia="Daytona" w:cstheme="minorHAnsi"/>
          <w:szCs w:val="26"/>
        </w:rPr>
        <w:t>HIQA</w:t>
      </w:r>
      <w:r>
        <w:rPr>
          <w:rFonts w:eastAsia="Daytona" w:cstheme="minorHAnsi"/>
          <w:szCs w:val="26"/>
        </w:rPr>
        <w:t>)</w:t>
      </w:r>
      <w:r w:rsidRPr="009E498C">
        <w:rPr>
          <w:rFonts w:eastAsia="Daytona" w:cstheme="minorHAnsi"/>
          <w:szCs w:val="26"/>
        </w:rPr>
        <w:t xml:space="preserve"> metric, it was suggested that may no longer be of the same relevance for some older persons:</w:t>
      </w:r>
    </w:p>
    <w:p w14:paraId="2CBBB8C9" w14:textId="77777777" w:rsidR="00A86140" w:rsidRPr="009E498C" w:rsidRDefault="00A86140" w:rsidP="00A86140">
      <w:pPr>
        <w:ind w:left="709"/>
        <w:rPr>
          <w:szCs w:val="26"/>
          <w:lang w:eastAsia="en-IE"/>
        </w:rPr>
      </w:pPr>
      <w:r w:rsidRPr="009E498C">
        <w:rPr>
          <w:rFonts w:eastAsia="Daytona"/>
          <w:i/>
          <w:szCs w:val="26"/>
        </w:rPr>
        <w:t xml:space="preserve">…they want us to be going out twice a week with her…to do community activities. The woman is blind, nearly bed bound...She just wants to listen to Daniel O’ Donnell and be warm and comfortable and have long baths and that, not into the chair and up to the leisure centre with the noise deafening. The management are saying because she’s in a community house now and this community engagement and community inclusion has to happen, that they </w:t>
      </w:r>
      <w:r w:rsidRPr="009E498C">
        <w:rPr>
          <w:szCs w:val="26"/>
        </w:rPr>
        <w:t>h</w:t>
      </w:r>
      <w:r w:rsidRPr="009E498C">
        <w:rPr>
          <w:rFonts w:eastAsia="Daytona"/>
          <w:i/>
          <w:szCs w:val="26"/>
        </w:rPr>
        <w:t xml:space="preserve">ave to provide evidence every week that she’s had the opportunity to do these things. </w:t>
      </w:r>
      <w:r w:rsidRPr="009E498C">
        <w:rPr>
          <w:rFonts w:eastAsia="Daytona"/>
          <w:szCs w:val="26"/>
        </w:rPr>
        <w:t>(Geraldine, D, SS)</w:t>
      </w:r>
    </w:p>
    <w:p w14:paraId="38ACD475" w14:textId="77777777" w:rsidR="00A86140" w:rsidRPr="009E498C" w:rsidRDefault="00A86140" w:rsidP="00A86140">
      <w:pPr>
        <w:rPr>
          <w:szCs w:val="26"/>
          <w:lang w:eastAsia="en-IE"/>
        </w:rPr>
      </w:pPr>
      <w:r w:rsidRPr="009E498C">
        <w:rPr>
          <w:szCs w:val="26"/>
          <w:lang w:eastAsia="en-IE"/>
        </w:rPr>
        <w:t>This was affirmed by a number of family members who considered that continuing full-time day services was detrimental to their loved ones’ health and wellbeing. They, themselves, made decisions to reduce the time their family member spent in such services:</w:t>
      </w:r>
    </w:p>
    <w:p w14:paraId="595F5363" w14:textId="3C1DC47B" w:rsidR="00A86140" w:rsidRPr="009E498C" w:rsidRDefault="00A86140" w:rsidP="00A86140">
      <w:pPr>
        <w:ind w:left="709"/>
        <w:rPr>
          <w:rFonts w:cstheme="minorHAnsi"/>
          <w:szCs w:val="26"/>
          <w:lang w:eastAsia="en-IE"/>
        </w:rPr>
      </w:pPr>
      <w:r w:rsidRPr="009E498C">
        <w:rPr>
          <w:rFonts w:eastAsiaTheme="minorEastAsia"/>
          <w:i/>
          <w:szCs w:val="26"/>
          <w:lang w:val="en-GB"/>
        </w:rPr>
        <w:t xml:space="preserve">I felt the Monday to Friday, all day, was too much for him, he wasn’t able to cope with the noise level and the numbers…So I chose sessions that he would go to, and I would drive him down and pick him up. </w:t>
      </w:r>
      <w:r w:rsidRPr="009E498C">
        <w:rPr>
          <w:rFonts w:eastAsiaTheme="minorEastAsia"/>
          <w:szCs w:val="26"/>
          <w:lang w:val="en-GB"/>
        </w:rPr>
        <w:t>(Nancy, Fam)</w:t>
      </w:r>
    </w:p>
    <w:p w14:paraId="390ED05C" w14:textId="07CD3234" w:rsidR="00A86140" w:rsidRPr="009E498C" w:rsidRDefault="00A86140" w:rsidP="00A86140">
      <w:pPr>
        <w:ind w:left="709"/>
        <w:rPr>
          <w:rFonts w:cstheme="minorHAnsi"/>
          <w:szCs w:val="26"/>
          <w:lang w:eastAsia="en-IE"/>
        </w:rPr>
      </w:pPr>
      <w:r w:rsidRPr="009E498C">
        <w:rPr>
          <w:rFonts w:eastAsiaTheme="minorEastAsia"/>
          <w:i/>
          <w:szCs w:val="26"/>
          <w:lang w:val="en-GB"/>
        </w:rPr>
        <w:t>They still have activities here during the day…they go to bowling and they go to music sessions and, you know, little bits and pieces. Which is enough for him…it has worked out extremely well.</w:t>
      </w:r>
      <w:r w:rsidRPr="009E498C">
        <w:rPr>
          <w:rFonts w:eastAsiaTheme="minorEastAsia"/>
          <w:szCs w:val="26"/>
          <w:lang w:val="en-GB"/>
        </w:rPr>
        <w:t xml:space="preserve"> (Kay, Fam)</w:t>
      </w:r>
    </w:p>
    <w:p w14:paraId="085C39A2" w14:textId="08205A7B" w:rsidR="00A86140" w:rsidRPr="009E498C" w:rsidRDefault="00A86140" w:rsidP="00A86140">
      <w:pPr>
        <w:rPr>
          <w:szCs w:val="26"/>
          <w:lang w:eastAsia="en-IE"/>
        </w:rPr>
      </w:pPr>
      <w:r w:rsidRPr="009E498C">
        <w:rPr>
          <w:szCs w:val="26"/>
          <w:lang w:eastAsia="en-IE"/>
        </w:rPr>
        <w:t>The closure of day services during the C</w:t>
      </w:r>
      <w:r w:rsidR="00F809AE">
        <w:rPr>
          <w:szCs w:val="26"/>
          <w:lang w:eastAsia="en-IE"/>
        </w:rPr>
        <w:t>OVID</w:t>
      </w:r>
      <w:r w:rsidRPr="009E498C">
        <w:rPr>
          <w:szCs w:val="26"/>
          <w:lang w:eastAsia="en-IE"/>
        </w:rPr>
        <w:t>-19 lockdown, was seen to have provided a welcome reset which also led to more innovation and individualisation:</w:t>
      </w:r>
    </w:p>
    <w:p w14:paraId="551BB805" w14:textId="42E951FB" w:rsidR="00A86140" w:rsidRPr="009E498C" w:rsidRDefault="00A86140" w:rsidP="00A86140">
      <w:pPr>
        <w:ind w:left="709"/>
        <w:rPr>
          <w:rFonts w:cstheme="minorHAnsi"/>
          <w:szCs w:val="26"/>
          <w:lang w:eastAsia="en-IE"/>
        </w:rPr>
      </w:pPr>
      <w:r w:rsidRPr="009E498C">
        <w:rPr>
          <w:rFonts w:eastAsia="Daytona" w:cstheme="minorHAnsi"/>
          <w:i/>
          <w:color w:val="000000" w:themeColor="text1"/>
          <w:szCs w:val="26"/>
          <w:lang w:val="en-GB"/>
        </w:rPr>
        <w:t xml:space="preserve">…I think </w:t>
      </w:r>
      <w:r w:rsidR="00B76DFE">
        <w:rPr>
          <w:rFonts w:eastAsia="Daytona" w:cstheme="minorHAnsi"/>
          <w:i/>
          <w:color w:val="000000" w:themeColor="text1"/>
          <w:szCs w:val="26"/>
          <w:lang w:val="en-GB"/>
        </w:rPr>
        <w:t>COVID</w:t>
      </w:r>
      <w:r w:rsidRPr="009E498C">
        <w:rPr>
          <w:rFonts w:eastAsia="Daytona" w:cstheme="minorHAnsi"/>
          <w:i/>
          <w:color w:val="000000" w:themeColor="text1"/>
          <w:szCs w:val="26"/>
          <w:lang w:val="en-GB"/>
        </w:rPr>
        <w:t xml:space="preserve"> yes it had its negatives, but I think within our service here we really adapted to that and listened to what the people we support needed. So</w:t>
      </w:r>
      <w:r>
        <w:rPr>
          <w:rFonts w:eastAsia="Daytona" w:cstheme="minorHAnsi"/>
          <w:i/>
          <w:color w:val="000000" w:themeColor="text1"/>
          <w:szCs w:val="26"/>
          <w:lang w:val="en-GB"/>
        </w:rPr>
        <w:t>,</w:t>
      </w:r>
      <w:r w:rsidRPr="009E498C">
        <w:rPr>
          <w:rFonts w:eastAsia="Daytona" w:cstheme="minorHAnsi"/>
          <w:i/>
          <w:color w:val="000000" w:themeColor="text1"/>
          <w:szCs w:val="26"/>
          <w:lang w:val="en-GB"/>
        </w:rPr>
        <w:t xml:space="preserve"> whether it </w:t>
      </w:r>
      <w:r w:rsidR="005E0F80">
        <w:rPr>
          <w:rFonts w:eastAsia="Daytona" w:cstheme="minorHAnsi"/>
          <w:i/>
          <w:color w:val="000000" w:themeColor="text1"/>
          <w:szCs w:val="26"/>
          <w:lang w:val="en-GB"/>
        </w:rPr>
        <w:t>w</w:t>
      </w:r>
      <w:r w:rsidRPr="009E498C">
        <w:rPr>
          <w:rFonts w:eastAsia="Daytona" w:cstheme="minorHAnsi"/>
          <w:i/>
          <w:color w:val="000000" w:themeColor="text1"/>
          <w:szCs w:val="26"/>
          <w:lang w:val="en-GB"/>
        </w:rPr>
        <w:t xml:space="preserve">as that lie in to 11 o’clock in the day, that they didn’t need to get on a bus to go </w:t>
      </w:r>
      <w:r w:rsidRPr="009E498C">
        <w:rPr>
          <w:rFonts w:cstheme="minorHAnsi"/>
          <w:szCs w:val="26"/>
        </w:rPr>
        <w:t>i</w:t>
      </w:r>
      <w:r w:rsidRPr="009E498C">
        <w:rPr>
          <w:rFonts w:eastAsia="Daytona" w:cstheme="minorHAnsi"/>
          <w:i/>
          <w:color w:val="000000" w:themeColor="text1"/>
          <w:szCs w:val="26"/>
          <w:lang w:val="en-GB"/>
        </w:rPr>
        <w:t>n somewhere for 9 o’clock. We were really listening to their needs.</w:t>
      </w:r>
      <w:r w:rsidRPr="009E498C">
        <w:rPr>
          <w:rFonts w:eastAsia="Daytona" w:cstheme="minorHAnsi"/>
          <w:color w:val="000000" w:themeColor="text1"/>
          <w:szCs w:val="26"/>
        </w:rPr>
        <w:t xml:space="preserve"> (Ingrid, D, GS)</w:t>
      </w:r>
      <w:r w:rsidRPr="009E498C">
        <w:rPr>
          <w:rFonts w:eastAsia="Daytona" w:cstheme="minorHAnsi"/>
          <w:szCs w:val="26"/>
        </w:rPr>
        <w:t xml:space="preserve"> </w:t>
      </w:r>
    </w:p>
    <w:p w14:paraId="236F6C30" w14:textId="77777777" w:rsidR="00A86140" w:rsidRPr="009E498C" w:rsidRDefault="00A86140" w:rsidP="00A86140">
      <w:pPr>
        <w:rPr>
          <w:rStyle w:val="normaltextrun"/>
          <w:rFonts w:eastAsia="Daytona" w:cstheme="minorHAnsi"/>
          <w:szCs w:val="26"/>
          <w:lang w:val="en-GB"/>
        </w:rPr>
      </w:pPr>
      <w:r w:rsidRPr="009E498C">
        <w:rPr>
          <w:rStyle w:val="normaltextrun"/>
          <w:rFonts w:eastAsia="Daytona" w:cstheme="minorHAnsi"/>
          <w:szCs w:val="26"/>
          <w:lang w:val="en-GB"/>
        </w:rPr>
        <w:t>Slower paced days and increased use of internet-based communication supported a more relaxed lifestyle which had positive effects:</w:t>
      </w:r>
    </w:p>
    <w:p w14:paraId="04963526" w14:textId="77777777" w:rsidR="00A86140" w:rsidRPr="009E498C" w:rsidRDefault="00A86140" w:rsidP="00A86140">
      <w:pPr>
        <w:ind w:left="720"/>
        <w:rPr>
          <w:rFonts w:eastAsia="Daytona" w:cstheme="minorHAnsi"/>
          <w:color w:val="000000" w:themeColor="text1"/>
          <w:szCs w:val="26"/>
          <w:lang w:val="en-GB"/>
        </w:rPr>
      </w:pPr>
      <w:r w:rsidRPr="009E498C">
        <w:rPr>
          <w:rFonts w:eastAsia="Daytona" w:cstheme="minorHAnsi"/>
          <w:i/>
          <w:color w:val="000000" w:themeColor="text1"/>
          <w:szCs w:val="26"/>
          <w:lang w:val="en-GB"/>
        </w:rPr>
        <w:t>…so</w:t>
      </w:r>
      <w:r>
        <w:rPr>
          <w:rFonts w:eastAsia="Daytona" w:cstheme="minorHAnsi"/>
          <w:i/>
          <w:color w:val="000000" w:themeColor="text1"/>
          <w:szCs w:val="26"/>
          <w:lang w:val="en-GB"/>
        </w:rPr>
        <w:t>,</w:t>
      </w:r>
      <w:r w:rsidRPr="009E498C">
        <w:rPr>
          <w:rFonts w:eastAsia="Daytona" w:cstheme="minorHAnsi"/>
          <w:i/>
          <w:color w:val="000000" w:themeColor="text1"/>
          <w:szCs w:val="26"/>
          <w:lang w:val="en-GB"/>
        </w:rPr>
        <w:t xml:space="preserve"> we have been trying to rethink day services as we are calling it…people in some of the community residential houses, didn’t want to have the same. They got happy, the pace was slower</w:t>
      </w:r>
      <w:r>
        <w:rPr>
          <w:rFonts w:eastAsia="Daytona" w:cstheme="minorHAnsi"/>
          <w:i/>
          <w:color w:val="000000" w:themeColor="text1"/>
          <w:szCs w:val="26"/>
          <w:lang w:val="en-GB"/>
        </w:rPr>
        <w:t>,</w:t>
      </w:r>
      <w:r w:rsidRPr="009E498C">
        <w:rPr>
          <w:rFonts w:eastAsia="Daytona" w:cstheme="minorHAnsi"/>
          <w:i/>
          <w:color w:val="000000" w:themeColor="text1"/>
          <w:szCs w:val="26"/>
          <w:lang w:val="en-GB"/>
        </w:rPr>
        <w:t xml:space="preserve"> and they enjoyed being able to be at home more…the pace seemed a little bit gentler and easier so if they were people who were suffering with anxiety, or where they had transitioning difficulty, they didn’t have that anymore.</w:t>
      </w:r>
      <w:r w:rsidRPr="009E498C">
        <w:rPr>
          <w:rFonts w:eastAsia="Daytona" w:cstheme="minorHAnsi"/>
          <w:i/>
          <w:color w:val="000000" w:themeColor="text1"/>
          <w:szCs w:val="26"/>
        </w:rPr>
        <w:t xml:space="preserve"> </w:t>
      </w:r>
      <w:r w:rsidRPr="009E498C">
        <w:rPr>
          <w:rFonts w:eastAsia="Daytona" w:cstheme="minorHAnsi"/>
          <w:color w:val="000000" w:themeColor="text1"/>
          <w:szCs w:val="26"/>
          <w:lang w:val="en-GB"/>
        </w:rPr>
        <w:t>(Geraldine, D, SS)</w:t>
      </w:r>
    </w:p>
    <w:p w14:paraId="11819FC4" w14:textId="55A9CDEA" w:rsidR="00A86140" w:rsidRPr="009E498C" w:rsidRDefault="00A86140" w:rsidP="11C55A92">
      <w:pPr>
        <w:rPr>
          <w:rFonts w:eastAsia="Daytona" w:cstheme="minorBidi"/>
        </w:rPr>
      </w:pPr>
      <w:r w:rsidRPr="11C55A92">
        <w:rPr>
          <w:rFonts w:eastAsia="Daytona" w:cstheme="minorBidi"/>
        </w:rPr>
        <w:t xml:space="preserve">However, it was noted that maintaining such realities was </w:t>
      </w:r>
      <w:r w:rsidR="00D833C1" w:rsidRPr="11C55A92">
        <w:rPr>
          <w:rFonts w:eastAsia="Daytona" w:cstheme="minorBidi"/>
        </w:rPr>
        <w:t xml:space="preserve">an </w:t>
      </w:r>
      <w:r w:rsidRPr="11C55A92">
        <w:rPr>
          <w:rFonts w:eastAsia="Daytona" w:cstheme="minorBidi"/>
        </w:rPr>
        <w:t>option that some services could not implement easily:</w:t>
      </w:r>
    </w:p>
    <w:p w14:paraId="34DAD515" w14:textId="77777777" w:rsidR="00A86140" w:rsidRPr="009E498C" w:rsidRDefault="00A86140" w:rsidP="00A86140">
      <w:pPr>
        <w:ind w:left="720"/>
        <w:rPr>
          <w:rFonts w:eastAsia="Daytona" w:cstheme="minorHAnsi"/>
          <w:color w:val="000000" w:themeColor="text1"/>
          <w:szCs w:val="26"/>
        </w:rPr>
      </w:pPr>
      <w:r w:rsidRPr="009E498C">
        <w:rPr>
          <w:rFonts w:eastAsia="Daytona" w:cstheme="minorHAnsi"/>
          <w:i/>
          <w:color w:val="000000" w:themeColor="text1"/>
          <w:szCs w:val="26"/>
        </w:rPr>
        <w:t xml:space="preserve">But I suppose normally, now when they’re all back to day service. There might not be the same opportunities to stay at home, if you don’t want to go in because of that. You know it would have to be a bit more planned. </w:t>
      </w:r>
      <w:r w:rsidRPr="009E498C">
        <w:rPr>
          <w:rFonts w:eastAsia="Daytona" w:cstheme="minorHAnsi"/>
          <w:color w:val="000000" w:themeColor="text1"/>
          <w:szCs w:val="26"/>
        </w:rPr>
        <w:t>(Cathy, D, SS)</w:t>
      </w:r>
    </w:p>
    <w:p w14:paraId="4A2D46EB" w14:textId="02809BCF" w:rsidR="00A86140" w:rsidRPr="009E498C" w:rsidRDefault="00A86140" w:rsidP="00A86140">
      <w:pPr>
        <w:rPr>
          <w:rFonts w:eastAsia="Daytona"/>
          <w:color w:val="000000" w:themeColor="text1"/>
          <w:szCs w:val="26"/>
        </w:rPr>
      </w:pPr>
      <w:r w:rsidRPr="009E498C">
        <w:rPr>
          <w:rFonts w:eastAsia="Daytona"/>
          <w:szCs w:val="26"/>
        </w:rPr>
        <w:t>This was again linked to funding and the constraints associated with the idea of a congregated funding model. Without individualised funding, it was considered that services would struggle to provide the person-centred service to facilitate retirement and older cohorts of people with intellectual disabilit</w:t>
      </w:r>
      <w:r w:rsidR="00C85736">
        <w:rPr>
          <w:rFonts w:eastAsia="Daytona"/>
          <w:szCs w:val="26"/>
        </w:rPr>
        <w:t>ies</w:t>
      </w:r>
      <w:r w:rsidRPr="009E498C">
        <w:rPr>
          <w:rFonts w:eastAsia="Daytona"/>
          <w:szCs w:val="26"/>
        </w:rPr>
        <w:t xml:space="preserve"> would be less likely to have specific budgets to meet their needs. </w:t>
      </w:r>
      <w:r w:rsidRPr="009E498C">
        <w:rPr>
          <w:rFonts w:eastAsia="Daytona"/>
          <w:color w:val="000000" w:themeColor="text1"/>
          <w:szCs w:val="26"/>
        </w:rPr>
        <w:t>Without such specific and reactive budgets, services may face dilemmas in the allocation of resources as described by a survey respondent:</w:t>
      </w:r>
    </w:p>
    <w:p w14:paraId="4606795E" w14:textId="77777777" w:rsidR="00A86140" w:rsidRPr="009E498C" w:rsidRDefault="00A86140" w:rsidP="00A86140">
      <w:pPr>
        <w:ind w:left="709"/>
        <w:rPr>
          <w:rFonts w:eastAsia="Calibri" w:cs="Calibri"/>
          <w:color w:val="000000" w:themeColor="text1"/>
          <w:szCs w:val="26"/>
        </w:rPr>
      </w:pPr>
      <w:r w:rsidRPr="009E498C">
        <w:rPr>
          <w:rFonts w:eastAsia="Calibri" w:cs="Calibri"/>
          <w:i/>
          <w:color w:val="000000" w:themeColor="text1"/>
          <w:szCs w:val="26"/>
        </w:rPr>
        <w:t>Funding to address increasing needs as people age is the primary issue.</w:t>
      </w:r>
      <w:r>
        <w:rPr>
          <w:rFonts w:eastAsia="Calibri" w:cs="Calibri"/>
          <w:i/>
          <w:color w:val="000000" w:themeColor="text1"/>
          <w:szCs w:val="26"/>
        </w:rPr>
        <w:t xml:space="preserve"> </w:t>
      </w:r>
      <w:r w:rsidRPr="009E498C">
        <w:rPr>
          <w:rFonts w:eastAsia="Calibri" w:cs="Calibri"/>
          <w:i/>
          <w:color w:val="000000" w:themeColor="text1"/>
          <w:szCs w:val="26"/>
        </w:rPr>
        <w:t xml:space="preserve">Their needs compete with all adults in the service, not just between those are considered older people. </w:t>
      </w:r>
      <w:r w:rsidRPr="009E498C">
        <w:rPr>
          <w:rFonts w:eastAsia="Calibri" w:cs="Calibri"/>
          <w:color w:val="000000" w:themeColor="text1"/>
          <w:szCs w:val="26"/>
        </w:rPr>
        <w:t>(S)</w:t>
      </w:r>
    </w:p>
    <w:p w14:paraId="016AD661" w14:textId="513F144B" w:rsidR="00A86140" w:rsidRPr="00C26679" w:rsidRDefault="00A86140" w:rsidP="007F607F">
      <w:pPr>
        <w:pStyle w:val="Heading2"/>
      </w:pPr>
      <w:bookmarkStart w:id="222" w:name="_Toc114072926"/>
      <w:bookmarkStart w:id="223" w:name="_Toc118555212"/>
      <w:bookmarkStart w:id="224" w:name="_Toc118558297"/>
      <w:bookmarkStart w:id="225" w:name="_Toc118558370"/>
      <w:bookmarkStart w:id="226" w:name="_Toc121830627"/>
      <w:r w:rsidRPr="00C26679">
        <w:t>End</w:t>
      </w:r>
      <w:r w:rsidR="00AD236A" w:rsidRPr="00C26679">
        <w:t xml:space="preserve"> </w:t>
      </w:r>
      <w:r w:rsidRPr="00C26679">
        <w:t>of</w:t>
      </w:r>
      <w:r w:rsidR="00AD236A" w:rsidRPr="00C26679">
        <w:t xml:space="preserve"> </w:t>
      </w:r>
      <w:r w:rsidRPr="00C26679">
        <w:t>life</w:t>
      </w:r>
      <w:bookmarkEnd w:id="222"/>
      <w:bookmarkEnd w:id="223"/>
      <w:bookmarkEnd w:id="224"/>
      <w:bookmarkEnd w:id="225"/>
      <w:bookmarkEnd w:id="226"/>
    </w:p>
    <w:p w14:paraId="7AAF08CC" w14:textId="06543A30" w:rsidR="00A86140" w:rsidRPr="009E498C" w:rsidRDefault="00A86140" w:rsidP="00A86140">
      <w:pPr>
        <w:rPr>
          <w:color w:val="FF0000"/>
        </w:rPr>
      </w:pPr>
      <w:r w:rsidRPr="1D14BA3B">
        <w:t>Ageing, irrespective of longevity, leads inevitably towards death at some point, so it is not surprising that advanced planning and end</w:t>
      </w:r>
      <w:r w:rsidR="00AD236A">
        <w:t xml:space="preserve"> of life</w:t>
      </w:r>
      <w:r w:rsidRPr="1D14BA3B">
        <w:t xml:space="preserve"> support were identified as important in any discussion of service provision for older people with intellectual disabilit</w:t>
      </w:r>
      <w:r w:rsidR="00C85736">
        <w:t>ies</w:t>
      </w:r>
      <w:r w:rsidRPr="1D14BA3B">
        <w:t xml:space="preserve">. </w:t>
      </w:r>
      <w:r w:rsidRPr="1D14BA3B">
        <w:rPr>
          <w:color w:val="000000" w:themeColor="text1"/>
        </w:rPr>
        <w:t>Most survey respondents (83.3%; n=25) reported that their services engaged in bereavement and end</w:t>
      </w:r>
      <w:r w:rsidR="00AD236A">
        <w:rPr>
          <w:color w:val="000000" w:themeColor="text1"/>
        </w:rPr>
        <w:t xml:space="preserve"> of life</w:t>
      </w:r>
      <w:r w:rsidRPr="1D14BA3B">
        <w:rPr>
          <w:color w:val="000000" w:themeColor="text1"/>
        </w:rPr>
        <w:t xml:space="preserve"> preparations, to some degree, with the family, friends and housemates of older people, as well as engaging in end</w:t>
      </w:r>
      <w:r w:rsidR="00AD236A">
        <w:rPr>
          <w:color w:val="000000" w:themeColor="text1"/>
        </w:rPr>
        <w:t xml:space="preserve"> of life</w:t>
      </w:r>
      <w:r w:rsidRPr="1D14BA3B">
        <w:rPr>
          <w:color w:val="000000" w:themeColor="text1"/>
        </w:rPr>
        <w:t xml:space="preserve"> (85.7%; n=24) and advanced care planning (78.5%; n=25) conversations with some or all older adults in their service.</w:t>
      </w:r>
    </w:p>
    <w:p w14:paraId="27F177D8" w14:textId="5405760C" w:rsidR="00A86140" w:rsidRPr="009E498C" w:rsidRDefault="00A86140" w:rsidP="00A86140">
      <w:r>
        <w:t>It was noted that there is a need for staff and others to be comfortable talking about death and decisions around end</w:t>
      </w:r>
      <w:r w:rsidR="00AD236A">
        <w:t xml:space="preserve"> of life</w:t>
      </w:r>
      <w:r>
        <w:t>. Whereas such conversations may have occurred between staff or with family members, there appears to have been a reticence in discussing this with the ag</w:t>
      </w:r>
      <w:r w:rsidR="0CAE09DB">
        <w:t>e</w:t>
      </w:r>
      <w:r>
        <w:t>ing person:</w:t>
      </w:r>
    </w:p>
    <w:p w14:paraId="758F508A" w14:textId="1F7963C4" w:rsidR="00A86140" w:rsidRPr="009E498C" w:rsidRDefault="00A86140" w:rsidP="00A86140">
      <w:pPr>
        <w:ind w:left="709"/>
      </w:pPr>
      <w:r w:rsidRPr="739200AA">
        <w:rPr>
          <w:i/>
          <w:lang w:eastAsia="en-IE"/>
        </w:rPr>
        <w:t>Before this you didn’t discuss those care conversations and end</w:t>
      </w:r>
      <w:r w:rsidR="00AD236A">
        <w:rPr>
          <w:i/>
          <w:iCs/>
          <w:lang w:eastAsia="en-IE"/>
        </w:rPr>
        <w:t xml:space="preserve"> </w:t>
      </w:r>
      <w:r w:rsidRPr="739200AA">
        <w:rPr>
          <w:i/>
          <w:lang w:eastAsia="en-IE"/>
        </w:rPr>
        <w:t>of</w:t>
      </w:r>
      <w:r w:rsidR="00AD236A">
        <w:rPr>
          <w:i/>
          <w:iCs/>
          <w:lang w:eastAsia="en-IE"/>
        </w:rPr>
        <w:t xml:space="preserve"> </w:t>
      </w:r>
      <w:r w:rsidRPr="739200AA">
        <w:rPr>
          <w:i/>
          <w:lang w:eastAsia="en-IE"/>
        </w:rPr>
        <w:t>life planning with the person; it was more with the family and staff who made those decisions.</w:t>
      </w:r>
      <w:r w:rsidRPr="739200AA">
        <w:rPr>
          <w:lang w:eastAsia="en-IE"/>
        </w:rPr>
        <w:t xml:space="preserve"> (Emily, M, GS)</w:t>
      </w:r>
    </w:p>
    <w:p w14:paraId="1611AB62" w14:textId="49CBEB8C" w:rsidR="00A86140" w:rsidRPr="009E498C" w:rsidRDefault="00A86140" w:rsidP="00A86140">
      <w:pPr>
        <w:rPr>
          <w:color w:val="000000" w:themeColor="text1"/>
          <w:lang w:eastAsia="en-IE"/>
        </w:rPr>
      </w:pPr>
      <w:r w:rsidRPr="11C55A92">
        <w:rPr>
          <w:color w:val="000000" w:themeColor="text1"/>
          <w:lang w:eastAsia="en-IE"/>
        </w:rPr>
        <w:t>When asked about barriers to engaging in these conversations, survey respondents described how staff may avoid advance</w:t>
      </w:r>
      <w:r w:rsidR="2EA32C8A" w:rsidRPr="11C55A92">
        <w:rPr>
          <w:color w:val="000000" w:themeColor="text1"/>
          <w:lang w:eastAsia="en-IE"/>
        </w:rPr>
        <w:t>d</w:t>
      </w:r>
      <w:r w:rsidRPr="11C55A92">
        <w:rPr>
          <w:color w:val="000000" w:themeColor="text1"/>
          <w:lang w:eastAsia="en-IE"/>
        </w:rPr>
        <w:t xml:space="preserve"> care planning and end</w:t>
      </w:r>
      <w:r w:rsidR="00AD236A" w:rsidRPr="11C55A92">
        <w:rPr>
          <w:color w:val="000000" w:themeColor="text1"/>
          <w:lang w:eastAsia="en-IE"/>
        </w:rPr>
        <w:t xml:space="preserve"> of life</w:t>
      </w:r>
      <w:r w:rsidRPr="11C55A92">
        <w:rPr>
          <w:color w:val="000000" w:themeColor="text1"/>
          <w:lang w:eastAsia="en-IE"/>
        </w:rPr>
        <w:t xml:space="preserve"> discussions because they are afraid of causing the person or family emotional distress due to the sensitive nature of the topic. They also highlighted how healthcare systems and professionals are unprepared to carry out advanced care planning as “there appears to be a lack of a cohesive approach” to care and that staff lack the appropriate knowledge and skills to have such conversations:</w:t>
      </w:r>
    </w:p>
    <w:p w14:paraId="3EE87BC9" w14:textId="2A685CF7" w:rsidR="00A86140" w:rsidRPr="009E498C" w:rsidRDefault="00A86140" w:rsidP="00A86140">
      <w:pPr>
        <w:ind w:left="720"/>
        <w:rPr>
          <w:rFonts w:eastAsiaTheme="minorEastAsia"/>
          <w:color w:val="000000" w:themeColor="text1"/>
          <w:szCs w:val="26"/>
        </w:rPr>
      </w:pPr>
      <w:r w:rsidRPr="009E498C">
        <w:rPr>
          <w:rFonts w:eastAsiaTheme="minorEastAsia"/>
          <w:i/>
          <w:color w:val="000000" w:themeColor="text1"/>
          <w:szCs w:val="26"/>
        </w:rPr>
        <w:t>Lack of engagement and planning at strategic level, lack of understanding by stakeholders of the importance of this area, lack of understanding of need for staff education in end</w:t>
      </w:r>
      <w:r w:rsidR="00AD236A">
        <w:rPr>
          <w:rFonts w:eastAsiaTheme="minorEastAsia"/>
          <w:i/>
          <w:iCs/>
          <w:color w:val="000000" w:themeColor="text1"/>
          <w:szCs w:val="26"/>
        </w:rPr>
        <w:t xml:space="preserve"> </w:t>
      </w:r>
      <w:r w:rsidRPr="009E498C">
        <w:rPr>
          <w:rFonts w:eastAsiaTheme="minorEastAsia"/>
          <w:i/>
          <w:color w:val="000000" w:themeColor="text1"/>
          <w:szCs w:val="26"/>
        </w:rPr>
        <w:t>of</w:t>
      </w:r>
      <w:r w:rsidR="00AD236A">
        <w:rPr>
          <w:rFonts w:eastAsiaTheme="minorEastAsia"/>
          <w:i/>
          <w:iCs/>
          <w:color w:val="000000" w:themeColor="text1"/>
          <w:szCs w:val="26"/>
        </w:rPr>
        <w:t xml:space="preserve"> </w:t>
      </w:r>
      <w:r w:rsidRPr="009E498C">
        <w:rPr>
          <w:rFonts w:eastAsiaTheme="minorEastAsia"/>
          <w:i/>
          <w:color w:val="000000" w:themeColor="text1"/>
          <w:szCs w:val="26"/>
        </w:rPr>
        <w:t xml:space="preserve">life care. </w:t>
      </w:r>
      <w:r w:rsidRPr="009E498C">
        <w:rPr>
          <w:rFonts w:eastAsiaTheme="minorEastAsia"/>
          <w:color w:val="000000" w:themeColor="text1"/>
          <w:szCs w:val="26"/>
        </w:rPr>
        <w:t>(S)</w:t>
      </w:r>
    </w:p>
    <w:p w14:paraId="77E195CC" w14:textId="77777777" w:rsidR="00A86140" w:rsidRPr="009E498C" w:rsidRDefault="00A86140" w:rsidP="00A86140">
      <w:pPr>
        <w:ind w:left="720"/>
        <w:rPr>
          <w:rFonts w:eastAsiaTheme="minorEastAsia"/>
          <w:color w:val="000000" w:themeColor="text1"/>
          <w:szCs w:val="26"/>
        </w:rPr>
      </w:pPr>
      <w:r w:rsidRPr="009E498C">
        <w:rPr>
          <w:rFonts w:eastAsiaTheme="minorEastAsia"/>
          <w:i/>
          <w:color w:val="000000" w:themeColor="text1"/>
          <w:szCs w:val="26"/>
        </w:rPr>
        <w:t xml:space="preserve">…lack of knowledge and experience dealing with the subject some staff may feel that they are ill equipped to lead out and engage with the person, family and housemates on this subject. </w:t>
      </w:r>
      <w:r w:rsidRPr="009E498C">
        <w:rPr>
          <w:rFonts w:eastAsiaTheme="minorEastAsia"/>
          <w:color w:val="000000" w:themeColor="text1"/>
          <w:szCs w:val="26"/>
        </w:rPr>
        <w:t>(S)</w:t>
      </w:r>
    </w:p>
    <w:p w14:paraId="243CB3C3" w14:textId="77777777" w:rsidR="00A86140" w:rsidRPr="009E498C" w:rsidRDefault="00A86140" w:rsidP="00A86140">
      <w:pPr>
        <w:rPr>
          <w:szCs w:val="26"/>
          <w:lang w:eastAsia="en-IE"/>
        </w:rPr>
      </w:pPr>
      <w:r w:rsidRPr="009E498C">
        <w:rPr>
          <w:szCs w:val="26"/>
          <w:lang w:eastAsia="en-IE"/>
        </w:rPr>
        <w:t>Most participants expressed a desire for the older person to die at home, wherever possible. As one direct staff member noted:</w:t>
      </w:r>
    </w:p>
    <w:p w14:paraId="47C91508" w14:textId="77777777" w:rsidR="00A86140" w:rsidRPr="009E498C" w:rsidRDefault="00A86140" w:rsidP="00A86140">
      <w:pPr>
        <w:ind w:left="709"/>
        <w:rPr>
          <w:rFonts w:cstheme="minorHAnsi"/>
          <w:szCs w:val="26"/>
          <w:lang w:eastAsia="en-IE"/>
        </w:rPr>
      </w:pPr>
      <w:r w:rsidRPr="009E498C">
        <w:rPr>
          <w:rStyle w:val="normaltextrun"/>
          <w:rFonts w:cstheme="minorHAnsi"/>
          <w:i/>
          <w:color w:val="000000"/>
          <w:szCs w:val="26"/>
          <w:shd w:val="clear" w:color="auto" w:fill="FFFFFF"/>
          <w:lang w:val="en-GB"/>
        </w:rPr>
        <w:t>Because they are living longer…we would love to see them pass away in their own homes, where they have developed over the years.</w:t>
      </w:r>
      <w:r w:rsidRPr="009E498C">
        <w:rPr>
          <w:rStyle w:val="normaltextrun"/>
          <w:rFonts w:cstheme="minorHAnsi"/>
          <w:i/>
          <w:color w:val="000000"/>
          <w:szCs w:val="26"/>
          <w:shd w:val="clear" w:color="auto" w:fill="FFFFFF"/>
        </w:rPr>
        <w:t xml:space="preserve"> </w:t>
      </w:r>
      <w:r w:rsidRPr="009E498C">
        <w:rPr>
          <w:rStyle w:val="normaltextrun"/>
          <w:rFonts w:cstheme="minorHAnsi"/>
          <w:color w:val="000000"/>
          <w:szCs w:val="26"/>
          <w:shd w:val="clear" w:color="auto" w:fill="FFFFFF"/>
        </w:rPr>
        <w:t>(Ingrid, D, GS)</w:t>
      </w:r>
    </w:p>
    <w:p w14:paraId="0838C1E8" w14:textId="22332BEB" w:rsidR="00A86140" w:rsidRPr="009E498C" w:rsidRDefault="00A86140" w:rsidP="00A86140">
      <w:pPr>
        <w:rPr>
          <w:rFonts w:cstheme="minorHAnsi"/>
          <w:szCs w:val="26"/>
          <w:lang w:eastAsia="en-IE"/>
        </w:rPr>
      </w:pPr>
      <w:r w:rsidRPr="009E498C">
        <w:rPr>
          <w:rFonts w:cstheme="minorHAnsi"/>
          <w:szCs w:val="26"/>
          <w:lang w:eastAsia="en-IE"/>
        </w:rPr>
        <w:t>Developing capacity to engage in such conversations with individuals, particularly when they are well, allows for the older person’s voice to be heard and for it to be the key guide when end</w:t>
      </w:r>
      <w:r w:rsidR="00AD236A">
        <w:rPr>
          <w:rFonts w:cstheme="minorHAnsi"/>
          <w:szCs w:val="26"/>
          <w:lang w:eastAsia="en-IE"/>
        </w:rPr>
        <w:t xml:space="preserve"> of life</w:t>
      </w:r>
      <w:r w:rsidRPr="009E498C">
        <w:rPr>
          <w:rFonts w:cstheme="minorHAnsi"/>
          <w:szCs w:val="26"/>
          <w:lang w:eastAsia="en-IE"/>
        </w:rPr>
        <w:t xml:space="preserve"> planning is needed:</w:t>
      </w:r>
    </w:p>
    <w:p w14:paraId="04738746" w14:textId="5A81CB8E" w:rsidR="00A86140" w:rsidRPr="009E498C" w:rsidRDefault="00A86140" w:rsidP="00A86140">
      <w:pPr>
        <w:ind w:left="709"/>
      </w:pPr>
      <w:r w:rsidRPr="5C6CDF20">
        <w:rPr>
          <w:rFonts w:cstheme="minorBidi"/>
          <w:i/>
          <w:lang w:eastAsia="en-IE"/>
        </w:rPr>
        <w:t>…we really try to get out there…to do the end</w:t>
      </w:r>
      <w:r w:rsidR="00AD236A">
        <w:rPr>
          <w:rFonts w:cstheme="minorBidi"/>
          <w:i/>
          <w:iCs/>
          <w:lang w:eastAsia="en-IE"/>
        </w:rPr>
        <w:t xml:space="preserve"> </w:t>
      </w:r>
      <w:r w:rsidRPr="5C6CDF20">
        <w:rPr>
          <w:rFonts w:cstheme="minorBidi"/>
          <w:i/>
          <w:lang w:eastAsia="en-IE"/>
        </w:rPr>
        <w:t>of</w:t>
      </w:r>
      <w:r w:rsidR="00AD236A">
        <w:rPr>
          <w:rFonts w:cstheme="minorBidi"/>
          <w:i/>
          <w:iCs/>
          <w:lang w:eastAsia="en-IE"/>
        </w:rPr>
        <w:t xml:space="preserve"> </w:t>
      </w:r>
      <w:r w:rsidRPr="5C6CDF20">
        <w:rPr>
          <w:rFonts w:cstheme="minorBidi"/>
          <w:i/>
          <w:lang w:eastAsia="en-IE"/>
        </w:rPr>
        <w:t>life…</w:t>
      </w:r>
      <w:r w:rsidRPr="5C6CDF20">
        <w:rPr>
          <w:rFonts w:cstheme="minorBidi"/>
          <w:lang w:eastAsia="en-IE"/>
        </w:rPr>
        <w:t>[planning]</w:t>
      </w:r>
      <w:r w:rsidRPr="5C6CDF20">
        <w:rPr>
          <w:rFonts w:cstheme="minorBidi"/>
          <w:i/>
          <w:lang w:eastAsia="en-IE"/>
        </w:rPr>
        <w:t>…with people when they are well, and they are in good form.</w:t>
      </w:r>
      <w:r w:rsidRPr="5C6CDF20">
        <w:rPr>
          <w:rFonts w:cstheme="minorBidi"/>
          <w:lang w:eastAsia="en-IE"/>
        </w:rPr>
        <w:t xml:space="preserve"> (Claire, M, GS)</w:t>
      </w:r>
    </w:p>
    <w:p w14:paraId="5F193F6D" w14:textId="77777777" w:rsidR="00A86140" w:rsidRPr="009E498C" w:rsidRDefault="00A86140" w:rsidP="00A86140">
      <w:pPr>
        <w:rPr>
          <w:szCs w:val="26"/>
        </w:rPr>
      </w:pPr>
      <w:r w:rsidRPr="009E498C">
        <w:rPr>
          <w:szCs w:val="26"/>
        </w:rPr>
        <w:t>Dying and death has a wider effect within the community of the older person, and it was considered that these conversations needed to extend to those in the older person’s community:</w:t>
      </w:r>
    </w:p>
    <w:p w14:paraId="66A31EDF" w14:textId="77777777" w:rsidR="00A86140" w:rsidRPr="009E498C" w:rsidRDefault="00A86140" w:rsidP="00A86140">
      <w:pPr>
        <w:ind w:left="709"/>
        <w:rPr>
          <w:szCs w:val="26"/>
        </w:rPr>
      </w:pPr>
      <w:r w:rsidRPr="009E498C">
        <w:rPr>
          <w:i/>
          <w:szCs w:val="26"/>
          <w:lang w:eastAsia="en-IE"/>
        </w:rPr>
        <w:t>…it’s very important when an individual is ill in the day service that the other individuals are brought along in the process…when you know somebody is terminally ill than the other individuals that individual who is ill is spoken about, that the other individuals are given that opportunity to speak about their favourite memories of that person. That they can make phone calls or Facetime then in the hospital or in the hospice or whatever.</w:t>
      </w:r>
      <w:r w:rsidRPr="009E498C">
        <w:rPr>
          <w:szCs w:val="26"/>
          <w:lang w:eastAsia="en-IE"/>
        </w:rPr>
        <w:t xml:space="preserve"> (Katrin, M, GS)</w:t>
      </w:r>
    </w:p>
    <w:p w14:paraId="1AE44EE5" w14:textId="77777777" w:rsidR="00A86140" w:rsidRPr="009E498C" w:rsidRDefault="00A86140" w:rsidP="00A86140">
      <w:pPr>
        <w:textAlignment w:val="baseline"/>
        <w:rPr>
          <w:rFonts w:cstheme="minorHAnsi"/>
          <w:szCs w:val="26"/>
          <w:lang w:eastAsia="en-IE"/>
        </w:rPr>
      </w:pPr>
      <w:r w:rsidRPr="009E498C">
        <w:rPr>
          <w:rFonts w:cstheme="minorHAnsi"/>
          <w:szCs w:val="26"/>
          <w:lang w:eastAsia="en-IE"/>
        </w:rPr>
        <w:t>Early planning was suggested to give the person the chance to air their choices in respect of:</w:t>
      </w:r>
    </w:p>
    <w:p w14:paraId="43B360A9" w14:textId="407DEDE6" w:rsidR="00A86140" w:rsidRPr="009E498C" w:rsidRDefault="00A86140" w:rsidP="00A86140">
      <w:pPr>
        <w:ind w:left="709"/>
        <w:textAlignment w:val="baseline"/>
        <w:rPr>
          <w:rFonts w:cstheme="minorHAnsi"/>
          <w:szCs w:val="26"/>
          <w:lang w:eastAsia="en-IE"/>
        </w:rPr>
      </w:pPr>
      <w:r w:rsidRPr="009E498C">
        <w:rPr>
          <w:rFonts w:cstheme="minorHAnsi"/>
          <w:szCs w:val="26"/>
          <w:lang w:eastAsia="en-IE"/>
        </w:rPr>
        <w:t xml:space="preserve"> </w:t>
      </w:r>
      <w:r w:rsidRPr="009E498C">
        <w:rPr>
          <w:rFonts w:cstheme="minorHAnsi"/>
          <w:i/>
          <w:szCs w:val="26"/>
          <w:lang w:eastAsia="en-IE"/>
        </w:rPr>
        <w:t>…where they want to age, what they want in place for their end</w:t>
      </w:r>
      <w:r w:rsidR="00AD236A">
        <w:rPr>
          <w:rFonts w:cstheme="minorHAnsi"/>
          <w:i/>
          <w:iCs/>
          <w:szCs w:val="26"/>
          <w:lang w:eastAsia="en-IE"/>
        </w:rPr>
        <w:t xml:space="preserve"> </w:t>
      </w:r>
      <w:r w:rsidRPr="009E498C">
        <w:rPr>
          <w:rFonts w:cstheme="minorHAnsi"/>
          <w:i/>
          <w:szCs w:val="26"/>
          <w:lang w:eastAsia="en-IE"/>
        </w:rPr>
        <w:t>of</w:t>
      </w:r>
      <w:r w:rsidR="00AD236A">
        <w:rPr>
          <w:rFonts w:cstheme="minorHAnsi"/>
          <w:i/>
          <w:iCs/>
          <w:szCs w:val="26"/>
          <w:lang w:eastAsia="en-IE"/>
        </w:rPr>
        <w:t xml:space="preserve"> </w:t>
      </w:r>
      <w:r w:rsidRPr="009E498C">
        <w:rPr>
          <w:rFonts w:cstheme="minorHAnsi"/>
          <w:i/>
          <w:szCs w:val="26"/>
          <w:lang w:eastAsia="en-IE"/>
        </w:rPr>
        <w:t>life plan.</w:t>
      </w:r>
      <w:r w:rsidRPr="009E498C">
        <w:rPr>
          <w:rFonts w:cstheme="minorHAnsi"/>
          <w:szCs w:val="26"/>
          <w:lang w:eastAsia="en-IE"/>
        </w:rPr>
        <w:t xml:space="preserve"> (Sarah, M, SS)</w:t>
      </w:r>
    </w:p>
    <w:p w14:paraId="53901972" w14:textId="2001DCF0" w:rsidR="00A86140" w:rsidRPr="009E498C" w:rsidRDefault="00A86140" w:rsidP="00A86140">
      <w:pPr>
        <w:textAlignment w:val="baseline"/>
        <w:rPr>
          <w:szCs w:val="26"/>
          <w:lang w:eastAsia="en-IE"/>
        </w:rPr>
      </w:pPr>
      <w:r w:rsidRPr="009E498C">
        <w:rPr>
          <w:szCs w:val="26"/>
          <w:lang w:eastAsia="en-IE"/>
        </w:rPr>
        <w:t xml:space="preserve">This is advanced planning, and is the basis of the Irish Hospice Foundation’s </w:t>
      </w:r>
      <w:r w:rsidRPr="009E498C">
        <w:rPr>
          <w:i/>
          <w:szCs w:val="26"/>
          <w:lang w:eastAsia="en-IE"/>
        </w:rPr>
        <w:t>Think Ahead</w:t>
      </w:r>
      <w:r w:rsidRPr="009E498C">
        <w:rPr>
          <w:szCs w:val="26"/>
          <w:lang w:eastAsia="en-IE"/>
        </w:rPr>
        <w:t xml:space="preserve"> </w:t>
      </w:r>
      <w:r w:rsidRPr="009E498C">
        <w:rPr>
          <w:szCs w:val="26"/>
          <w:lang w:eastAsia="en-IE"/>
        </w:rPr>
        <w:fldChar w:fldCharType="begin"/>
      </w:r>
      <w:r w:rsidR="006A378C">
        <w:rPr>
          <w:szCs w:val="26"/>
          <w:lang w:eastAsia="en-IE"/>
        </w:rPr>
        <w:instrText xml:space="preserve"> ADDIN EN.CITE &lt;EndNote&gt;&lt;Cite&gt;&lt;Author&gt;Irish Hospice Foundation&lt;/Author&gt;&lt;Year&gt;2022&lt;/Year&gt;&lt;RecNum&gt;717&lt;/RecNum&gt;&lt;DisplayText&gt;(Irish Hospice Foundation, 2022)&lt;/DisplayText&gt;&lt;record&gt;&lt;rec-number&gt;717&lt;/rec-number&gt;&lt;foreign-keys&gt;&lt;key app="EN" db-id="xtwfdzde5ttr0zevxrh5sf0c2wfzw5zf2vra" timestamp="1666114189" guid="ce6fbbd8-52dd-4f3a-aa72-1555fbfe904a"&gt;717&lt;/key&gt;&lt;/foreign-keys&gt;&lt;ref-type name="Web Page"&gt;12&lt;/ref-type&gt;&lt;contributors&gt;&lt;authors&gt;&lt;author&gt;Irish Hospice Foundation, &lt;/author&gt;&lt;/authors&gt;&lt;/contributors&gt;&lt;titles&gt;&lt;title&gt;I want to Think Ahead&lt;/title&gt;&lt;/titles&gt;&lt;volume&gt;2022&lt;/volume&gt;&lt;number&gt;18/10/2022&lt;/number&gt;&lt;dates&gt;&lt;year&gt;2022&lt;/year&gt;&lt;/dates&gt;&lt;urls&gt;&lt;related-urls&gt;&lt;url&gt;https://hospicefoundation.ie/i-need-help/i-want-to-think-ahead/ &lt;/url&gt;&lt;/related-urls&gt;&lt;/urls&gt;&lt;/record&gt;&lt;/Cite&gt;&lt;/EndNote&gt;</w:instrText>
      </w:r>
      <w:r w:rsidRPr="009E498C">
        <w:rPr>
          <w:szCs w:val="26"/>
          <w:lang w:eastAsia="en-IE"/>
        </w:rPr>
        <w:fldChar w:fldCharType="separate"/>
      </w:r>
      <w:r w:rsidRPr="009E498C">
        <w:rPr>
          <w:szCs w:val="26"/>
          <w:lang w:eastAsia="en-IE"/>
        </w:rPr>
        <w:t>(Irish Hospice Foundation, 2022)</w:t>
      </w:r>
      <w:r w:rsidRPr="009E498C">
        <w:rPr>
          <w:szCs w:val="26"/>
          <w:lang w:eastAsia="en-IE"/>
        </w:rPr>
        <w:fldChar w:fldCharType="end"/>
      </w:r>
      <w:r w:rsidRPr="009E498C">
        <w:rPr>
          <w:szCs w:val="26"/>
          <w:lang w:eastAsia="en-IE"/>
        </w:rPr>
        <w:t>. This tool was considered to provide a space for discussion and listening, bringing together all relevant voices:</w:t>
      </w:r>
    </w:p>
    <w:p w14:paraId="5A2D1363" w14:textId="36E98855" w:rsidR="00A86140" w:rsidRPr="009E498C" w:rsidRDefault="00A86140" w:rsidP="00A86140">
      <w:pPr>
        <w:ind w:left="709"/>
        <w:textAlignment w:val="baseline"/>
        <w:rPr>
          <w:rFonts w:cstheme="minorBidi"/>
          <w:lang w:eastAsia="en-IE"/>
        </w:rPr>
      </w:pPr>
      <w:r w:rsidRPr="63546E09">
        <w:rPr>
          <w:rFonts w:cstheme="minorBidi"/>
          <w:i/>
          <w:lang w:eastAsia="en-IE"/>
        </w:rPr>
        <w:t>The importance of communicating with family members and to get their ideas on board and be proactive in addressing end</w:t>
      </w:r>
      <w:r w:rsidR="00AD236A">
        <w:rPr>
          <w:rFonts w:cstheme="minorBidi"/>
          <w:i/>
          <w:iCs/>
          <w:lang w:eastAsia="en-IE"/>
        </w:rPr>
        <w:t xml:space="preserve"> </w:t>
      </w:r>
      <w:r w:rsidRPr="63546E09">
        <w:rPr>
          <w:rFonts w:cstheme="minorBidi"/>
          <w:i/>
          <w:lang w:eastAsia="en-IE"/>
        </w:rPr>
        <w:t>of</w:t>
      </w:r>
      <w:r w:rsidR="00AD236A">
        <w:rPr>
          <w:rFonts w:cstheme="minorBidi"/>
          <w:i/>
          <w:iCs/>
          <w:lang w:eastAsia="en-IE"/>
        </w:rPr>
        <w:t xml:space="preserve"> </w:t>
      </w:r>
      <w:r w:rsidRPr="63546E09">
        <w:rPr>
          <w:rFonts w:cstheme="minorBidi"/>
          <w:i/>
          <w:lang w:eastAsia="en-IE"/>
        </w:rPr>
        <w:t>life and advanced care planning.</w:t>
      </w:r>
      <w:r w:rsidRPr="63546E09">
        <w:rPr>
          <w:rFonts w:cstheme="minorBidi"/>
          <w:lang w:eastAsia="en-IE"/>
        </w:rPr>
        <w:t xml:space="preserve"> (Sarah, M, SS)</w:t>
      </w:r>
    </w:p>
    <w:p w14:paraId="0E4DA92A" w14:textId="77777777" w:rsidR="00A86140" w:rsidRPr="009E498C" w:rsidRDefault="00A86140" w:rsidP="00A86140">
      <w:pPr>
        <w:ind w:left="709"/>
        <w:textAlignment w:val="baseline"/>
        <w:rPr>
          <w:rFonts w:cstheme="minorHAnsi"/>
          <w:szCs w:val="26"/>
          <w:lang w:eastAsia="en-IE"/>
        </w:rPr>
      </w:pPr>
      <w:r w:rsidRPr="009E498C">
        <w:rPr>
          <w:rStyle w:val="normaltextrun"/>
          <w:rFonts w:cs="Calibri"/>
          <w:i/>
          <w:color w:val="000000"/>
          <w:szCs w:val="26"/>
          <w:shd w:val="clear" w:color="auto" w:fill="FFFFFF"/>
        </w:rPr>
        <w:t>…getting their wishes down before they got into a situation where they didn’t really understand or know what was going on around them.</w:t>
      </w:r>
      <w:r w:rsidRPr="009E498C">
        <w:rPr>
          <w:rStyle w:val="normaltextrun"/>
          <w:rFonts w:cs="Calibri"/>
          <w:color w:val="000000"/>
          <w:szCs w:val="26"/>
          <w:shd w:val="clear" w:color="auto" w:fill="FFFFFF"/>
        </w:rPr>
        <w:t xml:space="preserve"> (Eve, D, GS)</w:t>
      </w:r>
    </w:p>
    <w:p w14:paraId="545F6ED2" w14:textId="353D5A48" w:rsidR="00A86140" w:rsidRPr="009E498C" w:rsidRDefault="00A86140" w:rsidP="00A86140">
      <w:pPr>
        <w:textAlignment w:val="baseline"/>
        <w:rPr>
          <w:szCs w:val="26"/>
        </w:rPr>
      </w:pPr>
      <w:r w:rsidRPr="009E498C">
        <w:rPr>
          <w:szCs w:val="26"/>
        </w:rPr>
        <w:t>Whilst the challenges of initiating advanced planning were acknowledged, participants made it clear that such planning allowed for discussions on resources and staff skill mix such that these could be addressed in a timely manner, to support a positive end</w:t>
      </w:r>
      <w:r w:rsidR="00AD236A">
        <w:rPr>
          <w:szCs w:val="26"/>
        </w:rPr>
        <w:t xml:space="preserve"> of life</w:t>
      </w:r>
      <w:r w:rsidRPr="009E498C">
        <w:rPr>
          <w:szCs w:val="26"/>
        </w:rPr>
        <w:t xml:space="preserve"> experience: </w:t>
      </w:r>
    </w:p>
    <w:p w14:paraId="6C2B61D3" w14:textId="77777777" w:rsidR="00A86140" w:rsidRPr="009E498C" w:rsidRDefault="00A86140" w:rsidP="00A86140">
      <w:pPr>
        <w:ind w:left="709"/>
        <w:rPr>
          <w:szCs w:val="26"/>
        </w:rPr>
      </w:pPr>
      <w:r w:rsidRPr="009E498C">
        <w:rPr>
          <w:rStyle w:val="normaltextrun"/>
          <w:rFonts w:cstheme="minorHAnsi"/>
          <w:color w:val="000000"/>
          <w:szCs w:val="26"/>
          <w:shd w:val="clear" w:color="auto" w:fill="FFFFFF"/>
        </w:rPr>
        <w:t>[We]</w:t>
      </w:r>
      <w:r w:rsidRPr="009E498C">
        <w:rPr>
          <w:rStyle w:val="normaltextrun"/>
          <w:rFonts w:cstheme="minorHAnsi"/>
          <w:i/>
          <w:color w:val="000000"/>
          <w:szCs w:val="26"/>
          <w:shd w:val="clear" w:color="auto" w:fill="FFFFFF"/>
        </w:rPr>
        <w:t>…called a multidisciplinary team meeting and said this man should age in place. And we linked with our palliative care unit in…</w:t>
      </w:r>
      <w:r w:rsidRPr="009E498C">
        <w:rPr>
          <w:rStyle w:val="normaltextrun"/>
          <w:rFonts w:cstheme="minorHAnsi"/>
          <w:color w:val="000000"/>
          <w:szCs w:val="26"/>
          <w:shd w:val="clear" w:color="auto" w:fill="FFFFFF"/>
        </w:rPr>
        <w:t>[city</w:t>
      </w:r>
      <w:r>
        <w:rPr>
          <w:rStyle w:val="normaltextrun"/>
          <w:rFonts w:cstheme="minorHAnsi"/>
          <w:color w:val="000000"/>
          <w:szCs w:val="26"/>
          <w:shd w:val="clear" w:color="auto" w:fill="FFFFFF"/>
        </w:rPr>
        <w:t xml:space="preserve"> name</w:t>
      </w:r>
      <w:r w:rsidRPr="009E498C">
        <w:rPr>
          <w:rStyle w:val="normaltextrun"/>
          <w:rFonts w:cstheme="minorHAnsi"/>
          <w:color w:val="000000"/>
          <w:szCs w:val="26"/>
          <w:shd w:val="clear" w:color="auto" w:fill="FFFFFF"/>
        </w:rPr>
        <w:t>]</w:t>
      </w:r>
      <w:r w:rsidRPr="009E498C">
        <w:rPr>
          <w:rStyle w:val="normaltextrun"/>
          <w:rFonts w:cstheme="minorHAnsi"/>
          <w:i/>
          <w:color w:val="000000"/>
          <w:szCs w:val="26"/>
          <w:shd w:val="clear" w:color="auto" w:fill="FFFFFF"/>
        </w:rPr>
        <w:t>...And they came on site and gave us all training on how to, syringe drivers and all that and he aged in place, and he passed away here. And it was lovely.</w:t>
      </w:r>
      <w:r w:rsidRPr="009E498C">
        <w:rPr>
          <w:rStyle w:val="normaltextrun"/>
          <w:rFonts w:cstheme="minorHAnsi"/>
          <w:color w:val="000000"/>
          <w:szCs w:val="26"/>
          <w:shd w:val="clear" w:color="auto" w:fill="FFFFFF"/>
        </w:rPr>
        <w:t xml:space="preserve"> (Noreen, M, SS)</w:t>
      </w:r>
    </w:p>
    <w:p w14:paraId="5754DF4D" w14:textId="7F331D01" w:rsidR="00A86140" w:rsidRPr="009E498C" w:rsidRDefault="00A86140" w:rsidP="6353D33D">
      <w:pPr>
        <w:rPr>
          <w:rFonts w:eastAsia="Daytona" w:cs="Daytona"/>
        </w:rPr>
      </w:pPr>
      <w:r>
        <w:t>The importance of resources in achieving outcomes like this cannot be under-estimated. Thus, it was noted that services need to be flexible and modifiable to meet the ag</w:t>
      </w:r>
      <w:r w:rsidR="6C5F0431">
        <w:t>e</w:t>
      </w:r>
      <w:r>
        <w:t>ing persons’ changing needs. As with dementia care, this was seen to be a challenge, particularly in respect of staffing and philosophy:</w:t>
      </w:r>
    </w:p>
    <w:p w14:paraId="6E076C5B" w14:textId="77777777" w:rsidR="00A86140" w:rsidRPr="009E498C" w:rsidRDefault="00A86140" w:rsidP="00A86140">
      <w:pPr>
        <w:ind w:left="720"/>
        <w:rPr>
          <w:rFonts w:eastAsia="Daytona"/>
          <w:szCs w:val="26"/>
          <w:lang w:val="en-GB"/>
        </w:rPr>
      </w:pPr>
      <w:r w:rsidRPr="009E498C">
        <w:rPr>
          <w:rFonts w:eastAsia="Daytona"/>
          <w:i/>
          <w:szCs w:val="26"/>
          <w:lang w:val="en-GB"/>
        </w:rPr>
        <w:t>For one lady wh</w:t>
      </w:r>
      <w:r>
        <w:rPr>
          <w:rFonts w:eastAsia="Daytona"/>
          <w:i/>
          <w:szCs w:val="26"/>
          <w:lang w:val="en-GB"/>
        </w:rPr>
        <w:t>o</w:t>
      </w:r>
      <w:r w:rsidRPr="009E498C">
        <w:rPr>
          <w:rFonts w:eastAsia="Daytona"/>
          <w:i/>
          <w:szCs w:val="26"/>
          <w:lang w:val="en-GB"/>
        </w:rPr>
        <w:t>se request was to die here…we got an independent advocate involved…The barriers! Oh</w:t>
      </w:r>
      <w:r>
        <w:rPr>
          <w:rFonts w:eastAsia="Daytona"/>
          <w:i/>
          <w:szCs w:val="26"/>
          <w:lang w:val="en-GB"/>
        </w:rPr>
        <w:t>,</w:t>
      </w:r>
      <w:r w:rsidRPr="009E498C">
        <w:rPr>
          <w:rFonts w:eastAsia="Daytona"/>
          <w:i/>
          <w:szCs w:val="26"/>
          <w:lang w:val="en-GB"/>
        </w:rPr>
        <w:t xml:space="preserve"> the barriers! First of all, they said the cost, staffing, and the effect it this may have on the other service users living in the house to have somebody so ill in the house. But I believe it was finance and staffing.</w:t>
      </w:r>
      <w:r w:rsidRPr="009E498C">
        <w:rPr>
          <w:szCs w:val="26"/>
        </w:rPr>
        <w:t xml:space="preserve"> </w:t>
      </w:r>
      <w:r w:rsidRPr="009E498C">
        <w:rPr>
          <w:rFonts w:eastAsia="Daytona"/>
          <w:szCs w:val="26"/>
          <w:lang w:val="en-GB"/>
        </w:rPr>
        <w:t>(Eve, D, GS)</w:t>
      </w:r>
    </w:p>
    <w:p w14:paraId="2DD4C1AA" w14:textId="77777777" w:rsidR="00A86140" w:rsidRPr="009E498C" w:rsidRDefault="00A86140" w:rsidP="00A86140">
      <w:pPr>
        <w:rPr>
          <w:rFonts w:eastAsia="Calibri" w:cstheme="minorBidi"/>
          <w:lang w:val="en-GB"/>
        </w:rPr>
      </w:pPr>
      <w:r w:rsidRPr="4A534DE5">
        <w:rPr>
          <w:rFonts w:eastAsia="Calibri" w:cstheme="minorBidi"/>
          <w:lang w:val="en-GB"/>
        </w:rPr>
        <w:t xml:space="preserve">The main concerns appear to have related to the effect on other people living in the house, the need to buy in health services and the presence of </w:t>
      </w:r>
      <w:r>
        <w:rPr>
          <w:rFonts w:eastAsia="Calibri" w:cstheme="minorBidi"/>
          <w:lang w:val="en-GB"/>
        </w:rPr>
        <w:t xml:space="preserve">non-regular </w:t>
      </w:r>
      <w:r w:rsidRPr="4A534DE5">
        <w:rPr>
          <w:rFonts w:eastAsia="Calibri" w:cstheme="minorBidi"/>
          <w:lang w:val="en-GB"/>
        </w:rPr>
        <w:t>staff in the house setting. This could be managed well, through proper planning. When this was present, the outcomes were invariably positive. The commitment of service, managers, direct care staff and family to support an older person’s wishes was evident from the following account:</w:t>
      </w:r>
    </w:p>
    <w:p w14:paraId="56167218" w14:textId="1BE7D404" w:rsidR="00A86140" w:rsidRPr="009E498C" w:rsidRDefault="00A86140" w:rsidP="00A86140">
      <w:pPr>
        <w:ind w:left="720"/>
        <w:rPr>
          <w:rFonts w:eastAsia="Daytona"/>
          <w:i/>
          <w:szCs w:val="26"/>
          <w:lang w:val="en-GB"/>
        </w:rPr>
      </w:pPr>
      <w:r w:rsidRPr="009E498C">
        <w:rPr>
          <w:rFonts w:eastAsia="Daytona"/>
          <w:i/>
          <w:szCs w:val="26"/>
          <w:lang w:val="en-GB"/>
        </w:rPr>
        <w:t>We had a huge meeting with the family, myself, my manager and the GP and a whole package was put in place.</w:t>
      </w:r>
      <w:r w:rsidR="00991E69">
        <w:rPr>
          <w:rFonts w:eastAsia="Daytona"/>
          <w:i/>
          <w:szCs w:val="26"/>
          <w:lang w:val="en-GB"/>
        </w:rPr>
        <w:t xml:space="preserve"> </w:t>
      </w:r>
      <w:r w:rsidRPr="009E498C">
        <w:rPr>
          <w:rFonts w:eastAsia="Daytona"/>
          <w:i/>
          <w:szCs w:val="26"/>
          <w:lang w:val="en-GB"/>
        </w:rPr>
        <w:t>She was to go on an antibiotic if she had a UTI or something like that.</w:t>
      </w:r>
      <w:r w:rsidR="00991E69">
        <w:rPr>
          <w:rFonts w:eastAsia="Daytona"/>
          <w:i/>
          <w:szCs w:val="26"/>
          <w:lang w:val="en-GB"/>
        </w:rPr>
        <w:t xml:space="preserve"> </w:t>
      </w:r>
      <w:r w:rsidRPr="009E498C">
        <w:rPr>
          <w:rFonts w:eastAsia="Daytona"/>
          <w:i/>
          <w:szCs w:val="26"/>
          <w:lang w:val="en-GB"/>
        </w:rPr>
        <w:t>But otherwise, when it got to the end it was to stop.</w:t>
      </w:r>
      <w:r w:rsidR="00991E69">
        <w:rPr>
          <w:rFonts w:eastAsia="Daytona"/>
          <w:i/>
          <w:szCs w:val="26"/>
          <w:lang w:val="en-GB"/>
        </w:rPr>
        <w:t xml:space="preserve"> </w:t>
      </w:r>
      <w:r w:rsidRPr="009E498C">
        <w:rPr>
          <w:rFonts w:eastAsia="Daytona"/>
          <w:i/>
          <w:szCs w:val="26"/>
          <w:lang w:val="en-GB"/>
        </w:rPr>
        <w:t>And I have to say the end was just amazing, a staff team of twelve and one of her favourite staff and her other favourite staff got out of her bed and came in. She said at half three that day ‘I'm going to sleep now. I’ll miss you all’. She died twelve hours later; they were her last words. But there was, there was so much planning, so much had to go into it, it had to be signed by the director of nursing.</w:t>
      </w:r>
      <w:r w:rsidR="00991E69">
        <w:rPr>
          <w:rFonts w:eastAsia="Daytona"/>
          <w:i/>
          <w:szCs w:val="26"/>
          <w:lang w:val="en-GB"/>
        </w:rPr>
        <w:t xml:space="preserve"> </w:t>
      </w:r>
      <w:r w:rsidRPr="009E498C">
        <w:rPr>
          <w:rFonts w:eastAsia="Daytona"/>
          <w:szCs w:val="26"/>
          <w:lang w:val="en-GB"/>
        </w:rPr>
        <w:t>(Freda, D, SS)</w:t>
      </w:r>
    </w:p>
    <w:p w14:paraId="3623ECAB" w14:textId="77777777" w:rsidR="00A86140" w:rsidRPr="009E498C" w:rsidRDefault="00A86140" w:rsidP="00A86140">
      <w:pPr>
        <w:rPr>
          <w:rFonts w:eastAsia="Daytona" w:cstheme="minorHAnsi"/>
          <w:szCs w:val="26"/>
        </w:rPr>
      </w:pPr>
      <w:r w:rsidRPr="009E498C">
        <w:rPr>
          <w:rFonts w:eastAsia="Daytona" w:cstheme="minorHAnsi"/>
          <w:szCs w:val="26"/>
        </w:rPr>
        <w:t>The process of dying at home was seen to be a positive experience for other residents, supporting them to understand how unwell an individual is and therefore to prepare them for the fact of death:</w:t>
      </w:r>
    </w:p>
    <w:p w14:paraId="1B3B2FD2" w14:textId="77777777" w:rsidR="00A86140" w:rsidRPr="009E498C" w:rsidRDefault="00A86140" w:rsidP="00A86140">
      <w:pPr>
        <w:ind w:left="720"/>
        <w:rPr>
          <w:rFonts w:eastAsia="Daytona"/>
          <w:color w:val="000000" w:themeColor="text1"/>
          <w:szCs w:val="26"/>
        </w:rPr>
      </w:pPr>
      <w:r w:rsidRPr="009E498C">
        <w:rPr>
          <w:rFonts w:eastAsia="Daytona"/>
          <w:i/>
          <w:color w:val="000000" w:themeColor="text1"/>
          <w:szCs w:val="26"/>
        </w:rPr>
        <w:t>Not at all, no, from my experience it was, it was good. Because the others could see and understand that she was unwell…we had palliative care coming to the house they could see how she was being taken care of and they were prepared for her passing. It wasn’t such a major shock when she did pass, they would have been living with her for a long period of time. So yeah</w:t>
      </w:r>
      <w:r>
        <w:rPr>
          <w:rFonts w:eastAsia="Daytona"/>
          <w:i/>
          <w:color w:val="000000" w:themeColor="text1"/>
          <w:szCs w:val="26"/>
        </w:rPr>
        <w:t>,</w:t>
      </w:r>
      <w:r w:rsidRPr="009E498C">
        <w:rPr>
          <w:rFonts w:eastAsia="Daytona"/>
          <w:i/>
          <w:color w:val="000000" w:themeColor="text1"/>
          <w:szCs w:val="26"/>
        </w:rPr>
        <w:t xml:space="preserve"> they were part of her everyday life. </w:t>
      </w:r>
      <w:r w:rsidRPr="009E498C">
        <w:rPr>
          <w:rFonts w:eastAsia="Daytona"/>
          <w:color w:val="000000" w:themeColor="text1"/>
          <w:szCs w:val="26"/>
        </w:rPr>
        <w:t>(Eve, D, GS)</w:t>
      </w:r>
    </w:p>
    <w:p w14:paraId="48A63AA5" w14:textId="77777777" w:rsidR="00A86140" w:rsidRPr="009E498C" w:rsidRDefault="00A86140" w:rsidP="00A86140">
      <w:pPr>
        <w:rPr>
          <w:rFonts w:eastAsia="Daytona" w:cstheme="minorHAnsi"/>
          <w:szCs w:val="26"/>
        </w:rPr>
      </w:pPr>
      <w:r w:rsidRPr="009E498C">
        <w:rPr>
          <w:rFonts w:eastAsia="Daytona" w:cstheme="minorHAnsi"/>
          <w:szCs w:val="26"/>
        </w:rPr>
        <w:t>An open, honest and explicit approach to illness, dying and death was contrasted with a previous, more paternalistic and, maybe, more patronising approach:</w:t>
      </w:r>
    </w:p>
    <w:p w14:paraId="2C249DFD" w14:textId="27BD58E0" w:rsidR="00A86140" w:rsidRPr="009E498C" w:rsidRDefault="00A86140" w:rsidP="00A86140">
      <w:pPr>
        <w:ind w:left="720"/>
        <w:rPr>
          <w:rFonts w:eastAsia="Daytona"/>
          <w:i/>
          <w:color w:val="000000" w:themeColor="text1"/>
          <w:szCs w:val="26"/>
        </w:rPr>
      </w:pPr>
      <w:r w:rsidRPr="009E498C">
        <w:rPr>
          <w:rFonts w:eastAsia="Daytona"/>
          <w:i/>
          <w:color w:val="000000" w:themeColor="text1"/>
          <w:szCs w:val="26"/>
        </w:rPr>
        <w:t>…with our older population here for years and years and years they just weren’t told anything. Someone was gone on holidays until they were going to their funeral.</w:t>
      </w:r>
      <w:r w:rsidR="00991E69">
        <w:rPr>
          <w:rFonts w:eastAsia="Daytona"/>
          <w:i/>
          <w:color w:val="000000" w:themeColor="text1"/>
          <w:szCs w:val="26"/>
        </w:rPr>
        <w:t xml:space="preserve"> </w:t>
      </w:r>
      <w:r w:rsidRPr="009E498C">
        <w:rPr>
          <w:rFonts w:eastAsia="Daytona"/>
          <w:i/>
          <w:color w:val="000000" w:themeColor="text1"/>
          <w:szCs w:val="26"/>
        </w:rPr>
        <w:t xml:space="preserve">Because ‘oh we don’t want to upset them; we don’t want this’, you know that sort of way. </w:t>
      </w:r>
      <w:r w:rsidRPr="009E498C">
        <w:rPr>
          <w:rFonts w:eastAsia="Daytona"/>
          <w:color w:val="000000" w:themeColor="text1"/>
          <w:szCs w:val="26"/>
        </w:rPr>
        <w:t>(Hannah, D, GS)</w:t>
      </w:r>
    </w:p>
    <w:p w14:paraId="13CDC8C8" w14:textId="77777777" w:rsidR="00A86140" w:rsidRPr="009E498C" w:rsidRDefault="00A86140" w:rsidP="00A86140">
      <w:pPr>
        <w:rPr>
          <w:rFonts w:eastAsia="Daytona" w:cstheme="minorHAnsi"/>
          <w:color w:val="000000" w:themeColor="text1"/>
          <w:szCs w:val="26"/>
        </w:rPr>
      </w:pPr>
      <w:r w:rsidRPr="009E498C">
        <w:rPr>
          <w:rFonts w:eastAsia="Daytona" w:cstheme="minorHAnsi"/>
          <w:color w:val="000000" w:themeColor="text1"/>
          <w:szCs w:val="26"/>
        </w:rPr>
        <w:t>In an organic way, service users were helped to prepare for the inevitability of their own deaths and supported to articulate their own wishes:</w:t>
      </w:r>
    </w:p>
    <w:p w14:paraId="589C5A46" w14:textId="009F4F84" w:rsidR="00A86140" w:rsidRPr="009E498C" w:rsidRDefault="00A86140" w:rsidP="00A86140">
      <w:pPr>
        <w:ind w:left="720"/>
        <w:rPr>
          <w:rFonts w:eastAsia="Daytona"/>
          <w:color w:val="000000" w:themeColor="text1"/>
        </w:rPr>
      </w:pPr>
      <w:r w:rsidRPr="249E6340">
        <w:rPr>
          <w:rFonts w:eastAsia="Daytona"/>
          <w:i/>
          <w:color w:val="000000" w:themeColor="text1"/>
        </w:rPr>
        <w:t>…we do it in a very natural and slow way, end</w:t>
      </w:r>
      <w:r w:rsidR="00AD236A">
        <w:rPr>
          <w:rFonts w:eastAsia="Daytona"/>
          <w:i/>
          <w:iCs/>
          <w:color w:val="000000" w:themeColor="text1"/>
        </w:rPr>
        <w:t xml:space="preserve"> </w:t>
      </w:r>
      <w:r w:rsidRPr="249E6340">
        <w:rPr>
          <w:rFonts w:eastAsia="Daytona"/>
          <w:i/>
          <w:color w:val="000000" w:themeColor="text1"/>
        </w:rPr>
        <w:t>of</w:t>
      </w:r>
      <w:r w:rsidR="00AD236A">
        <w:rPr>
          <w:rFonts w:eastAsia="Daytona"/>
          <w:i/>
          <w:iCs/>
          <w:color w:val="000000" w:themeColor="text1"/>
        </w:rPr>
        <w:t xml:space="preserve"> </w:t>
      </w:r>
      <w:r w:rsidRPr="249E6340">
        <w:rPr>
          <w:rFonts w:eastAsia="Daytona"/>
          <w:i/>
          <w:color w:val="000000" w:themeColor="text1"/>
        </w:rPr>
        <w:t xml:space="preserve">life plans aren’t complete but it's picking up the opportunities, if they are in mass they’ll say ‘oh that song is nice’. Or if we are at a funeral you know with a lady that loved daffodils and the street was lined with daffodils and she was brought to the church. So, it was about having those conversations with the people we support here. It's a slow burner but it's being done. </w:t>
      </w:r>
      <w:r w:rsidRPr="249E6340">
        <w:rPr>
          <w:rFonts w:eastAsia="Daytona"/>
          <w:color w:val="000000" w:themeColor="text1"/>
        </w:rPr>
        <w:t>(Ingrid, D, GS)</w:t>
      </w:r>
    </w:p>
    <w:p w14:paraId="0140236C" w14:textId="6C8DF9F1" w:rsidR="00A86140" w:rsidRPr="009E498C" w:rsidRDefault="00A86140" w:rsidP="00A86140">
      <w:pPr>
        <w:rPr>
          <w:rFonts w:eastAsia="Daytona"/>
        </w:rPr>
      </w:pPr>
      <w:r w:rsidRPr="2D5FC90D">
        <w:rPr>
          <w:rFonts w:eastAsia="Daytona"/>
        </w:rPr>
        <w:t>Retirement and end</w:t>
      </w:r>
      <w:r w:rsidR="00AD236A">
        <w:rPr>
          <w:rFonts w:eastAsia="Daytona"/>
        </w:rPr>
        <w:t xml:space="preserve"> of life</w:t>
      </w:r>
      <w:r w:rsidRPr="2D5FC90D">
        <w:rPr>
          <w:rFonts w:eastAsia="Daytona"/>
        </w:rPr>
        <w:t xml:space="preserve"> represent key milestones in the lifespan of each individual. However, people do not experience these homogenously and across the discussions, participants stressed the importance of consultations with, and the involvement of, the older person themselves and their family.</w:t>
      </w:r>
    </w:p>
    <w:p w14:paraId="045DF4C9" w14:textId="77777777" w:rsidR="001A2B40" w:rsidRDefault="001A2B40">
      <w:pPr>
        <w:rPr>
          <w:rFonts w:eastAsia="Daytona"/>
        </w:rPr>
      </w:pPr>
    </w:p>
    <w:p w14:paraId="2A83A62A" w14:textId="77777777" w:rsidR="001A2B40" w:rsidRPr="001A2B40" w:rsidRDefault="001A2B40" w:rsidP="001A2B40">
      <w:pPr>
        <w:rPr>
          <w:rFonts w:eastAsia="Daytona"/>
        </w:rPr>
      </w:pPr>
    </w:p>
    <w:p w14:paraId="6228777D" w14:textId="6C1DD752" w:rsidR="001A2B40" w:rsidRDefault="001A2B40">
      <w:pPr>
        <w:spacing w:after="0"/>
        <w:rPr>
          <w:rFonts w:eastAsia="Daytona"/>
        </w:rPr>
      </w:pPr>
      <w:r>
        <w:rPr>
          <w:rFonts w:eastAsia="Daytona"/>
        </w:rPr>
        <w:br w:type="page"/>
      </w:r>
    </w:p>
    <w:p w14:paraId="149BA09B" w14:textId="457CDF13" w:rsidR="00A86140" w:rsidRPr="00C00CA8" w:rsidRDefault="00AB2C01" w:rsidP="00AB2C01">
      <w:pPr>
        <w:pStyle w:val="Heading1"/>
      </w:pPr>
      <w:bookmarkStart w:id="227" w:name="_Toc117628772"/>
      <w:bookmarkStart w:id="228" w:name="_Toc118555213"/>
      <w:bookmarkStart w:id="229" w:name="_Toc118558298"/>
      <w:bookmarkStart w:id="230" w:name="_Toc118558371"/>
      <w:bookmarkStart w:id="231" w:name="_Toc121830628"/>
      <w:bookmarkStart w:id="232" w:name="_Toc114072934"/>
      <w:r>
        <w:t xml:space="preserve">Chapter </w:t>
      </w:r>
      <w:r w:rsidR="001A2B40">
        <w:t xml:space="preserve">5: Findings: </w:t>
      </w:r>
      <w:r w:rsidR="00A86140" w:rsidRPr="00C00CA8">
        <w:t xml:space="preserve">Responding to </w:t>
      </w:r>
      <w:r w:rsidR="00A86140">
        <w:t>i</w:t>
      </w:r>
      <w:r w:rsidR="00A86140" w:rsidRPr="00C00CA8">
        <w:t xml:space="preserve">ndividuals’ </w:t>
      </w:r>
      <w:r w:rsidR="00A86140">
        <w:t>n</w:t>
      </w:r>
      <w:r w:rsidR="00A86140" w:rsidRPr="00C00CA8">
        <w:t>eeds</w:t>
      </w:r>
      <w:bookmarkEnd w:id="227"/>
      <w:bookmarkEnd w:id="228"/>
      <w:bookmarkEnd w:id="229"/>
      <w:bookmarkEnd w:id="230"/>
      <w:bookmarkEnd w:id="231"/>
    </w:p>
    <w:p w14:paraId="316D20E5" w14:textId="77777777" w:rsidR="00A86140" w:rsidRPr="009E498C" w:rsidRDefault="00A86140" w:rsidP="00A86140">
      <w:pPr>
        <w:textAlignment w:val="baseline"/>
        <w:rPr>
          <w:rFonts w:cs="Calibri"/>
          <w:szCs w:val="26"/>
          <w:lang w:eastAsia="en-IE"/>
        </w:rPr>
      </w:pPr>
      <w:r w:rsidRPr="009E498C">
        <w:rPr>
          <w:szCs w:val="26"/>
        </w:rPr>
        <w:t xml:space="preserve">Participants spoke of a number of key issues that impacted on their ability to enact an appropriate approach to service for older people with intellectual disabilities. </w:t>
      </w:r>
      <w:r w:rsidRPr="009E498C">
        <w:rPr>
          <w:rFonts w:cs="Calibri"/>
          <w:szCs w:val="26"/>
          <w:lang w:eastAsia="en-IE"/>
        </w:rPr>
        <w:t>A</w:t>
      </w:r>
      <w:r w:rsidRPr="001F31EF">
        <w:rPr>
          <w:rFonts w:cs="Calibri"/>
          <w:szCs w:val="26"/>
          <w:lang w:eastAsia="en-IE"/>
        </w:rPr>
        <w:t xml:space="preserve">dherence to a </w:t>
      </w:r>
      <w:r w:rsidRPr="009E498C">
        <w:rPr>
          <w:rFonts w:cs="Calibri"/>
          <w:szCs w:val="26"/>
          <w:lang w:eastAsia="en-IE"/>
        </w:rPr>
        <w:t xml:space="preserve">given </w:t>
      </w:r>
      <w:r w:rsidRPr="001F31EF">
        <w:rPr>
          <w:rFonts w:cs="Calibri"/>
          <w:szCs w:val="26"/>
          <w:lang w:eastAsia="en-IE"/>
        </w:rPr>
        <w:t xml:space="preserve">service model was </w:t>
      </w:r>
      <w:r w:rsidRPr="009E498C">
        <w:rPr>
          <w:rFonts w:cs="Calibri"/>
          <w:szCs w:val="26"/>
          <w:lang w:eastAsia="en-IE"/>
        </w:rPr>
        <w:t xml:space="preserve">noted to be </w:t>
      </w:r>
      <w:r w:rsidRPr="001F31EF">
        <w:rPr>
          <w:rFonts w:cs="Calibri"/>
          <w:szCs w:val="26"/>
          <w:lang w:eastAsia="en-IE"/>
        </w:rPr>
        <w:t xml:space="preserve">determined by </w:t>
      </w:r>
      <w:r w:rsidRPr="009E498C">
        <w:rPr>
          <w:rFonts w:cs="Calibri"/>
          <w:szCs w:val="26"/>
          <w:lang w:eastAsia="en-IE"/>
        </w:rPr>
        <w:t xml:space="preserve">a number of </w:t>
      </w:r>
      <w:r w:rsidRPr="001F31EF">
        <w:rPr>
          <w:rFonts w:cs="Calibri"/>
          <w:szCs w:val="26"/>
          <w:lang w:eastAsia="en-IE"/>
        </w:rPr>
        <w:t>factors</w:t>
      </w:r>
      <w:r w:rsidRPr="009E498C">
        <w:rPr>
          <w:rFonts w:cs="Calibri"/>
          <w:szCs w:val="26"/>
          <w:lang w:eastAsia="en-IE"/>
        </w:rPr>
        <w:t>, including</w:t>
      </w:r>
      <w:r w:rsidRPr="001F31EF">
        <w:rPr>
          <w:rFonts w:cs="Calibri"/>
          <w:szCs w:val="26"/>
          <w:lang w:eastAsia="en-IE"/>
        </w:rPr>
        <w:t xml:space="preserve"> </w:t>
      </w:r>
      <w:r w:rsidRPr="009E498C">
        <w:rPr>
          <w:rFonts w:cs="Calibri"/>
          <w:szCs w:val="26"/>
          <w:lang w:eastAsia="en-IE"/>
        </w:rPr>
        <w:t xml:space="preserve">the </w:t>
      </w:r>
      <w:r w:rsidRPr="001F31EF">
        <w:rPr>
          <w:rFonts w:cs="Calibri"/>
          <w:szCs w:val="26"/>
          <w:lang w:eastAsia="en-IE"/>
        </w:rPr>
        <w:t>environmen</w:t>
      </w:r>
      <w:r w:rsidRPr="009E498C">
        <w:rPr>
          <w:rFonts w:cs="Calibri"/>
          <w:szCs w:val="26"/>
          <w:lang w:eastAsia="en-IE"/>
        </w:rPr>
        <w:t>t, standards/regulations and</w:t>
      </w:r>
      <w:r w:rsidRPr="001F31EF">
        <w:rPr>
          <w:rFonts w:cs="Calibri"/>
          <w:szCs w:val="26"/>
          <w:lang w:eastAsia="en-IE"/>
        </w:rPr>
        <w:t xml:space="preserve"> </w:t>
      </w:r>
      <w:r w:rsidRPr="009E498C">
        <w:rPr>
          <w:rFonts w:cs="Calibri"/>
          <w:szCs w:val="26"/>
          <w:lang w:eastAsia="en-IE"/>
        </w:rPr>
        <w:t>resources</w:t>
      </w:r>
      <w:r w:rsidRPr="001F31EF">
        <w:rPr>
          <w:rFonts w:cs="Calibri"/>
          <w:szCs w:val="26"/>
          <w:lang w:eastAsia="en-IE"/>
        </w:rPr>
        <w:t xml:space="preserve">. </w:t>
      </w:r>
      <w:r w:rsidRPr="009E498C">
        <w:rPr>
          <w:rFonts w:cs="Calibri"/>
          <w:szCs w:val="26"/>
          <w:lang w:eastAsia="en-IE"/>
        </w:rPr>
        <w:t xml:space="preserve">As previously noted, services need to be </w:t>
      </w:r>
      <w:r w:rsidRPr="001F31EF">
        <w:rPr>
          <w:rFonts w:cs="Calibri"/>
          <w:szCs w:val="26"/>
          <w:lang w:eastAsia="en-IE"/>
        </w:rPr>
        <w:t>agil</w:t>
      </w:r>
      <w:r w:rsidRPr="009E498C">
        <w:rPr>
          <w:rFonts w:cs="Calibri"/>
          <w:szCs w:val="26"/>
          <w:lang w:eastAsia="en-IE"/>
        </w:rPr>
        <w:t xml:space="preserve">e if they are to be able </w:t>
      </w:r>
      <w:r w:rsidRPr="001F31EF">
        <w:rPr>
          <w:rFonts w:cs="Calibri"/>
          <w:szCs w:val="26"/>
          <w:lang w:eastAsia="en-IE"/>
        </w:rPr>
        <w:t xml:space="preserve">to respond to the </w:t>
      </w:r>
      <w:r w:rsidRPr="009E498C">
        <w:rPr>
          <w:rFonts w:cs="Calibri"/>
          <w:szCs w:val="26"/>
          <w:lang w:eastAsia="en-IE"/>
        </w:rPr>
        <w:t xml:space="preserve">changing </w:t>
      </w:r>
      <w:r w:rsidRPr="001F31EF">
        <w:rPr>
          <w:rFonts w:cs="Calibri"/>
          <w:szCs w:val="26"/>
          <w:lang w:eastAsia="en-IE"/>
        </w:rPr>
        <w:t xml:space="preserve">needs of the older person. This </w:t>
      </w:r>
      <w:r w:rsidRPr="009E498C">
        <w:rPr>
          <w:rFonts w:cs="Calibri"/>
          <w:szCs w:val="26"/>
          <w:lang w:eastAsia="en-IE"/>
        </w:rPr>
        <w:t>presented a challenge to</w:t>
      </w:r>
      <w:r w:rsidRPr="001F31EF">
        <w:rPr>
          <w:rFonts w:cs="Calibri"/>
          <w:szCs w:val="26"/>
          <w:lang w:eastAsia="en-IE"/>
        </w:rPr>
        <w:t xml:space="preserve"> identifying the care pathway for the individual and </w:t>
      </w:r>
      <w:r w:rsidRPr="009E498C">
        <w:rPr>
          <w:rFonts w:cs="Calibri"/>
          <w:szCs w:val="26"/>
          <w:lang w:eastAsia="en-IE"/>
        </w:rPr>
        <w:t>the location in which that</w:t>
      </w:r>
      <w:r w:rsidRPr="001F31EF">
        <w:rPr>
          <w:rFonts w:cs="Calibri"/>
          <w:szCs w:val="26"/>
          <w:lang w:eastAsia="en-IE"/>
        </w:rPr>
        <w:t xml:space="preserve"> service </w:t>
      </w:r>
      <w:r w:rsidRPr="009E498C">
        <w:rPr>
          <w:rFonts w:cs="Calibri"/>
          <w:szCs w:val="26"/>
          <w:lang w:eastAsia="en-IE"/>
        </w:rPr>
        <w:t>c</w:t>
      </w:r>
      <w:r w:rsidRPr="001F31EF">
        <w:rPr>
          <w:rFonts w:cs="Calibri"/>
          <w:szCs w:val="26"/>
          <w:lang w:eastAsia="en-IE"/>
        </w:rPr>
        <w:t>ould be provided.</w:t>
      </w:r>
      <w:r w:rsidRPr="009E498C">
        <w:rPr>
          <w:rFonts w:cs="Calibri"/>
          <w:szCs w:val="26"/>
          <w:lang w:eastAsia="en-IE"/>
        </w:rPr>
        <w:t xml:space="preserve"> Funding was central to these factors, and the rigid nature of funding models was particularly problematic:</w:t>
      </w:r>
    </w:p>
    <w:p w14:paraId="4293B437" w14:textId="77777777" w:rsidR="00A86140" w:rsidRPr="009E498C" w:rsidRDefault="00A86140" w:rsidP="00A86140">
      <w:pPr>
        <w:ind w:left="709"/>
        <w:textAlignment w:val="baseline"/>
        <w:rPr>
          <w:rStyle w:val="normaltextrun"/>
          <w:rFonts w:cs="Calibri"/>
          <w:szCs w:val="26"/>
          <w:shd w:val="clear" w:color="auto" w:fill="FFFFFF"/>
        </w:rPr>
      </w:pPr>
      <w:r w:rsidRPr="009E498C">
        <w:rPr>
          <w:rStyle w:val="normaltextrun"/>
          <w:rFonts w:cs="Calibri"/>
          <w:i/>
          <w:color w:val="000000"/>
          <w:szCs w:val="26"/>
          <w:shd w:val="clear" w:color="auto" w:fill="FFFFFF"/>
        </w:rPr>
        <w:t>…our funding comes as a big group you know it's very hard to develop individual supports.</w:t>
      </w:r>
      <w:r w:rsidRPr="009E498C">
        <w:rPr>
          <w:rStyle w:val="normaltextrun"/>
          <w:rFonts w:ascii="Arial" w:hAnsi="Arial" w:cs="Arial"/>
          <w:i/>
          <w:iCs/>
          <w:color w:val="000000"/>
          <w:szCs w:val="26"/>
          <w:shd w:val="clear" w:color="auto" w:fill="FFFFFF"/>
        </w:rPr>
        <w:t> </w:t>
      </w:r>
      <w:r w:rsidRPr="009E498C">
        <w:rPr>
          <w:rStyle w:val="normaltextrun"/>
          <w:rFonts w:cs="Calibri"/>
          <w:i/>
          <w:color w:val="000000"/>
          <w:szCs w:val="26"/>
          <w:shd w:val="clear" w:color="auto" w:fill="FFFFFF"/>
        </w:rPr>
        <w:t xml:space="preserve"> For…the older age group it came in under the umbrella of the budget…you wouldn’t have had individualised funding</w:t>
      </w:r>
      <w:r>
        <w:rPr>
          <w:rStyle w:val="normaltextrun"/>
          <w:rFonts w:cs="Calibri"/>
          <w:i/>
          <w:color w:val="000000"/>
          <w:szCs w:val="26"/>
          <w:shd w:val="clear" w:color="auto" w:fill="FFFFFF"/>
        </w:rPr>
        <w:t>,</w:t>
      </w:r>
      <w:r w:rsidRPr="009E498C">
        <w:rPr>
          <w:rStyle w:val="normaltextrun"/>
          <w:rFonts w:cs="Calibri"/>
          <w:i/>
          <w:color w:val="000000"/>
          <w:szCs w:val="26"/>
          <w:shd w:val="clear" w:color="auto" w:fill="FFFFFF"/>
        </w:rPr>
        <w:t xml:space="preserve"> so you are part of a bigger group.</w:t>
      </w:r>
      <w:r w:rsidRPr="009E498C">
        <w:rPr>
          <w:rStyle w:val="normaltextrun"/>
          <w:rFonts w:cs="Calibri"/>
          <w:color w:val="000000"/>
          <w:szCs w:val="26"/>
          <w:shd w:val="clear" w:color="auto" w:fill="FFFFFF"/>
        </w:rPr>
        <w:t xml:space="preserve"> (</w:t>
      </w:r>
      <w:r w:rsidRPr="009E498C">
        <w:rPr>
          <w:rStyle w:val="normaltextrun"/>
          <w:rFonts w:cs="Calibri"/>
          <w:szCs w:val="26"/>
          <w:shd w:val="clear" w:color="auto" w:fill="FFFFFF"/>
        </w:rPr>
        <w:t>Geraldine, D, SS)</w:t>
      </w:r>
    </w:p>
    <w:p w14:paraId="37757AF5" w14:textId="77777777" w:rsidR="00A86140" w:rsidRPr="009E498C" w:rsidRDefault="00A86140" w:rsidP="00A86140">
      <w:pPr>
        <w:textAlignment w:val="baseline"/>
        <w:rPr>
          <w:rStyle w:val="normaltextrun"/>
          <w:rFonts w:cs="Calibri"/>
          <w:color w:val="000000"/>
          <w:szCs w:val="26"/>
          <w:shd w:val="clear" w:color="auto" w:fill="FFFFFF"/>
        </w:rPr>
      </w:pPr>
      <w:r w:rsidRPr="009E498C">
        <w:rPr>
          <w:rStyle w:val="normaltextrun"/>
          <w:rFonts w:cs="Calibri"/>
          <w:color w:val="000000"/>
          <w:szCs w:val="26"/>
          <w:shd w:val="clear" w:color="auto" w:fill="FFFFFF"/>
        </w:rPr>
        <w:t>Capital funding, though, was noted to be crucial as it determined whether the environment could be adapted to respond to both individuals’ needs and safety/standards. The scale of the challenge was described in respect of one service:</w:t>
      </w:r>
    </w:p>
    <w:p w14:paraId="30FAEA69" w14:textId="64BFAE2F" w:rsidR="00A86140" w:rsidRPr="009E498C" w:rsidRDefault="00A86140" w:rsidP="6353D33D">
      <w:pPr>
        <w:ind w:left="709"/>
        <w:textAlignment w:val="baseline"/>
        <w:rPr>
          <w:rStyle w:val="normaltextrun"/>
          <w:rFonts w:cs="Calibri"/>
          <w:color w:val="000000"/>
          <w:shd w:val="clear" w:color="auto" w:fill="FFFFFF"/>
        </w:rPr>
      </w:pPr>
      <w:r w:rsidRPr="6353D33D">
        <w:rPr>
          <w:rStyle w:val="normaltextrun"/>
          <w:rFonts w:cs="Calibri"/>
          <w:i/>
          <w:iCs/>
          <w:color w:val="000000"/>
          <w:shd w:val="clear" w:color="auto" w:fill="FFFFFF"/>
        </w:rPr>
        <w:t>We don’t have the staffing, we don’t have the houses and we don’t have the beds, that’s where the biggest challenge is coming from.</w:t>
      </w:r>
      <w:r w:rsidRPr="6353D33D">
        <w:rPr>
          <w:rStyle w:val="normaltextrun"/>
          <w:rFonts w:ascii="Arial" w:hAnsi="Arial" w:cs="Arial"/>
          <w:i/>
          <w:iCs/>
          <w:color w:val="000000"/>
          <w:shd w:val="clear" w:color="auto" w:fill="FFFFFF"/>
        </w:rPr>
        <w:t> </w:t>
      </w:r>
      <w:r w:rsidRPr="6353D33D">
        <w:rPr>
          <w:rStyle w:val="normaltextrun"/>
          <w:rFonts w:cs="Calibri"/>
          <w:i/>
          <w:iCs/>
          <w:color w:val="000000"/>
          <w:shd w:val="clear" w:color="auto" w:fill="FFFFFF"/>
        </w:rPr>
        <w:t>As I said for…</w:t>
      </w:r>
      <w:r w:rsidRPr="6353D33D">
        <w:rPr>
          <w:rStyle w:val="normaltextrun"/>
          <w:rFonts w:cs="Calibri"/>
          <w:color w:val="000000"/>
          <w:shd w:val="clear" w:color="auto" w:fill="FFFFFF"/>
        </w:rPr>
        <w:t>[county name]</w:t>
      </w:r>
      <w:r w:rsidRPr="6353D33D">
        <w:rPr>
          <w:rStyle w:val="normaltextrun"/>
          <w:rFonts w:cs="Calibri"/>
          <w:i/>
          <w:iCs/>
          <w:color w:val="000000"/>
          <w:shd w:val="clear" w:color="auto" w:fill="FFFFFF"/>
        </w:rPr>
        <w:t>…we have three services that have an ag</w:t>
      </w:r>
      <w:r w:rsidR="4A2F3628" w:rsidRPr="6353D33D">
        <w:rPr>
          <w:rStyle w:val="normaltextrun"/>
          <w:rFonts w:cs="Calibri"/>
          <w:i/>
          <w:iCs/>
          <w:color w:val="000000"/>
          <w:shd w:val="clear" w:color="auto" w:fill="FFFFFF"/>
        </w:rPr>
        <w:t>e</w:t>
      </w:r>
      <w:r w:rsidRPr="6353D33D">
        <w:rPr>
          <w:rStyle w:val="normaltextrun"/>
          <w:rFonts w:cs="Calibri"/>
          <w:i/>
          <w:iCs/>
          <w:color w:val="000000"/>
          <w:shd w:val="clear" w:color="auto" w:fill="FFFFFF"/>
        </w:rPr>
        <w:t xml:space="preserve">ing profile and each with six beds. So that’s eighteen beds and service that has nearly seven hundred…so you are talking a very big service for very little beds. </w:t>
      </w:r>
      <w:r w:rsidRPr="6353D33D">
        <w:rPr>
          <w:rStyle w:val="normaltextrun"/>
          <w:rFonts w:cs="Calibri"/>
          <w:color w:val="000000"/>
          <w:shd w:val="clear" w:color="auto" w:fill="FFFFFF"/>
        </w:rPr>
        <w:t>(Ingrid, D, GS)</w:t>
      </w:r>
    </w:p>
    <w:p w14:paraId="24FF9D15" w14:textId="77777777" w:rsidR="00A86140" w:rsidRPr="009E498C" w:rsidRDefault="00A86140" w:rsidP="00A86140">
      <w:pPr>
        <w:rPr>
          <w:rFonts w:cstheme="minorHAnsi"/>
          <w:szCs w:val="26"/>
        </w:rPr>
      </w:pPr>
      <w:r w:rsidRPr="009E498C">
        <w:rPr>
          <w:rFonts w:cstheme="minorHAnsi"/>
          <w:szCs w:val="26"/>
        </w:rPr>
        <w:t>The need for equipment also posed a concern in community group settings where it became a hindrance to the lives of others living in the house. Among the other issues impacting on providing appropriate service was staffing levels. The ability to match staffing and skill mix to the needs of the person is a central tenet of older person care provision, but this is difficult where there is high staff turnover.</w:t>
      </w:r>
    </w:p>
    <w:p w14:paraId="7D39E76C" w14:textId="77777777" w:rsidR="00A86140" w:rsidRPr="00C00CA8" w:rsidRDefault="00A86140" w:rsidP="001A2B40">
      <w:pPr>
        <w:pStyle w:val="Heading2"/>
      </w:pPr>
      <w:bookmarkStart w:id="233" w:name="_Toc114072933"/>
      <w:bookmarkStart w:id="234" w:name="_Toc117628773"/>
      <w:bookmarkStart w:id="235" w:name="_Toc118555214"/>
      <w:bookmarkStart w:id="236" w:name="_Toc118558299"/>
      <w:bookmarkStart w:id="237" w:name="_Toc118558372"/>
      <w:bookmarkStart w:id="238" w:name="_Toc121830629"/>
      <w:r w:rsidRPr="00C00CA8">
        <w:t xml:space="preserve">Listening to the </w:t>
      </w:r>
      <w:r>
        <w:t>o</w:t>
      </w:r>
      <w:r w:rsidRPr="00C00CA8">
        <w:t xml:space="preserve">lder </w:t>
      </w:r>
      <w:r>
        <w:t>p</w:t>
      </w:r>
      <w:r w:rsidRPr="00C00CA8">
        <w:t xml:space="preserve">erson and their </w:t>
      </w:r>
      <w:r>
        <w:t>f</w:t>
      </w:r>
      <w:r w:rsidRPr="00C00CA8">
        <w:t>amily</w:t>
      </w:r>
      <w:bookmarkEnd w:id="233"/>
      <w:bookmarkEnd w:id="234"/>
      <w:bookmarkEnd w:id="235"/>
      <w:bookmarkEnd w:id="236"/>
      <w:bookmarkEnd w:id="237"/>
      <w:bookmarkEnd w:id="238"/>
    </w:p>
    <w:p w14:paraId="31700E4D" w14:textId="77777777" w:rsidR="00A86140" w:rsidRPr="009E498C" w:rsidRDefault="00A86140" w:rsidP="00A86140">
      <w:pPr>
        <w:rPr>
          <w:szCs w:val="26"/>
        </w:rPr>
      </w:pPr>
      <w:r w:rsidRPr="009E498C">
        <w:rPr>
          <w:szCs w:val="26"/>
        </w:rPr>
        <w:t>It is clear that, in planning for the journey through old age, associated illness and onwards towards death, participants placed a significant emphasis on listening to the voices of the older people and of those around them. Their input was considered crucial to building a service that responded, not just to need but also, to personal wishes. This was borne out in the comments of focus group and interviewee participants as well as in the survey. Respondents were asked to rank 12 issues in order of importance on a five-point scale; 57.1% (n=8) of those in SS ranked consultation with the older person as being of highest importance compared to 22.2% (n=2) of those in GS.</w:t>
      </w:r>
    </w:p>
    <w:p w14:paraId="32E16163" w14:textId="77777777" w:rsidR="00A86140" w:rsidRPr="009E498C" w:rsidRDefault="00A86140" w:rsidP="00A86140">
      <w:pPr>
        <w:rPr>
          <w:szCs w:val="26"/>
        </w:rPr>
      </w:pPr>
      <w:r w:rsidRPr="009E498C">
        <w:rPr>
          <w:szCs w:val="26"/>
        </w:rPr>
        <w:t>There are various ways in which such consultation can be approached. One service, for example, conducted interviews with those over 50 years of age who were availing of their services, to identify what they would like for their future, thus allowing additional supports to be put in place to fulfil those wishes:</w:t>
      </w:r>
    </w:p>
    <w:p w14:paraId="0B61DC66" w14:textId="77777777" w:rsidR="00A86140" w:rsidRPr="009E498C" w:rsidRDefault="00A86140" w:rsidP="00A86140">
      <w:pPr>
        <w:ind w:left="720"/>
        <w:rPr>
          <w:rFonts w:cstheme="minorHAnsi"/>
          <w:szCs w:val="26"/>
          <w:lang w:eastAsia="en-IE"/>
        </w:rPr>
      </w:pPr>
      <w:r w:rsidRPr="009E498C">
        <w:rPr>
          <w:rFonts w:cstheme="minorHAnsi"/>
          <w:i/>
          <w:szCs w:val="26"/>
          <w:lang w:eastAsia="en-IE"/>
        </w:rPr>
        <w:t xml:space="preserve">…we ran interviews with the older cohort, anybody over 50, and asked them personal questions. Where would they like to live when they’re older? What would they like as they get older? What would they not like as they get older? And this has influenced and has had very positive outcomes in supporting people to age in place as well. </w:t>
      </w:r>
      <w:r w:rsidRPr="009E498C">
        <w:rPr>
          <w:rFonts w:cstheme="minorHAnsi"/>
          <w:szCs w:val="26"/>
          <w:lang w:eastAsia="en-IE"/>
        </w:rPr>
        <w:t>(Sarah, M, SS)</w:t>
      </w:r>
    </w:p>
    <w:p w14:paraId="4450E8D5" w14:textId="38C6A002" w:rsidR="00A86140" w:rsidRPr="009E498C" w:rsidRDefault="00A86140" w:rsidP="00A86140">
      <w:pPr>
        <w:ind w:left="720"/>
        <w:textAlignment w:val="baseline"/>
        <w:rPr>
          <w:lang w:eastAsia="en-IE"/>
        </w:rPr>
      </w:pPr>
      <w:r w:rsidRPr="4EE41903">
        <w:rPr>
          <w:i/>
          <w:lang w:eastAsia="en-IE"/>
        </w:rPr>
        <w:t xml:space="preserve">…we were getting much more individualised, much more </w:t>
      </w:r>
      <w:r w:rsidR="004C645C" w:rsidRPr="4EE41903">
        <w:rPr>
          <w:i/>
          <w:lang w:eastAsia="en-IE"/>
        </w:rPr>
        <w:t>person-centred</w:t>
      </w:r>
      <w:r w:rsidRPr="4EE41903">
        <w:rPr>
          <w:i/>
          <w:lang w:eastAsia="en-IE"/>
        </w:rPr>
        <w:t xml:space="preserve">, involving the services users in any decision element of decision making what, where they want to go, what they’d like to do, what activities, what time they want to come in, what time they want to go home. </w:t>
      </w:r>
      <w:r w:rsidRPr="4EE41903">
        <w:rPr>
          <w:lang w:eastAsia="en-IE"/>
        </w:rPr>
        <w:t>(Katrin, M, GS)</w:t>
      </w:r>
    </w:p>
    <w:p w14:paraId="6F00FA8F" w14:textId="77777777" w:rsidR="00A86140" w:rsidRPr="009E498C" w:rsidRDefault="00A86140" w:rsidP="00A86140">
      <w:pPr>
        <w:textAlignment w:val="baseline"/>
        <w:rPr>
          <w:rFonts w:cstheme="minorHAnsi"/>
          <w:szCs w:val="26"/>
          <w:lang w:eastAsia="en-IE"/>
        </w:rPr>
      </w:pPr>
      <w:r w:rsidRPr="009E498C">
        <w:rPr>
          <w:rFonts w:cstheme="minorHAnsi"/>
          <w:szCs w:val="26"/>
          <w:lang w:eastAsia="en-IE"/>
        </w:rPr>
        <w:t>In order to build a ‘package’ of such individualised supports, it was often necessary to move beyond the boundaries of the service and to leverage input from others:</w:t>
      </w:r>
    </w:p>
    <w:p w14:paraId="13992F39" w14:textId="77777777" w:rsidR="00A86140" w:rsidRPr="009E498C" w:rsidRDefault="00A86140" w:rsidP="00A86140">
      <w:pPr>
        <w:ind w:left="720"/>
        <w:rPr>
          <w:szCs w:val="26"/>
          <w:lang w:eastAsia="en-IE"/>
        </w:rPr>
      </w:pPr>
      <w:r w:rsidRPr="009E498C">
        <w:rPr>
          <w:rFonts w:cstheme="minorHAnsi"/>
          <w:i/>
          <w:szCs w:val="26"/>
          <w:lang w:eastAsia="en-IE"/>
        </w:rPr>
        <w:t>His wish is to go to day service every day…He wants to live at home. So, we’ve had a lot of team meetings with family and himself in making decisions. So, he wanted to stay at home…so we had to get referrals to the community OT, community physio, adaptions to the house. Currently the family are needing more support.</w:t>
      </w:r>
      <w:r w:rsidRPr="009E498C">
        <w:rPr>
          <w:rFonts w:cstheme="minorHAnsi"/>
          <w:szCs w:val="26"/>
          <w:lang w:eastAsia="en-IE"/>
        </w:rPr>
        <w:t xml:space="preserve"> (Margaret, M, GS)</w:t>
      </w:r>
    </w:p>
    <w:p w14:paraId="76B54724" w14:textId="77777777" w:rsidR="00A86140" w:rsidRPr="009E498C" w:rsidRDefault="00A86140" w:rsidP="00A86140">
      <w:pPr>
        <w:rPr>
          <w:rFonts w:cstheme="minorHAnsi"/>
          <w:szCs w:val="26"/>
          <w:lang w:eastAsia="en-IE"/>
        </w:rPr>
      </w:pPr>
      <w:r w:rsidRPr="009E498C">
        <w:rPr>
          <w:rFonts w:cstheme="minorHAnsi"/>
          <w:szCs w:val="26"/>
          <w:lang w:eastAsia="en-IE"/>
        </w:rPr>
        <w:t>Whilst it was acknowledged that meeting the wishes of the person is central to decision making, it is not always possible for them to stay in their current home, and some compromises may have to be made and again, the question of resources was identified:</w:t>
      </w:r>
    </w:p>
    <w:p w14:paraId="23771B14" w14:textId="77777777" w:rsidR="00A86140" w:rsidRPr="009E498C" w:rsidRDefault="00A86140" w:rsidP="00A86140">
      <w:pPr>
        <w:ind w:left="720"/>
        <w:rPr>
          <w:lang w:eastAsia="en-IE"/>
        </w:rPr>
      </w:pPr>
      <w:r w:rsidRPr="4D4F390E">
        <w:rPr>
          <w:i/>
          <w:lang w:eastAsia="en-IE"/>
        </w:rPr>
        <w:t>…it’s difficult when you’re trying to do everything person</w:t>
      </w:r>
      <w:r w:rsidRPr="6DAF3CBA">
        <w:rPr>
          <w:i/>
          <w:lang w:eastAsia="en-IE"/>
        </w:rPr>
        <w:t>-</w:t>
      </w:r>
      <w:r w:rsidRPr="4D4F390E">
        <w:rPr>
          <w:i/>
          <w:lang w:eastAsia="en-IE"/>
        </w:rPr>
        <w:t>centred with the person, to focus on listening to them and really want them, because it was people’s preferences to stay at home, you know, to be in their own home and not have to move. But that’s not reality I guess at times. So sometimes you have to try and reach a compromise.</w:t>
      </w:r>
      <w:r w:rsidRPr="4D4F390E">
        <w:rPr>
          <w:lang w:eastAsia="en-IE"/>
        </w:rPr>
        <w:t xml:space="preserve"> (Sarah, M, SS)</w:t>
      </w:r>
    </w:p>
    <w:p w14:paraId="2B56906E" w14:textId="77777777" w:rsidR="00A86140" w:rsidRPr="009E498C" w:rsidRDefault="00A86140" w:rsidP="00A86140">
      <w:pPr>
        <w:ind w:left="720"/>
        <w:textAlignment w:val="baseline"/>
        <w:rPr>
          <w:szCs w:val="26"/>
          <w:lang w:eastAsia="en-IE"/>
        </w:rPr>
      </w:pPr>
      <w:r w:rsidRPr="009E498C">
        <w:rPr>
          <w:i/>
          <w:szCs w:val="26"/>
          <w:lang w:eastAsia="en-IE"/>
        </w:rPr>
        <w:t>…the person has accepted the fact that they need to change for health…</w:t>
      </w:r>
      <w:r w:rsidRPr="009E498C">
        <w:rPr>
          <w:szCs w:val="26"/>
          <w:lang w:eastAsia="en-IE"/>
        </w:rPr>
        <w:t>[she]…</w:t>
      </w:r>
      <w:r>
        <w:rPr>
          <w:szCs w:val="26"/>
          <w:lang w:eastAsia="en-IE"/>
        </w:rPr>
        <w:t xml:space="preserve"> </w:t>
      </w:r>
      <w:r w:rsidRPr="009E498C">
        <w:rPr>
          <w:i/>
          <w:szCs w:val="26"/>
          <w:lang w:eastAsia="en-IE"/>
        </w:rPr>
        <w:t>had lived independent with very minimal support now finds herself needing more support. So, she is advocating that she wants to be in the same town, and I find myself having nowhere to offer for her in this town…I don’t have a funded available space for her right now.</w:t>
      </w:r>
      <w:r w:rsidRPr="009E498C">
        <w:rPr>
          <w:szCs w:val="26"/>
          <w:lang w:eastAsia="en-IE"/>
        </w:rPr>
        <w:t xml:space="preserve"> (Mary, M, SS)</w:t>
      </w:r>
    </w:p>
    <w:p w14:paraId="32EF8E59" w14:textId="77777777" w:rsidR="00A86140" w:rsidRPr="009E498C" w:rsidRDefault="00A86140" w:rsidP="00A86140">
      <w:pPr>
        <w:rPr>
          <w:szCs w:val="26"/>
          <w:lang w:eastAsia="en-IE"/>
        </w:rPr>
      </w:pPr>
      <w:r w:rsidRPr="009E498C">
        <w:rPr>
          <w:szCs w:val="26"/>
          <w:lang w:eastAsia="en-IE"/>
        </w:rPr>
        <w:t>It was suggested, though, that some services were not always driven by the wishes of the person and their family:</w:t>
      </w:r>
    </w:p>
    <w:p w14:paraId="2B34C3A0" w14:textId="77777777" w:rsidR="00A86140" w:rsidRPr="009E498C" w:rsidRDefault="00A86140" w:rsidP="00A86140">
      <w:pPr>
        <w:ind w:left="720"/>
        <w:rPr>
          <w:rFonts w:cstheme="minorHAnsi"/>
          <w:szCs w:val="26"/>
          <w:lang w:eastAsia="en-IE"/>
        </w:rPr>
      </w:pPr>
      <w:r w:rsidRPr="009E498C">
        <w:rPr>
          <w:rFonts w:cstheme="minorHAnsi"/>
          <w:i/>
          <w:szCs w:val="26"/>
          <w:lang w:eastAsia="en-IE"/>
        </w:rPr>
        <w:t>…the residential services are actually provided by external residential services and almost all of them are for profit. You’re in a completely different ballgame…there is no discussion around actually what the person wants.</w:t>
      </w:r>
      <w:r w:rsidRPr="009E498C">
        <w:rPr>
          <w:rFonts w:cstheme="minorHAnsi"/>
          <w:szCs w:val="26"/>
          <w:lang w:eastAsia="en-IE"/>
        </w:rPr>
        <w:t> (Elizabeth, M, GS)</w:t>
      </w:r>
    </w:p>
    <w:p w14:paraId="22419C0E" w14:textId="77777777" w:rsidR="00A86140" w:rsidRPr="009E498C" w:rsidRDefault="00A86140" w:rsidP="00A86140">
      <w:pPr>
        <w:ind w:left="720"/>
        <w:rPr>
          <w:rStyle w:val="normaltextrun"/>
          <w:rFonts w:cstheme="minorHAnsi"/>
          <w:szCs w:val="26"/>
          <w:lang w:eastAsia="en-IE"/>
        </w:rPr>
      </w:pPr>
      <w:r w:rsidRPr="009E498C">
        <w:rPr>
          <w:rFonts w:cstheme="minorHAnsi"/>
          <w:i/>
          <w:szCs w:val="26"/>
          <w:lang w:eastAsia="en-IE"/>
        </w:rPr>
        <w:t>…the general decision was made against family wishes that she would stay where she is now.</w:t>
      </w:r>
      <w:r w:rsidRPr="009E498C">
        <w:rPr>
          <w:rFonts w:cstheme="minorHAnsi"/>
          <w:szCs w:val="26"/>
          <w:lang w:eastAsia="en-IE"/>
        </w:rPr>
        <w:t xml:space="preserve"> (Michael, M, SS) </w:t>
      </w:r>
    </w:p>
    <w:p w14:paraId="5FF84440" w14:textId="7F724FC0" w:rsidR="00474EEF" w:rsidRDefault="00A86140" w:rsidP="00A86140">
      <w:pPr>
        <w:rPr>
          <w:rFonts w:eastAsia="Daytona"/>
          <w:color w:val="000000" w:themeColor="text1"/>
          <w:szCs w:val="26"/>
        </w:rPr>
      </w:pPr>
      <w:r w:rsidRPr="009E498C">
        <w:rPr>
          <w:rFonts w:eastAsia="Daytona"/>
          <w:color w:val="000000" w:themeColor="text1"/>
          <w:szCs w:val="26"/>
        </w:rPr>
        <w:t>Interestingly, whilst focus group participants noted the importance of education for family members, such support and education were not scored highly by the survey respondents. Some family members, themselves, noted that services were not always attuned to their needs, particularly in the area of bereavement support. As people with intellectual disabilit</w:t>
      </w:r>
      <w:r w:rsidR="00C85736">
        <w:rPr>
          <w:rFonts w:eastAsia="Daytona"/>
          <w:color w:val="000000" w:themeColor="text1"/>
          <w:szCs w:val="26"/>
        </w:rPr>
        <w:t>ies</w:t>
      </w:r>
      <w:r w:rsidRPr="009E498C">
        <w:rPr>
          <w:rFonts w:eastAsia="Daytona"/>
          <w:color w:val="000000" w:themeColor="text1"/>
          <w:szCs w:val="26"/>
        </w:rPr>
        <w:t xml:space="preserve"> age, it is inevitable that they will experience the death of friends and, most significantly, of parents. These can be traumatic times for families as siblings manage their own grief whilst trying to support their brother or sister with intellectual disabilit</w:t>
      </w:r>
      <w:r w:rsidR="00C85736">
        <w:rPr>
          <w:rFonts w:eastAsia="Daytona"/>
          <w:color w:val="000000" w:themeColor="text1"/>
          <w:szCs w:val="26"/>
        </w:rPr>
        <w:t>ies</w:t>
      </w:r>
      <w:r w:rsidRPr="009E498C">
        <w:rPr>
          <w:rFonts w:eastAsia="Daytona"/>
          <w:color w:val="000000" w:themeColor="text1"/>
          <w:szCs w:val="26"/>
        </w:rPr>
        <w:t xml:space="preserve">. </w:t>
      </w:r>
    </w:p>
    <w:p w14:paraId="4A0C9123" w14:textId="03B07E62" w:rsidR="00A86140" w:rsidRPr="00162BCC" w:rsidRDefault="00DF1A2D" w:rsidP="00A86140">
      <w:pPr>
        <w:rPr>
          <w:rFonts w:eastAsia="Daytona"/>
          <w:color w:val="000000" w:themeColor="text1"/>
        </w:rPr>
      </w:pPr>
      <w:r w:rsidRPr="5573071A">
        <w:rPr>
          <w:rFonts w:eastAsia="Daytona"/>
          <w:color w:val="000000" w:themeColor="text1"/>
        </w:rPr>
        <w:t>Whilst</w:t>
      </w:r>
      <w:r w:rsidR="00474EEF" w:rsidRPr="5573071A">
        <w:rPr>
          <w:rFonts w:eastAsia="Daytona"/>
          <w:color w:val="000000" w:themeColor="text1"/>
        </w:rPr>
        <w:t xml:space="preserve"> </w:t>
      </w:r>
      <w:r w:rsidR="001E5DD2" w:rsidRPr="5573071A">
        <w:rPr>
          <w:rFonts w:eastAsia="Daytona"/>
          <w:color w:val="000000" w:themeColor="text1"/>
        </w:rPr>
        <w:t>family members spoke highly of the care pro</w:t>
      </w:r>
      <w:r w:rsidR="005523FD" w:rsidRPr="5573071A">
        <w:rPr>
          <w:rFonts w:eastAsia="Daytona"/>
          <w:color w:val="000000" w:themeColor="text1"/>
        </w:rPr>
        <w:t xml:space="preserve">vided to their loved ones and staff/managers recounted </w:t>
      </w:r>
      <w:r w:rsidR="00EE0C96" w:rsidRPr="5573071A">
        <w:rPr>
          <w:rFonts w:eastAsia="Daytona"/>
          <w:color w:val="000000" w:themeColor="text1"/>
        </w:rPr>
        <w:t>examples of excellence in supporting older people with intellectual disabilities t</w:t>
      </w:r>
      <w:r w:rsidR="009B6B50" w:rsidRPr="5573071A">
        <w:rPr>
          <w:rFonts w:eastAsia="Daytona"/>
          <w:color w:val="000000" w:themeColor="text1"/>
        </w:rPr>
        <w:t>o die at home (see previous chapter), t</w:t>
      </w:r>
      <w:r w:rsidRPr="5573071A">
        <w:rPr>
          <w:rFonts w:eastAsia="Daytona"/>
          <w:color w:val="000000" w:themeColor="text1"/>
        </w:rPr>
        <w:t xml:space="preserve">hose </w:t>
      </w:r>
      <w:r w:rsidR="00A86140" w:rsidRPr="5573071A">
        <w:rPr>
          <w:rFonts w:eastAsia="Daytona"/>
          <w:color w:val="000000" w:themeColor="text1"/>
        </w:rPr>
        <w:t xml:space="preserve">family members </w:t>
      </w:r>
      <w:r w:rsidRPr="5573071A">
        <w:rPr>
          <w:rFonts w:eastAsia="Daytona"/>
          <w:color w:val="000000" w:themeColor="text1"/>
        </w:rPr>
        <w:t xml:space="preserve">who discussed </w:t>
      </w:r>
      <w:r w:rsidR="58C81AD3" w:rsidRPr="5573071A">
        <w:rPr>
          <w:rFonts w:eastAsia="Daytona"/>
          <w:color w:val="000000" w:themeColor="text1"/>
        </w:rPr>
        <w:t>bereavement</w:t>
      </w:r>
      <w:r w:rsidRPr="5573071A">
        <w:rPr>
          <w:rFonts w:eastAsia="Daytona"/>
          <w:color w:val="000000" w:themeColor="text1"/>
        </w:rPr>
        <w:t xml:space="preserve">, all </w:t>
      </w:r>
      <w:r w:rsidR="008C31E3" w:rsidRPr="5573071A">
        <w:rPr>
          <w:rFonts w:eastAsia="Daytona"/>
          <w:color w:val="000000" w:themeColor="text1"/>
        </w:rPr>
        <w:t>considered that there was a</w:t>
      </w:r>
      <w:r w:rsidR="00A86140" w:rsidRPr="5573071A">
        <w:rPr>
          <w:rFonts w:cs="Calibri"/>
          <w:lang w:eastAsia="en-IE"/>
        </w:rPr>
        <w:t xml:space="preserve"> lack of grief counselling for people with intellectual disabilit</w:t>
      </w:r>
      <w:r w:rsidR="00C85736">
        <w:rPr>
          <w:rFonts w:cs="Calibri"/>
          <w:lang w:eastAsia="en-IE"/>
        </w:rPr>
        <w:t>ies</w:t>
      </w:r>
      <w:r w:rsidR="00135007" w:rsidRPr="5573071A">
        <w:rPr>
          <w:rFonts w:cs="Calibri"/>
          <w:lang w:eastAsia="en-IE"/>
        </w:rPr>
        <w:t xml:space="preserve"> who had experienced loss and fot eh family members themselves</w:t>
      </w:r>
      <w:r w:rsidR="00A86140" w:rsidRPr="5573071A">
        <w:rPr>
          <w:rFonts w:cs="Calibri"/>
          <w:lang w:eastAsia="en-IE"/>
        </w:rPr>
        <w:t>. Two sisters, who had taken on the role of being primary carers for their sibling after the death of their parent, reported that</w:t>
      </w:r>
      <w:r w:rsidR="00135007" w:rsidRPr="5573071A">
        <w:rPr>
          <w:rFonts w:cs="Calibri"/>
          <w:lang w:eastAsia="en-IE"/>
        </w:rPr>
        <w:t>,</w:t>
      </w:r>
      <w:r w:rsidR="00A86140" w:rsidRPr="5573071A">
        <w:rPr>
          <w:rFonts w:cs="Calibri"/>
          <w:lang w:eastAsia="en-IE"/>
        </w:rPr>
        <w:t xml:space="preserve"> </w:t>
      </w:r>
      <w:r w:rsidR="00135007" w:rsidRPr="5573071A">
        <w:rPr>
          <w:rFonts w:cs="Calibri"/>
          <w:lang w:eastAsia="en-IE"/>
        </w:rPr>
        <w:t xml:space="preserve">in the absence of support, </w:t>
      </w:r>
      <w:r w:rsidR="00A86140" w:rsidRPr="5573071A">
        <w:rPr>
          <w:rFonts w:cs="Calibri"/>
          <w:lang w:eastAsia="en-IE"/>
        </w:rPr>
        <w:t>they struggled</w:t>
      </w:r>
      <w:r w:rsidR="00135007" w:rsidRPr="5573071A">
        <w:rPr>
          <w:rFonts w:cs="Calibri"/>
          <w:lang w:eastAsia="en-IE"/>
        </w:rPr>
        <w:t xml:space="preserve"> </w:t>
      </w:r>
      <w:r w:rsidR="00A86140" w:rsidRPr="5573071A">
        <w:rPr>
          <w:rFonts w:cs="Calibri"/>
          <w:lang w:eastAsia="en-IE"/>
        </w:rPr>
        <w:t>with both their loss and with the change in circumstances: </w:t>
      </w:r>
    </w:p>
    <w:p w14:paraId="5F28D390" w14:textId="7EF2A626" w:rsidR="00A86140" w:rsidRPr="00162BCC" w:rsidRDefault="00A86140" w:rsidP="00A86140">
      <w:pPr>
        <w:ind w:left="709"/>
        <w:textAlignment w:val="baseline"/>
        <w:rPr>
          <w:rFonts w:cs="Segoe UI"/>
          <w:i/>
          <w:szCs w:val="26"/>
          <w:lang w:eastAsia="en-IE"/>
        </w:rPr>
      </w:pPr>
      <w:r w:rsidRPr="009E498C">
        <w:rPr>
          <w:rFonts w:cs="Segoe UI"/>
          <w:i/>
          <w:szCs w:val="26"/>
          <w:lang w:eastAsia="en-IE"/>
        </w:rPr>
        <w:t>…</w:t>
      </w:r>
      <w:r w:rsidRPr="009E498C">
        <w:rPr>
          <w:rFonts w:cs="Calibri"/>
          <w:szCs w:val="26"/>
          <w:lang w:eastAsia="en-IE"/>
        </w:rPr>
        <w:t xml:space="preserve">[older person’s </w:t>
      </w:r>
      <w:r w:rsidRPr="00162BCC">
        <w:rPr>
          <w:rFonts w:cs="Calibri"/>
          <w:szCs w:val="26"/>
          <w:lang w:eastAsia="en-IE"/>
        </w:rPr>
        <w:t xml:space="preserve">name] </w:t>
      </w:r>
      <w:r w:rsidRPr="00162BCC">
        <w:rPr>
          <w:rFonts w:cs="Calibri"/>
          <w:i/>
          <w:szCs w:val="26"/>
          <w:lang w:eastAsia="en-IE"/>
        </w:rPr>
        <w:t>was lost, lost, I thought, and didn’t know life without Mum as her support ... So, yeah, it was very hard, a minefield, and you were also dealing with the fact that, you were aware of her demise</w:t>
      </w:r>
      <w:r w:rsidRPr="009E498C">
        <w:rPr>
          <w:rFonts w:cs="Calibri"/>
          <w:i/>
          <w:szCs w:val="26"/>
          <w:lang w:eastAsia="en-IE"/>
        </w:rPr>
        <w:t>...</w:t>
      </w:r>
      <w:r w:rsidRPr="00162BCC">
        <w:rPr>
          <w:rFonts w:cs="Calibri"/>
          <w:i/>
          <w:szCs w:val="26"/>
          <w:lang w:eastAsia="en-IE"/>
        </w:rPr>
        <w:t>you were grieving for her, and you were looking for answers and you were looking for help and you were looking for a path and you weren’t getting any of those things.</w:t>
      </w:r>
      <w:r w:rsidRPr="00162BCC">
        <w:rPr>
          <w:rFonts w:ascii="Arial" w:hAnsi="Arial" w:cs="Arial"/>
          <w:i/>
          <w:iCs/>
          <w:szCs w:val="26"/>
          <w:lang w:eastAsia="en-IE"/>
        </w:rPr>
        <w:t> </w:t>
      </w:r>
      <w:r w:rsidRPr="00162BCC">
        <w:rPr>
          <w:rFonts w:cs="Calibri"/>
          <w:szCs w:val="26"/>
          <w:lang w:eastAsia="en-IE"/>
        </w:rPr>
        <w:t>(Siobhan, Fam)</w:t>
      </w:r>
      <w:r w:rsidR="00991E69">
        <w:rPr>
          <w:rFonts w:cs="Calibri"/>
          <w:i/>
          <w:szCs w:val="26"/>
          <w:lang w:eastAsia="en-IE"/>
        </w:rPr>
        <w:t xml:space="preserve"> </w:t>
      </w:r>
    </w:p>
    <w:p w14:paraId="3C493213" w14:textId="42E32C16" w:rsidR="00A86140" w:rsidRPr="00162BCC" w:rsidRDefault="00A86140" w:rsidP="00A86140">
      <w:pPr>
        <w:textAlignment w:val="baseline"/>
        <w:rPr>
          <w:rFonts w:cs="Segoe UI"/>
          <w:szCs w:val="26"/>
          <w:lang w:eastAsia="en-IE"/>
        </w:rPr>
      </w:pPr>
      <w:r w:rsidRPr="00162BCC">
        <w:rPr>
          <w:rFonts w:cs="Calibri"/>
          <w:szCs w:val="26"/>
          <w:lang w:eastAsia="en-IE"/>
        </w:rPr>
        <w:t>Lack of bereavement support for one brother</w:t>
      </w:r>
      <w:r w:rsidRPr="009E498C">
        <w:rPr>
          <w:rFonts w:cs="Calibri"/>
          <w:szCs w:val="26"/>
          <w:lang w:eastAsia="en-IE"/>
        </w:rPr>
        <w:t>, following the death of his mother,</w:t>
      </w:r>
      <w:r w:rsidRPr="00162BCC">
        <w:rPr>
          <w:rFonts w:cs="Calibri"/>
          <w:szCs w:val="26"/>
          <w:lang w:eastAsia="en-IE"/>
        </w:rPr>
        <w:t xml:space="preserve"> </w:t>
      </w:r>
      <w:r w:rsidR="00501666">
        <w:rPr>
          <w:rFonts w:cs="Calibri"/>
          <w:szCs w:val="26"/>
          <w:lang w:eastAsia="en-IE"/>
        </w:rPr>
        <w:t xml:space="preserve">was reported to have </w:t>
      </w:r>
      <w:r w:rsidRPr="00162BCC">
        <w:rPr>
          <w:rFonts w:cs="Calibri"/>
          <w:szCs w:val="26"/>
          <w:lang w:eastAsia="en-IE"/>
        </w:rPr>
        <w:t xml:space="preserve">led to </w:t>
      </w:r>
      <w:r w:rsidRPr="009E498C">
        <w:rPr>
          <w:rFonts w:cs="Calibri"/>
          <w:szCs w:val="26"/>
          <w:lang w:eastAsia="en-IE"/>
        </w:rPr>
        <w:t xml:space="preserve">him developing </w:t>
      </w:r>
      <w:r w:rsidRPr="00162BCC">
        <w:rPr>
          <w:rFonts w:cs="Calibri"/>
          <w:szCs w:val="26"/>
          <w:lang w:eastAsia="en-IE"/>
        </w:rPr>
        <w:t xml:space="preserve">behavioural challenges and </w:t>
      </w:r>
      <w:r w:rsidRPr="009E498C">
        <w:rPr>
          <w:rFonts w:cs="Calibri"/>
          <w:szCs w:val="26"/>
          <w:lang w:eastAsia="en-IE"/>
        </w:rPr>
        <w:t>being admitted</w:t>
      </w:r>
      <w:r w:rsidRPr="00162BCC">
        <w:rPr>
          <w:rFonts w:cs="Calibri"/>
          <w:szCs w:val="26"/>
          <w:lang w:eastAsia="en-IE"/>
        </w:rPr>
        <w:t xml:space="preserve"> to a psychiatric inpatient facility</w:t>
      </w:r>
      <w:r w:rsidRPr="009E498C">
        <w:rPr>
          <w:rFonts w:cs="Calibri"/>
          <w:szCs w:val="26"/>
          <w:lang w:eastAsia="en-IE"/>
        </w:rPr>
        <w:t xml:space="preserve">, </w:t>
      </w:r>
      <w:r w:rsidR="00501666">
        <w:rPr>
          <w:rFonts w:cs="Calibri"/>
          <w:szCs w:val="26"/>
          <w:lang w:eastAsia="en-IE"/>
        </w:rPr>
        <w:t>a location that</w:t>
      </w:r>
      <w:r w:rsidRPr="00162BCC">
        <w:rPr>
          <w:rFonts w:cs="Calibri"/>
          <w:szCs w:val="26"/>
          <w:lang w:eastAsia="en-IE"/>
        </w:rPr>
        <w:t xml:space="preserve"> his si</w:t>
      </w:r>
      <w:r w:rsidRPr="009E498C">
        <w:rPr>
          <w:rFonts w:cs="Calibri"/>
          <w:szCs w:val="26"/>
          <w:lang w:eastAsia="en-IE"/>
        </w:rPr>
        <w:t>s</w:t>
      </w:r>
      <w:r w:rsidRPr="00162BCC">
        <w:rPr>
          <w:rFonts w:cs="Calibri"/>
          <w:szCs w:val="26"/>
          <w:lang w:eastAsia="en-IE"/>
        </w:rPr>
        <w:t xml:space="preserve">ter felt was </w:t>
      </w:r>
      <w:r w:rsidR="00501666">
        <w:rPr>
          <w:rFonts w:cs="Calibri"/>
          <w:szCs w:val="26"/>
          <w:lang w:eastAsia="en-IE"/>
        </w:rPr>
        <w:t>not</w:t>
      </w:r>
      <w:r w:rsidRPr="00162BCC">
        <w:rPr>
          <w:rFonts w:cs="Calibri"/>
          <w:szCs w:val="26"/>
          <w:lang w:eastAsia="en-IE"/>
        </w:rPr>
        <w:t xml:space="preserve"> appropriate</w:t>
      </w:r>
      <w:r w:rsidRPr="009E498C">
        <w:rPr>
          <w:rFonts w:cs="Calibri"/>
          <w:szCs w:val="26"/>
          <w:lang w:eastAsia="en-IE"/>
        </w:rPr>
        <w:t>:</w:t>
      </w:r>
    </w:p>
    <w:p w14:paraId="5F12D8EB" w14:textId="5C9556AE" w:rsidR="00A86140" w:rsidRPr="00162BCC" w:rsidRDefault="00A86140" w:rsidP="00A86140">
      <w:pPr>
        <w:ind w:left="720"/>
        <w:textAlignment w:val="baseline"/>
        <w:rPr>
          <w:rFonts w:cs="Segoe UI"/>
          <w:i/>
          <w:szCs w:val="26"/>
          <w:lang w:eastAsia="en-IE"/>
        </w:rPr>
      </w:pPr>
      <w:r w:rsidRPr="00162BCC">
        <w:rPr>
          <w:rFonts w:cs="Calibri"/>
          <w:i/>
          <w:szCs w:val="26"/>
          <w:lang w:eastAsia="en-IE"/>
        </w:rPr>
        <w:t>Bereavement counselling was just not available...the plan was that he would go into that house respite permanently</w:t>
      </w:r>
      <w:r w:rsidRPr="009E498C">
        <w:rPr>
          <w:rFonts w:cs="Calibri"/>
          <w:i/>
          <w:szCs w:val="26"/>
          <w:lang w:eastAsia="en-IE"/>
        </w:rPr>
        <w:t>;</w:t>
      </w:r>
      <w:r w:rsidRPr="00162BCC">
        <w:rPr>
          <w:rFonts w:cs="Calibri"/>
          <w:i/>
          <w:szCs w:val="26"/>
          <w:lang w:eastAsia="en-IE"/>
        </w:rPr>
        <w:t xml:space="preserve"> it broke down because he just was behaviourally all over the place and it wasn’t fair on the other residents</w:t>
      </w:r>
      <w:r w:rsidRPr="009E498C">
        <w:rPr>
          <w:rFonts w:cs="Calibri"/>
          <w:i/>
          <w:szCs w:val="26"/>
          <w:lang w:eastAsia="en-IE"/>
        </w:rPr>
        <w:t>…</w:t>
      </w:r>
      <w:r w:rsidRPr="00162BCC">
        <w:rPr>
          <w:rFonts w:cs="Calibri"/>
          <w:i/>
          <w:szCs w:val="26"/>
          <w:lang w:eastAsia="en-IE"/>
        </w:rPr>
        <w:t>he went to hell and back, and there was no counselling and there was no behavioural therapy and there was, there was nothing really. I don’t think I even got him a social worker during those years.</w:t>
      </w:r>
      <w:r w:rsidRPr="00162BCC">
        <w:rPr>
          <w:rFonts w:ascii="Arial" w:hAnsi="Arial" w:cs="Arial"/>
          <w:i/>
          <w:iCs/>
          <w:szCs w:val="26"/>
          <w:lang w:eastAsia="en-IE"/>
        </w:rPr>
        <w:t> </w:t>
      </w:r>
      <w:r w:rsidRPr="00162BCC">
        <w:rPr>
          <w:rFonts w:cs="Calibri"/>
          <w:szCs w:val="26"/>
          <w:lang w:eastAsia="en-IE"/>
        </w:rPr>
        <w:t>(Nancy, Fam)</w:t>
      </w:r>
      <w:r w:rsidRPr="00162BCC">
        <w:rPr>
          <w:rFonts w:cs="Calibri"/>
          <w:i/>
          <w:szCs w:val="26"/>
          <w:lang w:eastAsia="en-IE"/>
        </w:rPr>
        <w:t> </w:t>
      </w:r>
    </w:p>
    <w:p w14:paraId="71189D4A" w14:textId="46D553E2" w:rsidR="00A86140" w:rsidRPr="009E498C" w:rsidRDefault="00A86140" w:rsidP="11C55A92">
      <w:pPr>
        <w:rPr>
          <w:rFonts w:eastAsiaTheme="minorEastAsia"/>
        </w:rPr>
      </w:pPr>
      <w:r w:rsidRPr="11C55A92">
        <w:rPr>
          <w:rFonts w:eastAsiaTheme="minorEastAsia"/>
        </w:rPr>
        <w:t>This sense of being alone and unsupported was also described by siblings whose family member with intellectual disabilit</w:t>
      </w:r>
      <w:r w:rsidR="00C85736">
        <w:rPr>
          <w:rFonts w:eastAsiaTheme="minorEastAsia"/>
        </w:rPr>
        <w:t>ies</w:t>
      </w:r>
      <w:r w:rsidRPr="11C55A92">
        <w:rPr>
          <w:rFonts w:eastAsiaTheme="minorEastAsia"/>
        </w:rPr>
        <w:t xml:space="preserve"> had show</w:t>
      </w:r>
      <w:r w:rsidR="2E1EFA68" w:rsidRPr="11C55A92">
        <w:rPr>
          <w:rFonts w:eastAsiaTheme="minorEastAsia"/>
        </w:rPr>
        <w:t>n</w:t>
      </w:r>
      <w:r w:rsidRPr="11C55A92">
        <w:rPr>
          <w:rFonts w:eastAsiaTheme="minorEastAsia"/>
        </w:rPr>
        <w:t xml:space="preserve"> signs</w:t>
      </w:r>
      <w:r w:rsidR="0DF2FED5" w:rsidRPr="11C55A92">
        <w:rPr>
          <w:rFonts w:eastAsiaTheme="minorEastAsia"/>
        </w:rPr>
        <w:t xml:space="preserve"> of</w:t>
      </w:r>
      <w:r w:rsidRPr="11C55A92">
        <w:rPr>
          <w:rFonts w:eastAsiaTheme="minorEastAsia"/>
        </w:rPr>
        <w:t xml:space="preserve"> dementia. One sister described the extra strain she experienced because she was fighting for advice and support at the same time as caring for her sister who was suffering dementia and epilepsy:</w:t>
      </w:r>
    </w:p>
    <w:p w14:paraId="58570BA1" w14:textId="7C2E9448" w:rsidR="00A86140" w:rsidRPr="009E498C" w:rsidRDefault="00A86140" w:rsidP="00A86140">
      <w:pPr>
        <w:ind w:left="720"/>
        <w:rPr>
          <w:rFonts w:eastAsiaTheme="minorEastAsia"/>
          <w:i/>
          <w:szCs w:val="26"/>
        </w:rPr>
      </w:pPr>
      <w:r w:rsidRPr="009E498C">
        <w:rPr>
          <w:rFonts w:eastAsiaTheme="minorEastAsia"/>
          <w:i/>
          <w:szCs w:val="26"/>
        </w:rPr>
        <w:t xml:space="preserve">…we knew we were coming to the end of what we could do for her, we were worried for her because she would get up in the middle of the night and have her coat on and go out the front door. So you never slept, you were constantly awake thinking, is she up now, what's she thinking, where is she going...I asked her for help…we were on our hands and knees...it was like falling off a cliff…if it was just the dementia and the epilepsy…you're on your knees and then you might be pointed towards a nursing home system that doesn’t want her, that doesn’t want someone with an intellectual disability. </w:t>
      </w:r>
      <w:r w:rsidRPr="009E498C">
        <w:rPr>
          <w:rFonts w:eastAsiaTheme="minorEastAsia"/>
          <w:szCs w:val="26"/>
        </w:rPr>
        <w:t>(Siobhan, Fam)</w:t>
      </w:r>
    </w:p>
    <w:p w14:paraId="1E66011F" w14:textId="77777777" w:rsidR="00A86140" w:rsidRPr="009E498C" w:rsidRDefault="00A86140" w:rsidP="00A86140">
      <w:pPr>
        <w:rPr>
          <w:rFonts w:eastAsiaTheme="minorEastAsia"/>
          <w:szCs w:val="26"/>
        </w:rPr>
      </w:pPr>
      <w:r w:rsidRPr="009E498C">
        <w:rPr>
          <w:rFonts w:eastAsiaTheme="minorEastAsia"/>
          <w:szCs w:val="26"/>
        </w:rPr>
        <w:t>Another family member spoke of an</w:t>
      </w:r>
      <w:r w:rsidRPr="00060FDF">
        <w:rPr>
          <w:rFonts w:cs="Calibri"/>
          <w:szCs w:val="26"/>
          <w:lang w:eastAsia="en-IE"/>
        </w:rPr>
        <w:t xml:space="preserve"> underlying fear about the permanence of her sister’s accommodation and service</w:t>
      </w:r>
      <w:r w:rsidRPr="009E498C">
        <w:rPr>
          <w:rFonts w:cs="Calibri"/>
          <w:szCs w:val="26"/>
          <w:lang w:eastAsia="en-IE"/>
        </w:rPr>
        <w:t>, d</w:t>
      </w:r>
      <w:r w:rsidRPr="00060FDF">
        <w:rPr>
          <w:rFonts w:cs="Calibri"/>
          <w:szCs w:val="26"/>
          <w:lang w:eastAsia="en-IE"/>
        </w:rPr>
        <w:t xml:space="preserve">espite </w:t>
      </w:r>
      <w:r w:rsidRPr="009E498C">
        <w:rPr>
          <w:rFonts w:cs="Calibri"/>
          <w:szCs w:val="26"/>
          <w:lang w:eastAsia="en-IE"/>
        </w:rPr>
        <w:t xml:space="preserve">the fact </w:t>
      </w:r>
      <w:r w:rsidRPr="00060FDF">
        <w:rPr>
          <w:rFonts w:cs="Calibri"/>
          <w:szCs w:val="26"/>
          <w:lang w:eastAsia="en-IE"/>
        </w:rPr>
        <w:t>that her sister, now in her 60s, had been in the same residential service since she was four years old</w:t>
      </w:r>
      <w:r w:rsidRPr="009E498C">
        <w:rPr>
          <w:rFonts w:cs="Calibri"/>
          <w:szCs w:val="26"/>
          <w:lang w:eastAsia="en-IE"/>
        </w:rPr>
        <w:t>:</w:t>
      </w:r>
    </w:p>
    <w:p w14:paraId="4A45CFBD" w14:textId="55703889" w:rsidR="00A86140" w:rsidRPr="00060FDF" w:rsidRDefault="00A86140" w:rsidP="00A86140">
      <w:pPr>
        <w:ind w:left="709"/>
        <w:rPr>
          <w:rFonts w:eastAsiaTheme="minorEastAsia" w:cstheme="minorBidi"/>
          <w:szCs w:val="26"/>
        </w:rPr>
      </w:pPr>
      <w:r w:rsidRPr="00060FDF">
        <w:rPr>
          <w:rFonts w:cs="Calibri"/>
          <w:i/>
          <w:szCs w:val="26"/>
          <w:lang w:eastAsia="en-IE"/>
        </w:rPr>
        <w:t xml:space="preserve">…it’s an unfounded worry as such I suppose, because it hasn’t been threatened in any way but if, say </w:t>
      </w:r>
      <w:r w:rsidRPr="00060FDF">
        <w:rPr>
          <w:rFonts w:cs="Calibri"/>
          <w:szCs w:val="26"/>
          <w:lang w:eastAsia="en-IE"/>
        </w:rPr>
        <w:t>[service</w:t>
      </w:r>
      <w:r w:rsidRPr="009E498C">
        <w:rPr>
          <w:rFonts w:cs="Calibri"/>
          <w:szCs w:val="26"/>
          <w:lang w:eastAsia="en-IE"/>
        </w:rPr>
        <w:t xml:space="preserve"> name]</w:t>
      </w:r>
      <w:r w:rsidRPr="009E498C">
        <w:rPr>
          <w:rFonts w:cs="Calibri"/>
          <w:i/>
          <w:szCs w:val="26"/>
          <w:lang w:eastAsia="en-IE"/>
        </w:rPr>
        <w:t>...</w:t>
      </w:r>
      <w:r w:rsidRPr="00060FDF">
        <w:rPr>
          <w:rFonts w:cs="Calibri"/>
          <w:i/>
          <w:szCs w:val="26"/>
          <w:lang w:eastAsia="en-IE"/>
        </w:rPr>
        <w:t xml:space="preserve">was just to go with lack of funding or…where would </w:t>
      </w:r>
      <w:r w:rsidRPr="009E498C">
        <w:rPr>
          <w:rFonts w:cs="Calibri"/>
          <w:szCs w:val="26"/>
          <w:lang w:eastAsia="en-IE"/>
        </w:rPr>
        <w:t>[sibling name]</w:t>
      </w:r>
      <w:r w:rsidRPr="00060FDF">
        <w:rPr>
          <w:rFonts w:cs="Calibri"/>
          <w:i/>
          <w:szCs w:val="26"/>
          <w:lang w:eastAsia="en-IE"/>
        </w:rPr>
        <w:t xml:space="preserve"> go</w:t>
      </w:r>
      <w:r w:rsidRPr="009E498C">
        <w:rPr>
          <w:rFonts w:cs="Calibri"/>
          <w:i/>
          <w:szCs w:val="26"/>
          <w:lang w:eastAsia="en-IE"/>
        </w:rPr>
        <w:t>…</w:t>
      </w:r>
      <w:r w:rsidRPr="00060FDF">
        <w:rPr>
          <w:rFonts w:cs="Calibri"/>
          <w:i/>
          <w:szCs w:val="26"/>
          <w:lang w:eastAsia="en-IE"/>
        </w:rPr>
        <w:t>maybe it’s unfounded but nobody has really clarified that to families</w:t>
      </w:r>
      <w:r w:rsidRPr="009E498C">
        <w:rPr>
          <w:rFonts w:cs="Calibri"/>
          <w:i/>
          <w:szCs w:val="26"/>
          <w:lang w:eastAsia="en-IE"/>
        </w:rPr>
        <w:t>…</w:t>
      </w:r>
      <w:r w:rsidRPr="00060FDF">
        <w:rPr>
          <w:rFonts w:cs="Calibri"/>
          <w:i/>
          <w:szCs w:val="26"/>
          <w:lang w:eastAsia="en-IE"/>
        </w:rPr>
        <w:t>or given that guarantee.</w:t>
      </w:r>
      <w:r w:rsidRPr="00060FDF">
        <w:rPr>
          <w:rFonts w:cs="Calibri"/>
          <w:szCs w:val="26"/>
          <w:lang w:eastAsia="en-IE"/>
        </w:rPr>
        <w:t xml:space="preserve"> (Louise, Fam)</w:t>
      </w:r>
      <w:r w:rsidRPr="00060FDF">
        <w:rPr>
          <w:rFonts w:ascii="Arial" w:hAnsi="Arial" w:cs="Arial"/>
          <w:szCs w:val="26"/>
          <w:lang w:eastAsia="en-IE"/>
        </w:rPr>
        <w:t> </w:t>
      </w:r>
      <w:r w:rsidRPr="00060FDF">
        <w:rPr>
          <w:rFonts w:cs="Calibri"/>
          <w:szCs w:val="26"/>
          <w:lang w:eastAsia="en-IE"/>
        </w:rPr>
        <w:t> </w:t>
      </w:r>
    </w:p>
    <w:p w14:paraId="733F5874" w14:textId="185FF53D" w:rsidR="00A86140" w:rsidRPr="009E498C" w:rsidRDefault="00A86140" w:rsidP="00A86140">
      <w:pPr>
        <w:rPr>
          <w:rFonts w:eastAsiaTheme="minorEastAsia"/>
          <w:szCs w:val="26"/>
        </w:rPr>
      </w:pPr>
      <w:r w:rsidRPr="009E498C">
        <w:rPr>
          <w:rFonts w:cs="Calibri"/>
          <w:szCs w:val="26"/>
          <w:lang w:eastAsia="en-IE"/>
        </w:rPr>
        <w:t xml:space="preserve">The unsurety belied a concern that decisions could be made that would affect her sister, perhaps a distrust grounded in the absence of clear communication. </w:t>
      </w:r>
      <w:r w:rsidR="00501666">
        <w:rPr>
          <w:rFonts w:cs="Calibri"/>
          <w:szCs w:val="26"/>
          <w:lang w:eastAsia="en-IE"/>
        </w:rPr>
        <w:t xml:space="preserve">It </w:t>
      </w:r>
      <w:r w:rsidR="00FA1972">
        <w:rPr>
          <w:rFonts w:cs="Calibri"/>
          <w:szCs w:val="26"/>
          <w:lang w:eastAsia="en-IE"/>
        </w:rPr>
        <w:t xml:space="preserve">should be noted that, as in all qualitative research, these accounts represent the experiences and perspectives of those who shared them and </w:t>
      </w:r>
      <w:r w:rsidR="008665D1">
        <w:rPr>
          <w:rFonts w:cs="Calibri"/>
          <w:szCs w:val="26"/>
          <w:lang w:eastAsia="en-IE"/>
        </w:rPr>
        <w:t>cannot be seen to describe any broader reality.</w:t>
      </w:r>
    </w:p>
    <w:p w14:paraId="60314F54" w14:textId="18B2F2EE" w:rsidR="00A86140" w:rsidRPr="009E498C" w:rsidRDefault="00A86140" w:rsidP="11C55A92">
      <w:pPr>
        <w:rPr>
          <w:rFonts w:cstheme="minorBidi"/>
          <w:color w:val="000000" w:themeColor="text1"/>
          <w:lang w:eastAsia="en-IE"/>
        </w:rPr>
      </w:pPr>
      <w:r w:rsidRPr="11C55A92">
        <w:rPr>
          <w:rFonts w:cstheme="minorBidi"/>
          <w:color w:val="000000" w:themeColor="text1"/>
          <w:lang w:eastAsia="en-IE"/>
        </w:rPr>
        <w:t xml:space="preserve">It has been seen that the needs of older people with intellectual disabilities have become more complex as </w:t>
      </w:r>
      <w:r w:rsidR="5BA40614" w:rsidRPr="11C55A92">
        <w:rPr>
          <w:rFonts w:cstheme="minorBidi"/>
          <w:color w:val="000000" w:themeColor="text1"/>
          <w:lang w:eastAsia="en-IE"/>
        </w:rPr>
        <w:t>they increasingly live longer lives.</w:t>
      </w:r>
      <w:r w:rsidRPr="11C55A92">
        <w:rPr>
          <w:rFonts w:cstheme="minorBidi"/>
          <w:color w:val="000000" w:themeColor="text1"/>
          <w:lang w:eastAsia="en-IE"/>
        </w:rPr>
        <w:t xml:space="preserve"> Drawing o</w:t>
      </w:r>
      <w:r w:rsidR="00F11AAE">
        <w:rPr>
          <w:rFonts w:cstheme="minorBidi"/>
          <w:color w:val="000000" w:themeColor="text1"/>
          <w:lang w:eastAsia="en-IE"/>
        </w:rPr>
        <w:t>n</w:t>
      </w:r>
      <w:r w:rsidRPr="11C55A92">
        <w:rPr>
          <w:rFonts w:cstheme="minorBidi"/>
          <w:color w:val="000000" w:themeColor="text1"/>
          <w:lang w:eastAsia="en-IE"/>
        </w:rPr>
        <w:t xml:space="preserve"> the principles of quality service provision, there has been an increasing realisation that supports should not solely follow the needs that are perceived to follow particular age-related challenges but should also take strong account of the desires of the older persons themselves. In considering how services might best respond to those needs and desires, it became clear that changes were required across services but that these were being challenged by other factors, not least funding. </w:t>
      </w:r>
    </w:p>
    <w:p w14:paraId="5EBD26A6" w14:textId="77777777" w:rsidR="00A86140" w:rsidRPr="00C00CA8" w:rsidRDefault="00A86140" w:rsidP="001A2B40">
      <w:pPr>
        <w:pStyle w:val="Heading2"/>
      </w:pPr>
      <w:bookmarkStart w:id="239" w:name="_Toc117628774"/>
      <w:bookmarkStart w:id="240" w:name="_Toc118555215"/>
      <w:bookmarkStart w:id="241" w:name="_Toc118558300"/>
      <w:bookmarkStart w:id="242" w:name="_Toc118558373"/>
      <w:bookmarkStart w:id="243" w:name="_Toc121830630"/>
      <w:r w:rsidRPr="00C00CA8">
        <w:t xml:space="preserve">The </w:t>
      </w:r>
      <w:r>
        <w:t>s</w:t>
      </w:r>
      <w:r w:rsidRPr="00C00CA8">
        <w:t xml:space="preserve">ervice </w:t>
      </w:r>
      <w:r>
        <w:t>e</w:t>
      </w:r>
      <w:r w:rsidRPr="00C00CA8">
        <w:t>nvironment</w:t>
      </w:r>
      <w:bookmarkEnd w:id="239"/>
      <w:bookmarkEnd w:id="240"/>
      <w:bookmarkEnd w:id="241"/>
      <w:bookmarkEnd w:id="242"/>
      <w:bookmarkEnd w:id="243"/>
    </w:p>
    <w:p w14:paraId="1980A60B" w14:textId="22190420" w:rsidR="00A86140" w:rsidRPr="009E498C" w:rsidRDefault="00A86140" w:rsidP="00A86140">
      <w:r>
        <w:t>The service environment is particularly important when seeking to meet the changing needs of older people with intellectual disabilities,</w:t>
      </w:r>
      <w:r w:rsidR="00E50343">
        <w:t xml:space="preserve"> and needs to be modifiable </w:t>
      </w:r>
      <w:r>
        <w:t xml:space="preserve">in order to be able to </w:t>
      </w:r>
      <w:r w:rsidR="00E50343">
        <w:t xml:space="preserve">adequately </w:t>
      </w:r>
      <w:r>
        <w:t>support</w:t>
      </w:r>
      <w:r w:rsidR="00E50343">
        <w:t xml:space="preserve"> the individual needs of the older person</w:t>
      </w:r>
      <w:r w:rsidRPr="00375D07">
        <w:rPr>
          <w:szCs w:val="26"/>
        </w:rPr>
        <w:t>.</w:t>
      </w:r>
      <w:r>
        <w:t xml:space="preserve"> This raises questions regarding the potential for reasonable modifications </w:t>
      </w:r>
      <w:r w:rsidR="005376DC">
        <w:t xml:space="preserve">or retrofitting </w:t>
      </w:r>
      <w:r>
        <w:t>to be carried out:</w:t>
      </w:r>
    </w:p>
    <w:p w14:paraId="776EB182" w14:textId="77777777" w:rsidR="00A86140" w:rsidRPr="009E498C" w:rsidRDefault="00A86140" w:rsidP="00A86140">
      <w:pPr>
        <w:ind w:left="709"/>
        <w:rPr>
          <w:rFonts w:cstheme="minorHAnsi"/>
          <w:szCs w:val="26"/>
          <w:lang w:eastAsia="en-IE"/>
        </w:rPr>
      </w:pPr>
      <w:r w:rsidRPr="009E498C">
        <w:rPr>
          <w:rFonts w:cstheme="minorHAnsi"/>
          <w:i/>
          <w:szCs w:val="26"/>
          <w:lang w:eastAsia="en-IE"/>
        </w:rPr>
        <w:t xml:space="preserve">…there’s only so much you can do to certain houses, only so many hoists can be put in place. There’s only so many ramps can be put in place. </w:t>
      </w:r>
      <w:r w:rsidRPr="009E498C">
        <w:rPr>
          <w:rFonts w:cstheme="minorHAnsi"/>
          <w:szCs w:val="26"/>
          <w:lang w:eastAsia="en-IE"/>
        </w:rPr>
        <w:t>(Anne, M, SS)</w:t>
      </w:r>
    </w:p>
    <w:p w14:paraId="6C9CCD4C" w14:textId="77777777" w:rsidR="00A86140" w:rsidRPr="009E498C" w:rsidRDefault="00A86140" w:rsidP="00A86140">
      <w:pPr>
        <w:rPr>
          <w:szCs w:val="26"/>
        </w:rPr>
      </w:pPr>
      <w:r w:rsidRPr="009E498C">
        <w:rPr>
          <w:szCs w:val="26"/>
        </w:rPr>
        <w:t>Thus, the pragmatic and financial realities of the service environment may be a determinant in where the older person may be accommodated. It is clear that, while ageing in place is the ‘gold standard’, it may not be achievable, and service may sometimes have to be provided in a non-optimal environment. Whilst it was previously noted that many participants considered nursing homes to not be the location of choice, it was noted that some of the facilities offered by such homes may need to be provided in specialist age-related locations in intellectual disability services:</w:t>
      </w:r>
    </w:p>
    <w:p w14:paraId="567CCD3A" w14:textId="77777777" w:rsidR="00A86140" w:rsidRPr="009E498C" w:rsidRDefault="00A86140" w:rsidP="00A86140">
      <w:pPr>
        <w:ind w:left="709"/>
        <w:rPr>
          <w:rFonts w:cstheme="minorHAnsi"/>
          <w:szCs w:val="26"/>
          <w:lang w:eastAsia="en-IE"/>
        </w:rPr>
      </w:pPr>
      <w:r w:rsidRPr="009E498C">
        <w:rPr>
          <w:rFonts w:cstheme="minorHAnsi"/>
          <w:i/>
          <w:szCs w:val="26"/>
          <w:lang w:eastAsia="en-IE"/>
        </w:rPr>
        <w:t>…because of the level of equipment people require when they suffer from dementia in the long term and the requirement to have such a significant amount of equipment and resources in their environment.</w:t>
      </w:r>
      <w:r w:rsidRPr="009E498C">
        <w:rPr>
          <w:rFonts w:cstheme="minorHAnsi"/>
          <w:szCs w:val="26"/>
          <w:lang w:eastAsia="en-IE"/>
        </w:rPr>
        <w:t xml:space="preserve"> (Anne, M, SS)</w:t>
      </w:r>
    </w:p>
    <w:p w14:paraId="0CDA0436" w14:textId="77777777" w:rsidR="00A86140" w:rsidRPr="009A682F" w:rsidRDefault="00A86140" w:rsidP="00A86140">
      <w:pPr>
        <w:ind w:left="709"/>
        <w:rPr>
          <w:rFonts w:cstheme="minorHAnsi"/>
          <w:szCs w:val="26"/>
          <w:lang w:eastAsia="en-IE"/>
        </w:rPr>
      </w:pPr>
      <w:r w:rsidRPr="009E498C">
        <w:rPr>
          <w:rFonts w:cs="Calibri"/>
          <w:i/>
          <w:color w:val="000000"/>
          <w:szCs w:val="26"/>
          <w:lang w:eastAsia="en-IE"/>
        </w:rPr>
        <w:t>…</w:t>
      </w:r>
      <w:r w:rsidRPr="009A682F">
        <w:rPr>
          <w:rFonts w:cs="Calibri"/>
          <w:i/>
          <w:color w:val="000000"/>
          <w:szCs w:val="26"/>
          <w:lang w:eastAsia="en-IE"/>
        </w:rPr>
        <w:t>one of the houses has a hoist</w:t>
      </w:r>
      <w:r w:rsidRPr="009E498C">
        <w:rPr>
          <w:rFonts w:cs="Calibri"/>
          <w:i/>
          <w:color w:val="000000"/>
          <w:szCs w:val="26"/>
          <w:lang w:eastAsia="en-IE"/>
        </w:rPr>
        <w:t>…</w:t>
      </w:r>
      <w:r w:rsidRPr="009A682F">
        <w:rPr>
          <w:rFonts w:cs="Calibri"/>
          <w:i/>
          <w:color w:val="000000"/>
          <w:szCs w:val="26"/>
          <w:lang w:eastAsia="en-IE"/>
        </w:rPr>
        <w:t>that’s taking up space. A bedroom might have different chairs, there’s a comfy chair, there’s a wheelchair. There’s the oxygen concentrator, requires oxygen. She would’ve been on sub</w:t>
      </w:r>
      <w:r>
        <w:rPr>
          <w:rFonts w:cs="Calibri"/>
          <w:i/>
          <w:color w:val="000000"/>
          <w:szCs w:val="26"/>
          <w:lang w:eastAsia="en-IE"/>
        </w:rPr>
        <w:t>-</w:t>
      </w:r>
      <w:r w:rsidRPr="009A682F">
        <w:rPr>
          <w:rFonts w:cs="Calibri"/>
          <w:i/>
          <w:color w:val="000000"/>
          <w:szCs w:val="26"/>
          <w:lang w:eastAsia="en-IE"/>
        </w:rPr>
        <w:t>cut fluids. So that would, it would’ve been I suppose an apparatus that you’d put that hanging off</w:t>
      </w:r>
      <w:r w:rsidRPr="009E498C">
        <w:rPr>
          <w:rFonts w:cs="Calibri"/>
          <w:i/>
          <w:color w:val="000000"/>
          <w:szCs w:val="26"/>
          <w:lang w:eastAsia="en-IE"/>
        </w:rPr>
        <w:t>…</w:t>
      </w:r>
      <w:r w:rsidRPr="009A682F">
        <w:rPr>
          <w:rFonts w:cs="Calibri"/>
          <w:i/>
          <w:color w:val="000000"/>
          <w:szCs w:val="26"/>
          <w:lang w:eastAsia="en-IE"/>
        </w:rPr>
        <w:t>it really was nearly like the acute setting in one of the rooms...</w:t>
      </w:r>
      <w:r w:rsidRPr="009E498C">
        <w:rPr>
          <w:rFonts w:cs="Calibri"/>
          <w:i/>
          <w:color w:val="000000"/>
          <w:szCs w:val="26"/>
          <w:lang w:eastAsia="en-IE"/>
        </w:rPr>
        <w:t>but</w:t>
      </w:r>
      <w:r w:rsidRPr="009A682F">
        <w:rPr>
          <w:rFonts w:cs="Calibri"/>
          <w:i/>
          <w:color w:val="000000"/>
          <w:szCs w:val="26"/>
          <w:lang w:eastAsia="en-IE"/>
        </w:rPr>
        <w:t xml:space="preserve"> the storage is a huge issue, huge, huge issue. </w:t>
      </w:r>
      <w:r w:rsidRPr="009A682F">
        <w:rPr>
          <w:rFonts w:cs="Calibri"/>
          <w:color w:val="000000"/>
          <w:szCs w:val="26"/>
          <w:lang w:eastAsia="en-IE"/>
        </w:rPr>
        <w:t>(</w:t>
      </w:r>
      <w:r w:rsidRPr="009A682F">
        <w:rPr>
          <w:rFonts w:cs="Calibri"/>
          <w:szCs w:val="26"/>
          <w:lang w:eastAsia="en-IE"/>
        </w:rPr>
        <w:t>Ann, D, SS</w:t>
      </w:r>
      <w:r w:rsidRPr="009A682F">
        <w:rPr>
          <w:rFonts w:cs="Calibri"/>
          <w:color w:val="000000"/>
          <w:szCs w:val="26"/>
          <w:lang w:eastAsia="en-IE"/>
        </w:rPr>
        <w:t>)</w:t>
      </w:r>
      <w:r w:rsidRPr="009A682F">
        <w:rPr>
          <w:rFonts w:ascii="Arial" w:hAnsi="Arial" w:cs="Arial"/>
          <w:color w:val="000000"/>
          <w:szCs w:val="26"/>
          <w:lang w:eastAsia="en-IE"/>
        </w:rPr>
        <w:t> </w:t>
      </w:r>
      <w:r w:rsidRPr="009A682F">
        <w:rPr>
          <w:rFonts w:cs="Calibri"/>
          <w:color w:val="000000"/>
          <w:szCs w:val="26"/>
          <w:lang w:eastAsia="en-IE"/>
        </w:rPr>
        <w:t> </w:t>
      </w:r>
    </w:p>
    <w:p w14:paraId="22E052CD" w14:textId="77777777" w:rsidR="00A86140" w:rsidRPr="009E498C" w:rsidRDefault="00A86140" w:rsidP="00A86140">
      <w:pPr>
        <w:rPr>
          <w:rFonts w:cstheme="minorHAnsi"/>
          <w:szCs w:val="26"/>
          <w:lang w:eastAsia="en-IE"/>
        </w:rPr>
      </w:pPr>
      <w:r w:rsidRPr="009E498C">
        <w:rPr>
          <w:rFonts w:cstheme="minorHAnsi"/>
          <w:szCs w:val="26"/>
          <w:lang w:eastAsia="en-IE"/>
        </w:rPr>
        <w:t>It was noted that such specialist facilities may be particularly difficult to facilitate in the community, and that space needs may be a particular problem:</w:t>
      </w:r>
    </w:p>
    <w:p w14:paraId="12D54B62" w14:textId="77777777" w:rsidR="00A86140" w:rsidRPr="009E498C" w:rsidRDefault="00A86140" w:rsidP="00A86140">
      <w:pPr>
        <w:ind w:left="709"/>
        <w:rPr>
          <w:rFonts w:cstheme="minorHAnsi"/>
          <w:szCs w:val="26"/>
          <w:lang w:eastAsia="en-IE"/>
        </w:rPr>
      </w:pPr>
      <w:r w:rsidRPr="009E498C">
        <w:rPr>
          <w:rFonts w:cstheme="minorHAnsi"/>
          <w:i/>
          <w:szCs w:val="26"/>
          <w:lang w:eastAsia="en-IE"/>
        </w:rPr>
        <w:t>…you need to have a big location because…there’s a lot of equipment and a lot of maybe storage space needed in terms of incontinence wear and all that…There also needs to be pockets of the private space within the house because you know obviously everyone always needs their own personal space.</w:t>
      </w:r>
      <w:r w:rsidRPr="009E498C">
        <w:rPr>
          <w:rFonts w:cstheme="minorHAnsi"/>
          <w:szCs w:val="26"/>
          <w:lang w:eastAsia="en-IE"/>
        </w:rPr>
        <w:t xml:space="preserve"> (Claire, M, GS)</w:t>
      </w:r>
    </w:p>
    <w:p w14:paraId="1BB997F7" w14:textId="77777777" w:rsidR="00A86140" w:rsidRPr="009E498C" w:rsidRDefault="00A86140" w:rsidP="00A86140">
      <w:pPr>
        <w:ind w:left="709"/>
        <w:rPr>
          <w:rFonts w:cstheme="minorHAnsi"/>
          <w:szCs w:val="26"/>
          <w:lang w:eastAsia="en-IE"/>
        </w:rPr>
      </w:pPr>
      <w:r w:rsidRPr="009E498C">
        <w:rPr>
          <w:rFonts w:cstheme="minorHAnsi"/>
          <w:i/>
          <w:szCs w:val="26"/>
          <w:lang w:eastAsia="en-IE"/>
        </w:rPr>
        <w:t>…most of our community houses don’t lend themselves to having this structural environment in place to support somebody to age in place when they get to a particular stage whether it's dementia up to mid-stage and late stage.</w:t>
      </w:r>
      <w:r w:rsidRPr="009E498C">
        <w:rPr>
          <w:rFonts w:cstheme="minorHAnsi"/>
          <w:szCs w:val="26"/>
          <w:lang w:eastAsia="en-IE"/>
        </w:rPr>
        <w:t xml:space="preserve"> (Anne, M, SS)</w:t>
      </w:r>
    </w:p>
    <w:p w14:paraId="3A079C66" w14:textId="77777777" w:rsidR="00A86140" w:rsidRPr="009E498C" w:rsidRDefault="00A86140" w:rsidP="00A86140">
      <w:pPr>
        <w:rPr>
          <w:rFonts w:cstheme="minorHAnsi"/>
          <w:szCs w:val="26"/>
          <w:lang w:eastAsia="en-IE"/>
        </w:rPr>
      </w:pPr>
      <w:r w:rsidRPr="009E498C">
        <w:rPr>
          <w:rFonts w:cstheme="minorHAnsi"/>
          <w:szCs w:val="26"/>
          <w:lang w:eastAsia="en-IE"/>
        </w:rPr>
        <w:t>Another dilemma is whether to set up such specialist services and move people out of social and home settings that they are familiar with:</w:t>
      </w:r>
    </w:p>
    <w:p w14:paraId="5107BB56" w14:textId="77777777" w:rsidR="00A86140" w:rsidRPr="009E498C" w:rsidRDefault="00A86140" w:rsidP="00A86140">
      <w:pPr>
        <w:ind w:left="709"/>
        <w:rPr>
          <w:rFonts w:cstheme="minorHAnsi"/>
          <w:szCs w:val="26"/>
          <w:lang w:eastAsia="en-IE"/>
        </w:rPr>
      </w:pPr>
      <w:r w:rsidRPr="009E498C">
        <w:rPr>
          <w:rFonts w:cstheme="minorHAnsi"/>
          <w:i/>
          <w:szCs w:val="26"/>
          <w:lang w:eastAsia="en-IE"/>
        </w:rPr>
        <w:t>…do we open another dementia specific location, or do we try to support people to age in place for the last twenty years with the people they have been growing old with? It's trying to find that balance.</w:t>
      </w:r>
      <w:r w:rsidRPr="009E498C">
        <w:rPr>
          <w:rFonts w:cstheme="minorHAnsi"/>
          <w:szCs w:val="26"/>
          <w:lang w:eastAsia="en-IE"/>
        </w:rPr>
        <w:t xml:space="preserve"> (Jane, M, SS)</w:t>
      </w:r>
    </w:p>
    <w:p w14:paraId="30AABA9E" w14:textId="77777777" w:rsidR="00A86140" w:rsidRPr="009E498C" w:rsidRDefault="00A86140" w:rsidP="00A86140">
      <w:pPr>
        <w:ind w:left="709"/>
        <w:rPr>
          <w:rFonts w:cstheme="minorHAnsi"/>
          <w:szCs w:val="26"/>
          <w:lang w:eastAsia="en-IE"/>
        </w:rPr>
      </w:pPr>
      <w:r w:rsidRPr="009E498C">
        <w:rPr>
          <w:rFonts w:cstheme="minorHAnsi"/>
          <w:i/>
          <w:szCs w:val="26"/>
          <w:lang w:eastAsia="en-IE"/>
        </w:rPr>
        <w:t>…you are trying to ascertain where the person’s needs are best met in the home or in a specialist unit, which are the predominant needs, is it the physical needs or the social and psychological needs and the need to be in the community and to be with their friends and family.</w:t>
      </w:r>
      <w:r w:rsidRPr="009E498C">
        <w:rPr>
          <w:rFonts w:cstheme="minorHAnsi"/>
          <w:szCs w:val="26"/>
          <w:lang w:eastAsia="en-IE"/>
        </w:rPr>
        <w:t xml:space="preserve"> (Anne, M, SS)</w:t>
      </w:r>
    </w:p>
    <w:p w14:paraId="20C61A37" w14:textId="77777777" w:rsidR="00A86140" w:rsidRPr="009E498C" w:rsidRDefault="00A86140" w:rsidP="00A86140">
      <w:pPr>
        <w:rPr>
          <w:rFonts w:cstheme="minorHAnsi"/>
          <w:szCs w:val="26"/>
          <w:lang w:eastAsia="en-IE"/>
        </w:rPr>
      </w:pPr>
      <w:r w:rsidRPr="009E498C">
        <w:rPr>
          <w:rFonts w:cstheme="minorHAnsi"/>
          <w:szCs w:val="26"/>
          <w:lang w:eastAsia="en-IE"/>
        </w:rPr>
        <w:t>It was noted that the service environment needs go beyond specialist age-related facilities and requires spaces for other things, such as activities and relaxation (multisensory). The challenge for facilitating this in the community is sometimes compounded by the fact that services may not actually own the community houses, but rather have them on lease from landlords who, understandably, may be reluctant to have significant structural changes made:</w:t>
      </w:r>
    </w:p>
    <w:p w14:paraId="6AE86926" w14:textId="77777777" w:rsidR="00A86140" w:rsidRPr="009E498C" w:rsidRDefault="00A86140" w:rsidP="00A86140">
      <w:pPr>
        <w:ind w:left="709"/>
        <w:rPr>
          <w:i/>
          <w:szCs w:val="26"/>
          <w:lang w:eastAsia="en-IE"/>
        </w:rPr>
      </w:pPr>
      <w:r w:rsidRPr="009E498C">
        <w:rPr>
          <w:i/>
          <w:szCs w:val="26"/>
          <w:lang w:eastAsia="en-IE"/>
        </w:rPr>
        <w:t>…we have a good few rental properties</w:t>
      </w:r>
      <w:r>
        <w:rPr>
          <w:i/>
          <w:szCs w:val="26"/>
          <w:lang w:eastAsia="en-IE"/>
        </w:rPr>
        <w:t>,</w:t>
      </w:r>
      <w:r w:rsidRPr="009E498C">
        <w:rPr>
          <w:i/>
          <w:szCs w:val="26"/>
          <w:lang w:eastAsia="en-IE"/>
        </w:rPr>
        <w:t xml:space="preserve"> and there may be resistance from a landlord to do adaptations. And so we can find ourselves, even though we have a contract, we have maybe a</w:t>
      </w:r>
      <w:r w:rsidRPr="009E498C">
        <w:rPr>
          <w:szCs w:val="26"/>
          <w:lang w:eastAsia="en-IE"/>
        </w:rPr>
        <w:t>…[20 year]…</w:t>
      </w:r>
      <w:r w:rsidRPr="009E498C">
        <w:rPr>
          <w:i/>
          <w:szCs w:val="26"/>
          <w:lang w:eastAsia="en-IE"/>
        </w:rPr>
        <w:t xml:space="preserve">lease. </w:t>
      </w:r>
      <w:r w:rsidRPr="009E498C">
        <w:rPr>
          <w:szCs w:val="26"/>
          <w:lang w:eastAsia="en-IE"/>
        </w:rPr>
        <w:t>(Mary, M, SS)</w:t>
      </w:r>
    </w:p>
    <w:p w14:paraId="7116C758" w14:textId="77777777" w:rsidR="00A86140" w:rsidRPr="009E498C" w:rsidRDefault="00A86140" w:rsidP="00A86140">
      <w:pPr>
        <w:rPr>
          <w:szCs w:val="26"/>
        </w:rPr>
      </w:pPr>
      <w:r w:rsidRPr="009E498C">
        <w:rPr>
          <w:szCs w:val="26"/>
        </w:rPr>
        <w:t>This participant further explained that pressurising the landlord for such changes could lead to the lease being broken and this would affect all of the people living there. So, there is clearly a balance to be achieved in managing care in a space that has environmental limitations and social consequences:</w:t>
      </w:r>
    </w:p>
    <w:p w14:paraId="11EA7495" w14:textId="77777777" w:rsidR="00A86140" w:rsidRPr="009E498C" w:rsidRDefault="00A86140" w:rsidP="00A86140">
      <w:pPr>
        <w:ind w:left="709"/>
        <w:rPr>
          <w:rFonts w:cstheme="minorBidi"/>
          <w:lang w:eastAsia="en-IE"/>
        </w:rPr>
      </w:pPr>
      <w:r w:rsidRPr="0CBB72E0">
        <w:rPr>
          <w:rFonts w:cstheme="minorBidi"/>
          <w:i/>
          <w:lang w:eastAsia="en-IE"/>
        </w:rPr>
        <w:t>…trying to provide for somebody who needs medical support, and you know, a huge amount of equipment, a huge amount of hoisting, all tha</w:t>
      </w:r>
      <w:r>
        <w:rPr>
          <w:rFonts w:cstheme="minorBidi"/>
          <w:i/>
          <w:lang w:eastAsia="en-IE"/>
        </w:rPr>
        <w:t>t…i</w:t>
      </w:r>
      <w:r w:rsidRPr="0CBB72E0">
        <w:rPr>
          <w:rFonts w:cstheme="minorBidi"/>
          <w:i/>
          <w:lang w:eastAsia="en-IE"/>
        </w:rPr>
        <w:t xml:space="preserve">t’s that extra into a house and the impact it has on all the residents in the house. </w:t>
      </w:r>
      <w:r w:rsidRPr="0CBB72E0">
        <w:rPr>
          <w:rFonts w:cstheme="minorBidi"/>
          <w:lang w:eastAsia="en-IE"/>
        </w:rPr>
        <w:t>(Elizabeth, M, GS)</w:t>
      </w:r>
    </w:p>
    <w:p w14:paraId="6A87241C" w14:textId="60CC5044" w:rsidR="00A86140" w:rsidRPr="009E498C" w:rsidRDefault="00A86140" w:rsidP="00A86140">
      <w:pPr>
        <w:rPr>
          <w:rFonts w:cs="Segoe UI"/>
          <w:lang w:eastAsia="en-IE"/>
        </w:rPr>
      </w:pPr>
      <w:r w:rsidRPr="0C29FD1E">
        <w:t xml:space="preserve">Attempts to </w:t>
      </w:r>
      <w:r>
        <w:t>source</w:t>
      </w:r>
      <w:r w:rsidRPr="0C29FD1E">
        <w:t xml:space="preserve"> more suitable accommodation </w:t>
      </w:r>
      <w:r w:rsidRPr="0C29FD1E">
        <w:rPr>
          <w:rFonts w:cs="Calibri"/>
          <w:lang w:eastAsia="en-IE"/>
        </w:rPr>
        <w:t>in both urban and rural areas, either to rent or to purchase, was identified as a key issue with housing, in general, described as being in very short supply. Services find that they are competing in the open market for housing and may have the increased expense of adapting properties to be suitable for their needs and compliant with the prevailing regulations:</w:t>
      </w:r>
      <w:r w:rsidR="00991E69">
        <w:rPr>
          <w:rFonts w:ascii="Arial" w:hAnsi="Arial" w:cs="Arial"/>
          <w:lang w:eastAsia="en-IE"/>
        </w:rPr>
        <w:t xml:space="preserve"> </w:t>
      </w:r>
    </w:p>
    <w:p w14:paraId="5D8137E9" w14:textId="77777777" w:rsidR="00A86140" w:rsidRPr="0096598E" w:rsidRDefault="00A86140" w:rsidP="00A86140">
      <w:pPr>
        <w:ind w:left="709"/>
        <w:rPr>
          <w:rFonts w:cs="Segoe UI"/>
          <w:szCs w:val="26"/>
          <w:lang w:eastAsia="en-IE"/>
        </w:rPr>
      </w:pPr>
      <w:r w:rsidRPr="00DE6726">
        <w:rPr>
          <w:rFonts w:cs="Calibri"/>
          <w:i/>
          <w:szCs w:val="26"/>
          <w:lang w:eastAsia="en-IE"/>
        </w:rPr>
        <w:t>We are looking for the last ten years for another house, or a site and we can’t get one.</w:t>
      </w:r>
      <w:r w:rsidRPr="009E498C">
        <w:rPr>
          <w:rFonts w:cs="Calibri"/>
          <w:i/>
          <w:szCs w:val="26"/>
          <w:lang w:eastAsia="en-IE"/>
        </w:rPr>
        <w:t> We</w:t>
      </w:r>
      <w:r w:rsidRPr="00DE6726">
        <w:rPr>
          <w:rFonts w:cs="Calibri"/>
          <w:i/>
          <w:szCs w:val="26"/>
          <w:lang w:eastAsia="en-IE"/>
        </w:rPr>
        <w:t xml:space="preserve"> are in a high tourist area</w:t>
      </w:r>
      <w:r w:rsidRPr="009E498C">
        <w:rPr>
          <w:rFonts w:cs="Calibri"/>
          <w:i/>
          <w:szCs w:val="26"/>
          <w:lang w:eastAsia="en-IE"/>
        </w:rPr>
        <w:t>…</w:t>
      </w:r>
      <w:r w:rsidRPr="00DE6726">
        <w:rPr>
          <w:rFonts w:cs="Calibri"/>
          <w:i/>
          <w:szCs w:val="26"/>
          <w:lang w:eastAsia="en-IE"/>
        </w:rPr>
        <w:t>there was one house on the market there</w:t>
      </w:r>
      <w:r w:rsidRPr="009E498C">
        <w:rPr>
          <w:rFonts w:cs="Calibri"/>
          <w:i/>
          <w:szCs w:val="26"/>
          <w:lang w:eastAsia="en-IE"/>
        </w:rPr>
        <w:t>.</w:t>
      </w:r>
      <w:r w:rsidRPr="00DE6726">
        <w:rPr>
          <w:rFonts w:cs="Calibri"/>
          <w:i/>
          <w:szCs w:val="26"/>
          <w:lang w:eastAsia="en-IE"/>
        </w:rPr>
        <w:t xml:space="preserve"> </w:t>
      </w:r>
      <w:r w:rsidRPr="009E498C">
        <w:rPr>
          <w:rFonts w:cs="Calibri"/>
          <w:i/>
          <w:szCs w:val="26"/>
          <w:lang w:eastAsia="en-IE"/>
        </w:rPr>
        <w:t>W</w:t>
      </w:r>
      <w:r w:rsidRPr="00DE6726">
        <w:rPr>
          <w:rFonts w:cs="Calibri"/>
          <w:i/>
          <w:szCs w:val="26"/>
          <w:lang w:eastAsia="en-IE"/>
        </w:rPr>
        <w:t>e were outbid but it was like maybe three hundred and fifty thousand</w:t>
      </w:r>
      <w:r w:rsidRPr="009E498C">
        <w:rPr>
          <w:rFonts w:cs="Calibri"/>
          <w:i/>
          <w:szCs w:val="26"/>
          <w:lang w:eastAsia="en-IE"/>
        </w:rPr>
        <w:t>…</w:t>
      </w:r>
      <w:r w:rsidRPr="00DE6726">
        <w:rPr>
          <w:rFonts w:cs="Calibri"/>
          <w:i/>
          <w:szCs w:val="26"/>
          <w:lang w:eastAsia="en-IE"/>
        </w:rPr>
        <w:t>we would need another three hundred and fifty thousand to make it, to comply with regulations you know.</w:t>
      </w:r>
      <w:r w:rsidRPr="009E498C">
        <w:rPr>
          <w:rFonts w:cs="Calibri"/>
          <w:szCs w:val="26"/>
          <w:lang w:eastAsia="en-IE"/>
        </w:rPr>
        <w:t xml:space="preserve"> (Ann, D, SS)</w:t>
      </w:r>
    </w:p>
    <w:p w14:paraId="414ADB82" w14:textId="4B0E5B33" w:rsidR="00A86140" w:rsidRPr="009B6452" w:rsidRDefault="00A86140" w:rsidP="00A86140">
      <w:pPr>
        <w:textAlignment w:val="baseline"/>
        <w:rPr>
          <w:rFonts w:cs="Segoe UI"/>
          <w:lang w:eastAsia="en-IE"/>
        </w:rPr>
      </w:pPr>
      <w:r w:rsidRPr="009B6452">
        <w:rPr>
          <w:rFonts w:cs="Calibri"/>
          <w:lang w:eastAsia="en-IE"/>
        </w:rPr>
        <w:t>Lack of availability may have stymied the expansion of services’ housing stock in recent years; however, participants also implicated the competitive funding model as a reason why services may be unable to open new houses. It was suggested that the funding model favoured private sector providers who are using investment funding to open houses for people with intellectual disabilit</w:t>
      </w:r>
      <w:r w:rsidR="00C85736">
        <w:rPr>
          <w:rFonts w:cs="Calibri"/>
          <w:lang w:eastAsia="en-IE"/>
        </w:rPr>
        <w:t>ies</w:t>
      </w:r>
      <w:r w:rsidRPr="009B6452">
        <w:rPr>
          <w:rFonts w:cs="Calibri"/>
          <w:lang w:eastAsia="en-IE"/>
        </w:rPr>
        <w:t>. However, a participant noted</w:t>
      </w:r>
      <w:r>
        <w:rPr>
          <w:rFonts w:cs="Calibri"/>
          <w:lang w:eastAsia="en-IE"/>
        </w:rPr>
        <w:t xml:space="preserve"> that</w:t>
      </w:r>
      <w:r w:rsidRPr="009B6452">
        <w:rPr>
          <w:rFonts w:cs="Calibri"/>
          <w:lang w:eastAsia="en-IE"/>
        </w:rPr>
        <w:t xml:space="preserve"> providing accommodation alone may not meet the service needs of an individual</w:t>
      </w:r>
      <w:r>
        <w:rPr>
          <w:rFonts w:ascii="Arial" w:hAnsi="Arial" w:cs="Arial"/>
          <w:lang w:eastAsia="en-IE"/>
        </w:rPr>
        <w:t>:</w:t>
      </w:r>
    </w:p>
    <w:p w14:paraId="6FD3D959" w14:textId="3DD7C16A" w:rsidR="00A86140" w:rsidRPr="009B6452" w:rsidRDefault="00A86140" w:rsidP="00A86140">
      <w:pPr>
        <w:ind w:left="720"/>
        <w:textAlignment w:val="baseline"/>
        <w:rPr>
          <w:rFonts w:cs="Segoe UI"/>
          <w:lang w:eastAsia="en-IE"/>
        </w:rPr>
      </w:pPr>
      <w:r>
        <w:rPr>
          <w:rFonts w:cs="Calibri"/>
          <w:i/>
          <w:lang w:val="en-GB" w:eastAsia="en-IE"/>
        </w:rPr>
        <w:t>…</w:t>
      </w:r>
      <w:r w:rsidRPr="009B6452">
        <w:rPr>
          <w:rFonts w:cs="Calibri"/>
          <w:i/>
          <w:lang w:val="en-GB" w:eastAsia="en-IE"/>
        </w:rPr>
        <w:t>when a person gets into crisis no matter what age or cannot live at home any longer or needs a very specific type of service that we don’t provide they are being referred back to the HSE and whoever tenders for the funding gets it.</w:t>
      </w:r>
      <w:r w:rsidR="00991E69">
        <w:rPr>
          <w:rFonts w:ascii="Arial" w:hAnsi="Arial" w:cs="Arial"/>
          <w:i/>
          <w:iCs/>
          <w:lang w:val="en-GB" w:eastAsia="en-IE"/>
        </w:rPr>
        <w:t xml:space="preserve"> </w:t>
      </w:r>
      <w:r w:rsidRPr="009B6452">
        <w:rPr>
          <w:rFonts w:cs="Calibri"/>
          <w:i/>
          <w:lang w:val="en-GB" w:eastAsia="en-IE"/>
        </w:rPr>
        <w:t>So, it's usually some of the new service providers which are private organisations with big funding behind them.</w:t>
      </w:r>
      <w:r w:rsidR="00991E69">
        <w:rPr>
          <w:rFonts w:ascii="Arial" w:hAnsi="Arial" w:cs="Arial"/>
          <w:i/>
          <w:iCs/>
          <w:lang w:val="en-GB" w:eastAsia="en-IE"/>
        </w:rPr>
        <w:t xml:space="preserve"> </w:t>
      </w:r>
      <w:r w:rsidRPr="009B6452">
        <w:rPr>
          <w:rFonts w:cs="Calibri"/>
          <w:i/>
          <w:lang w:val="en-GB" w:eastAsia="en-IE"/>
        </w:rPr>
        <w:t>They are purchasing houses and opening community houses which hopefully will be successful and work well, and hopefully the transitions, we</w:t>
      </w:r>
      <w:r w:rsidRPr="009B6452">
        <w:rPr>
          <w:rFonts w:cs="Gill Sans MT"/>
          <w:i/>
          <w:lang w:val="en-GB" w:eastAsia="en-IE"/>
        </w:rPr>
        <w:t>’</w:t>
      </w:r>
      <w:r w:rsidRPr="009B6452">
        <w:rPr>
          <w:rFonts w:cs="Calibri"/>
          <w:i/>
          <w:lang w:val="en-GB" w:eastAsia="en-IE"/>
        </w:rPr>
        <w:t>ve done a lot of work transitioning them but you just wonder where the future lies</w:t>
      </w:r>
      <w:r w:rsidRPr="009B6452">
        <w:rPr>
          <w:rFonts w:cs="Gill Sans MT"/>
          <w:i/>
          <w:lang w:val="en-GB" w:eastAsia="en-IE"/>
        </w:rPr>
        <w:t>…</w:t>
      </w:r>
      <w:r w:rsidRPr="009B6452">
        <w:rPr>
          <w:rFonts w:cs="Calibri"/>
          <w:i/>
          <w:lang w:val="en-GB" w:eastAsia="en-IE"/>
        </w:rPr>
        <w:t>But it seems that anyone who has needed housing in the recent past has had to go to a new service provider</w:t>
      </w:r>
      <w:r w:rsidRPr="009B6452">
        <w:rPr>
          <w:rFonts w:cs="Gill Sans MT"/>
          <w:i/>
          <w:lang w:val="en-GB" w:eastAsia="en-IE"/>
        </w:rPr>
        <w:t>…</w:t>
      </w:r>
      <w:r w:rsidRPr="009B6452">
        <w:rPr>
          <w:rFonts w:cs="Calibri"/>
          <w:i/>
          <w:lang w:val="en-GB" w:eastAsia="en-IE"/>
        </w:rPr>
        <w:t>but out of their local area, their family home, they</w:t>
      </w:r>
      <w:r w:rsidRPr="009B6452">
        <w:rPr>
          <w:rFonts w:cs="Gill Sans MT"/>
          <w:i/>
          <w:lang w:val="en-GB" w:eastAsia="en-IE"/>
        </w:rPr>
        <w:t>’</w:t>
      </w:r>
      <w:r w:rsidRPr="009B6452">
        <w:rPr>
          <w:rFonts w:cs="Calibri"/>
          <w:i/>
          <w:lang w:val="en-GB" w:eastAsia="en-IE"/>
        </w:rPr>
        <w:t xml:space="preserve">ve already ended up in crisis and moved to our respite type services and then out of that be totally abandoned and moved to a whole new county and not get a service </w:t>
      </w:r>
      <w:r w:rsidRPr="009B6452">
        <w:tab/>
      </w:r>
      <w:r w:rsidRPr="009B6452">
        <w:rPr>
          <w:rFonts w:cs="Calibri"/>
          <w:i/>
          <w:lang w:val="en-GB" w:eastAsia="en-IE"/>
        </w:rPr>
        <w:t xml:space="preserve">let alone a day service from it. </w:t>
      </w:r>
      <w:r w:rsidRPr="009B6452">
        <w:rPr>
          <w:rFonts w:cs="Calibri"/>
          <w:lang w:val="en-GB" w:eastAsia="en-IE"/>
        </w:rPr>
        <w:t>(</w:t>
      </w:r>
      <w:r w:rsidRPr="00C0424F">
        <w:rPr>
          <w:rFonts w:cs="Calibri"/>
          <w:lang w:val="en-GB" w:eastAsia="en-IE"/>
        </w:rPr>
        <w:t>Geraldine, D, SS</w:t>
      </w:r>
      <w:r w:rsidRPr="009B6452">
        <w:rPr>
          <w:rFonts w:cs="Calibri"/>
          <w:lang w:val="en-GB" w:eastAsia="en-IE"/>
        </w:rPr>
        <w:t>)</w:t>
      </w:r>
      <w:r w:rsidR="00991E69">
        <w:rPr>
          <w:rFonts w:ascii="Arial" w:hAnsi="Arial" w:cs="Arial"/>
          <w:lang w:eastAsia="en-IE"/>
        </w:rPr>
        <w:t xml:space="preserve"> </w:t>
      </w:r>
    </w:p>
    <w:p w14:paraId="2D462458" w14:textId="77777777" w:rsidR="00A86140" w:rsidRPr="009E498C" w:rsidRDefault="00A86140" w:rsidP="00A86140">
      <w:pPr>
        <w:textAlignment w:val="baseline"/>
        <w:rPr>
          <w:rFonts w:cs="Calibri"/>
          <w:szCs w:val="26"/>
          <w:lang w:eastAsia="en-IE"/>
        </w:rPr>
      </w:pPr>
      <w:r w:rsidRPr="009E498C">
        <w:rPr>
          <w:rFonts w:cs="Calibri"/>
          <w:szCs w:val="26"/>
          <w:lang w:eastAsia="en-IE"/>
        </w:rPr>
        <w:t>The difficulties in getting modifiable accommodation ha</w:t>
      </w:r>
      <w:r>
        <w:rPr>
          <w:rFonts w:cs="Calibri"/>
          <w:szCs w:val="26"/>
          <w:lang w:eastAsia="en-IE"/>
        </w:rPr>
        <w:t>ve</w:t>
      </w:r>
      <w:r w:rsidRPr="009E498C">
        <w:rPr>
          <w:rFonts w:cs="Calibri"/>
          <w:szCs w:val="26"/>
          <w:lang w:eastAsia="en-IE"/>
        </w:rPr>
        <w:t xml:space="preserve"> also driven some services to sourcing houses in rural, rather than urban areas:</w:t>
      </w:r>
    </w:p>
    <w:p w14:paraId="76ED04EE" w14:textId="77777777" w:rsidR="00A86140" w:rsidRPr="00DE6726" w:rsidRDefault="00A86140" w:rsidP="00A86140">
      <w:pPr>
        <w:ind w:left="709"/>
        <w:textAlignment w:val="baseline"/>
        <w:rPr>
          <w:rFonts w:cs="Segoe UI"/>
          <w:szCs w:val="26"/>
          <w:lang w:eastAsia="en-IE"/>
        </w:rPr>
      </w:pPr>
      <w:r w:rsidRPr="009E498C">
        <w:rPr>
          <w:rStyle w:val="normaltextrun"/>
          <w:rFonts w:cs="Calibri"/>
          <w:i/>
          <w:color w:val="000000"/>
          <w:szCs w:val="26"/>
          <w:shd w:val="clear" w:color="auto" w:fill="FFFFFF"/>
        </w:rPr>
        <w:t>They would’ve, in the past bought houses in…estates and semi</w:t>
      </w:r>
      <w:r>
        <w:rPr>
          <w:rStyle w:val="normaltextrun"/>
          <w:rFonts w:cs="Calibri"/>
          <w:i/>
          <w:color w:val="000000"/>
          <w:szCs w:val="26"/>
          <w:shd w:val="clear" w:color="auto" w:fill="FFFFFF"/>
        </w:rPr>
        <w:t>-</w:t>
      </w:r>
      <w:r w:rsidRPr="009E498C">
        <w:rPr>
          <w:rStyle w:val="normaltextrun"/>
          <w:rFonts w:cs="Calibri"/>
          <w:i/>
          <w:color w:val="000000"/>
          <w:szCs w:val="26"/>
          <w:shd w:val="clear" w:color="auto" w:fill="FFFFFF"/>
        </w:rPr>
        <w:t>detached houses. But I think they’re thinking now a bit more in the future, trying to future-proof the houses, and going for bungalows a little bit more out in the country</w:t>
      </w:r>
      <w:r w:rsidRPr="009E498C">
        <w:rPr>
          <w:rStyle w:val="normaltextrun"/>
          <w:i/>
          <w:color w:val="000000"/>
          <w:szCs w:val="26"/>
          <w:shd w:val="clear" w:color="auto" w:fill="FFFFFF"/>
        </w:rPr>
        <w:t>.</w:t>
      </w:r>
      <w:r w:rsidRPr="009E498C">
        <w:rPr>
          <w:rStyle w:val="normaltextrun"/>
          <w:rFonts w:cs="Arial"/>
          <w:color w:val="000000"/>
          <w:szCs w:val="26"/>
          <w:shd w:val="clear" w:color="auto" w:fill="FFFFFF"/>
        </w:rPr>
        <w:t> </w:t>
      </w:r>
      <w:r w:rsidRPr="009E498C">
        <w:rPr>
          <w:rFonts w:cs="Calibri"/>
          <w:color w:val="000000" w:themeColor="text1"/>
          <w:szCs w:val="26"/>
          <w:lang w:eastAsia="en-IE"/>
        </w:rPr>
        <w:t>(Betty, D, SS)</w:t>
      </w:r>
    </w:p>
    <w:p w14:paraId="7DE30ACE" w14:textId="77777777" w:rsidR="00A86140" w:rsidRPr="00B0085A" w:rsidRDefault="00A86140" w:rsidP="00A86140">
      <w:pPr>
        <w:rPr>
          <w:rFonts w:eastAsiaTheme="minorHAnsi" w:cstheme="minorBidi"/>
          <w:szCs w:val="26"/>
        </w:rPr>
      </w:pPr>
      <w:r w:rsidRPr="009E498C">
        <w:rPr>
          <w:szCs w:val="26"/>
        </w:rPr>
        <w:t xml:space="preserve">The possible social effect of such a move was noted, </w:t>
      </w:r>
      <w:r w:rsidRPr="009E498C">
        <w:rPr>
          <w:rFonts w:cs="Calibri"/>
          <w:szCs w:val="26"/>
          <w:lang w:eastAsia="en-IE"/>
        </w:rPr>
        <w:t>with the potential for</w:t>
      </w:r>
      <w:r w:rsidRPr="00B0085A">
        <w:rPr>
          <w:rFonts w:cs="Calibri"/>
          <w:szCs w:val="26"/>
          <w:lang w:eastAsia="en-IE"/>
        </w:rPr>
        <w:t xml:space="preserve"> older people </w:t>
      </w:r>
      <w:r w:rsidRPr="009E498C">
        <w:rPr>
          <w:rFonts w:cs="Calibri"/>
          <w:szCs w:val="26"/>
          <w:lang w:eastAsia="en-IE"/>
        </w:rPr>
        <w:t xml:space="preserve">to </w:t>
      </w:r>
      <w:r w:rsidRPr="00B0085A">
        <w:rPr>
          <w:rFonts w:cs="Calibri"/>
          <w:szCs w:val="26"/>
          <w:lang w:eastAsia="en-IE"/>
        </w:rPr>
        <w:t>experience isolation and loss of independence.</w:t>
      </w:r>
      <w:r w:rsidRPr="00B0085A">
        <w:rPr>
          <w:rFonts w:ascii="Arial" w:hAnsi="Arial" w:cs="Arial"/>
          <w:szCs w:val="26"/>
          <w:lang w:eastAsia="en-IE"/>
        </w:rPr>
        <w:t> </w:t>
      </w:r>
      <w:r w:rsidRPr="00B0085A">
        <w:rPr>
          <w:rFonts w:cs="Calibri"/>
          <w:szCs w:val="26"/>
          <w:lang w:eastAsia="en-IE"/>
        </w:rPr>
        <w:t xml:space="preserve"> Such a move </w:t>
      </w:r>
      <w:r w:rsidRPr="009E498C">
        <w:rPr>
          <w:rFonts w:cs="Calibri"/>
          <w:szCs w:val="26"/>
          <w:lang w:eastAsia="en-IE"/>
        </w:rPr>
        <w:t>could</w:t>
      </w:r>
      <w:r w:rsidRPr="00B0085A">
        <w:rPr>
          <w:rFonts w:cs="Calibri"/>
          <w:szCs w:val="26"/>
          <w:lang w:eastAsia="en-IE"/>
        </w:rPr>
        <w:t xml:space="preserve"> </w:t>
      </w:r>
      <w:r w:rsidRPr="009E498C">
        <w:rPr>
          <w:rFonts w:cs="Calibri"/>
          <w:szCs w:val="26"/>
          <w:lang w:eastAsia="en-IE"/>
        </w:rPr>
        <w:t xml:space="preserve">also </w:t>
      </w:r>
      <w:r w:rsidRPr="00B0085A">
        <w:rPr>
          <w:rFonts w:cs="Calibri"/>
          <w:szCs w:val="26"/>
          <w:lang w:eastAsia="en-IE"/>
        </w:rPr>
        <w:t>have negative impacts on service users’ access to community resources and transport links</w:t>
      </w:r>
      <w:r w:rsidRPr="009E498C">
        <w:rPr>
          <w:rFonts w:cs="Calibri"/>
          <w:szCs w:val="26"/>
          <w:lang w:eastAsia="en-IE"/>
        </w:rPr>
        <w:t>:</w:t>
      </w:r>
    </w:p>
    <w:p w14:paraId="0A2273DB" w14:textId="77777777" w:rsidR="00A86140" w:rsidRPr="00B0085A" w:rsidRDefault="00A86140" w:rsidP="00A86140">
      <w:pPr>
        <w:ind w:left="720"/>
        <w:textAlignment w:val="baseline"/>
        <w:rPr>
          <w:rFonts w:cs="Segoe UI"/>
          <w:szCs w:val="26"/>
          <w:lang w:eastAsia="en-IE"/>
        </w:rPr>
      </w:pPr>
      <w:r w:rsidRPr="00B0085A">
        <w:rPr>
          <w:rFonts w:cs="Calibri"/>
          <w:i/>
          <w:color w:val="000000"/>
          <w:szCs w:val="26"/>
          <w:lang w:eastAsia="en-IE"/>
        </w:rPr>
        <w:t>They won’t be able to walk to the shops</w:t>
      </w:r>
      <w:r w:rsidRPr="009E498C">
        <w:rPr>
          <w:rFonts w:cs="Calibri"/>
          <w:i/>
          <w:color w:val="000000"/>
          <w:szCs w:val="26"/>
          <w:lang w:eastAsia="en-IE"/>
        </w:rPr>
        <w:t>…i</w:t>
      </w:r>
      <w:r w:rsidRPr="00B0085A">
        <w:rPr>
          <w:rFonts w:cs="Calibri"/>
          <w:i/>
          <w:color w:val="000000"/>
          <w:szCs w:val="26"/>
          <w:lang w:eastAsia="en-IE"/>
        </w:rPr>
        <w:t>t impacts on their independence and…you have to think about that as well…</w:t>
      </w:r>
      <w:r w:rsidRPr="009E498C">
        <w:rPr>
          <w:rFonts w:cs="Calibri"/>
          <w:i/>
          <w:color w:val="000000"/>
          <w:szCs w:val="26"/>
          <w:lang w:eastAsia="en-IE"/>
        </w:rPr>
        <w:t>a</w:t>
      </w:r>
      <w:r w:rsidRPr="00B0085A">
        <w:rPr>
          <w:rFonts w:cs="Calibri"/>
          <w:i/>
          <w:color w:val="000000"/>
          <w:szCs w:val="26"/>
          <w:lang w:eastAsia="en-IE"/>
        </w:rPr>
        <w:t>nd the isolation</w:t>
      </w:r>
      <w:r w:rsidRPr="009E498C">
        <w:rPr>
          <w:rFonts w:cs="Calibri"/>
          <w:i/>
          <w:color w:val="000000"/>
          <w:szCs w:val="26"/>
          <w:lang w:eastAsia="en-IE"/>
        </w:rPr>
        <w:t xml:space="preserve">. </w:t>
      </w:r>
      <w:r w:rsidRPr="00B0085A">
        <w:rPr>
          <w:rFonts w:cs="Calibri"/>
          <w:color w:val="000000"/>
          <w:szCs w:val="26"/>
          <w:lang w:eastAsia="en-IE"/>
        </w:rPr>
        <w:t>(</w:t>
      </w:r>
      <w:r w:rsidRPr="00B0085A">
        <w:rPr>
          <w:rFonts w:cs="Calibri"/>
          <w:szCs w:val="26"/>
          <w:lang w:eastAsia="en-IE"/>
        </w:rPr>
        <w:t>Betty, D, SS</w:t>
      </w:r>
      <w:r w:rsidRPr="00B0085A">
        <w:rPr>
          <w:rFonts w:cs="Calibri"/>
          <w:color w:val="000000"/>
          <w:szCs w:val="26"/>
          <w:lang w:eastAsia="en-IE"/>
        </w:rPr>
        <w:t>)</w:t>
      </w:r>
      <w:r w:rsidRPr="00B0085A">
        <w:rPr>
          <w:rFonts w:ascii="Arial" w:hAnsi="Arial" w:cs="Arial"/>
          <w:color w:val="000000"/>
          <w:szCs w:val="26"/>
          <w:lang w:eastAsia="en-IE"/>
        </w:rPr>
        <w:t> </w:t>
      </w:r>
      <w:r w:rsidRPr="00B0085A">
        <w:rPr>
          <w:rFonts w:cs="Calibri"/>
          <w:color w:val="000000"/>
          <w:szCs w:val="26"/>
          <w:lang w:eastAsia="en-IE"/>
        </w:rPr>
        <w:t> </w:t>
      </w:r>
    </w:p>
    <w:p w14:paraId="66C34524" w14:textId="7793684C" w:rsidR="00A86140" w:rsidRPr="009E498C" w:rsidRDefault="00A86140" w:rsidP="00A86140">
      <w:pPr>
        <w:rPr>
          <w:szCs w:val="26"/>
        </w:rPr>
      </w:pPr>
      <w:r w:rsidRPr="009E498C">
        <w:rPr>
          <w:szCs w:val="26"/>
        </w:rPr>
        <w:t>These challenges are often further complicated by a situation whereby an older person is being discharged from another location and a ‘bed’ needs to be found due to pressure from the discharging site:</w:t>
      </w:r>
    </w:p>
    <w:p w14:paraId="6C4052D6" w14:textId="77777777" w:rsidR="00A86140" w:rsidRPr="009E498C" w:rsidRDefault="00A86140" w:rsidP="00A86140">
      <w:pPr>
        <w:ind w:left="709"/>
        <w:rPr>
          <w:rFonts w:cstheme="minorHAnsi"/>
          <w:szCs w:val="26"/>
          <w:lang w:eastAsia="en-IE"/>
        </w:rPr>
      </w:pPr>
      <w:r w:rsidRPr="009E498C">
        <w:rPr>
          <w:rFonts w:cstheme="minorHAnsi"/>
          <w:i/>
          <w:szCs w:val="26"/>
          <w:lang w:eastAsia="en-IE"/>
        </w:rPr>
        <w:t>…hospitals when they are trying to discharge someone, they really don’t have an understanding at all, they see ‘oh well you have a vacant bed here so why can’t that person go there?’ But it's different when you are dealing with a person’s home rather than just oh here’s you know a bed.</w:t>
      </w:r>
      <w:r w:rsidRPr="009E498C">
        <w:rPr>
          <w:rFonts w:cstheme="minorHAnsi"/>
          <w:szCs w:val="26"/>
          <w:lang w:eastAsia="en-IE"/>
        </w:rPr>
        <w:t xml:space="preserve"> (Carol, M, GS)</w:t>
      </w:r>
    </w:p>
    <w:p w14:paraId="7AB6D6FF" w14:textId="77777777" w:rsidR="00A86140" w:rsidRPr="009E498C" w:rsidRDefault="00A86140" w:rsidP="00A86140">
      <w:pPr>
        <w:rPr>
          <w:rFonts w:cs="Segoe UI"/>
          <w:szCs w:val="26"/>
          <w:lang w:eastAsia="en-IE"/>
        </w:rPr>
      </w:pPr>
      <w:r w:rsidRPr="009E498C">
        <w:rPr>
          <w:rFonts w:cstheme="minorHAnsi"/>
          <w:szCs w:val="26"/>
          <w:lang w:eastAsia="en-IE"/>
        </w:rPr>
        <w:t xml:space="preserve">One participant noted that a </w:t>
      </w:r>
      <w:r w:rsidRPr="00603BAE">
        <w:rPr>
          <w:rFonts w:cs="Calibri"/>
          <w:szCs w:val="26"/>
          <w:lang w:eastAsia="en-IE"/>
        </w:rPr>
        <w:t xml:space="preserve">safeguarding </w:t>
      </w:r>
      <w:r w:rsidRPr="009E498C">
        <w:rPr>
          <w:rFonts w:cs="Calibri"/>
          <w:szCs w:val="26"/>
          <w:lang w:eastAsia="en-IE"/>
        </w:rPr>
        <w:t xml:space="preserve">issue might determine who moves into accommodation, </w:t>
      </w:r>
      <w:r w:rsidRPr="00603BAE">
        <w:rPr>
          <w:rFonts w:cs="Calibri"/>
          <w:szCs w:val="26"/>
          <w:lang w:eastAsia="en-IE"/>
        </w:rPr>
        <w:t>rather than choice or compatibility</w:t>
      </w:r>
      <w:r w:rsidRPr="009E498C">
        <w:rPr>
          <w:rFonts w:cs="Calibri"/>
          <w:szCs w:val="26"/>
          <w:lang w:eastAsia="en-IE"/>
        </w:rPr>
        <w:t>:</w:t>
      </w:r>
      <w:r w:rsidRPr="00603BAE">
        <w:rPr>
          <w:rFonts w:ascii="Arial" w:hAnsi="Arial" w:cs="Arial"/>
          <w:szCs w:val="26"/>
          <w:lang w:eastAsia="en-IE"/>
        </w:rPr>
        <w:t> </w:t>
      </w:r>
      <w:r w:rsidRPr="00603BAE">
        <w:rPr>
          <w:rFonts w:cs="Segoe UI"/>
          <w:szCs w:val="26"/>
          <w:lang w:eastAsia="en-IE"/>
        </w:rPr>
        <w:t> </w:t>
      </w:r>
    </w:p>
    <w:p w14:paraId="5362ED32" w14:textId="77777777" w:rsidR="00A86140" w:rsidRPr="009E498C" w:rsidRDefault="00A86140" w:rsidP="00A86140">
      <w:pPr>
        <w:ind w:left="709"/>
        <w:rPr>
          <w:rFonts w:cs="Segoe UI"/>
          <w:szCs w:val="26"/>
          <w:lang w:eastAsia="en-IE"/>
        </w:rPr>
      </w:pPr>
      <w:r w:rsidRPr="009E498C">
        <w:rPr>
          <w:rFonts w:cs="Calibri"/>
          <w:i/>
          <w:color w:val="000000"/>
          <w:szCs w:val="26"/>
          <w:lang w:eastAsia="en-IE"/>
        </w:rPr>
        <w:t>…</w:t>
      </w:r>
      <w:r w:rsidRPr="00603BAE">
        <w:rPr>
          <w:rFonts w:cs="Calibri"/>
          <w:i/>
          <w:color w:val="000000"/>
          <w:szCs w:val="26"/>
          <w:lang w:eastAsia="en-IE"/>
        </w:rPr>
        <w:t>if there’s a safeguarding issue in the home then that person gets bumped up the list.</w:t>
      </w:r>
      <w:r w:rsidRPr="00603BAE">
        <w:rPr>
          <w:rFonts w:ascii="Arial" w:hAnsi="Arial" w:cs="Arial"/>
          <w:i/>
          <w:iCs/>
          <w:color w:val="000000"/>
          <w:szCs w:val="26"/>
          <w:lang w:eastAsia="en-IE"/>
        </w:rPr>
        <w:t> </w:t>
      </w:r>
      <w:r w:rsidRPr="00603BAE">
        <w:rPr>
          <w:rFonts w:cs="Calibri"/>
          <w:i/>
          <w:color w:val="000000"/>
          <w:szCs w:val="26"/>
          <w:lang w:eastAsia="en-IE"/>
        </w:rPr>
        <w:t xml:space="preserve">Now we are very well aware of the vulnerability issues, but if you only have one house in an area and you’ve got twelve different people looking for a space there you are not going to, they are not going to be all there. </w:t>
      </w:r>
      <w:r w:rsidRPr="00603BAE">
        <w:rPr>
          <w:rFonts w:cs="Calibri"/>
          <w:color w:val="000000"/>
          <w:szCs w:val="26"/>
          <w:lang w:eastAsia="en-IE"/>
        </w:rPr>
        <w:t>(</w:t>
      </w:r>
      <w:r w:rsidRPr="00603BAE">
        <w:rPr>
          <w:rFonts w:cs="Calibri"/>
          <w:szCs w:val="26"/>
          <w:lang w:eastAsia="en-IE"/>
        </w:rPr>
        <w:t>Eve, D, GS</w:t>
      </w:r>
      <w:r w:rsidRPr="00603BAE">
        <w:rPr>
          <w:rFonts w:cs="Calibri"/>
          <w:color w:val="000000"/>
          <w:szCs w:val="26"/>
          <w:lang w:eastAsia="en-IE"/>
        </w:rPr>
        <w:t>)</w:t>
      </w:r>
      <w:r w:rsidRPr="00603BAE">
        <w:rPr>
          <w:rFonts w:ascii="Arial" w:hAnsi="Arial" w:cs="Arial"/>
          <w:color w:val="000000"/>
          <w:szCs w:val="26"/>
          <w:lang w:eastAsia="en-IE"/>
        </w:rPr>
        <w:t> </w:t>
      </w:r>
      <w:r w:rsidRPr="00603BAE">
        <w:rPr>
          <w:rFonts w:cs="Calibri"/>
          <w:color w:val="000000"/>
          <w:szCs w:val="26"/>
          <w:lang w:eastAsia="en-IE"/>
        </w:rPr>
        <w:t> </w:t>
      </w:r>
    </w:p>
    <w:p w14:paraId="15327B0C" w14:textId="77777777" w:rsidR="00A86140" w:rsidRPr="009E498C" w:rsidRDefault="00A86140" w:rsidP="00A86140">
      <w:pPr>
        <w:rPr>
          <w:rFonts w:cstheme="minorHAnsi"/>
          <w:szCs w:val="26"/>
          <w:lang w:eastAsia="en-IE"/>
        </w:rPr>
      </w:pPr>
      <w:r w:rsidRPr="009E498C">
        <w:rPr>
          <w:rStyle w:val="normaltextrun"/>
          <w:rFonts w:cs="Calibri"/>
          <w:color w:val="000000"/>
          <w:szCs w:val="26"/>
          <w:shd w:val="clear" w:color="auto" w:fill="FFFFFF"/>
        </w:rPr>
        <w:t>Although participants were positive about the move to community living over recent decades,</w:t>
      </w:r>
      <w:r w:rsidRPr="009E498C">
        <w:rPr>
          <w:rStyle w:val="normaltextrun"/>
          <w:rFonts w:ascii="Arial" w:hAnsi="Arial" w:cs="Arial"/>
          <w:color w:val="000000"/>
          <w:szCs w:val="26"/>
          <w:shd w:val="clear" w:color="auto" w:fill="FFFFFF"/>
        </w:rPr>
        <w:t> </w:t>
      </w:r>
      <w:r w:rsidRPr="009E498C">
        <w:rPr>
          <w:rStyle w:val="normaltextrun"/>
          <w:rFonts w:cs="Calibri"/>
          <w:color w:val="000000"/>
          <w:szCs w:val="26"/>
          <w:shd w:val="clear" w:color="auto" w:fill="FFFFFF"/>
        </w:rPr>
        <w:t>it was noted that the closure of larger or campus-based accommodation has reduced the options available to services as their service users age with complex needs. Some considered that</w:t>
      </w:r>
      <w:r w:rsidRPr="009E498C">
        <w:rPr>
          <w:rFonts w:cstheme="minorHAnsi"/>
          <w:szCs w:val="26"/>
          <w:lang w:eastAsia="en-IE"/>
        </w:rPr>
        <w:t xml:space="preserve"> the ultimate answer for some people may need to be in some form of congregated setting and some considered these to be more modifiable than community house settings:</w:t>
      </w:r>
    </w:p>
    <w:p w14:paraId="4CA733B4" w14:textId="77777777" w:rsidR="00A86140" w:rsidRPr="009E498C" w:rsidRDefault="00A86140" w:rsidP="00A86140">
      <w:pPr>
        <w:ind w:left="709"/>
        <w:rPr>
          <w:rFonts w:cstheme="minorHAnsi"/>
          <w:i/>
          <w:szCs w:val="26"/>
          <w:lang w:eastAsia="en-IE"/>
        </w:rPr>
      </w:pPr>
      <w:r w:rsidRPr="009E498C">
        <w:rPr>
          <w:rStyle w:val="normaltextrun"/>
          <w:rFonts w:cs="Calibri"/>
          <w:i/>
          <w:color w:val="000000"/>
          <w:szCs w:val="26"/>
          <w:shd w:val="clear" w:color="auto" w:fill="FFFFFF"/>
        </w:rPr>
        <w:t xml:space="preserve">...when I first started there was people coming from community into residential. And that was all stopped…I suppose there are some homes where you know you won’t be able to support the person for one reason or another. And I don’t know what’s going to happen to here, because we’re the last residential campus here. </w:t>
      </w:r>
      <w:r w:rsidRPr="009E498C">
        <w:rPr>
          <w:rStyle w:val="normaltextrun"/>
          <w:rFonts w:cs="Calibri"/>
          <w:color w:val="000000"/>
          <w:szCs w:val="26"/>
          <w:shd w:val="clear" w:color="auto" w:fill="FFFFFF"/>
        </w:rPr>
        <w:t>(</w:t>
      </w:r>
      <w:r w:rsidRPr="009E498C">
        <w:rPr>
          <w:rStyle w:val="normaltextrun"/>
          <w:rFonts w:cs="Calibri"/>
          <w:szCs w:val="26"/>
          <w:shd w:val="clear" w:color="auto" w:fill="FFFFFF"/>
        </w:rPr>
        <w:t>Betty, D, SS)</w:t>
      </w:r>
      <w:r w:rsidRPr="009E498C">
        <w:rPr>
          <w:rStyle w:val="normaltextrun"/>
          <w:rFonts w:ascii="Arial" w:hAnsi="Arial" w:cs="Arial"/>
          <w:szCs w:val="26"/>
          <w:shd w:val="clear" w:color="auto" w:fill="FFFFFF"/>
        </w:rPr>
        <w:t> </w:t>
      </w:r>
      <w:r w:rsidRPr="009E498C">
        <w:rPr>
          <w:rStyle w:val="eop"/>
          <w:rFonts w:cs="Calibri"/>
          <w:szCs w:val="26"/>
          <w:shd w:val="clear" w:color="auto" w:fill="FFFFFF"/>
        </w:rPr>
        <w:t> </w:t>
      </w:r>
    </w:p>
    <w:p w14:paraId="45777102" w14:textId="77777777" w:rsidR="00A86140" w:rsidRPr="009E498C" w:rsidRDefault="00A86140" w:rsidP="00A86140">
      <w:pPr>
        <w:ind w:left="709"/>
        <w:rPr>
          <w:rFonts w:cstheme="minorHAnsi"/>
          <w:szCs w:val="26"/>
          <w:lang w:eastAsia="en-IE"/>
        </w:rPr>
      </w:pPr>
      <w:r w:rsidRPr="009E498C">
        <w:rPr>
          <w:rFonts w:cstheme="minorHAnsi"/>
          <w:i/>
          <w:szCs w:val="26"/>
          <w:lang w:eastAsia="en-IE"/>
        </w:rPr>
        <w:t>…when their needs now have deteriorated, we’re finding that a lot of people need to come back in on campus as well.</w:t>
      </w:r>
      <w:r w:rsidRPr="009E498C">
        <w:rPr>
          <w:rFonts w:cstheme="minorHAnsi"/>
          <w:szCs w:val="26"/>
          <w:lang w:eastAsia="en-IE"/>
        </w:rPr>
        <w:t xml:space="preserve"> (Moya, M, SS)</w:t>
      </w:r>
    </w:p>
    <w:p w14:paraId="123733CB" w14:textId="77777777" w:rsidR="00A86140" w:rsidRPr="009E498C" w:rsidRDefault="00A86140" w:rsidP="00A86140">
      <w:pPr>
        <w:ind w:left="709"/>
        <w:rPr>
          <w:rFonts w:cstheme="minorBidi"/>
          <w:lang w:eastAsia="en-IE"/>
        </w:rPr>
      </w:pPr>
      <w:r w:rsidRPr="26146652">
        <w:rPr>
          <w:rStyle w:val="normaltextrun"/>
          <w:i/>
          <w:color w:val="000000"/>
          <w:shd w:val="clear" w:color="auto" w:fill="FFFFFF"/>
        </w:rPr>
        <w:t>…they’re all bungalows, they’ve all wide corridors…we have the walk-in showers, like as in from an equipment point of view…we would be equipped for the ageing process. We may need to install equipment going forward in some of the houses such as overhead hoists and things like that. But as for the facilities, floor plans size we’re well equipped for it.</w:t>
      </w:r>
      <w:r w:rsidRPr="26146652">
        <w:rPr>
          <w:rStyle w:val="normaltextrun"/>
          <w:color w:val="000000"/>
          <w:shd w:val="clear" w:color="auto" w:fill="FFFFFF"/>
        </w:rPr>
        <w:t xml:space="preserve"> (Noreen, M, SS)</w:t>
      </w:r>
    </w:p>
    <w:p w14:paraId="6ACAB2F5" w14:textId="77777777" w:rsidR="00A86140" w:rsidRPr="00CD128E" w:rsidRDefault="00A86140" w:rsidP="00A86140">
      <w:pPr>
        <w:textAlignment w:val="baseline"/>
        <w:rPr>
          <w:rFonts w:cs="Segoe UI"/>
          <w:szCs w:val="26"/>
          <w:lang w:eastAsia="en-IE"/>
        </w:rPr>
      </w:pPr>
      <w:r w:rsidRPr="009E498C">
        <w:rPr>
          <w:rFonts w:cs="Calibri"/>
          <w:szCs w:val="26"/>
          <w:lang w:eastAsia="en-IE"/>
        </w:rPr>
        <w:t>Such congregated solutions included the potential of moving people to nursing homes, something that was also driven by cost:</w:t>
      </w:r>
    </w:p>
    <w:p w14:paraId="7D405464" w14:textId="1923D53A" w:rsidR="00A86140" w:rsidRPr="00CD128E" w:rsidRDefault="00A86140" w:rsidP="00A86140">
      <w:pPr>
        <w:ind w:left="720"/>
        <w:textAlignment w:val="baseline"/>
        <w:rPr>
          <w:rFonts w:cs="Calibri"/>
          <w:color w:val="FF0000"/>
          <w:lang w:eastAsia="en-IE"/>
        </w:rPr>
      </w:pPr>
      <w:r w:rsidRPr="5441829C">
        <w:rPr>
          <w:rFonts w:cs="Calibri"/>
          <w:i/>
          <w:lang w:eastAsia="en-IE"/>
        </w:rPr>
        <w:t>So it's a very, very costly model of service…sometimes it can be seen that maybe the nursing home is the cheaper model. But it's not the quality model we want.</w:t>
      </w:r>
      <w:r w:rsidRPr="5F23F1D8">
        <w:rPr>
          <w:rFonts w:cs="Calibri"/>
          <w:lang w:eastAsia="en-IE"/>
        </w:rPr>
        <w:t xml:space="preserve"> </w:t>
      </w:r>
      <w:r w:rsidRPr="000574A8">
        <w:rPr>
          <w:rFonts w:cs="Calibri"/>
          <w:lang w:eastAsia="en-IE"/>
        </w:rPr>
        <w:t>(Claire, M, GS)</w:t>
      </w:r>
      <w:r w:rsidR="00991E69">
        <w:rPr>
          <w:rFonts w:cs="Calibri"/>
          <w:lang w:eastAsia="en-IE"/>
        </w:rPr>
        <w:t xml:space="preserve"> </w:t>
      </w:r>
    </w:p>
    <w:p w14:paraId="02F68BC4" w14:textId="2C43FEC5" w:rsidR="00A86140" w:rsidRPr="009E498C" w:rsidRDefault="00A86140" w:rsidP="00A86140">
      <w:pPr>
        <w:rPr>
          <w:rFonts w:cs="Segoe UI"/>
          <w:szCs w:val="26"/>
          <w:lang w:eastAsia="en-IE"/>
        </w:rPr>
      </w:pPr>
      <w:r w:rsidRPr="009E498C">
        <w:rPr>
          <w:rFonts w:cs="Calibri"/>
          <w:szCs w:val="26"/>
          <w:lang w:eastAsia="en-IE"/>
        </w:rPr>
        <w:t>The uncertainty surrounding accommodation and service locations may contribute to increasing the number of transitions that older people with intellectual disabilit</w:t>
      </w:r>
      <w:r w:rsidR="00C85736">
        <w:rPr>
          <w:rFonts w:cs="Calibri"/>
          <w:szCs w:val="26"/>
          <w:lang w:eastAsia="en-IE"/>
        </w:rPr>
        <w:t>ies</w:t>
      </w:r>
      <w:r w:rsidRPr="009E498C">
        <w:rPr>
          <w:rFonts w:cs="Calibri"/>
          <w:szCs w:val="26"/>
          <w:lang w:eastAsia="en-IE"/>
        </w:rPr>
        <w:t xml:space="preserve"> experience. All the older people participating in this study had experienced at least one change of accommodation in the past. They did acknowledge that </w:t>
      </w:r>
      <w:r w:rsidRPr="009E498C">
        <w:rPr>
          <w:rFonts w:cs="Calibri"/>
          <w:color w:val="000000" w:themeColor="text1"/>
          <w:szCs w:val="26"/>
          <w:lang w:eastAsia="en-IE"/>
        </w:rPr>
        <w:t>they had been consulted about moving to a different setting</w:t>
      </w:r>
      <w:r>
        <w:rPr>
          <w:rFonts w:cs="Calibri"/>
          <w:color w:val="000000" w:themeColor="text1"/>
          <w:szCs w:val="26"/>
          <w:lang w:eastAsia="en-IE"/>
        </w:rPr>
        <w:t>,</w:t>
      </w:r>
      <w:r w:rsidRPr="009E498C">
        <w:rPr>
          <w:rFonts w:cs="Calibri"/>
          <w:color w:val="000000" w:themeColor="text1"/>
          <w:szCs w:val="26"/>
          <w:lang w:eastAsia="en-IE"/>
        </w:rPr>
        <w:t xml:space="preserve"> but no one considered that they had any option but to accept the proposed move:</w:t>
      </w:r>
      <w:r w:rsidR="00991E69">
        <w:rPr>
          <w:rFonts w:cs="Calibri"/>
          <w:szCs w:val="26"/>
          <w:lang w:eastAsia="en-IE"/>
        </w:rPr>
        <w:t xml:space="preserve"> </w:t>
      </w:r>
      <w:r w:rsidRPr="009E498C">
        <w:rPr>
          <w:rFonts w:cs="Calibri"/>
          <w:szCs w:val="26"/>
          <w:lang w:eastAsia="en-IE"/>
        </w:rPr>
        <w:t> </w:t>
      </w:r>
    </w:p>
    <w:p w14:paraId="475C7E59" w14:textId="3FB728C4" w:rsidR="00A86140" w:rsidRPr="009E498C" w:rsidRDefault="00A86140" w:rsidP="00A86140">
      <w:pPr>
        <w:ind w:left="709"/>
        <w:rPr>
          <w:rFonts w:cs="Segoe UI"/>
          <w:szCs w:val="26"/>
          <w:lang w:eastAsia="en-IE"/>
        </w:rPr>
      </w:pPr>
      <w:r w:rsidRPr="009E498C">
        <w:rPr>
          <w:rFonts w:cs="Calibri"/>
          <w:i/>
          <w:szCs w:val="26"/>
          <w:lang w:eastAsia="en-IE"/>
        </w:rPr>
        <w:t>The people in the house…</w:t>
      </w:r>
      <w:r w:rsidRPr="009E498C">
        <w:rPr>
          <w:rFonts w:cs="Calibri"/>
          <w:szCs w:val="26"/>
          <w:lang w:eastAsia="en-IE"/>
        </w:rPr>
        <w:t>[decided that I would move]…</w:t>
      </w:r>
      <w:r w:rsidRPr="009E498C">
        <w:rPr>
          <w:rFonts w:cs="Calibri"/>
          <w:i/>
          <w:szCs w:val="26"/>
          <w:lang w:eastAsia="en-IE"/>
        </w:rPr>
        <w:t xml:space="preserve">they did…we still had to move... </w:t>
      </w:r>
      <w:r w:rsidRPr="009E498C">
        <w:rPr>
          <w:rFonts w:cs="Calibri"/>
          <w:szCs w:val="26"/>
          <w:lang w:eastAsia="en-IE"/>
        </w:rPr>
        <w:t>(Nicola, OP)</w:t>
      </w:r>
      <w:r w:rsidR="00991E69">
        <w:rPr>
          <w:rFonts w:cs="Calibri"/>
          <w:szCs w:val="26"/>
          <w:lang w:eastAsia="en-IE"/>
        </w:rPr>
        <w:t xml:space="preserve"> </w:t>
      </w:r>
    </w:p>
    <w:p w14:paraId="4267F340" w14:textId="3EA128AF" w:rsidR="00A86140" w:rsidRPr="009E498C" w:rsidRDefault="00A86140" w:rsidP="00A86140">
      <w:pPr>
        <w:ind w:left="709"/>
        <w:rPr>
          <w:rFonts w:cs="Segoe UI"/>
          <w:lang w:eastAsia="en-IE"/>
        </w:rPr>
      </w:pPr>
      <w:r w:rsidRPr="04C66799">
        <w:rPr>
          <w:rFonts w:cs="Calibri"/>
          <w:i/>
          <w:lang w:eastAsia="en-IE"/>
        </w:rPr>
        <w:t>No, she didn’t really want to move like, but it was just I suppose that …this big change was happening you know.</w:t>
      </w:r>
      <w:r w:rsidRPr="04C66799">
        <w:rPr>
          <w:rFonts w:cs="Calibri"/>
          <w:lang w:eastAsia="en-IE"/>
        </w:rPr>
        <w:t xml:space="preserve"> (Mags, Fam)  </w:t>
      </w:r>
    </w:p>
    <w:p w14:paraId="28EBC3B4" w14:textId="77777777" w:rsidR="00A86140" w:rsidRPr="009E498C" w:rsidRDefault="00A86140" w:rsidP="00A86140">
      <w:pPr>
        <w:rPr>
          <w:szCs w:val="26"/>
        </w:rPr>
      </w:pPr>
      <w:r w:rsidRPr="009E498C">
        <w:rPr>
          <w:szCs w:val="26"/>
        </w:rPr>
        <w:t>However, notwithstanding the concerns of staff and managers, it was notable that older people with intellectual disabilities</w:t>
      </w:r>
      <w:r w:rsidRPr="00AC75AC">
        <w:rPr>
          <w:rFonts w:cs="Calibri"/>
          <w:szCs w:val="26"/>
          <w:lang w:eastAsia="en-IE"/>
        </w:rPr>
        <w:t xml:space="preserve"> and siblings alike were very satisfied with the current accommodation </w:t>
      </w:r>
      <w:r w:rsidRPr="009E498C">
        <w:rPr>
          <w:rFonts w:cs="Calibri"/>
          <w:szCs w:val="26"/>
          <w:lang w:eastAsia="en-IE"/>
        </w:rPr>
        <w:t>being provided</w:t>
      </w:r>
      <w:r w:rsidRPr="00AC75AC">
        <w:rPr>
          <w:rFonts w:cs="Calibri"/>
          <w:szCs w:val="26"/>
          <w:lang w:eastAsia="en-IE"/>
        </w:rPr>
        <w:t xml:space="preserve">. Most </w:t>
      </w:r>
      <w:r w:rsidRPr="009E498C">
        <w:rPr>
          <w:rFonts w:cs="Calibri"/>
          <w:szCs w:val="26"/>
          <w:lang w:eastAsia="en-IE"/>
        </w:rPr>
        <w:t>older participants</w:t>
      </w:r>
      <w:r w:rsidRPr="00AC75AC">
        <w:rPr>
          <w:rFonts w:cs="Calibri"/>
          <w:szCs w:val="26"/>
          <w:lang w:eastAsia="en-IE"/>
        </w:rPr>
        <w:t xml:space="preserve"> reported that they hoped to stay in their current accommodation and were confident that they would do so</w:t>
      </w:r>
      <w:r w:rsidRPr="009E498C">
        <w:rPr>
          <w:rFonts w:cs="Calibri"/>
          <w:szCs w:val="26"/>
          <w:lang w:eastAsia="en-IE"/>
        </w:rPr>
        <w:t>:</w:t>
      </w:r>
    </w:p>
    <w:p w14:paraId="77BFA7FB" w14:textId="77777777" w:rsidR="00A86140" w:rsidRPr="009E498C" w:rsidRDefault="00A86140" w:rsidP="00A86140">
      <w:pPr>
        <w:ind w:left="709"/>
        <w:rPr>
          <w:szCs w:val="26"/>
        </w:rPr>
      </w:pPr>
      <w:r w:rsidRPr="00AC75AC">
        <w:rPr>
          <w:rFonts w:cs="Calibri"/>
          <w:i/>
          <w:szCs w:val="26"/>
          <w:lang w:eastAsia="en-IE"/>
        </w:rPr>
        <w:t>I want to stay in this apartment</w:t>
      </w:r>
      <w:r w:rsidRPr="009E498C">
        <w:rPr>
          <w:rFonts w:cs="Calibri"/>
          <w:i/>
          <w:szCs w:val="26"/>
          <w:lang w:eastAsia="en-IE"/>
        </w:rPr>
        <w:t>.</w:t>
      </w:r>
      <w:r w:rsidRPr="00AC75AC">
        <w:rPr>
          <w:rFonts w:cs="Calibri"/>
          <w:szCs w:val="26"/>
          <w:lang w:eastAsia="en-IE"/>
        </w:rPr>
        <w:t xml:space="preserve"> (Rose, OP)</w:t>
      </w:r>
      <w:r w:rsidRPr="00AC75AC">
        <w:rPr>
          <w:rFonts w:ascii="Arial" w:hAnsi="Arial" w:cs="Arial"/>
          <w:szCs w:val="26"/>
          <w:lang w:eastAsia="en-IE"/>
        </w:rPr>
        <w:t> </w:t>
      </w:r>
      <w:r w:rsidRPr="00AC75AC">
        <w:rPr>
          <w:rFonts w:cs="Calibri"/>
          <w:szCs w:val="26"/>
          <w:lang w:eastAsia="en-IE"/>
        </w:rPr>
        <w:t> </w:t>
      </w:r>
    </w:p>
    <w:p w14:paraId="0E9C2EFD" w14:textId="38A394E5" w:rsidR="00A86140" w:rsidRPr="009E498C" w:rsidRDefault="00A86140" w:rsidP="00A86140">
      <w:pPr>
        <w:rPr>
          <w:szCs w:val="26"/>
        </w:rPr>
      </w:pPr>
      <w:r w:rsidRPr="00AC75AC">
        <w:rPr>
          <w:rFonts w:cs="Calibri"/>
          <w:szCs w:val="26"/>
          <w:lang w:eastAsia="en-IE"/>
        </w:rPr>
        <w:t>On</w:t>
      </w:r>
      <w:r w:rsidRPr="009E498C">
        <w:rPr>
          <w:rFonts w:cs="Calibri"/>
          <w:szCs w:val="26"/>
          <w:lang w:eastAsia="en-IE"/>
        </w:rPr>
        <w:t>e</w:t>
      </w:r>
      <w:r w:rsidRPr="00AC75AC">
        <w:rPr>
          <w:rFonts w:cs="Calibri"/>
          <w:szCs w:val="26"/>
          <w:lang w:eastAsia="en-IE"/>
        </w:rPr>
        <w:t xml:space="preserve"> lady who lives with her parents expected that she would move in the future and stated </w:t>
      </w:r>
      <w:r w:rsidRPr="009E498C">
        <w:rPr>
          <w:rFonts w:cs="Calibri"/>
          <w:szCs w:val="26"/>
          <w:lang w:eastAsia="en-IE"/>
        </w:rPr>
        <w:t xml:space="preserve">that </w:t>
      </w:r>
      <w:r w:rsidRPr="00AC75AC">
        <w:rPr>
          <w:rFonts w:cs="Calibri"/>
          <w:szCs w:val="26"/>
          <w:lang w:eastAsia="en-IE"/>
        </w:rPr>
        <w:t xml:space="preserve">her preference </w:t>
      </w:r>
      <w:r w:rsidRPr="009E498C">
        <w:rPr>
          <w:rFonts w:cs="Calibri"/>
          <w:szCs w:val="26"/>
          <w:lang w:eastAsia="en-IE"/>
        </w:rPr>
        <w:t xml:space="preserve">was </w:t>
      </w:r>
      <w:r w:rsidRPr="00AC75AC">
        <w:rPr>
          <w:rFonts w:cs="Calibri"/>
          <w:szCs w:val="26"/>
          <w:lang w:eastAsia="en-IE"/>
        </w:rPr>
        <w:t xml:space="preserve">to move to the house in which she </w:t>
      </w:r>
      <w:r w:rsidRPr="009E498C">
        <w:rPr>
          <w:rFonts w:cs="Calibri"/>
          <w:szCs w:val="26"/>
          <w:lang w:eastAsia="en-IE"/>
        </w:rPr>
        <w:t xml:space="preserve">currently </w:t>
      </w:r>
      <w:r w:rsidRPr="00AC75AC">
        <w:rPr>
          <w:rFonts w:cs="Calibri"/>
          <w:szCs w:val="26"/>
          <w:lang w:eastAsia="en-IE"/>
        </w:rPr>
        <w:t>receives respite</w:t>
      </w:r>
      <w:r w:rsidRPr="009E498C">
        <w:rPr>
          <w:rFonts w:cs="Calibri"/>
          <w:szCs w:val="26"/>
          <w:lang w:eastAsia="en-IE"/>
        </w:rPr>
        <w:t>:</w:t>
      </w:r>
    </w:p>
    <w:p w14:paraId="18C35B7B" w14:textId="77777777" w:rsidR="00A86140" w:rsidRPr="009E498C" w:rsidRDefault="00A86140" w:rsidP="00A86140">
      <w:pPr>
        <w:ind w:left="709"/>
        <w:rPr>
          <w:rFonts w:cs="Calibri"/>
          <w:szCs w:val="26"/>
          <w:lang w:eastAsia="en-IE"/>
        </w:rPr>
      </w:pPr>
      <w:r w:rsidRPr="009E498C">
        <w:rPr>
          <w:rFonts w:cs="Calibri"/>
          <w:i/>
          <w:szCs w:val="26"/>
          <w:lang w:eastAsia="en-IE"/>
        </w:rPr>
        <w:t>…and I’m over 70…</w:t>
      </w:r>
      <w:r w:rsidRPr="00AC75AC">
        <w:rPr>
          <w:rFonts w:cs="Calibri"/>
          <w:i/>
          <w:szCs w:val="26"/>
          <w:lang w:eastAsia="en-IE"/>
        </w:rPr>
        <w:t>I know you have to think ahead now</w:t>
      </w:r>
      <w:r w:rsidRPr="009E498C">
        <w:rPr>
          <w:rFonts w:cs="Calibri"/>
          <w:i/>
          <w:szCs w:val="26"/>
          <w:lang w:eastAsia="en-IE"/>
        </w:rPr>
        <w:t xml:space="preserve">. </w:t>
      </w:r>
      <w:r w:rsidRPr="009E498C">
        <w:rPr>
          <w:rFonts w:cs="Calibri"/>
          <w:szCs w:val="26"/>
          <w:lang w:eastAsia="en-IE"/>
        </w:rPr>
        <w:t>(Sue, OP)</w:t>
      </w:r>
    </w:p>
    <w:p w14:paraId="199940AC" w14:textId="77777777" w:rsidR="00A86140" w:rsidRPr="009E498C" w:rsidRDefault="00A86140" w:rsidP="00A86140">
      <w:pPr>
        <w:rPr>
          <w:rFonts w:cs="Calibri"/>
          <w:szCs w:val="26"/>
          <w:lang w:eastAsia="en-IE"/>
        </w:rPr>
      </w:pPr>
      <w:r w:rsidRPr="005C31D1">
        <w:rPr>
          <w:rFonts w:cs="Calibri"/>
          <w:szCs w:val="26"/>
          <w:lang w:eastAsia="en-IE"/>
        </w:rPr>
        <w:t xml:space="preserve">Although some siblings </w:t>
      </w:r>
      <w:r w:rsidRPr="009E498C">
        <w:rPr>
          <w:rFonts w:cs="Calibri"/>
          <w:szCs w:val="26"/>
          <w:lang w:eastAsia="en-IE"/>
        </w:rPr>
        <w:t xml:space="preserve">had been </w:t>
      </w:r>
      <w:r w:rsidRPr="005C31D1">
        <w:rPr>
          <w:rFonts w:cs="Calibri"/>
          <w:szCs w:val="26"/>
          <w:lang w:eastAsia="en-IE"/>
        </w:rPr>
        <w:t xml:space="preserve">anxious about the prospect </w:t>
      </w:r>
      <w:r w:rsidRPr="009E498C">
        <w:rPr>
          <w:rFonts w:cs="Calibri"/>
          <w:szCs w:val="26"/>
          <w:lang w:eastAsia="en-IE"/>
        </w:rPr>
        <w:t>of </w:t>
      </w:r>
      <w:r w:rsidRPr="005C31D1">
        <w:rPr>
          <w:rFonts w:cs="Calibri"/>
          <w:szCs w:val="26"/>
          <w:lang w:eastAsia="en-IE"/>
        </w:rPr>
        <w:t xml:space="preserve">their family member’s change of accommodation, they spoke very highly about the sensitive way in which this transition was </w:t>
      </w:r>
      <w:r w:rsidRPr="009E498C">
        <w:rPr>
          <w:rFonts w:cs="Calibri"/>
          <w:szCs w:val="26"/>
          <w:lang w:eastAsia="en-IE"/>
        </w:rPr>
        <w:t>supported by services and staff:</w:t>
      </w:r>
    </w:p>
    <w:p w14:paraId="2752C8CC" w14:textId="259B05B9" w:rsidR="00A86140" w:rsidRPr="009E498C" w:rsidRDefault="00A86140" w:rsidP="00A86140">
      <w:pPr>
        <w:ind w:left="709"/>
        <w:rPr>
          <w:rFonts w:cs="Calibri"/>
          <w:szCs w:val="26"/>
          <w:lang w:eastAsia="en-IE"/>
        </w:rPr>
      </w:pPr>
      <w:r w:rsidRPr="009E498C">
        <w:rPr>
          <w:rFonts w:cs="Calibri"/>
          <w:i/>
          <w:szCs w:val="26"/>
          <w:lang w:eastAsia="en-IE"/>
        </w:rPr>
        <w:t>W</w:t>
      </w:r>
      <w:r w:rsidRPr="005C31D1">
        <w:rPr>
          <w:rFonts w:cs="Calibri"/>
          <w:i/>
          <w:szCs w:val="26"/>
          <w:lang w:eastAsia="en-IE"/>
        </w:rPr>
        <w:t>e were very, very, very worried about it</w:t>
      </w:r>
      <w:r w:rsidRPr="009E498C">
        <w:rPr>
          <w:rFonts w:cs="Calibri"/>
          <w:i/>
          <w:szCs w:val="26"/>
          <w:lang w:eastAsia="en-IE"/>
        </w:rPr>
        <w:t>…</w:t>
      </w:r>
      <w:r w:rsidRPr="005C31D1">
        <w:rPr>
          <w:rFonts w:cs="Calibri"/>
          <w:i/>
          <w:szCs w:val="26"/>
          <w:lang w:eastAsia="en-IE"/>
        </w:rPr>
        <w:t>because he had such a relationship with the staff over there and the other clients. But the transition was made so easy for him...</w:t>
      </w:r>
      <w:r w:rsidRPr="009E498C">
        <w:rPr>
          <w:rFonts w:cs="Calibri"/>
          <w:i/>
          <w:szCs w:val="26"/>
          <w:lang w:eastAsia="en-IE"/>
        </w:rPr>
        <w:t>t</w:t>
      </w:r>
      <w:r w:rsidRPr="005C31D1">
        <w:rPr>
          <w:rFonts w:cs="Calibri"/>
          <w:i/>
          <w:szCs w:val="26"/>
          <w:lang w:eastAsia="en-IE"/>
        </w:rPr>
        <w:t>hey just eased it so</w:t>
      </w:r>
      <w:r w:rsidRPr="005C31D1">
        <w:rPr>
          <w:rFonts w:ascii="Arial" w:hAnsi="Arial" w:cs="Arial"/>
          <w:i/>
          <w:iCs/>
          <w:szCs w:val="26"/>
          <w:lang w:eastAsia="en-IE"/>
        </w:rPr>
        <w:t> </w:t>
      </w:r>
      <w:r w:rsidRPr="005C31D1">
        <w:rPr>
          <w:rFonts w:cs="Calibri"/>
          <w:i/>
          <w:szCs w:val="26"/>
          <w:lang w:eastAsia="en-IE"/>
        </w:rPr>
        <w:t>much for him transferring. You know they brought him down for short periods and for tea and helped, got him to help with the design of the room and the colours of the room</w:t>
      </w:r>
      <w:r w:rsidRPr="009E498C">
        <w:rPr>
          <w:rFonts w:cs="Calibri"/>
          <w:i/>
          <w:szCs w:val="26"/>
          <w:lang w:eastAsia="en-IE"/>
        </w:rPr>
        <w:t>.</w:t>
      </w:r>
      <w:r w:rsidRPr="005C31D1">
        <w:rPr>
          <w:rFonts w:cs="Calibri"/>
          <w:szCs w:val="26"/>
          <w:lang w:eastAsia="en-IE"/>
        </w:rPr>
        <w:t xml:space="preserve"> (Kay, </w:t>
      </w:r>
      <w:r w:rsidRPr="009E498C">
        <w:rPr>
          <w:rFonts w:cs="Calibri"/>
          <w:szCs w:val="26"/>
          <w:lang w:eastAsia="en-IE"/>
        </w:rPr>
        <w:t>Fam</w:t>
      </w:r>
      <w:r w:rsidRPr="005C31D1">
        <w:rPr>
          <w:rFonts w:cs="Calibri"/>
          <w:szCs w:val="26"/>
          <w:lang w:eastAsia="en-IE"/>
        </w:rPr>
        <w:t>)</w:t>
      </w:r>
      <w:r w:rsidRPr="005C31D1">
        <w:rPr>
          <w:rFonts w:ascii="Arial" w:hAnsi="Arial" w:cs="Arial"/>
          <w:szCs w:val="26"/>
          <w:lang w:eastAsia="en-IE"/>
        </w:rPr>
        <w:t>  </w:t>
      </w:r>
    </w:p>
    <w:p w14:paraId="2DEE0A6F" w14:textId="77777777" w:rsidR="00A86140" w:rsidRPr="009E498C" w:rsidRDefault="00A86140" w:rsidP="00A86140">
      <w:pPr>
        <w:rPr>
          <w:szCs w:val="26"/>
        </w:rPr>
      </w:pPr>
      <w:r w:rsidRPr="009E498C">
        <w:rPr>
          <w:szCs w:val="26"/>
        </w:rPr>
        <w:t>Such accounts highlighted the very positive supports that were being provided in many services, in the face of significant challenges. These challenges in creating living environments that can meet the needs of older people with intellectual disabilities are not solely related to availability of accommodation but must also be seen in the context of standards and regulations.</w:t>
      </w:r>
    </w:p>
    <w:p w14:paraId="20131360" w14:textId="77777777" w:rsidR="00A86140" w:rsidRPr="00C00CA8" w:rsidRDefault="00A86140" w:rsidP="001A2B40">
      <w:pPr>
        <w:pStyle w:val="Heading2"/>
      </w:pPr>
      <w:bookmarkStart w:id="244" w:name="_Toc117628775"/>
      <w:bookmarkStart w:id="245" w:name="_Toc118555216"/>
      <w:bookmarkStart w:id="246" w:name="_Toc118558301"/>
      <w:bookmarkStart w:id="247" w:name="_Toc118558374"/>
      <w:bookmarkStart w:id="248" w:name="_Toc121830631"/>
      <w:r w:rsidRPr="00C00CA8">
        <w:t xml:space="preserve">Standards and </w:t>
      </w:r>
      <w:r>
        <w:t>r</w:t>
      </w:r>
      <w:r w:rsidRPr="00C00CA8">
        <w:t>egulations</w:t>
      </w:r>
      <w:bookmarkEnd w:id="244"/>
      <w:bookmarkEnd w:id="245"/>
      <w:bookmarkEnd w:id="246"/>
      <w:bookmarkEnd w:id="247"/>
      <w:bookmarkEnd w:id="248"/>
    </w:p>
    <w:p w14:paraId="16DB158E" w14:textId="77777777" w:rsidR="00A86140" w:rsidRPr="0011292C" w:rsidRDefault="00A86140" w:rsidP="00A86140">
      <w:pPr>
        <w:textAlignment w:val="baseline"/>
        <w:rPr>
          <w:rFonts w:cs="Segoe UI"/>
          <w:szCs w:val="26"/>
          <w:lang w:eastAsia="en-IE"/>
        </w:rPr>
      </w:pPr>
      <w:r w:rsidRPr="0011292C">
        <w:rPr>
          <w:rFonts w:cs="Calibri"/>
          <w:szCs w:val="26"/>
          <w:lang w:eastAsia="en-IE"/>
        </w:rPr>
        <w:t>The development of national standards for disability services, overseen by the Health Information and Quality Authority (HIQA) in 2013</w:t>
      </w:r>
      <w:r w:rsidRPr="009E498C">
        <w:rPr>
          <w:rFonts w:cs="Calibri"/>
          <w:szCs w:val="26"/>
          <w:lang w:eastAsia="en-IE"/>
        </w:rPr>
        <w:t>,</w:t>
      </w:r>
      <w:r w:rsidRPr="0011292C">
        <w:rPr>
          <w:rFonts w:cs="Calibri"/>
          <w:szCs w:val="26"/>
          <w:lang w:eastAsia="en-IE"/>
        </w:rPr>
        <w:t xml:space="preserve"> was an important milestone in service provision and these standards have had a significant influence on the lives of people with intellectual disabilities. The requirement to meet standards has resulted in environmental modifications being mandated by HIQA</w:t>
      </w:r>
      <w:r w:rsidRPr="009E498C">
        <w:rPr>
          <w:rFonts w:cs="Calibri"/>
          <w:szCs w:val="26"/>
          <w:lang w:eastAsia="en-IE"/>
        </w:rPr>
        <w:t xml:space="preserve"> though these have not </w:t>
      </w:r>
      <w:r w:rsidRPr="0011292C">
        <w:rPr>
          <w:rFonts w:cs="Calibri"/>
          <w:szCs w:val="26"/>
          <w:lang w:eastAsia="en-IE"/>
        </w:rPr>
        <w:t xml:space="preserve">always been </w:t>
      </w:r>
      <w:r w:rsidRPr="009E498C">
        <w:rPr>
          <w:rFonts w:cs="Calibri"/>
          <w:szCs w:val="26"/>
          <w:lang w:eastAsia="en-IE"/>
        </w:rPr>
        <w:t>completed</w:t>
      </w:r>
      <w:r w:rsidRPr="0011292C">
        <w:rPr>
          <w:rFonts w:cs="Calibri"/>
          <w:szCs w:val="26"/>
          <w:lang w:eastAsia="en-IE"/>
        </w:rPr>
        <w:t xml:space="preserve"> </w:t>
      </w:r>
      <w:r w:rsidRPr="009E498C">
        <w:rPr>
          <w:rFonts w:cs="Calibri"/>
          <w:szCs w:val="26"/>
          <w:lang w:eastAsia="en-IE"/>
        </w:rPr>
        <w:t xml:space="preserve">as the </w:t>
      </w:r>
      <w:r w:rsidRPr="0011292C">
        <w:rPr>
          <w:rFonts w:cs="Calibri"/>
          <w:szCs w:val="26"/>
          <w:lang w:eastAsia="en-IE"/>
        </w:rPr>
        <w:t xml:space="preserve">funding required for those modifications </w:t>
      </w:r>
      <w:r w:rsidRPr="009E498C">
        <w:rPr>
          <w:rFonts w:cs="Calibri"/>
          <w:szCs w:val="26"/>
          <w:lang w:eastAsia="en-IE"/>
        </w:rPr>
        <w:t>was significant. The result was that in such cases, the older people had</w:t>
      </w:r>
      <w:r w:rsidRPr="0011292C">
        <w:rPr>
          <w:rFonts w:cs="Calibri"/>
          <w:szCs w:val="26"/>
          <w:lang w:eastAsia="en-IE"/>
        </w:rPr>
        <w:t xml:space="preserve"> to leave their homes:</w:t>
      </w:r>
      <w:r w:rsidRPr="009E498C">
        <w:rPr>
          <w:rFonts w:cs="Calibri"/>
          <w:szCs w:val="26"/>
          <w:lang w:eastAsia="en-IE"/>
        </w:rPr>
        <w:t> </w:t>
      </w:r>
      <w:r w:rsidRPr="0011292C">
        <w:rPr>
          <w:rFonts w:cs="Calibri"/>
          <w:szCs w:val="26"/>
          <w:lang w:eastAsia="en-IE"/>
        </w:rPr>
        <w:t> </w:t>
      </w:r>
    </w:p>
    <w:p w14:paraId="6DD6AD98" w14:textId="77777777" w:rsidR="00A86140" w:rsidRPr="0011292C" w:rsidRDefault="00A86140" w:rsidP="00A86140">
      <w:pPr>
        <w:ind w:left="709"/>
        <w:textAlignment w:val="baseline"/>
        <w:rPr>
          <w:rFonts w:cs="Segoe UI"/>
          <w:szCs w:val="26"/>
          <w:lang w:eastAsia="en-IE"/>
        </w:rPr>
      </w:pPr>
      <w:r w:rsidRPr="0011292C">
        <w:rPr>
          <w:rFonts w:cs="Calibri"/>
          <w:i/>
          <w:szCs w:val="26"/>
          <w:lang w:eastAsia="en-IE"/>
        </w:rPr>
        <w:t>…particularly in relation to fire…we would struggle with our older age population in getting people out within the three minutes that is specified by HIQA</w:t>
      </w:r>
      <w:r w:rsidRPr="009E498C">
        <w:rPr>
          <w:rFonts w:cs="Calibri"/>
          <w:i/>
          <w:szCs w:val="26"/>
          <w:lang w:eastAsia="en-IE"/>
        </w:rPr>
        <w:t>...s</w:t>
      </w:r>
      <w:r w:rsidRPr="0011292C">
        <w:rPr>
          <w:rFonts w:cs="Calibri"/>
          <w:i/>
          <w:szCs w:val="26"/>
          <w:lang w:eastAsia="en-IE"/>
        </w:rPr>
        <w:t>o we’ve had to try and put in infrastructure within houses to put in extra fire doors in bedrooms, move people downstairs.</w:t>
      </w:r>
      <w:r w:rsidRPr="0011292C">
        <w:rPr>
          <w:rFonts w:ascii="Arial" w:hAnsi="Arial" w:cs="Arial"/>
          <w:i/>
          <w:iCs/>
          <w:szCs w:val="26"/>
          <w:lang w:eastAsia="en-IE"/>
        </w:rPr>
        <w:t> </w:t>
      </w:r>
      <w:r w:rsidRPr="0011292C">
        <w:rPr>
          <w:rFonts w:cs="Calibri"/>
          <w:i/>
          <w:szCs w:val="26"/>
          <w:lang w:eastAsia="en-IE"/>
        </w:rPr>
        <w:t xml:space="preserve"> Unfortunately, sometimes people have to leave their homes because HIQA have said that we can</w:t>
      </w:r>
      <w:r w:rsidRPr="0011292C">
        <w:rPr>
          <w:rFonts w:cs="Gill Sans MT"/>
          <w:i/>
          <w:szCs w:val="26"/>
          <w:lang w:eastAsia="en-IE"/>
        </w:rPr>
        <w:t>’</w:t>
      </w:r>
      <w:r w:rsidRPr="0011292C">
        <w:rPr>
          <w:rFonts w:cs="Calibri"/>
          <w:i/>
          <w:szCs w:val="26"/>
          <w:lang w:eastAsia="en-IE"/>
        </w:rPr>
        <w:t>t provide the environmental infrastructure or the nursing infrastructure to support their needs</w:t>
      </w:r>
      <w:r w:rsidRPr="009E498C">
        <w:rPr>
          <w:rFonts w:cs="Calibri"/>
          <w:i/>
          <w:szCs w:val="26"/>
          <w:lang w:eastAsia="en-IE"/>
        </w:rPr>
        <w:t>.</w:t>
      </w:r>
      <w:r w:rsidRPr="0011292C">
        <w:rPr>
          <w:rFonts w:cs="Calibri"/>
          <w:i/>
          <w:szCs w:val="26"/>
          <w:lang w:eastAsia="en-IE"/>
        </w:rPr>
        <w:t xml:space="preserve"> </w:t>
      </w:r>
      <w:r w:rsidRPr="0011292C">
        <w:rPr>
          <w:rFonts w:cs="Calibri"/>
          <w:szCs w:val="26"/>
          <w:lang w:eastAsia="en-IE"/>
        </w:rPr>
        <w:t>(Anne, M, SS)</w:t>
      </w:r>
      <w:r w:rsidRPr="0011292C">
        <w:rPr>
          <w:rFonts w:ascii="Arial" w:hAnsi="Arial" w:cs="Arial"/>
          <w:szCs w:val="26"/>
          <w:lang w:eastAsia="en-IE"/>
        </w:rPr>
        <w:t> </w:t>
      </w:r>
      <w:r w:rsidRPr="0011292C">
        <w:rPr>
          <w:rFonts w:cs="Calibri"/>
          <w:szCs w:val="26"/>
          <w:lang w:eastAsia="en-IE"/>
        </w:rPr>
        <w:t> </w:t>
      </w:r>
    </w:p>
    <w:p w14:paraId="5FCE8538" w14:textId="77777777" w:rsidR="00A86140" w:rsidRPr="0011292C" w:rsidRDefault="00A86140" w:rsidP="00A86140">
      <w:pPr>
        <w:textAlignment w:val="baseline"/>
        <w:rPr>
          <w:rFonts w:cs="Segoe UI"/>
          <w:szCs w:val="26"/>
          <w:lang w:eastAsia="en-IE"/>
        </w:rPr>
      </w:pPr>
      <w:r w:rsidRPr="0011292C">
        <w:rPr>
          <w:rFonts w:cs="Calibri"/>
          <w:szCs w:val="26"/>
          <w:lang w:eastAsia="en-IE"/>
        </w:rPr>
        <w:t>In the absence of extra funding to meet these needs, there is often a ‘balancing game’ between meeting regulatory standards-related requirements and funding-driven policy requirements:</w:t>
      </w:r>
      <w:r w:rsidRPr="0011292C">
        <w:rPr>
          <w:rFonts w:ascii="Arial" w:hAnsi="Arial" w:cs="Arial"/>
          <w:szCs w:val="26"/>
          <w:lang w:eastAsia="en-IE"/>
        </w:rPr>
        <w:t> </w:t>
      </w:r>
      <w:r w:rsidRPr="0011292C">
        <w:rPr>
          <w:rFonts w:cs="Calibri"/>
          <w:szCs w:val="26"/>
          <w:lang w:eastAsia="en-IE"/>
        </w:rPr>
        <w:t> </w:t>
      </w:r>
    </w:p>
    <w:p w14:paraId="10D9AFDB" w14:textId="77777777" w:rsidR="00A86140" w:rsidRPr="0011292C" w:rsidRDefault="00A86140" w:rsidP="00A86140">
      <w:pPr>
        <w:ind w:left="709"/>
        <w:textAlignment w:val="baseline"/>
        <w:rPr>
          <w:rFonts w:cs="Segoe UI"/>
          <w:szCs w:val="26"/>
          <w:lang w:eastAsia="en-IE"/>
        </w:rPr>
      </w:pPr>
      <w:r w:rsidRPr="0011292C">
        <w:rPr>
          <w:rFonts w:cs="Calibri"/>
          <w:i/>
          <w:szCs w:val="26"/>
          <w:lang w:eastAsia="en-IE"/>
        </w:rPr>
        <w:t>…in terms of the funding and the cost element of that and the resources required to be able to amend this without the balance of funding as well. As well as the regulations with HIQA you also have the New Directions, Infection in Congregated Settings and all those different legislations and policies coming out as well</w:t>
      </w:r>
      <w:r w:rsidRPr="009E498C">
        <w:rPr>
          <w:rFonts w:cs="Calibri"/>
          <w:i/>
          <w:szCs w:val="26"/>
          <w:lang w:eastAsia="en-IE"/>
        </w:rPr>
        <w:t>.</w:t>
      </w:r>
      <w:r w:rsidRPr="0011292C">
        <w:rPr>
          <w:rFonts w:cs="Calibri"/>
          <w:szCs w:val="26"/>
          <w:lang w:eastAsia="en-IE"/>
        </w:rPr>
        <w:t xml:space="preserve"> (Carol, M, GS)</w:t>
      </w:r>
      <w:r w:rsidRPr="0011292C">
        <w:rPr>
          <w:rFonts w:ascii="Arial" w:hAnsi="Arial" w:cs="Arial"/>
          <w:szCs w:val="26"/>
          <w:lang w:eastAsia="en-IE"/>
        </w:rPr>
        <w:t> </w:t>
      </w:r>
      <w:r w:rsidRPr="0011292C">
        <w:rPr>
          <w:rFonts w:cs="Calibri"/>
          <w:szCs w:val="26"/>
          <w:lang w:eastAsia="en-IE"/>
        </w:rPr>
        <w:t> </w:t>
      </w:r>
    </w:p>
    <w:p w14:paraId="0A3C175D" w14:textId="77777777" w:rsidR="00A86140" w:rsidRPr="0011292C" w:rsidRDefault="00A86140" w:rsidP="00A86140">
      <w:pPr>
        <w:textAlignment w:val="baseline"/>
        <w:rPr>
          <w:rFonts w:cs="Segoe UI"/>
          <w:szCs w:val="26"/>
          <w:lang w:eastAsia="en-IE"/>
        </w:rPr>
      </w:pPr>
      <w:r w:rsidRPr="0011292C">
        <w:rPr>
          <w:rFonts w:cs="Calibri"/>
          <w:szCs w:val="26"/>
          <w:lang w:eastAsia="en-IE"/>
        </w:rPr>
        <w:t xml:space="preserve">Some participants did note that limited funding was sometimes obtained to meet requirements and that the HIQA inspection and report process </w:t>
      </w:r>
      <w:r w:rsidRPr="009E498C">
        <w:rPr>
          <w:rFonts w:cs="Calibri"/>
          <w:szCs w:val="26"/>
          <w:lang w:eastAsia="en-IE"/>
        </w:rPr>
        <w:t>could be</w:t>
      </w:r>
      <w:r w:rsidRPr="0011292C">
        <w:rPr>
          <w:rFonts w:cs="Calibri"/>
          <w:szCs w:val="26"/>
          <w:lang w:eastAsia="en-IE"/>
        </w:rPr>
        <w:t xml:space="preserve"> instrumental in this being realised:</w:t>
      </w:r>
      <w:r w:rsidRPr="0011292C">
        <w:rPr>
          <w:rFonts w:ascii="Arial" w:hAnsi="Arial" w:cs="Arial"/>
          <w:szCs w:val="26"/>
          <w:lang w:eastAsia="en-IE"/>
        </w:rPr>
        <w:t> </w:t>
      </w:r>
      <w:r w:rsidRPr="0011292C">
        <w:rPr>
          <w:rFonts w:cs="Calibri"/>
          <w:szCs w:val="26"/>
          <w:lang w:eastAsia="en-IE"/>
        </w:rPr>
        <w:t> </w:t>
      </w:r>
    </w:p>
    <w:p w14:paraId="3E59041B" w14:textId="77777777" w:rsidR="00A86140" w:rsidRPr="009E498C" w:rsidRDefault="00A86140" w:rsidP="00A86140">
      <w:pPr>
        <w:ind w:left="709"/>
        <w:textAlignment w:val="baseline"/>
        <w:rPr>
          <w:rFonts w:cs="Segoe UI"/>
          <w:szCs w:val="26"/>
          <w:lang w:eastAsia="en-IE"/>
        </w:rPr>
      </w:pPr>
      <w:r w:rsidRPr="0011292C">
        <w:rPr>
          <w:rFonts w:cs="Calibri"/>
          <w:i/>
          <w:szCs w:val="26"/>
          <w:lang w:eastAsia="en-IE"/>
        </w:rPr>
        <w:t>…we didn’t have enough staff on board…and it was certainly highlighted at a HIQA inspection, and we went through a very difficult time…that’s where we had to go to get the funding that we needed…it's absolutely crucial that you have enough staff on your roster to be able to run your service</w:t>
      </w:r>
      <w:r w:rsidRPr="009E498C">
        <w:rPr>
          <w:rFonts w:cs="Calibri"/>
          <w:i/>
          <w:szCs w:val="26"/>
          <w:lang w:eastAsia="en-IE"/>
        </w:rPr>
        <w:t>.</w:t>
      </w:r>
      <w:r w:rsidRPr="0011292C">
        <w:rPr>
          <w:rFonts w:cs="Calibri"/>
          <w:szCs w:val="26"/>
          <w:lang w:eastAsia="en-IE"/>
        </w:rPr>
        <w:t xml:space="preserve"> (Claire, M, GS)</w:t>
      </w:r>
      <w:r w:rsidRPr="0011292C">
        <w:rPr>
          <w:rFonts w:ascii="Arial" w:hAnsi="Arial" w:cs="Arial"/>
          <w:szCs w:val="26"/>
          <w:lang w:eastAsia="en-IE"/>
        </w:rPr>
        <w:t> </w:t>
      </w:r>
      <w:r w:rsidRPr="0011292C">
        <w:rPr>
          <w:rFonts w:cs="Calibri"/>
          <w:szCs w:val="26"/>
          <w:lang w:eastAsia="en-IE"/>
        </w:rPr>
        <w:t> </w:t>
      </w:r>
    </w:p>
    <w:p w14:paraId="77FF57EC" w14:textId="77777777" w:rsidR="00A86140" w:rsidRPr="009E498C" w:rsidRDefault="00A86140" w:rsidP="00A86140">
      <w:pPr>
        <w:textAlignment w:val="baseline"/>
        <w:rPr>
          <w:rFonts w:cs="Segoe UI"/>
          <w:szCs w:val="26"/>
          <w:lang w:eastAsia="en-IE"/>
        </w:rPr>
      </w:pPr>
      <w:r w:rsidRPr="0011292C">
        <w:rPr>
          <w:rFonts w:cs="Calibri"/>
          <w:szCs w:val="26"/>
          <w:lang w:eastAsia="en-IE"/>
        </w:rPr>
        <w:t xml:space="preserve">These contributions </w:t>
      </w:r>
      <w:r w:rsidRPr="009E498C">
        <w:rPr>
          <w:rFonts w:cs="Calibri"/>
          <w:szCs w:val="26"/>
          <w:lang w:eastAsia="en-IE"/>
        </w:rPr>
        <w:t>demonstrate</w:t>
      </w:r>
      <w:r w:rsidRPr="0011292C">
        <w:rPr>
          <w:rFonts w:cs="Calibri"/>
          <w:szCs w:val="26"/>
          <w:lang w:eastAsia="en-IE"/>
        </w:rPr>
        <w:t xml:space="preserve"> the reality that services are often having to carefully balance their desire to provide a service that meets the best practice principles (for example, ageing in place) against the environmental and regulatory requirements.</w:t>
      </w:r>
      <w:r w:rsidRPr="0011292C">
        <w:rPr>
          <w:rFonts w:ascii="Arial" w:hAnsi="Arial" w:cs="Arial"/>
          <w:szCs w:val="26"/>
          <w:lang w:eastAsia="en-IE"/>
        </w:rPr>
        <w:t> </w:t>
      </w:r>
      <w:r w:rsidRPr="009E498C">
        <w:rPr>
          <w:rFonts w:cs="Calibri"/>
          <w:szCs w:val="26"/>
          <w:lang w:eastAsia="en-IE"/>
        </w:rPr>
        <w:t>They are also doing so in the reality of limited resources, an issue that underpins many of the themes in this report.</w:t>
      </w:r>
    </w:p>
    <w:p w14:paraId="19DCE9F4" w14:textId="77777777" w:rsidR="00A86140" w:rsidRPr="00C00CA8" w:rsidRDefault="00A86140" w:rsidP="001A2B40">
      <w:pPr>
        <w:pStyle w:val="Heading2"/>
      </w:pPr>
      <w:bookmarkStart w:id="249" w:name="_Toc117628776"/>
      <w:bookmarkStart w:id="250" w:name="_Toc118555217"/>
      <w:bookmarkStart w:id="251" w:name="_Toc118558302"/>
      <w:bookmarkStart w:id="252" w:name="_Toc118558375"/>
      <w:bookmarkStart w:id="253" w:name="_Toc121830632"/>
      <w:r w:rsidRPr="00C00CA8">
        <w:t>Resources</w:t>
      </w:r>
      <w:bookmarkEnd w:id="249"/>
      <w:bookmarkEnd w:id="250"/>
      <w:bookmarkEnd w:id="251"/>
      <w:bookmarkEnd w:id="252"/>
      <w:bookmarkEnd w:id="253"/>
    </w:p>
    <w:p w14:paraId="4B07FACD" w14:textId="1605B5BB" w:rsidR="00A86140" w:rsidRPr="009E498C" w:rsidRDefault="00A86140" w:rsidP="00A86140">
      <w:pPr>
        <w:rPr>
          <w:lang w:eastAsia="en-IE"/>
        </w:rPr>
      </w:pPr>
      <w:r w:rsidRPr="11C55A92">
        <w:rPr>
          <w:lang w:eastAsia="en-IE"/>
        </w:rPr>
        <w:t>Throughout this study, respondents and participants repeatedly referred to the difficulties of achieving individually determined, person-focused supports for people with intellectual disabilit</w:t>
      </w:r>
      <w:r w:rsidR="00C85736">
        <w:rPr>
          <w:lang w:eastAsia="en-IE"/>
        </w:rPr>
        <w:t>ies</w:t>
      </w:r>
      <w:r w:rsidRPr="11C55A92">
        <w:rPr>
          <w:lang w:eastAsia="en-IE"/>
        </w:rPr>
        <w:t xml:space="preserve"> as they aged, and needs became more complex. Whilst the fundamental issue was often identified as being one of funding, particularly the challenge of accessing responsive funding from the Health Service Executive, this was usually manifested in the availability of the practical resources required to run a service, particularly accommodation, staffing, healthcare and health/supportive equipment. The findings in these regards will now be presented.</w:t>
      </w:r>
    </w:p>
    <w:p w14:paraId="0C2D570E" w14:textId="77777777" w:rsidR="00A86140" w:rsidRPr="005376DC" w:rsidRDefault="00A86140" w:rsidP="001A2B40">
      <w:pPr>
        <w:pStyle w:val="Heading3"/>
        <w:rPr>
          <w:color w:val="auto"/>
        </w:rPr>
      </w:pPr>
      <w:bookmarkStart w:id="254" w:name="_Toc118558303"/>
      <w:r w:rsidRPr="005376DC">
        <w:rPr>
          <w:color w:val="auto"/>
        </w:rPr>
        <w:t>Staffing</w:t>
      </w:r>
      <w:bookmarkEnd w:id="254"/>
    </w:p>
    <w:p w14:paraId="427159A0" w14:textId="0982327E" w:rsidR="00A86140" w:rsidRPr="009E498C" w:rsidRDefault="00A86140" w:rsidP="11C55A92">
      <w:pPr>
        <w:textAlignment w:val="baseline"/>
        <w:rPr>
          <w:rFonts w:cs="Calibri"/>
          <w:lang w:eastAsia="en-IE"/>
        </w:rPr>
      </w:pPr>
      <w:r w:rsidRPr="11C55A92">
        <w:rPr>
          <w:rFonts w:cs="Calibri"/>
          <w:lang w:eastAsia="en-IE"/>
        </w:rPr>
        <w:t>There are many factors that impact on how services for people with intellectual disabilit</w:t>
      </w:r>
      <w:r w:rsidR="00C85736">
        <w:rPr>
          <w:rFonts w:cs="Calibri"/>
          <w:lang w:eastAsia="en-IE"/>
        </w:rPr>
        <w:t>ies</w:t>
      </w:r>
      <w:r w:rsidRPr="11C55A92">
        <w:rPr>
          <w:rFonts w:cs="Calibri"/>
          <w:lang w:eastAsia="en-IE"/>
        </w:rPr>
        <w:t xml:space="preserve"> are staffed but one principal factor is the changing and complex care needs of persons as they age</w:t>
      </w:r>
      <w:r w:rsidR="37CA4A08" w:rsidRPr="11C55A92">
        <w:rPr>
          <w:rFonts w:cs="Calibri"/>
          <w:lang w:eastAsia="en-IE"/>
        </w:rPr>
        <w:t xml:space="preserve">. </w:t>
      </w:r>
      <w:r w:rsidR="5226AA83" w:rsidRPr="11C55A92">
        <w:rPr>
          <w:rFonts w:cs="Calibri"/>
          <w:lang w:eastAsia="en-IE"/>
        </w:rPr>
        <w:t>I</w:t>
      </w:r>
      <w:r w:rsidRPr="11C55A92">
        <w:rPr>
          <w:rFonts w:cs="Calibri"/>
          <w:lang w:eastAsia="en-IE"/>
        </w:rPr>
        <w:t xml:space="preserve">n order to meet changing/escalating needs, there is a concurrent requirement to titrate the staffing resource against those needs. </w:t>
      </w:r>
      <w:r w:rsidRPr="11C55A92">
        <w:rPr>
          <w:rFonts w:cs="Calibri"/>
          <w:color w:val="000000" w:themeColor="text1"/>
          <w:lang w:eastAsia="en-IE"/>
        </w:rPr>
        <w:t xml:space="preserve">Three quarters (75%, n=21) of survey respondents reported that they had experiences of staffing levels being insufficient to meet need. </w:t>
      </w:r>
      <w:r w:rsidRPr="11C55A92">
        <w:rPr>
          <w:rFonts w:cs="Calibri"/>
          <w:lang w:eastAsia="en-IE"/>
        </w:rPr>
        <w:t xml:space="preserve">To respond to such need, it was observed that services might have to provide additional staff during both day and night-time. It was noted that, even where there was a will and the resources to obtain extra staff, there was frequently difficulties in getting suitably qualified people. Recruiting Registered Intellectual Disability Nurses (RNIDs) was highlighted, in this regard, as a specific, significant difficulty for service: </w:t>
      </w:r>
    </w:p>
    <w:p w14:paraId="1188290B" w14:textId="77777777" w:rsidR="00A86140" w:rsidRPr="009E498C" w:rsidRDefault="00A86140" w:rsidP="00A86140">
      <w:pPr>
        <w:ind w:left="709"/>
        <w:rPr>
          <w:rFonts w:cs="Calibri"/>
          <w:color w:val="000000" w:themeColor="text1"/>
          <w:szCs w:val="26"/>
          <w:lang w:eastAsia="en-IE"/>
        </w:rPr>
      </w:pPr>
      <w:r w:rsidRPr="009E498C">
        <w:rPr>
          <w:rFonts w:cs="Calibri"/>
          <w:i/>
          <w:color w:val="000000" w:themeColor="text1"/>
          <w:szCs w:val="26"/>
          <w:lang w:eastAsia="en-IE"/>
        </w:rPr>
        <w:t>I</w:t>
      </w:r>
      <w:r w:rsidRPr="00A74968">
        <w:rPr>
          <w:rFonts w:cs="Calibri"/>
          <w:i/>
          <w:color w:val="000000" w:themeColor="text1"/>
          <w:szCs w:val="26"/>
          <w:lang w:eastAsia="en-IE"/>
        </w:rPr>
        <w:t>n the last three months, I don’t know how many advertisements we’ve put out for nursing staff and nothing</w:t>
      </w:r>
      <w:r w:rsidRPr="009E498C">
        <w:rPr>
          <w:rFonts w:cs="Calibri"/>
          <w:i/>
          <w:color w:val="000000" w:themeColor="text1"/>
          <w:szCs w:val="26"/>
          <w:lang w:eastAsia="en-IE"/>
        </w:rPr>
        <w:t>,</w:t>
      </w:r>
      <w:r w:rsidRPr="00A74968">
        <w:rPr>
          <w:rFonts w:cs="Calibri"/>
          <w:i/>
          <w:color w:val="000000" w:themeColor="text1"/>
          <w:szCs w:val="26"/>
          <w:lang w:eastAsia="en-IE"/>
        </w:rPr>
        <w:t xml:space="preserve"> nothing</w:t>
      </w:r>
      <w:r w:rsidRPr="009E498C">
        <w:rPr>
          <w:rFonts w:cs="Calibri"/>
          <w:i/>
          <w:color w:val="000000" w:themeColor="text1"/>
          <w:szCs w:val="26"/>
          <w:lang w:eastAsia="en-IE"/>
        </w:rPr>
        <w:t>!</w:t>
      </w:r>
      <w:r w:rsidRPr="00A74968">
        <w:rPr>
          <w:rFonts w:cs="Calibri"/>
          <w:i/>
          <w:color w:val="000000" w:themeColor="text1"/>
          <w:szCs w:val="26"/>
          <w:lang w:eastAsia="en-IE"/>
        </w:rPr>
        <w:t xml:space="preserve"> We’ve never even got to interview…you get a few after the graduation…</w:t>
      </w:r>
      <w:r w:rsidRPr="009E498C">
        <w:rPr>
          <w:rFonts w:cs="Calibri"/>
          <w:i/>
          <w:color w:val="000000" w:themeColor="text1"/>
          <w:szCs w:val="26"/>
          <w:lang w:eastAsia="en-IE"/>
        </w:rPr>
        <w:t>a</w:t>
      </w:r>
      <w:r w:rsidRPr="00A74968">
        <w:rPr>
          <w:rFonts w:cs="Calibri"/>
          <w:i/>
          <w:color w:val="000000" w:themeColor="text1"/>
          <w:szCs w:val="26"/>
          <w:lang w:eastAsia="en-IE"/>
        </w:rPr>
        <w:t>nd that’s probably short term</w:t>
      </w:r>
      <w:r w:rsidRPr="009E498C">
        <w:rPr>
          <w:rFonts w:cs="Calibri"/>
          <w:i/>
          <w:color w:val="000000" w:themeColor="text1"/>
          <w:szCs w:val="26"/>
          <w:lang w:eastAsia="en-IE"/>
        </w:rPr>
        <w:t>…</w:t>
      </w:r>
      <w:r w:rsidRPr="00FF70B1">
        <w:rPr>
          <w:rFonts w:cs="Calibri"/>
          <w:i/>
          <w:color w:val="000000" w:themeColor="text1"/>
          <w:szCs w:val="26"/>
          <w:lang w:eastAsia="en-IE"/>
        </w:rPr>
        <w:t>I suppose the most difficult part</w:t>
      </w:r>
      <w:r w:rsidRPr="009E498C">
        <w:rPr>
          <w:rFonts w:cs="Calibri"/>
          <w:i/>
          <w:color w:val="000000" w:themeColor="text1"/>
          <w:szCs w:val="26"/>
          <w:lang w:eastAsia="en-IE"/>
        </w:rPr>
        <w:t xml:space="preserve"> </w:t>
      </w:r>
      <w:r w:rsidRPr="00FF70B1">
        <w:rPr>
          <w:rFonts w:cs="Calibri"/>
          <w:i/>
          <w:color w:val="000000" w:themeColor="text1"/>
          <w:szCs w:val="26"/>
          <w:lang w:eastAsia="en-IE"/>
        </w:rPr>
        <w:t>would be when someone has palliative care. And they’re actively dying.</w:t>
      </w:r>
      <w:r w:rsidRPr="009E498C">
        <w:rPr>
          <w:rFonts w:cs="Calibri"/>
          <w:color w:val="000000" w:themeColor="text1"/>
          <w:szCs w:val="26"/>
          <w:lang w:eastAsia="en-IE"/>
        </w:rPr>
        <w:t xml:space="preserve"> </w:t>
      </w:r>
      <w:r w:rsidRPr="00A74968">
        <w:rPr>
          <w:rFonts w:cs="Calibri"/>
          <w:color w:val="000000" w:themeColor="text1"/>
          <w:szCs w:val="26"/>
          <w:lang w:eastAsia="en-IE"/>
        </w:rPr>
        <w:t>(</w:t>
      </w:r>
      <w:r w:rsidRPr="00A74968">
        <w:rPr>
          <w:rFonts w:cs="Calibri"/>
          <w:szCs w:val="26"/>
          <w:lang w:eastAsia="en-IE"/>
        </w:rPr>
        <w:t>Ann, D, SS</w:t>
      </w:r>
      <w:r w:rsidRPr="00A74968">
        <w:rPr>
          <w:rFonts w:cs="Calibri"/>
          <w:color w:val="000000" w:themeColor="text1"/>
          <w:szCs w:val="26"/>
          <w:lang w:eastAsia="en-IE"/>
        </w:rPr>
        <w:t>)</w:t>
      </w:r>
      <w:r w:rsidRPr="009E498C">
        <w:rPr>
          <w:rFonts w:cs="Calibri"/>
          <w:color w:val="000000" w:themeColor="text1"/>
          <w:szCs w:val="26"/>
          <w:lang w:eastAsia="en-IE"/>
        </w:rPr>
        <w:t> </w:t>
      </w:r>
    </w:p>
    <w:p w14:paraId="2F9B3D46" w14:textId="77777777" w:rsidR="00A86140" w:rsidRPr="00A74968" w:rsidRDefault="00A86140" w:rsidP="00A86140">
      <w:pPr>
        <w:ind w:left="720"/>
        <w:textAlignment w:val="baseline"/>
        <w:rPr>
          <w:rFonts w:cs="Segoe UI"/>
          <w:szCs w:val="26"/>
          <w:lang w:eastAsia="en-IE"/>
        </w:rPr>
      </w:pPr>
      <w:r w:rsidRPr="00CD128E">
        <w:rPr>
          <w:rFonts w:cs="Calibri"/>
          <w:i/>
          <w:szCs w:val="26"/>
          <w:lang w:eastAsia="en-IE"/>
        </w:rPr>
        <w:t xml:space="preserve">…the shortage of nurses… it's really hampering a lot of planning and a lot of de-congregating and a lot of proposed </w:t>
      </w:r>
      <w:r w:rsidRPr="009E498C">
        <w:rPr>
          <w:rFonts w:cs="Calibri"/>
          <w:i/>
          <w:szCs w:val="26"/>
          <w:lang w:eastAsia="en-IE"/>
        </w:rPr>
        <w:t>transiting. </w:t>
      </w:r>
      <w:r w:rsidRPr="00CD128E">
        <w:rPr>
          <w:rFonts w:cs="Calibri"/>
          <w:szCs w:val="26"/>
          <w:lang w:eastAsia="en-IE"/>
        </w:rPr>
        <w:t>(Michael, M, SS</w:t>
      </w:r>
      <w:r w:rsidRPr="009E498C">
        <w:rPr>
          <w:rFonts w:cs="Calibri"/>
          <w:szCs w:val="26"/>
          <w:lang w:eastAsia="en-IE"/>
        </w:rPr>
        <w:t>) </w:t>
      </w:r>
      <w:r w:rsidRPr="00CD128E">
        <w:rPr>
          <w:rFonts w:cs="Calibri"/>
          <w:szCs w:val="26"/>
          <w:lang w:eastAsia="en-IE"/>
        </w:rPr>
        <w:t> </w:t>
      </w:r>
    </w:p>
    <w:p w14:paraId="718A7BB2" w14:textId="77777777" w:rsidR="00A86140" w:rsidRPr="009E498C" w:rsidRDefault="00A86140" w:rsidP="00A86140">
      <w:pPr>
        <w:rPr>
          <w:rFonts w:cs="Segoe UI"/>
          <w:szCs w:val="26"/>
          <w:lang w:eastAsia="en-IE"/>
        </w:rPr>
      </w:pPr>
      <w:r w:rsidRPr="009E498C">
        <w:rPr>
          <w:rFonts w:cs="Calibri"/>
          <w:szCs w:val="26"/>
          <w:lang w:eastAsia="en-IE"/>
        </w:rPr>
        <w:t>As a response in some services, the RNID coordinated the care across more than one site with the direct care being delivered by social care staff: </w:t>
      </w:r>
    </w:p>
    <w:p w14:paraId="68B850A0" w14:textId="77777777" w:rsidR="00A86140" w:rsidRPr="009E498C" w:rsidRDefault="00A86140" w:rsidP="00A86140">
      <w:pPr>
        <w:ind w:left="720"/>
        <w:rPr>
          <w:rFonts w:cs="Segoe UI"/>
          <w:szCs w:val="26"/>
          <w:lang w:eastAsia="en-IE"/>
        </w:rPr>
      </w:pPr>
      <w:r w:rsidRPr="009E498C">
        <w:rPr>
          <w:rFonts w:cs="Calibri"/>
          <w:i/>
          <w:szCs w:val="26"/>
          <w:lang w:eastAsia="en-IE"/>
        </w:rPr>
        <w:t xml:space="preserve">…it's being staffed solely by social care people, and they are doing a phenomenal job, it's overseen by nursing staff…that are carrying out the role from an external basis…So while we have lots of nursing oversight the people that are providing the hands-on care on a day-to-day basis would come from a social care model. </w:t>
      </w:r>
      <w:r w:rsidRPr="009E498C">
        <w:rPr>
          <w:rFonts w:cs="Calibri"/>
          <w:szCs w:val="26"/>
          <w:lang w:eastAsia="en-IE"/>
        </w:rPr>
        <w:t>(Jane, M, SS)</w:t>
      </w:r>
    </w:p>
    <w:p w14:paraId="01F9F8CC" w14:textId="77777777" w:rsidR="00A86140" w:rsidRPr="00CD128E" w:rsidRDefault="00A86140" w:rsidP="00A86140">
      <w:pPr>
        <w:textAlignment w:val="baseline"/>
        <w:rPr>
          <w:rFonts w:cs="Segoe UI"/>
          <w:szCs w:val="26"/>
          <w:lang w:eastAsia="en-IE"/>
        </w:rPr>
      </w:pPr>
      <w:r w:rsidRPr="009E498C">
        <w:rPr>
          <w:rFonts w:cs="Calibri"/>
          <w:szCs w:val="26"/>
          <w:lang w:eastAsia="en-IE"/>
        </w:rPr>
        <w:t>S</w:t>
      </w:r>
      <w:r w:rsidRPr="00CD128E">
        <w:rPr>
          <w:rFonts w:cs="Calibri"/>
          <w:szCs w:val="26"/>
          <w:lang w:eastAsia="en-IE"/>
        </w:rPr>
        <w:t xml:space="preserve">ervices </w:t>
      </w:r>
      <w:r w:rsidRPr="009E498C">
        <w:rPr>
          <w:rFonts w:cs="Calibri"/>
          <w:szCs w:val="26"/>
          <w:lang w:eastAsia="en-IE"/>
        </w:rPr>
        <w:t>also looked to</w:t>
      </w:r>
      <w:r w:rsidRPr="00CD128E">
        <w:rPr>
          <w:rFonts w:cs="Calibri"/>
          <w:szCs w:val="26"/>
          <w:lang w:eastAsia="en-IE"/>
        </w:rPr>
        <w:t xml:space="preserve"> staff flexibility </w:t>
      </w:r>
      <w:r w:rsidRPr="009E498C">
        <w:rPr>
          <w:rFonts w:cs="Calibri"/>
          <w:szCs w:val="26"/>
          <w:lang w:eastAsia="en-IE"/>
        </w:rPr>
        <w:t>as a way of</w:t>
      </w:r>
      <w:r w:rsidRPr="00CD128E">
        <w:rPr>
          <w:rFonts w:cs="Calibri"/>
          <w:szCs w:val="26"/>
          <w:lang w:eastAsia="en-IE"/>
        </w:rPr>
        <w:t xml:space="preserve"> accommodat</w:t>
      </w:r>
      <w:r w:rsidRPr="009E498C">
        <w:rPr>
          <w:rFonts w:cs="Calibri"/>
          <w:szCs w:val="26"/>
          <w:lang w:eastAsia="en-IE"/>
        </w:rPr>
        <w:t>ing</w:t>
      </w:r>
      <w:r w:rsidRPr="00CD128E">
        <w:rPr>
          <w:rFonts w:cs="Calibri"/>
          <w:szCs w:val="26"/>
          <w:lang w:eastAsia="en-IE"/>
        </w:rPr>
        <w:t xml:space="preserve"> the changing needs of the person</w:t>
      </w:r>
      <w:r w:rsidRPr="009E498C">
        <w:rPr>
          <w:rFonts w:cs="Calibri"/>
          <w:szCs w:val="26"/>
          <w:lang w:eastAsia="en-IE"/>
        </w:rPr>
        <w:t>: </w:t>
      </w:r>
      <w:r w:rsidRPr="00CD128E">
        <w:rPr>
          <w:rFonts w:cs="Calibri"/>
          <w:szCs w:val="26"/>
          <w:lang w:eastAsia="en-IE"/>
        </w:rPr>
        <w:t> </w:t>
      </w:r>
    </w:p>
    <w:p w14:paraId="6DCA6872" w14:textId="77777777" w:rsidR="00A86140" w:rsidRPr="00CD128E" w:rsidRDefault="00A86140" w:rsidP="00A86140">
      <w:pPr>
        <w:ind w:left="720"/>
        <w:textAlignment w:val="baseline"/>
        <w:rPr>
          <w:rFonts w:cs="Segoe UI"/>
          <w:szCs w:val="26"/>
          <w:lang w:eastAsia="en-IE"/>
        </w:rPr>
      </w:pPr>
      <w:r w:rsidRPr="00CD128E">
        <w:rPr>
          <w:rFonts w:cs="Calibri"/>
          <w:i/>
          <w:szCs w:val="26"/>
          <w:lang w:eastAsia="en-IE"/>
        </w:rPr>
        <w:t>…</w:t>
      </w:r>
      <w:r w:rsidRPr="009E498C">
        <w:rPr>
          <w:rFonts w:cs="Calibri"/>
          <w:i/>
          <w:szCs w:val="26"/>
          <w:lang w:eastAsia="en-IE"/>
        </w:rPr>
        <w:t xml:space="preserve">a </w:t>
      </w:r>
      <w:r w:rsidRPr="00CD128E">
        <w:rPr>
          <w:rFonts w:cs="Calibri"/>
          <w:i/>
          <w:szCs w:val="26"/>
          <w:lang w:eastAsia="en-IE"/>
        </w:rPr>
        <w:t>lot of staff doing split shifts to try and cover high support times and balance that out…a lot of flexibility for staff, in order to accommodate what the quality of support people are receiving.</w:t>
      </w:r>
      <w:r w:rsidRPr="00CD128E">
        <w:rPr>
          <w:rFonts w:ascii="Arial" w:hAnsi="Arial" w:cs="Arial"/>
          <w:i/>
          <w:iCs/>
          <w:szCs w:val="26"/>
          <w:lang w:eastAsia="en-IE"/>
        </w:rPr>
        <w:t> </w:t>
      </w:r>
      <w:r w:rsidRPr="00CD128E">
        <w:rPr>
          <w:rFonts w:cs="Calibri"/>
          <w:szCs w:val="26"/>
          <w:lang w:eastAsia="en-IE"/>
        </w:rPr>
        <w:t>(Carol, M, GS)</w:t>
      </w:r>
      <w:r w:rsidRPr="00CD128E">
        <w:rPr>
          <w:rFonts w:ascii="Arial" w:hAnsi="Arial" w:cs="Arial"/>
          <w:szCs w:val="26"/>
          <w:lang w:eastAsia="en-IE"/>
        </w:rPr>
        <w:t>   </w:t>
      </w:r>
      <w:r w:rsidRPr="00CD128E">
        <w:rPr>
          <w:rFonts w:cs="Calibri"/>
          <w:szCs w:val="26"/>
          <w:lang w:eastAsia="en-IE"/>
        </w:rPr>
        <w:t> </w:t>
      </w:r>
    </w:p>
    <w:p w14:paraId="0915E26B" w14:textId="2F32AD5F" w:rsidR="00A86140" w:rsidRPr="009E498C" w:rsidRDefault="00A86140" w:rsidP="00A86140">
      <w:pPr>
        <w:textAlignment w:val="baseline"/>
        <w:rPr>
          <w:rFonts w:cs="Segoe UI"/>
          <w:szCs w:val="26"/>
          <w:lang w:eastAsia="en-IE"/>
        </w:rPr>
      </w:pPr>
      <w:r w:rsidRPr="009E498C">
        <w:rPr>
          <w:rFonts w:cs="Calibri"/>
          <w:szCs w:val="26"/>
          <w:lang w:eastAsia="en-IE"/>
        </w:rPr>
        <w:t xml:space="preserve">This flexibility allowed service houses to maintain the current staff cohort, in acknowledgement of the fact that changes in staff can be a significant source of stress for older people with intellectual disabilities </w:t>
      </w:r>
      <w:r w:rsidRPr="009E498C">
        <w:rPr>
          <w:rFonts w:cs="Calibri"/>
          <w:szCs w:val="26"/>
          <w:lang w:eastAsia="en-IE"/>
        </w:rPr>
        <w:fldChar w:fldCharType="begin"/>
      </w:r>
      <w:r w:rsidR="006A378C">
        <w:rPr>
          <w:rFonts w:cs="Calibri"/>
          <w:szCs w:val="26"/>
          <w:lang w:eastAsia="en-IE"/>
        </w:rPr>
        <w:instrText xml:space="preserve"> ADDIN EN.CITE &lt;EndNote&gt;&lt;Cite&gt;&lt;Author&gt;McCarron&lt;/Author&gt;&lt;Year&gt;2017&lt;/Year&gt;&lt;RecNum&gt;459&lt;/RecNum&gt;&lt;DisplayText&gt;(McCarron et al., 2017b)&lt;/DisplayText&gt;&lt;record&gt;&lt;rec-number&gt;459&lt;/rec-number&gt;&lt;foreign-keys&gt;&lt;key app="EN" db-id="xtwfdzde5ttr0zevxrh5sf0c2wfzw5zf2vra" timestamp="1646131747" guid="a375753f-315a-46ab-abce-35f19b39f85c"&gt;459&lt;/key&gt;&lt;/foreign-keys&gt;&lt;ref-type name="Report"&gt;27&lt;/ref-type&gt;&lt;contributors&gt;&lt;authors&gt;&lt;author&gt;McCarron, Mary&lt;/author&gt;&lt;author&gt;Haigh, Margaret&lt;/author&gt;&lt;author&gt;McCallion, Philip&lt;/author&gt;&lt;author&gt;McCallion, Philip&lt;/author&gt;&lt;author&gt;Carroll, Rachael&lt;/author&gt;&lt;author&gt;Burke, Eilish&lt;/author&gt;&lt;author&gt;McGlinchey, Eimear&lt;/author&gt;&lt;author&gt;O’Donovan, Mary-Ann&lt;/author&gt;&lt;author&gt;McCausland, Darren&lt;/author&gt;&lt;author&gt;Sheerin, Fintan&lt;/author&gt;&lt;/authors&gt;&lt;/contributors&gt;&lt;titles&gt;&lt;title&gt;Health, wellbeing and social inclusion: Ageing with an intellectual disability in Ireland: Evidence from the first ten years of The Intellectual Disability Supplement to The Irish Longitudinal Study on Ageing (IDS-TILDA)&lt;/title&gt;&lt;/titles&gt;&lt;dates&gt;&lt;year&gt;2017&lt;/year&gt;&lt;/dates&gt;&lt;pub-location&gt;Dublin&lt;/pub-location&gt;&lt;publisher&gt;Trinity College Dublin&lt;/publisher&gt;&lt;urls&gt;&lt;/urls&gt;&lt;/record&gt;&lt;/Cite&gt;&lt;/EndNote&gt;</w:instrText>
      </w:r>
      <w:r w:rsidRPr="009E498C">
        <w:rPr>
          <w:rFonts w:cs="Calibri"/>
          <w:szCs w:val="26"/>
          <w:lang w:eastAsia="en-IE"/>
        </w:rPr>
        <w:fldChar w:fldCharType="separate"/>
      </w:r>
      <w:r w:rsidR="00A21A0E">
        <w:rPr>
          <w:rFonts w:cs="Calibri"/>
          <w:szCs w:val="26"/>
          <w:lang w:eastAsia="en-IE"/>
        </w:rPr>
        <w:t>(McCarron et al., 2017b)</w:t>
      </w:r>
      <w:r w:rsidRPr="009E498C">
        <w:rPr>
          <w:rFonts w:cs="Calibri"/>
          <w:szCs w:val="26"/>
          <w:lang w:eastAsia="en-IE"/>
        </w:rPr>
        <w:fldChar w:fldCharType="end"/>
      </w:r>
      <w:r w:rsidRPr="009E498C">
        <w:rPr>
          <w:rFonts w:cs="Calibri"/>
          <w:szCs w:val="26"/>
          <w:lang w:eastAsia="en-IE"/>
        </w:rPr>
        <w:t>. Participants spoke of the dedication and commitment of staff to the those receiving their service:</w:t>
      </w:r>
      <w:r w:rsidRPr="009E498C">
        <w:rPr>
          <w:rFonts w:ascii="Arial" w:hAnsi="Arial" w:cs="Arial"/>
          <w:color w:val="000000"/>
          <w:szCs w:val="26"/>
          <w:lang w:eastAsia="en-IE"/>
        </w:rPr>
        <w:t> </w:t>
      </w:r>
      <w:r w:rsidRPr="009E498C">
        <w:rPr>
          <w:rFonts w:cs="Segoe UI"/>
          <w:color w:val="000000"/>
          <w:szCs w:val="26"/>
          <w:lang w:eastAsia="en-IE"/>
        </w:rPr>
        <w:t> </w:t>
      </w:r>
    </w:p>
    <w:p w14:paraId="279BD6CC" w14:textId="77777777" w:rsidR="00A86140" w:rsidRPr="00061858" w:rsidRDefault="00A86140" w:rsidP="00A86140">
      <w:pPr>
        <w:ind w:left="709"/>
        <w:textAlignment w:val="baseline"/>
        <w:rPr>
          <w:rFonts w:cs="Segoe UI"/>
          <w:szCs w:val="26"/>
          <w:lang w:eastAsia="en-IE"/>
        </w:rPr>
      </w:pPr>
      <w:r w:rsidRPr="009E498C">
        <w:rPr>
          <w:rFonts w:cs="Segoe UI"/>
          <w:szCs w:val="26"/>
          <w:lang w:eastAsia="en-IE"/>
        </w:rPr>
        <w:t>…</w:t>
      </w:r>
      <w:r w:rsidRPr="00061858">
        <w:rPr>
          <w:rFonts w:cs="Calibri"/>
          <w:i/>
          <w:color w:val="000000" w:themeColor="text1"/>
          <w:szCs w:val="26"/>
          <w:lang w:eastAsia="en-IE"/>
        </w:rPr>
        <w:t>since 2015 I have the same staff for both my teams.</w:t>
      </w:r>
      <w:r w:rsidRPr="009E498C">
        <w:rPr>
          <w:rFonts w:cs="Calibri"/>
          <w:i/>
          <w:color w:val="000000" w:themeColor="text1"/>
          <w:szCs w:val="26"/>
          <w:lang w:eastAsia="en-IE"/>
        </w:rPr>
        <w:t> </w:t>
      </w:r>
      <w:r w:rsidRPr="00061858">
        <w:rPr>
          <w:rFonts w:cs="Calibri"/>
          <w:i/>
          <w:color w:val="000000" w:themeColor="text1"/>
          <w:szCs w:val="26"/>
          <w:lang w:eastAsia="en-IE"/>
        </w:rPr>
        <w:t>In one house I'm so proud of nobody has done no relief, no agency has done a sleep</w:t>
      </w:r>
      <w:r w:rsidRPr="009E498C">
        <w:rPr>
          <w:rFonts w:cs="Calibri"/>
          <w:i/>
          <w:color w:val="000000" w:themeColor="text1"/>
          <w:szCs w:val="26"/>
          <w:lang w:eastAsia="en-IE"/>
        </w:rPr>
        <w:t>-</w:t>
      </w:r>
      <w:r w:rsidRPr="00061858">
        <w:rPr>
          <w:rFonts w:cs="Calibri"/>
          <w:i/>
          <w:color w:val="000000" w:themeColor="text1"/>
          <w:szCs w:val="26"/>
          <w:lang w:eastAsia="en-IE"/>
        </w:rPr>
        <w:t>over in over two years.</w:t>
      </w:r>
      <w:r w:rsidRPr="009E498C">
        <w:rPr>
          <w:rFonts w:cs="Calibri"/>
          <w:i/>
          <w:color w:val="000000" w:themeColor="text1"/>
          <w:szCs w:val="26"/>
          <w:lang w:eastAsia="en-IE"/>
        </w:rPr>
        <w:t> The</w:t>
      </w:r>
      <w:r w:rsidRPr="00061858">
        <w:rPr>
          <w:rFonts w:cs="Calibri"/>
          <w:i/>
          <w:color w:val="000000" w:themeColor="text1"/>
          <w:szCs w:val="26"/>
          <w:lang w:eastAsia="en-IE"/>
        </w:rPr>
        <w:t xml:space="preserve"> other house I’ve had…I might have the agency do the day shift but never had to have an agency do the sleep over in that house.</w:t>
      </w:r>
      <w:r w:rsidRPr="009E498C">
        <w:rPr>
          <w:rFonts w:cs="Calibri"/>
          <w:i/>
          <w:color w:val="000000" w:themeColor="text1"/>
          <w:szCs w:val="26"/>
          <w:lang w:eastAsia="en-IE"/>
        </w:rPr>
        <w:t> That’s</w:t>
      </w:r>
      <w:r w:rsidRPr="00061858">
        <w:rPr>
          <w:rFonts w:cs="Calibri"/>
          <w:i/>
          <w:color w:val="000000" w:themeColor="text1"/>
          <w:szCs w:val="26"/>
          <w:lang w:eastAsia="en-IE"/>
        </w:rPr>
        <w:t xml:space="preserve"> because the staff and the level of commitment…</w:t>
      </w:r>
      <w:r w:rsidRPr="009E498C">
        <w:rPr>
          <w:rFonts w:cs="Calibri"/>
          <w:i/>
          <w:color w:val="000000" w:themeColor="text1"/>
          <w:szCs w:val="26"/>
          <w:lang w:eastAsia="en-IE"/>
        </w:rPr>
        <w:t>t</w:t>
      </w:r>
      <w:r w:rsidRPr="00061858">
        <w:rPr>
          <w:rFonts w:cs="Calibri"/>
          <w:i/>
          <w:color w:val="000000" w:themeColor="text1"/>
          <w:szCs w:val="26"/>
          <w:lang w:eastAsia="en-IE"/>
        </w:rPr>
        <w:t>he level of care they have for the service users, it is brilliant</w:t>
      </w:r>
      <w:r w:rsidRPr="009E498C">
        <w:rPr>
          <w:rFonts w:cs="Calibri"/>
          <w:i/>
          <w:color w:val="000000" w:themeColor="text1"/>
          <w:szCs w:val="26"/>
          <w:lang w:eastAsia="en-IE"/>
        </w:rPr>
        <w:t>! </w:t>
      </w:r>
      <w:r w:rsidRPr="00061858">
        <w:rPr>
          <w:rFonts w:cs="Calibri"/>
          <w:color w:val="000000" w:themeColor="text1"/>
          <w:szCs w:val="26"/>
          <w:lang w:eastAsia="en-IE"/>
        </w:rPr>
        <w:t>(</w:t>
      </w:r>
      <w:r w:rsidRPr="00061858">
        <w:rPr>
          <w:rFonts w:cs="Calibri"/>
          <w:szCs w:val="26"/>
          <w:lang w:eastAsia="en-IE"/>
        </w:rPr>
        <w:t>Freda, D, SS</w:t>
      </w:r>
      <w:r w:rsidRPr="00061858">
        <w:rPr>
          <w:rFonts w:cs="Calibri"/>
          <w:color w:val="000000" w:themeColor="text1"/>
          <w:szCs w:val="26"/>
          <w:lang w:eastAsia="en-IE"/>
        </w:rPr>
        <w:t>)</w:t>
      </w:r>
      <w:r w:rsidRPr="009E498C">
        <w:rPr>
          <w:rFonts w:cs="Calibri"/>
          <w:color w:val="000000" w:themeColor="text1"/>
          <w:szCs w:val="26"/>
          <w:lang w:eastAsia="en-IE"/>
        </w:rPr>
        <w:t> </w:t>
      </w:r>
      <w:r w:rsidRPr="00061858">
        <w:rPr>
          <w:rFonts w:cs="Calibri"/>
          <w:color w:val="000000" w:themeColor="text1"/>
          <w:szCs w:val="26"/>
          <w:lang w:eastAsia="en-IE"/>
        </w:rPr>
        <w:t> </w:t>
      </w:r>
    </w:p>
    <w:p w14:paraId="208C253B" w14:textId="1071591B" w:rsidR="00A86140" w:rsidRPr="009E498C" w:rsidRDefault="00A86140" w:rsidP="00A86140">
      <w:pPr>
        <w:rPr>
          <w:rFonts w:cs="Calibri"/>
          <w:szCs w:val="26"/>
          <w:lang w:eastAsia="en-IE"/>
        </w:rPr>
      </w:pPr>
      <w:r w:rsidRPr="009E498C">
        <w:rPr>
          <w:rFonts w:cs="Calibri"/>
          <w:szCs w:val="26"/>
          <w:lang w:eastAsia="en-IE"/>
        </w:rPr>
        <w:t>Forced dependency on agency staff was an issue of concern; not only did lead to discontinuity for the older person, but few agency nurses have training in, or experience of, working with people with intellectual disabilit</w:t>
      </w:r>
      <w:r w:rsidR="00C85736">
        <w:rPr>
          <w:rFonts w:cs="Calibri"/>
          <w:szCs w:val="26"/>
          <w:lang w:eastAsia="en-IE"/>
        </w:rPr>
        <w:t>ies</w:t>
      </w:r>
      <w:r w:rsidRPr="009E498C">
        <w:rPr>
          <w:rFonts w:cs="Calibri"/>
          <w:szCs w:val="26"/>
          <w:lang w:eastAsia="en-IE"/>
        </w:rPr>
        <w:t>:</w:t>
      </w:r>
    </w:p>
    <w:p w14:paraId="3B7D0919" w14:textId="1F271AD3" w:rsidR="00A86140" w:rsidRPr="009E498C" w:rsidRDefault="00A86140" w:rsidP="00A86140">
      <w:pPr>
        <w:ind w:left="709"/>
        <w:rPr>
          <w:rFonts w:cs="Calibri"/>
          <w:lang w:eastAsia="en-IE"/>
        </w:rPr>
      </w:pPr>
      <w:r w:rsidRPr="04C66799">
        <w:rPr>
          <w:rFonts w:eastAsia="Calibri" w:cs="Calibri"/>
          <w:i/>
        </w:rPr>
        <w:t xml:space="preserve">Yea, I suppose at the moment here where I’m working our complement is eight staff nurses, but we’ve only got four at the minute...you might have one familiar nurse on and then the second nurse would be agency staff…there could be different agency staff every day…and you don’t know what background they have got…And recently we had a recruitment drive and there was no nurses you know interviewed that day. So yeah. it’s going to be a huge challenge. </w:t>
      </w:r>
      <w:r w:rsidRPr="04C66799">
        <w:rPr>
          <w:rFonts w:eastAsia="Calibri" w:cs="Calibri"/>
        </w:rPr>
        <w:t xml:space="preserve">(Betty, </w:t>
      </w:r>
      <w:r w:rsidR="1ECF9EF3" w:rsidRPr="04C66799">
        <w:rPr>
          <w:rFonts w:eastAsia="Calibri" w:cs="Calibri"/>
        </w:rPr>
        <w:t>D</w:t>
      </w:r>
      <w:r w:rsidRPr="04C66799">
        <w:rPr>
          <w:rFonts w:eastAsia="Calibri" w:cs="Calibri"/>
        </w:rPr>
        <w:t>, SS)</w:t>
      </w:r>
    </w:p>
    <w:p w14:paraId="46D2D48E" w14:textId="70A3C72F" w:rsidR="00A86140" w:rsidRPr="009E498C" w:rsidRDefault="00A86140" w:rsidP="5F23F1D8">
      <w:pPr>
        <w:textAlignment w:val="baseline"/>
        <w:rPr>
          <w:rFonts w:cs="Calibri"/>
          <w:color w:val="FF0000"/>
          <w:lang w:eastAsia="en-IE"/>
        </w:rPr>
      </w:pPr>
      <w:r w:rsidRPr="5F23F1D8">
        <w:rPr>
          <w:rFonts w:cs="Calibri"/>
          <w:lang w:eastAsia="en-IE"/>
        </w:rPr>
        <w:t>A consequence of inadequate staffing may be that a person cannot continue to be cared for in their own home and may need to be transferred to other generic locations, such as nursing homes.</w:t>
      </w:r>
      <w:r w:rsidR="00991E69">
        <w:rPr>
          <w:rFonts w:cs="Calibri"/>
          <w:lang w:eastAsia="en-IE"/>
        </w:rPr>
        <w:t xml:space="preserve"> </w:t>
      </w:r>
      <w:r w:rsidRPr="5F23F1D8">
        <w:rPr>
          <w:rFonts w:cs="Calibri"/>
          <w:lang w:eastAsia="en-IE"/>
        </w:rPr>
        <w:t xml:space="preserve">This issue was also highlighted in the narrative comments of survey respondents, one of whom noted that their </w:t>
      </w:r>
      <w:r w:rsidRPr="5F23F1D8">
        <w:rPr>
          <w:rStyle w:val="normaltextrun"/>
          <w:rFonts w:cs="Calibri"/>
        </w:rPr>
        <w:t>‘</w:t>
      </w:r>
      <w:r w:rsidRPr="1BDE96FF">
        <w:rPr>
          <w:rStyle w:val="normaltextrun"/>
          <w:rFonts w:cs="Calibri"/>
          <w:i/>
        </w:rPr>
        <w:t>service is totally under-resourced to meet the changing needs of our elderly population, particularly those living in single staff houses with stairs in the community</w:t>
      </w:r>
      <w:r w:rsidRPr="5F23F1D8">
        <w:rPr>
          <w:rStyle w:val="normaltextrun"/>
          <w:rFonts w:cs="Calibri"/>
        </w:rPr>
        <w:t>’</w:t>
      </w:r>
      <w:r w:rsidRPr="1BDE96FF">
        <w:rPr>
          <w:rStyle w:val="normaltextrun"/>
          <w:rFonts w:cs="Calibri"/>
          <w:i/>
        </w:rPr>
        <w:t>.</w:t>
      </w:r>
      <w:r w:rsidRPr="5F23F1D8">
        <w:rPr>
          <w:rStyle w:val="normaltextrun"/>
          <w:rFonts w:cs="Calibri"/>
        </w:rPr>
        <w:t> </w:t>
      </w:r>
      <w:r w:rsidRPr="5F23F1D8">
        <w:rPr>
          <w:rFonts w:cs="Calibri"/>
          <w:lang w:eastAsia="en-IE"/>
        </w:rPr>
        <w:t>Another suggested that staffing issues ‘</w:t>
      </w:r>
      <w:r w:rsidRPr="1BDE96FF">
        <w:rPr>
          <w:rFonts w:cs="Calibri"/>
          <w:i/>
          <w:lang w:eastAsia="en-IE"/>
        </w:rPr>
        <w:t>impact negatively on the person’s ability to age in place</w:t>
      </w:r>
      <w:r w:rsidRPr="5F23F1D8">
        <w:rPr>
          <w:rFonts w:cs="Calibri"/>
          <w:lang w:eastAsia="en-IE"/>
        </w:rPr>
        <w:t xml:space="preserve">’. </w:t>
      </w:r>
    </w:p>
    <w:p w14:paraId="2EEAEAD9" w14:textId="6D4B723C" w:rsidR="3A4279C1" w:rsidRDefault="3A4279C1" w:rsidP="5F23F1D8">
      <w:pPr>
        <w:rPr>
          <w:rFonts w:cs="Calibri"/>
          <w:lang w:eastAsia="en-IE"/>
        </w:rPr>
      </w:pPr>
      <w:r w:rsidRPr="5F23F1D8">
        <w:rPr>
          <w:rFonts w:cs="Calibri"/>
          <w:lang w:eastAsia="en-IE"/>
        </w:rPr>
        <w:t>However</w:t>
      </w:r>
      <w:r w:rsidR="000574A8">
        <w:rPr>
          <w:rFonts w:cs="Calibri"/>
          <w:lang w:eastAsia="en-IE"/>
        </w:rPr>
        <w:t>,</w:t>
      </w:r>
      <w:r w:rsidRPr="5F23F1D8">
        <w:rPr>
          <w:rFonts w:cs="Calibri"/>
          <w:lang w:eastAsia="en-IE"/>
        </w:rPr>
        <w:t xml:space="preserve"> services</w:t>
      </w:r>
      <w:r w:rsidR="4B392177" w:rsidRPr="5F23F1D8">
        <w:rPr>
          <w:rFonts w:cs="Calibri"/>
          <w:lang w:eastAsia="en-IE"/>
        </w:rPr>
        <w:t xml:space="preserve"> and family members </w:t>
      </w:r>
      <w:r w:rsidRPr="5F23F1D8">
        <w:rPr>
          <w:rFonts w:cs="Calibri"/>
          <w:lang w:eastAsia="en-IE"/>
        </w:rPr>
        <w:t>may continue to deploy significant resources to s</w:t>
      </w:r>
      <w:r w:rsidR="1EFBB45C" w:rsidRPr="5F23F1D8">
        <w:rPr>
          <w:rFonts w:cs="Calibri"/>
          <w:lang w:eastAsia="en-IE"/>
        </w:rPr>
        <w:t>upport individuals who have transferred to a community nursing home.</w:t>
      </w:r>
      <w:r w:rsidRPr="5F23F1D8">
        <w:rPr>
          <w:rFonts w:cs="Calibri"/>
          <w:lang w:eastAsia="en-IE"/>
        </w:rPr>
        <w:t xml:space="preserve"> Two siblings were adamant that such supplementary support was essential</w:t>
      </w:r>
      <w:r w:rsidR="734FA30F" w:rsidRPr="5F23F1D8">
        <w:rPr>
          <w:rFonts w:cs="Calibri"/>
          <w:lang w:eastAsia="en-IE"/>
        </w:rPr>
        <w:t xml:space="preserve"> to ensure that their family member received an adequate servi</w:t>
      </w:r>
      <w:r w:rsidR="7511785C" w:rsidRPr="5F23F1D8">
        <w:rPr>
          <w:rFonts w:cs="Calibri"/>
          <w:lang w:eastAsia="en-IE"/>
        </w:rPr>
        <w:t>ce</w:t>
      </w:r>
      <w:r w:rsidRPr="5F23F1D8">
        <w:rPr>
          <w:rFonts w:cs="Calibri"/>
          <w:lang w:eastAsia="en-IE"/>
        </w:rPr>
        <w:t>:</w:t>
      </w:r>
    </w:p>
    <w:p w14:paraId="38E69F7C" w14:textId="24B90268" w:rsidR="3A4279C1" w:rsidRDefault="3A4279C1" w:rsidP="5F23F1D8">
      <w:pPr>
        <w:spacing w:after="160"/>
        <w:ind w:left="709"/>
        <w:rPr>
          <w:rFonts w:eastAsia="Calibri" w:cs="Calibri"/>
          <w:i/>
          <w:lang w:eastAsia="en-IE"/>
        </w:rPr>
      </w:pPr>
      <w:r w:rsidRPr="5F23F1D8">
        <w:rPr>
          <w:rFonts w:eastAsia="Calibri" w:cs="Calibri"/>
          <w:i/>
          <w:lang w:val="en-GB" w:eastAsia="en-IE"/>
        </w:rPr>
        <w:t xml:space="preserve">And the plan was, when the staff were trained up and able and ready and have </w:t>
      </w:r>
      <w:r>
        <w:tab/>
      </w:r>
      <w:r>
        <w:tab/>
      </w:r>
      <w:r w:rsidRPr="5F23F1D8">
        <w:rPr>
          <w:rFonts w:eastAsia="Calibri" w:cs="Calibri"/>
          <w:i/>
          <w:lang w:val="en-GB" w:eastAsia="en-IE"/>
        </w:rPr>
        <w:t>assigned people to look after…</w:t>
      </w:r>
      <w:r w:rsidRPr="5F23F1D8">
        <w:rPr>
          <w:rFonts w:eastAsia="Calibri" w:cs="Calibri"/>
          <w:lang w:val="en-GB" w:eastAsia="en-IE"/>
        </w:rPr>
        <w:t>[person’s name]</w:t>
      </w:r>
      <w:r w:rsidRPr="5F23F1D8">
        <w:rPr>
          <w:rFonts w:eastAsia="Calibri" w:cs="Calibri"/>
          <w:i/>
          <w:lang w:val="en-GB" w:eastAsia="en-IE"/>
        </w:rPr>
        <w:t>…</w:t>
      </w:r>
      <w:r w:rsidRPr="5F23F1D8">
        <w:rPr>
          <w:rFonts w:eastAsia="Calibri" w:cs="Calibri"/>
          <w:lang w:val="en-GB" w:eastAsia="en-IE"/>
        </w:rPr>
        <w:t>[service name]</w:t>
      </w:r>
      <w:r w:rsidRPr="5F23F1D8">
        <w:rPr>
          <w:rFonts w:eastAsia="Calibri" w:cs="Calibri"/>
          <w:i/>
          <w:lang w:val="en-GB" w:eastAsia="en-IE"/>
        </w:rPr>
        <w:t>…would become more of “we’ll drop in and visit.” Or they were to take a step back. But it ended up with…</w:t>
      </w:r>
      <w:r w:rsidRPr="5F23F1D8">
        <w:rPr>
          <w:rFonts w:eastAsia="Calibri" w:cs="Calibri"/>
          <w:lang w:val="en-GB" w:eastAsia="en-IE"/>
        </w:rPr>
        <w:t>[service name]</w:t>
      </w:r>
      <w:r w:rsidRPr="5F23F1D8">
        <w:rPr>
          <w:rFonts w:eastAsia="Calibri" w:cs="Calibri"/>
          <w:i/>
          <w:lang w:val="en-GB" w:eastAsia="en-IE"/>
        </w:rPr>
        <w:t>…looking after…</w:t>
      </w:r>
      <w:r w:rsidRPr="5F23F1D8">
        <w:rPr>
          <w:rFonts w:eastAsia="Calibri" w:cs="Calibri"/>
          <w:lang w:val="en-GB" w:eastAsia="en-IE"/>
        </w:rPr>
        <w:t>[person’s name]</w:t>
      </w:r>
      <w:r w:rsidRPr="5F23F1D8">
        <w:rPr>
          <w:rFonts w:eastAsia="Calibri" w:cs="Calibri"/>
          <w:i/>
          <w:lang w:val="en-GB" w:eastAsia="en-IE"/>
        </w:rPr>
        <w:t xml:space="preserve"> from 10 o’clock in the morning till 6 o’clock in the evening and them taking over for the night-time.</w:t>
      </w:r>
      <w:r w:rsidR="00991E69">
        <w:rPr>
          <w:rFonts w:eastAsia="Calibri" w:cs="Calibri"/>
          <w:i/>
          <w:lang w:val="en-GB" w:eastAsia="en-IE"/>
        </w:rPr>
        <w:t xml:space="preserve"> </w:t>
      </w:r>
      <w:r w:rsidRPr="5F23F1D8">
        <w:rPr>
          <w:rFonts w:eastAsia="Calibri" w:cs="Calibri"/>
          <w:lang w:eastAsia="en-IE"/>
        </w:rPr>
        <w:t xml:space="preserve">(Fiona, </w:t>
      </w:r>
      <w:r w:rsidR="00F21B6A">
        <w:rPr>
          <w:rFonts w:eastAsia="Calibri" w:cs="Calibri"/>
          <w:lang w:eastAsia="en-IE"/>
        </w:rPr>
        <w:t>Fam</w:t>
      </w:r>
      <w:r w:rsidRPr="5F23F1D8">
        <w:rPr>
          <w:rFonts w:eastAsia="Calibri" w:cs="Calibri"/>
          <w:lang w:eastAsia="en-IE"/>
        </w:rPr>
        <w:t>)</w:t>
      </w:r>
    </w:p>
    <w:p w14:paraId="32C65818" w14:textId="19272ABC" w:rsidR="5F23F1D8" w:rsidRDefault="3A4279C1" w:rsidP="00687AFF">
      <w:pPr>
        <w:spacing w:after="160"/>
        <w:ind w:left="720"/>
        <w:rPr>
          <w:rFonts w:cs="Calibri"/>
          <w:lang w:eastAsia="en-IE"/>
        </w:rPr>
      </w:pPr>
      <w:r w:rsidRPr="5F23F1D8">
        <w:rPr>
          <w:rFonts w:eastAsia="Calibri" w:cs="Calibri"/>
          <w:i/>
          <w:lang w:eastAsia="en-IE"/>
        </w:rPr>
        <w:t>The staffing level was very low, I would say minimal, but it was a very good nursing home…we trusted the matron there and the staff; it was very well run, but for example, they wouldn’t have somebody to sit with…</w:t>
      </w:r>
      <w:r w:rsidRPr="5F23F1D8">
        <w:rPr>
          <w:rFonts w:eastAsia="Calibri" w:cs="Calibri"/>
          <w:lang w:eastAsia="en-IE"/>
        </w:rPr>
        <w:t>[</w:t>
      </w:r>
      <w:r w:rsidRPr="5F23F1D8">
        <w:rPr>
          <w:rFonts w:eastAsia="Calibri" w:cs="Calibri"/>
          <w:lang w:val="en-GB" w:eastAsia="en-IE"/>
        </w:rPr>
        <w:t>person’s name]</w:t>
      </w:r>
      <w:r w:rsidRPr="5F23F1D8">
        <w:rPr>
          <w:rFonts w:eastAsia="Calibri" w:cs="Calibri"/>
          <w:i/>
          <w:lang w:eastAsia="en-IE"/>
        </w:rPr>
        <w:t>…at night, they'd just look in. So, I did the night duty, I sat with him during the night…and one of the service provider staff, came in during the day then for me.</w:t>
      </w:r>
      <w:r w:rsidR="00687AFF">
        <w:rPr>
          <w:rFonts w:eastAsia="Calibri" w:cs="Calibri"/>
          <w:i/>
          <w:lang w:eastAsia="en-IE"/>
        </w:rPr>
        <w:t xml:space="preserve"> </w:t>
      </w:r>
      <w:r w:rsidR="00687AFF">
        <w:rPr>
          <w:rFonts w:eastAsia="Calibri" w:cs="Calibri"/>
          <w:lang w:eastAsia="en-IE"/>
        </w:rPr>
        <w:t>(Nancy, Fam)</w:t>
      </w:r>
    </w:p>
    <w:p w14:paraId="21312893" w14:textId="77777777" w:rsidR="00A86140" w:rsidRPr="00CD128E" w:rsidRDefault="00A86140" w:rsidP="00A86140">
      <w:pPr>
        <w:textAlignment w:val="baseline"/>
        <w:rPr>
          <w:rFonts w:cs="Segoe UI"/>
          <w:szCs w:val="26"/>
          <w:lang w:eastAsia="en-IE"/>
        </w:rPr>
      </w:pPr>
      <w:r w:rsidRPr="009E498C">
        <w:rPr>
          <w:rFonts w:cs="Calibri"/>
          <w:szCs w:val="26"/>
          <w:lang w:eastAsia="en-IE"/>
        </w:rPr>
        <w:t>A further issue noted by service managers was the difficulty</w:t>
      </w:r>
      <w:r w:rsidRPr="00CD128E">
        <w:rPr>
          <w:rFonts w:cs="Calibri"/>
          <w:szCs w:val="26"/>
          <w:lang w:eastAsia="en-IE"/>
        </w:rPr>
        <w:t xml:space="preserve"> in getting staff to take on positions of responsibility</w:t>
      </w:r>
      <w:r w:rsidRPr="009E498C">
        <w:rPr>
          <w:rFonts w:cs="Calibri"/>
          <w:szCs w:val="26"/>
          <w:lang w:eastAsia="en-IE"/>
        </w:rPr>
        <w:t>; this also impacted on service delivery</w:t>
      </w:r>
      <w:r w:rsidRPr="00CD128E">
        <w:rPr>
          <w:rFonts w:cs="Calibri"/>
          <w:szCs w:val="26"/>
          <w:lang w:eastAsia="en-IE"/>
        </w:rPr>
        <w:t>. It was also acknowledged</w:t>
      </w:r>
      <w:r w:rsidRPr="009E498C">
        <w:rPr>
          <w:rFonts w:cs="Calibri"/>
          <w:szCs w:val="26"/>
          <w:lang w:eastAsia="en-IE"/>
        </w:rPr>
        <w:t>, though, that</w:t>
      </w:r>
      <w:r w:rsidRPr="00CD128E">
        <w:rPr>
          <w:rFonts w:cs="Calibri"/>
          <w:szCs w:val="26"/>
          <w:lang w:eastAsia="en-IE"/>
        </w:rPr>
        <w:t xml:space="preserve"> it is not only about filling these posts but the</w:t>
      </w:r>
      <w:r w:rsidRPr="009E498C">
        <w:rPr>
          <w:rFonts w:cs="Calibri"/>
          <w:szCs w:val="26"/>
          <w:lang w:eastAsia="en-IE"/>
        </w:rPr>
        <w:t>re is also a</w:t>
      </w:r>
      <w:r w:rsidRPr="00CD128E">
        <w:rPr>
          <w:rFonts w:cs="Calibri"/>
          <w:szCs w:val="26"/>
          <w:lang w:eastAsia="en-IE"/>
        </w:rPr>
        <w:t xml:space="preserve"> need to support staff in </w:t>
      </w:r>
      <w:r w:rsidRPr="009E498C">
        <w:rPr>
          <w:rFonts w:cs="Calibri"/>
          <w:szCs w:val="26"/>
          <w:lang w:eastAsia="en-IE"/>
        </w:rPr>
        <w:t>such</w:t>
      </w:r>
      <w:r w:rsidRPr="00CD128E">
        <w:rPr>
          <w:rFonts w:cs="Calibri"/>
          <w:szCs w:val="26"/>
          <w:lang w:eastAsia="en-IE"/>
        </w:rPr>
        <w:t xml:space="preserve"> positions</w:t>
      </w:r>
      <w:r w:rsidRPr="009E498C">
        <w:rPr>
          <w:rFonts w:cs="Calibri"/>
          <w:szCs w:val="26"/>
          <w:lang w:eastAsia="en-IE"/>
        </w:rPr>
        <w:t>:  </w:t>
      </w:r>
      <w:r w:rsidRPr="00CD128E">
        <w:rPr>
          <w:rFonts w:cs="Calibri"/>
          <w:szCs w:val="26"/>
          <w:lang w:eastAsia="en-IE"/>
        </w:rPr>
        <w:t> </w:t>
      </w:r>
    </w:p>
    <w:p w14:paraId="75EE52D6" w14:textId="77777777" w:rsidR="00A86140" w:rsidRPr="00CD128E" w:rsidRDefault="00A86140" w:rsidP="00A86140">
      <w:pPr>
        <w:ind w:left="720"/>
        <w:textAlignment w:val="baseline"/>
        <w:rPr>
          <w:rFonts w:cs="Segoe UI"/>
          <w:szCs w:val="26"/>
          <w:lang w:eastAsia="en-IE"/>
        </w:rPr>
      </w:pPr>
      <w:r w:rsidRPr="009E498C">
        <w:rPr>
          <w:rFonts w:cs="Calibri"/>
          <w:i/>
          <w:szCs w:val="26"/>
          <w:lang w:eastAsia="en-IE"/>
        </w:rPr>
        <w:t>…</w:t>
      </w:r>
      <w:r w:rsidRPr="00CD128E">
        <w:rPr>
          <w:rFonts w:cs="Calibri"/>
          <w:i/>
          <w:szCs w:val="26"/>
          <w:lang w:eastAsia="en-IE"/>
        </w:rPr>
        <w:t>trying to encourage people to step up to the likes of…</w:t>
      </w:r>
      <w:r w:rsidRPr="009E498C">
        <w:rPr>
          <w:rFonts w:cs="Calibri"/>
          <w:i/>
          <w:szCs w:val="26"/>
          <w:lang w:eastAsia="en-IE"/>
        </w:rPr>
        <w:t>c</w:t>
      </w:r>
      <w:r w:rsidRPr="00CD128E">
        <w:rPr>
          <w:rFonts w:cs="Calibri"/>
          <w:i/>
          <w:szCs w:val="26"/>
          <w:lang w:eastAsia="en-IE"/>
        </w:rPr>
        <w:t xml:space="preserve">ertified </w:t>
      </w:r>
      <w:r w:rsidRPr="009E498C">
        <w:rPr>
          <w:rFonts w:cs="Calibri"/>
          <w:i/>
          <w:szCs w:val="26"/>
          <w:lang w:eastAsia="en-IE"/>
        </w:rPr>
        <w:t>n</w:t>
      </w:r>
      <w:r w:rsidRPr="00CD128E">
        <w:rPr>
          <w:rFonts w:cs="Calibri"/>
          <w:i/>
          <w:szCs w:val="26"/>
          <w:lang w:eastAsia="en-IE"/>
        </w:rPr>
        <w:t xml:space="preserve">ursing </w:t>
      </w:r>
      <w:r w:rsidRPr="009E498C">
        <w:rPr>
          <w:rFonts w:cs="Calibri"/>
          <w:i/>
          <w:szCs w:val="26"/>
          <w:lang w:eastAsia="en-IE"/>
        </w:rPr>
        <w:t>a</w:t>
      </w:r>
      <w:r w:rsidRPr="00CD128E">
        <w:rPr>
          <w:rFonts w:cs="Calibri"/>
          <w:i/>
          <w:szCs w:val="26"/>
          <w:lang w:eastAsia="en-IE"/>
        </w:rPr>
        <w:t>ssistant, C</w:t>
      </w:r>
      <w:r w:rsidRPr="009E498C">
        <w:rPr>
          <w:rFonts w:cs="Calibri"/>
          <w:i/>
          <w:szCs w:val="26"/>
          <w:lang w:eastAsia="en-IE"/>
        </w:rPr>
        <w:t>N</w:t>
      </w:r>
      <w:r w:rsidRPr="00CD128E">
        <w:rPr>
          <w:rFonts w:cs="Calibri"/>
          <w:i/>
          <w:szCs w:val="26"/>
          <w:lang w:eastAsia="en-IE"/>
        </w:rPr>
        <w:t>M1, C</w:t>
      </w:r>
      <w:r w:rsidRPr="009E498C">
        <w:rPr>
          <w:rFonts w:cs="Calibri"/>
          <w:i/>
          <w:szCs w:val="26"/>
          <w:lang w:eastAsia="en-IE"/>
        </w:rPr>
        <w:t>N</w:t>
      </w:r>
      <w:r w:rsidRPr="00CD128E">
        <w:rPr>
          <w:rFonts w:cs="Calibri"/>
          <w:i/>
          <w:szCs w:val="26"/>
          <w:lang w:eastAsia="en-IE"/>
        </w:rPr>
        <w:t>M2 positions…I think even if you had the number of nurses it's trying to make sure that the organisation has supports in place that for those positions in a good way</w:t>
      </w:r>
      <w:r w:rsidRPr="009E498C">
        <w:rPr>
          <w:rFonts w:cs="Calibri"/>
          <w:i/>
          <w:szCs w:val="26"/>
          <w:lang w:eastAsia="en-IE"/>
        </w:rPr>
        <w:t>.</w:t>
      </w:r>
      <w:r w:rsidRPr="00CD128E">
        <w:rPr>
          <w:rFonts w:cs="Calibri"/>
          <w:szCs w:val="26"/>
          <w:lang w:eastAsia="en-IE"/>
        </w:rPr>
        <w:t xml:space="preserve"> (Michael, M, SS)</w:t>
      </w:r>
    </w:p>
    <w:p w14:paraId="52ECC7DD" w14:textId="77777777" w:rsidR="00A86140" w:rsidRPr="00CD128E" w:rsidRDefault="00A86140" w:rsidP="00A86140">
      <w:pPr>
        <w:textAlignment w:val="baseline"/>
        <w:rPr>
          <w:rFonts w:cs="Segoe UI"/>
          <w:szCs w:val="26"/>
          <w:lang w:eastAsia="en-IE"/>
        </w:rPr>
      </w:pPr>
      <w:r w:rsidRPr="009E498C">
        <w:rPr>
          <w:rFonts w:cs="Calibri"/>
          <w:szCs w:val="26"/>
          <w:lang w:eastAsia="en-IE"/>
        </w:rPr>
        <w:t xml:space="preserve">One </w:t>
      </w:r>
      <w:r w:rsidRPr="00CD128E">
        <w:rPr>
          <w:rFonts w:cs="Calibri"/>
          <w:szCs w:val="26"/>
          <w:lang w:eastAsia="en-IE"/>
        </w:rPr>
        <w:t xml:space="preserve">result of the </w:t>
      </w:r>
      <w:r w:rsidRPr="009E498C">
        <w:rPr>
          <w:rFonts w:cs="Calibri"/>
          <w:szCs w:val="26"/>
          <w:lang w:eastAsia="en-IE"/>
        </w:rPr>
        <w:t>such</w:t>
      </w:r>
      <w:r w:rsidRPr="00CD128E">
        <w:rPr>
          <w:rFonts w:cs="Calibri"/>
          <w:szCs w:val="26"/>
          <w:lang w:eastAsia="en-IE"/>
        </w:rPr>
        <w:t xml:space="preserve"> shortages </w:t>
      </w:r>
      <w:r w:rsidRPr="009E498C">
        <w:rPr>
          <w:rFonts w:cs="Calibri"/>
          <w:szCs w:val="26"/>
          <w:lang w:eastAsia="en-IE"/>
        </w:rPr>
        <w:t xml:space="preserve">has been that </w:t>
      </w:r>
      <w:r w:rsidRPr="00CD128E">
        <w:rPr>
          <w:rFonts w:cs="Calibri"/>
          <w:szCs w:val="26"/>
          <w:lang w:eastAsia="en-IE"/>
        </w:rPr>
        <w:t xml:space="preserve">care assistants are </w:t>
      </w:r>
      <w:r w:rsidRPr="009E498C">
        <w:rPr>
          <w:rFonts w:cs="Calibri"/>
          <w:szCs w:val="26"/>
          <w:lang w:eastAsia="en-IE"/>
        </w:rPr>
        <w:t xml:space="preserve">increasingly </w:t>
      </w:r>
      <w:r w:rsidRPr="00CD128E">
        <w:rPr>
          <w:rFonts w:cs="Calibri"/>
          <w:szCs w:val="26"/>
          <w:lang w:eastAsia="en-IE"/>
        </w:rPr>
        <w:t>carrying out</w:t>
      </w:r>
      <w:r w:rsidRPr="009E498C">
        <w:rPr>
          <w:rFonts w:cs="Calibri"/>
          <w:szCs w:val="26"/>
          <w:lang w:eastAsia="en-IE"/>
        </w:rPr>
        <w:t xml:space="preserve"> traditionally</w:t>
      </w:r>
      <w:r w:rsidRPr="00CD128E">
        <w:rPr>
          <w:rFonts w:cs="Calibri"/>
          <w:szCs w:val="26"/>
          <w:lang w:eastAsia="en-IE"/>
        </w:rPr>
        <w:t xml:space="preserve"> nursing</w:t>
      </w:r>
      <w:r w:rsidRPr="009E498C">
        <w:rPr>
          <w:rFonts w:cs="Calibri"/>
          <w:szCs w:val="26"/>
          <w:lang w:eastAsia="en-IE"/>
        </w:rPr>
        <w:t>-</w:t>
      </w:r>
      <w:r w:rsidRPr="00CD128E">
        <w:rPr>
          <w:rFonts w:cs="Calibri"/>
          <w:szCs w:val="26"/>
          <w:lang w:eastAsia="en-IE"/>
        </w:rPr>
        <w:t>related duties</w:t>
      </w:r>
      <w:r w:rsidRPr="009E498C">
        <w:rPr>
          <w:rFonts w:cs="Calibri"/>
          <w:szCs w:val="26"/>
          <w:lang w:eastAsia="en-IE"/>
        </w:rPr>
        <w:t>:</w:t>
      </w:r>
    </w:p>
    <w:p w14:paraId="60BC4752" w14:textId="77777777" w:rsidR="00A86140" w:rsidRPr="009E498C" w:rsidRDefault="00A86140" w:rsidP="00A86140">
      <w:pPr>
        <w:ind w:left="720"/>
        <w:textAlignment w:val="baseline"/>
        <w:rPr>
          <w:rFonts w:cs="Calibri"/>
          <w:szCs w:val="26"/>
          <w:lang w:eastAsia="en-IE"/>
        </w:rPr>
      </w:pPr>
      <w:r w:rsidRPr="00CD128E">
        <w:rPr>
          <w:rFonts w:cs="Calibri"/>
          <w:i/>
          <w:szCs w:val="26"/>
          <w:lang w:eastAsia="en-IE"/>
        </w:rPr>
        <w:t>I would prefer to have a nurse on site overseeing some of the interventions. Bu</w:t>
      </w:r>
      <w:r w:rsidRPr="009E498C">
        <w:rPr>
          <w:rFonts w:cs="Calibri"/>
          <w:i/>
          <w:szCs w:val="26"/>
          <w:lang w:eastAsia="en-IE"/>
        </w:rPr>
        <w:t>t</w:t>
      </w:r>
      <w:r w:rsidRPr="00CD128E">
        <w:rPr>
          <w:rFonts w:cs="Calibri"/>
          <w:i/>
          <w:szCs w:val="26"/>
          <w:lang w:eastAsia="en-IE"/>
        </w:rPr>
        <w:t>…nurses are just not out there</w:t>
      </w:r>
      <w:r w:rsidRPr="009E498C">
        <w:rPr>
          <w:rFonts w:cs="Calibri"/>
          <w:i/>
          <w:szCs w:val="26"/>
          <w:lang w:eastAsia="en-IE"/>
        </w:rPr>
        <w:t>.</w:t>
      </w:r>
      <w:r w:rsidRPr="00CD128E">
        <w:rPr>
          <w:rFonts w:cs="Calibri"/>
          <w:i/>
          <w:szCs w:val="26"/>
          <w:lang w:eastAsia="en-IE"/>
        </w:rPr>
        <w:t xml:space="preserve"> </w:t>
      </w:r>
      <w:r w:rsidRPr="00CD128E">
        <w:rPr>
          <w:rFonts w:cs="Calibri"/>
          <w:szCs w:val="26"/>
          <w:lang w:eastAsia="en-IE"/>
        </w:rPr>
        <w:t>(Jane, M, SS)</w:t>
      </w:r>
    </w:p>
    <w:p w14:paraId="3208ED0E" w14:textId="77777777" w:rsidR="00A86140" w:rsidRPr="00CD128E" w:rsidRDefault="00A86140" w:rsidP="00A86140">
      <w:pPr>
        <w:textAlignment w:val="baseline"/>
        <w:rPr>
          <w:rFonts w:cs="Calibri"/>
          <w:szCs w:val="26"/>
          <w:lang w:eastAsia="en-IE"/>
        </w:rPr>
      </w:pPr>
      <w:r w:rsidRPr="009E498C">
        <w:rPr>
          <w:rFonts w:cs="Calibri"/>
          <w:szCs w:val="26"/>
          <w:lang w:eastAsia="en-IE"/>
        </w:rPr>
        <w:t xml:space="preserve">This raises the topic of skill mix, not just in respect of the various staff/carer groups but also of the skills that are available within the staffing complement to meet the older person’s needs. Just over 70% (70.4%, n=19) of survey respondents reported that they had encountered examples of not having the staffing skill mix in place appropriate to meet a person’s need. Whereas there is a need for an appropriate </w:t>
      </w:r>
      <w:r w:rsidRPr="00CD128E">
        <w:rPr>
          <w:rFonts w:cs="Calibri"/>
          <w:szCs w:val="26"/>
          <w:lang w:eastAsia="en-IE"/>
        </w:rPr>
        <w:t>configuration of staff and staff skill mix to support the person as they age</w:t>
      </w:r>
      <w:r w:rsidRPr="009E498C">
        <w:rPr>
          <w:rFonts w:cs="Calibri"/>
          <w:szCs w:val="26"/>
          <w:lang w:eastAsia="en-IE"/>
        </w:rPr>
        <w:t>, the</w:t>
      </w:r>
      <w:r w:rsidRPr="00CD128E">
        <w:rPr>
          <w:rFonts w:cs="Calibri"/>
          <w:szCs w:val="26"/>
          <w:lang w:eastAsia="en-IE"/>
        </w:rPr>
        <w:t xml:space="preserve"> associated cost </w:t>
      </w:r>
      <w:r w:rsidRPr="009E498C">
        <w:rPr>
          <w:rFonts w:cs="Calibri"/>
          <w:szCs w:val="26"/>
          <w:lang w:eastAsia="en-IE"/>
        </w:rPr>
        <w:t>of such resources</w:t>
      </w:r>
      <w:r w:rsidRPr="00CD128E">
        <w:rPr>
          <w:rFonts w:cs="Calibri"/>
          <w:szCs w:val="26"/>
          <w:lang w:eastAsia="en-IE"/>
        </w:rPr>
        <w:t xml:space="preserve"> was a concern for some participants</w:t>
      </w:r>
      <w:r w:rsidRPr="009E498C">
        <w:rPr>
          <w:rFonts w:cs="Calibri"/>
          <w:szCs w:val="26"/>
          <w:lang w:eastAsia="en-IE"/>
        </w:rPr>
        <w:t>: </w:t>
      </w:r>
      <w:r w:rsidRPr="00CD128E">
        <w:rPr>
          <w:rFonts w:cs="Calibri"/>
          <w:szCs w:val="26"/>
          <w:lang w:eastAsia="en-IE"/>
        </w:rPr>
        <w:t> </w:t>
      </w:r>
    </w:p>
    <w:p w14:paraId="1B7B0AE1" w14:textId="77777777" w:rsidR="00A86140" w:rsidRPr="00CD128E" w:rsidRDefault="00A86140" w:rsidP="00A86140">
      <w:pPr>
        <w:ind w:left="720"/>
        <w:textAlignment w:val="baseline"/>
        <w:rPr>
          <w:rFonts w:cs="Segoe UI"/>
          <w:szCs w:val="26"/>
          <w:lang w:eastAsia="en-IE"/>
        </w:rPr>
      </w:pPr>
      <w:r w:rsidRPr="009E498C">
        <w:rPr>
          <w:rFonts w:cs="Calibri"/>
          <w:i/>
          <w:szCs w:val="26"/>
          <w:lang w:eastAsia="en-IE"/>
        </w:rPr>
        <w:t>…</w:t>
      </w:r>
      <w:r w:rsidRPr="00CD128E">
        <w:rPr>
          <w:rFonts w:cs="Calibri"/>
          <w:i/>
          <w:szCs w:val="26"/>
          <w:lang w:eastAsia="en-IE"/>
        </w:rPr>
        <w:t>funding is massiv</w:t>
      </w:r>
      <w:r w:rsidRPr="009E498C">
        <w:rPr>
          <w:rFonts w:cs="Calibri"/>
          <w:i/>
          <w:szCs w:val="26"/>
          <w:lang w:eastAsia="en-IE"/>
        </w:rPr>
        <w:t>e</w:t>
      </w:r>
      <w:r w:rsidRPr="00CD128E">
        <w:rPr>
          <w:rFonts w:cs="Calibri"/>
          <w:i/>
          <w:szCs w:val="26"/>
          <w:lang w:eastAsia="en-IE"/>
        </w:rPr>
        <w:t>…we still don’t have enough nursing…that nursing model of service as the person ages it's absolutely essentially</w:t>
      </w:r>
      <w:r w:rsidRPr="009E498C">
        <w:rPr>
          <w:rFonts w:cs="Calibri"/>
          <w:i/>
          <w:szCs w:val="26"/>
          <w:lang w:eastAsia="en-IE"/>
        </w:rPr>
        <w:t>.</w:t>
      </w:r>
      <w:r w:rsidRPr="00CD128E">
        <w:rPr>
          <w:rFonts w:cs="Calibri"/>
          <w:szCs w:val="26"/>
          <w:lang w:eastAsia="en-IE"/>
        </w:rPr>
        <w:t xml:space="preserve"> (</w:t>
      </w:r>
      <w:r w:rsidRPr="009E498C">
        <w:rPr>
          <w:rFonts w:cs="Calibri"/>
          <w:szCs w:val="26"/>
          <w:lang w:eastAsia="en-IE"/>
        </w:rPr>
        <w:t>Claire, M, GS</w:t>
      </w:r>
      <w:r w:rsidRPr="00CD128E">
        <w:rPr>
          <w:rFonts w:cs="Calibri"/>
          <w:szCs w:val="26"/>
          <w:lang w:eastAsia="en-IE"/>
        </w:rPr>
        <w:t>)</w:t>
      </w:r>
      <w:r w:rsidRPr="00CD128E">
        <w:rPr>
          <w:rFonts w:ascii="Arial" w:hAnsi="Arial" w:cs="Arial"/>
          <w:szCs w:val="26"/>
          <w:lang w:eastAsia="en-IE"/>
        </w:rPr>
        <w:t> </w:t>
      </w:r>
      <w:r w:rsidRPr="00CD128E">
        <w:rPr>
          <w:rFonts w:cs="Calibri"/>
          <w:szCs w:val="26"/>
          <w:lang w:eastAsia="en-IE"/>
        </w:rPr>
        <w:t> </w:t>
      </w:r>
    </w:p>
    <w:p w14:paraId="5A5D1694" w14:textId="77777777" w:rsidR="00A86140" w:rsidRPr="009E498C" w:rsidRDefault="00A86140" w:rsidP="00A86140">
      <w:pPr>
        <w:textAlignment w:val="baseline"/>
        <w:rPr>
          <w:rFonts w:cs="Segoe UI"/>
          <w:szCs w:val="26"/>
          <w:lang w:eastAsia="en-IE"/>
        </w:rPr>
      </w:pPr>
      <w:r w:rsidRPr="00CD128E">
        <w:rPr>
          <w:rFonts w:cs="Calibri"/>
          <w:szCs w:val="26"/>
          <w:lang w:eastAsia="en-IE"/>
        </w:rPr>
        <w:t>The importance of supporting social care workers in their roles was also identified and</w:t>
      </w:r>
      <w:r w:rsidRPr="009E498C">
        <w:rPr>
          <w:rFonts w:cs="Calibri"/>
          <w:szCs w:val="26"/>
          <w:lang w:eastAsia="en-IE"/>
        </w:rPr>
        <w:t xml:space="preserve"> participants</w:t>
      </w:r>
      <w:r w:rsidRPr="00CD128E">
        <w:rPr>
          <w:rFonts w:cs="Calibri"/>
          <w:szCs w:val="26"/>
          <w:lang w:eastAsia="en-IE"/>
        </w:rPr>
        <w:t xml:space="preserve"> noted that they may need to take on new roles to support the person as they age</w:t>
      </w:r>
      <w:r w:rsidRPr="009E498C">
        <w:rPr>
          <w:rFonts w:cs="Calibri"/>
          <w:szCs w:val="26"/>
          <w:lang w:eastAsia="en-IE"/>
        </w:rPr>
        <w:t xml:space="preserve">: </w:t>
      </w:r>
    </w:p>
    <w:p w14:paraId="4038187D" w14:textId="77777777" w:rsidR="00A86140" w:rsidRPr="009E498C" w:rsidRDefault="00A86140" w:rsidP="00A86140">
      <w:pPr>
        <w:ind w:left="709"/>
        <w:textAlignment w:val="baseline"/>
        <w:rPr>
          <w:rFonts w:cs="Calibri"/>
          <w:szCs w:val="26"/>
          <w:lang w:eastAsia="en-IE"/>
        </w:rPr>
      </w:pPr>
      <w:r w:rsidRPr="009E498C">
        <w:rPr>
          <w:rFonts w:cs="Calibri"/>
          <w:i/>
          <w:szCs w:val="26"/>
          <w:lang w:eastAsia="en-IE"/>
        </w:rPr>
        <w:t>…there’s a huge need to upskill health care assistants in that as well.</w:t>
      </w:r>
      <w:r w:rsidRPr="009E498C">
        <w:rPr>
          <w:rFonts w:cs="Calibri"/>
          <w:szCs w:val="26"/>
          <w:lang w:eastAsia="en-IE"/>
        </w:rPr>
        <w:t xml:space="preserve"> (Michael, M, SS) </w:t>
      </w:r>
    </w:p>
    <w:p w14:paraId="43103C64" w14:textId="77777777" w:rsidR="00A86140" w:rsidRPr="009E498C" w:rsidRDefault="00A86140" w:rsidP="00A86140">
      <w:pPr>
        <w:textAlignment w:val="baseline"/>
        <w:rPr>
          <w:rFonts w:cs="Calibri"/>
          <w:szCs w:val="26"/>
          <w:lang w:eastAsia="en-IE"/>
        </w:rPr>
      </w:pPr>
      <w:r w:rsidRPr="00CD128E">
        <w:rPr>
          <w:rFonts w:cs="Calibri"/>
          <w:szCs w:val="26"/>
          <w:lang w:eastAsia="en-IE"/>
        </w:rPr>
        <w:t xml:space="preserve">This change in job description </w:t>
      </w:r>
      <w:r w:rsidRPr="009E498C">
        <w:rPr>
          <w:rFonts w:cs="Calibri"/>
          <w:szCs w:val="26"/>
          <w:lang w:eastAsia="en-IE"/>
        </w:rPr>
        <w:t>may require</w:t>
      </w:r>
      <w:r w:rsidRPr="00CD128E">
        <w:rPr>
          <w:rFonts w:cs="Calibri"/>
          <w:szCs w:val="26"/>
          <w:lang w:eastAsia="en-IE"/>
        </w:rPr>
        <w:t xml:space="preserve"> a certain amount of buy</w:t>
      </w:r>
      <w:r w:rsidRPr="009E498C">
        <w:rPr>
          <w:rFonts w:cs="Calibri"/>
          <w:szCs w:val="26"/>
          <w:lang w:eastAsia="en-IE"/>
        </w:rPr>
        <w:t>-</w:t>
      </w:r>
      <w:r w:rsidRPr="00CD128E">
        <w:rPr>
          <w:rFonts w:cs="Calibri"/>
          <w:szCs w:val="26"/>
          <w:lang w:eastAsia="en-IE"/>
        </w:rPr>
        <w:t>in or good</w:t>
      </w:r>
      <w:r w:rsidRPr="009E498C">
        <w:rPr>
          <w:rFonts w:cs="Calibri"/>
          <w:szCs w:val="26"/>
          <w:lang w:eastAsia="en-IE"/>
        </w:rPr>
        <w:t>-</w:t>
      </w:r>
      <w:r w:rsidRPr="00CD128E">
        <w:rPr>
          <w:rFonts w:cs="Calibri"/>
          <w:szCs w:val="26"/>
          <w:lang w:eastAsia="en-IE"/>
        </w:rPr>
        <w:t xml:space="preserve">will from </w:t>
      </w:r>
      <w:r w:rsidRPr="009E498C">
        <w:rPr>
          <w:rFonts w:cs="Calibri"/>
          <w:szCs w:val="26"/>
          <w:lang w:eastAsia="en-IE"/>
        </w:rPr>
        <w:t>staff: </w:t>
      </w:r>
      <w:r w:rsidRPr="00CD128E">
        <w:rPr>
          <w:rFonts w:cs="Calibri"/>
          <w:szCs w:val="26"/>
          <w:lang w:eastAsia="en-IE"/>
        </w:rPr>
        <w:t> </w:t>
      </w:r>
    </w:p>
    <w:p w14:paraId="60E99F05" w14:textId="77777777" w:rsidR="00A86140" w:rsidRPr="00CD128E" w:rsidRDefault="00A86140" w:rsidP="00A86140">
      <w:pPr>
        <w:ind w:left="720"/>
        <w:textAlignment w:val="baseline"/>
        <w:rPr>
          <w:rFonts w:cs="Segoe UI"/>
          <w:szCs w:val="26"/>
          <w:lang w:eastAsia="en-IE"/>
        </w:rPr>
      </w:pPr>
      <w:r w:rsidRPr="00CD128E">
        <w:rPr>
          <w:rFonts w:cs="Calibri"/>
          <w:i/>
          <w:szCs w:val="26"/>
          <w:lang w:eastAsia="en-IE"/>
        </w:rPr>
        <w:t>…we can support the social care workers however they need to be open to taking on the roles and we need buy-in from the staff group that they are going to take on these key roles within their current pay scale and current grade…if you have buy-in from the staff and the willingness of the staff and good culture they will row in with you in terms of trying to support people at home</w:t>
      </w:r>
      <w:r w:rsidRPr="009E498C">
        <w:rPr>
          <w:rFonts w:cs="Calibri"/>
          <w:i/>
          <w:szCs w:val="26"/>
          <w:lang w:eastAsia="en-IE"/>
        </w:rPr>
        <w:t>.</w:t>
      </w:r>
      <w:r w:rsidRPr="00CD128E">
        <w:rPr>
          <w:rFonts w:cs="Calibri"/>
          <w:i/>
          <w:szCs w:val="26"/>
          <w:lang w:eastAsia="en-IE"/>
        </w:rPr>
        <w:t xml:space="preserve"> </w:t>
      </w:r>
      <w:r w:rsidRPr="00CD128E">
        <w:rPr>
          <w:rFonts w:cs="Calibri"/>
          <w:szCs w:val="26"/>
          <w:lang w:eastAsia="en-IE"/>
        </w:rPr>
        <w:t>(</w:t>
      </w:r>
      <w:r w:rsidRPr="009E498C">
        <w:rPr>
          <w:rFonts w:cs="Calibri"/>
          <w:szCs w:val="26"/>
          <w:lang w:eastAsia="en-IE"/>
        </w:rPr>
        <w:t>Anne, M, SS</w:t>
      </w:r>
      <w:r w:rsidRPr="00CD128E">
        <w:rPr>
          <w:rFonts w:cs="Calibri"/>
          <w:szCs w:val="26"/>
          <w:lang w:eastAsia="en-IE"/>
        </w:rPr>
        <w:t>)</w:t>
      </w:r>
    </w:p>
    <w:p w14:paraId="7D8662B9" w14:textId="77777777" w:rsidR="00A86140" w:rsidRPr="00CD128E" w:rsidRDefault="00A86140" w:rsidP="00A86140">
      <w:pPr>
        <w:textAlignment w:val="baseline"/>
        <w:rPr>
          <w:rFonts w:cs="Segoe UI"/>
          <w:lang w:eastAsia="en-IE"/>
        </w:rPr>
      </w:pPr>
      <w:r w:rsidRPr="3455AB66">
        <w:rPr>
          <w:rFonts w:cs="Calibri"/>
          <w:lang w:eastAsia="en-IE"/>
        </w:rPr>
        <w:t>The need for education and upskilling opportunities for all staff was seen as being essential</w:t>
      </w:r>
      <w:r>
        <w:rPr>
          <w:rFonts w:cs="Calibri"/>
          <w:lang w:eastAsia="en-IE"/>
        </w:rPr>
        <w:t xml:space="preserve">. </w:t>
      </w:r>
      <w:r w:rsidRPr="3455AB66">
        <w:rPr>
          <w:rFonts w:cs="Calibri"/>
          <w:lang w:eastAsia="en-IE"/>
        </w:rPr>
        <w:t>Some of this education is provide by nurses/nurse specialists and in other areas, the education opportunities may be provided by the services’ onsite training department. Another approach is the use of tertiary continuing education opportunities:   </w:t>
      </w:r>
    </w:p>
    <w:p w14:paraId="2786403B" w14:textId="77777777" w:rsidR="00A86140" w:rsidRPr="00CD128E" w:rsidRDefault="00A86140" w:rsidP="00A86140">
      <w:pPr>
        <w:ind w:left="720"/>
        <w:textAlignment w:val="baseline"/>
        <w:rPr>
          <w:rFonts w:cs="Segoe UI"/>
          <w:szCs w:val="26"/>
          <w:lang w:eastAsia="en-IE"/>
        </w:rPr>
      </w:pPr>
      <w:r w:rsidRPr="009E498C">
        <w:rPr>
          <w:rFonts w:cs="Calibri"/>
          <w:i/>
          <w:szCs w:val="26"/>
          <w:lang w:eastAsia="en-IE"/>
        </w:rPr>
        <w:t>…</w:t>
      </w:r>
      <w:r w:rsidRPr="00CD128E">
        <w:rPr>
          <w:rFonts w:cs="Calibri"/>
          <w:i/>
          <w:szCs w:val="26"/>
          <w:lang w:eastAsia="en-IE"/>
        </w:rPr>
        <w:t>staff training is critically important and having a good, trained staff…is critically important to support this group</w:t>
      </w:r>
      <w:r w:rsidRPr="009E498C">
        <w:rPr>
          <w:rFonts w:cs="Calibri"/>
          <w:i/>
          <w:szCs w:val="26"/>
          <w:lang w:eastAsia="en-IE"/>
        </w:rPr>
        <w:t>.</w:t>
      </w:r>
      <w:r w:rsidRPr="00CD128E">
        <w:rPr>
          <w:rFonts w:ascii="Arial" w:hAnsi="Arial" w:cs="Arial"/>
          <w:i/>
          <w:iCs/>
          <w:szCs w:val="26"/>
          <w:lang w:eastAsia="en-IE"/>
        </w:rPr>
        <w:t> </w:t>
      </w:r>
      <w:r w:rsidRPr="00CD128E">
        <w:rPr>
          <w:rFonts w:cs="Calibri"/>
          <w:szCs w:val="26"/>
          <w:lang w:eastAsia="en-IE"/>
        </w:rPr>
        <w:t>(</w:t>
      </w:r>
      <w:r w:rsidRPr="009E498C">
        <w:rPr>
          <w:rFonts w:cs="Calibri"/>
          <w:szCs w:val="26"/>
          <w:lang w:eastAsia="en-IE"/>
        </w:rPr>
        <w:t>Sarah, M, SS</w:t>
      </w:r>
      <w:r w:rsidRPr="00CD128E">
        <w:rPr>
          <w:rFonts w:cs="Calibri"/>
          <w:szCs w:val="26"/>
          <w:lang w:eastAsia="en-IE"/>
        </w:rPr>
        <w:t>)</w:t>
      </w:r>
    </w:p>
    <w:p w14:paraId="645AD5FF" w14:textId="77777777" w:rsidR="00A86140" w:rsidRPr="00CD128E" w:rsidRDefault="00A86140" w:rsidP="00A86140">
      <w:pPr>
        <w:ind w:left="720"/>
        <w:textAlignment w:val="baseline"/>
        <w:rPr>
          <w:rFonts w:cs="Segoe UI"/>
          <w:szCs w:val="26"/>
          <w:lang w:eastAsia="en-IE"/>
        </w:rPr>
      </w:pPr>
      <w:r w:rsidRPr="00CD128E">
        <w:rPr>
          <w:rFonts w:cs="Calibri"/>
          <w:i/>
          <w:szCs w:val="26"/>
          <w:lang w:eastAsia="en-IE"/>
        </w:rPr>
        <w:t>We have our own onsite training…there’s like six or seven training officers that are specifically employed for that area…well for people to access further education from colleges</w:t>
      </w:r>
      <w:r w:rsidRPr="009E498C">
        <w:rPr>
          <w:rFonts w:cs="Calibri"/>
          <w:i/>
          <w:szCs w:val="26"/>
          <w:lang w:eastAsia="en-IE"/>
        </w:rPr>
        <w:t>.</w:t>
      </w:r>
      <w:r w:rsidRPr="00CD128E">
        <w:rPr>
          <w:rFonts w:cs="Calibri"/>
          <w:i/>
          <w:szCs w:val="26"/>
          <w:lang w:eastAsia="en-IE"/>
        </w:rPr>
        <w:t xml:space="preserve"> </w:t>
      </w:r>
      <w:r w:rsidRPr="00CD128E">
        <w:rPr>
          <w:rFonts w:cs="Calibri"/>
          <w:szCs w:val="26"/>
          <w:lang w:eastAsia="en-IE"/>
        </w:rPr>
        <w:t>(Carol, M, GS)</w:t>
      </w:r>
    </w:p>
    <w:p w14:paraId="0BD08B2E" w14:textId="518AA6B6" w:rsidR="00A86140" w:rsidRPr="00CD128E" w:rsidRDefault="00A86140" w:rsidP="00A86140">
      <w:pPr>
        <w:ind w:left="720"/>
        <w:textAlignment w:val="baseline"/>
        <w:rPr>
          <w:rFonts w:cs="Segoe UI"/>
          <w:szCs w:val="26"/>
          <w:lang w:eastAsia="en-IE"/>
        </w:rPr>
      </w:pPr>
      <w:r w:rsidRPr="00CD128E">
        <w:rPr>
          <w:rFonts w:cs="Calibri"/>
          <w:i/>
          <w:szCs w:val="26"/>
          <w:lang w:eastAsia="en-IE"/>
        </w:rPr>
        <w:t>The C</w:t>
      </w:r>
      <w:r w:rsidR="00BF3AD5">
        <w:rPr>
          <w:rFonts w:cs="Calibri"/>
          <w:i/>
          <w:szCs w:val="26"/>
          <w:lang w:eastAsia="en-IE"/>
        </w:rPr>
        <w:t>N</w:t>
      </w:r>
      <w:r w:rsidRPr="00CD128E">
        <w:rPr>
          <w:rFonts w:cs="Calibri"/>
          <w:i/>
          <w:szCs w:val="26"/>
          <w:lang w:eastAsia="en-IE"/>
        </w:rPr>
        <w:t>E</w:t>
      </w:r>
      <w:r w:rsidR="00067722">
        <w:rPr>
          <w:rFonts w:cs="Calibri"/>
          <w:i/>
          <w:szCs w:val="26"/>
          <w:lang w:eastAsia="en-IE"/>
        </w:rPr>
        <w:t>…</w:t>
      </w:r>
      <w:r w:rsidRPr="00067722">
        <w:rPr>
          <w:rFonts w:cs="Calibri"/>
          <w:szCs w:val="26"/>
          <w:lang w:eastAsia="en-IE"/>
        </w:rPr>
        <w:t xml:space="preserve">(Centre </w:t>
      </w:r>
      <w:r w:rsidR="006A65B8">
        <w:rPr>
          <w:rFonts w:cs="Calibri"/>
          <w:szCs w:val="26"/>
          <w:lang w:eastAsia="en-IE"/>
        </w:rPr>
        <w:t>for</w:t>
      </w:r>
      <w:r w:rsidRPr="00067722">
        <w:rPr>
          <w:rFonts w:cs="Calibri"/>
          <w:szCs w:val="26"/>
          <w:lang w:eastAsia="en-IE"/>
        </w:rPr>
        <w:t xml:space="preserve"> Nurse Education)</w:t>
      </w:r>
      <w:r w:rsidR="00067722">
        <w:rPr>
          <w:rFonts w:cs="Calibri"/>
          <w:i/>
          <w:szCs w:val="26"/>
          <w:lang w:eastAsia="en-IE"/>
        </w:rPr>
        <w:t>…</w:t>
      </w:r>
      <w:r w:rsidRPr="00CD128E">
        <w:rPr>
          <w:rFonts w:cs="Calibri"/>
          <w:i/>
          <w:szCs w:val="26"/>
          <w:lang w:eastAsia="en-IE"/>
        </w:rPr>
        <w:t>is a great resource tool as well, we have used a lot of the training resources from there</w:t>
      </w:r>
      <w:r w:rsidRPr="009E498C">
        <w:rPr>
          <w:rFonts w:cs="Calibri"/>
          <w:i/>
          <w:szCs w:val="26"/>
          <w:lang w:eastAsia="en-IE"/>
        </w:rPr>
        <w:t>.</w:t>
      </w:r>
      <w:r w:rsidRPr="00CD128E">
        <w:rPr>
          <w:rFonts w:cs="Calibri"/>
          <w:i/>
          <w:szCs w:val="26"/>
          <w:lang w:eastAsia="en-IE"/>
        </w:rPr>
        <w:t xml:space="preserve"> </w:t>
      </w:r>
      <w:r w:rsidRPr="00CD128E">
        <w:rPr>
          <w:rFonts w:cs="Calibri"/>
          <w:szCs w:val="26"/>
          <w:lang w:eastAsia="en-IE"/>
        </w:rPr>
        <w:t>(Claire, M, GS) </w:t>
      </w:r>
    </w:p>
    <w:p w14:paraId="5A781AA2" w14:textId="77777777" w:rsidR="00A86140" w:rsidRPr="00CD128E" w:rsidRDefault="00A86140" w:rsidP="00A86140">
      <w:pPr>
        <w:textAlignment w:val="baseline"/>
        <w:rPr>
          <w:rFonts w:cs="Segoe UI"/>
          <w:szCs w:val="26"/>
          <w:lang w:eastAsia="en-IE"/>
        </w:rPr>
      </w:pPr>
      <w:r w:rsidRPr="00CD128E">
        <w:rPr>
          <w:rFonts w:cs="Calibri"/>
          <w:szCs w:val="26"/>
          <w:lang w:eastAsia="en-IE"/>
        </w:rPr>
        <w:t xml:space="preserve">For some services staff </w:t>
      </w:r>
      <w:r>
        <w:rPr>
          <w:rFonts w:cs="Calibri"/>
          <w:szCs w:val="26"/>
          <w:lang w:eastAsia="en-IE"/>
        </w:rPr>
        <w:t>and family education</w:t>
      </w:r>
      <w:r w:rsidRPr="00CD128E">
        <w:rPr>
          <w:rFonts w:cs="Calibri"/>
          <w:szCs w:val="26"/>
          <w:lang w:eastAsia="en-IE"/>
        </w:rPr>
        <w:t xml:space="preserve"> has been around specific areas such as dementia care and ageing in place</w:t>
      </w:r>
      <w:r w:rsidRPr="009E498C">
        <w:rPr>
          <w:rFonts w:cs="Calibri"/>
          <w:szCs w:val="26"/>
          <w:lang w:eastAsia="en-IE"/>
        </w:rPr>
        <w:t>:</w:t>
      </w:r>
      <w:r w:rsidRPr="00CD128E">
        <w:rPr>
          <w:rFonts w:cs="Calibri"/>
          <w:szCs w:val="26"/>
          <w:lang w:eastAsia="en-IE"/>
        </w:rPr>
        <w:t> </w:t>
      </w:r>
    </w:p>
    <w:p w14:paraId="4CA29829" w14:textId="77777777" w:rsidR="00A86140" w:rsidRPr="00CD128E" w:rsidRDefault="00A86140" w:rsidP="00A86140">
      <w:pPr>
        <w:ind w:left="720"/>
        <w:textAlignment w:val="baseline"/>
        <w:rPr>
          <w:rFonts w:cs="Segoe UI"/>
          <w:lang w:eastAsia="en-IE"/>
        </w:rPr>
      </w:pPr>
      <w:r w:rsidRPr="4E54E5DE">
        <w:rPr>
          <w:rFonts w:cs="Calibri"/>
          <w:i/>
          <w:lang w:eastAsia="en-IE"/>
        </w:rPr>
        <w:t>Ageing in place, we need good staff training behind it so we would be very involved in supporting staff to help the person to age in place. We’re very heavily involved with staff and the person’s family members to help them to continue to age in the house of their choice.</w:t>
      </w:r>
      <w:r w:rsidRPr="4E54E5DE">
        <w:rPr>
          <w:rFonts w:ascii="Arial" w:hAnsi="Arial" w:cs="Arial"/>
          <w:lang w:eastAsia="en-IE"/>
        </w:rPr>
        <w:t> </w:t>
      </w:r>
      <w:r w:rsidRPr="4E54E5DE">
        <w:rPr>
          <w:rFonts w:cs="Calibri"/>
          <w:lang w:eastAsia="en-IE"/>
        </w:rPr>
        <w:t>(Sarah, M, SS)</w:t>
      </w:r>
    </w:p>
    <w:p w14:paraId="14B43889" w14:textId="77777777" w:rsidR="00A86140" w:rsidRPr="00CD128E" w:rsidRDefault="00A86140" w:rsidP="00A86140">
      <w:pPr>
        <w:ind w:left="720"/>
        <w:textAlignment w:val="baseline"/>
        <w:rPr>
          <w:rFonts w:cs="Segoe UI"/>
          <w:szCs w:val="26"/>
          <w:lang w:eastAsia="en-IE"/>
        </w:rPr>
      </w:pPr>
      <w:r w:rsidRPr="009E498C">
        <w:rPr>
          <w:rFonts w:cs="Calibri"/>
          <w:i/>
          <w:szCs w:val="26"/>
          <w:lang w:eastAsia="en-IE"/>
        </w:rPr>
        <w:t>…</w:t>
      </w:r>
      <w:r w:rsidRPr="00CD128E">
        <w:rPr>
          <w:rFonts w:cs="Calibri"/>
          <w:i/>
          <w:szCs w:val="26"/>
          <w:lang w:eastAsia="en-IE"/>
        </w:rPr>
        <w:t>over the last few years, we have done a lot of training with staff in the area of dementia</w:t>
      </w:r>
      <w:r w:rsidRPr="009E498C">
        <w:rPr>
          <w:rFonts w:cs="Calibri"/>
          <w:i/>
          <w:szCs w:val="26"/>
          <w:lang w:eastAsia="en-IE"/>
        </w:rPr>
        <w:t>.</w:t>
      </w:r>
      <w:r w:rsidRPr="00CD128E">
        <w:rPr>
          <w:rFonts w:cs="Calibri"/>
          <w:szCs w:val="26"/>
          <w:lang w:eastAsia="en-IE"/>
        </w:rPr>
        <w:t xml:space="preserve"> (Claire, M, GS)</w:t>
      </w:r>
      <w:r w:rsidRPr="00CD128E">
        <w:rPr>
          <w:rFonts w:ascii="Arial" w:hAnsi="Arial" w:cs="Arial"/>
          <w:szCs w:val="26"/>
          <w:lang w:eastAsia="en-IE"/>
        </w:rPr>
        <w:t> </w:t>
      </w:r>
      <w:r w:rsidRPr="00CD128E">
        <w:rPr>
          <w:rFonts w:cs="Calibri"/>
          <w:szCs w:val="26"/>
          <w:lang w:eastAsia="en-IE"/>
        </w:rPr>
        <w:t> </w:t>
      </w:r>
    </w:p>
    <w:p w14:paraId="60E998DD" w14:textId="367C1C56" w:rsidR="00A86140" w:rsidRPr="00CD128E" w:rsidRDefault="00A86140" w:rsidP="00A86140">
      <w:pPr>
        <w:textAlignment w:val="baseline"/>
        <w:rPr>
          <w:rFonts w:cs="Segoe UI"/>
          <w:lang w:eastAsia="en-IE"/>
        </w:rPr>
      </w:pPr>
      <w:r w:rsidRPr="5754770E">
        <w:rPr>
          <w:rFonts w:cs="Calibri"/>
          <w:lang w:eastAsia="en-IE"/>
        </w:rPr>
        <w:t>Notwithstanding the need for staff upskilling as identified by participants, some participants spoke about some of the challenges associated with staff upskilling such as the need for more upskilling, some reluctance by staff to avail of and implement the skills training and challenges associated with the nature of the subject being discussed, for example, end</w:t>
      </w:r>
      <w:r w:rsidR="00AD236A">
        <w:rPr>
          <w:rFonts w:cs="Calibri"/>
          <w:lang w:eastAsia="en-IE"/>
        </w:rPr>
        <w:t xml:space="preserve"> of life</w:t>
      </w:r>
      <w:r w:rsidRPr="5754770E">
        <w:rPr>
          <w:rFonts w:cs="Calibri"/>
          <w:lang w:eastAsia="en-IE"/>
        </w:rPr>
        <w:t xml:space="preserve"> care:</w:t>
      </w:r>
      <w:r w:rsidRPr="5754770E">
        <w:rPr>
          <w:rFonts w:ascii="Arial" w:hAnsi="Arial" w:cs="Arial"/>
          <w:lang w:eastAsia="en-IE"/>
        </w:rPr>
        <w:t> </w:t>
      </w:r>
      <w:r w:rsidRPr="5754770E">
        <w:rPr>
          <w:rFonts w:cs="Calibri"/>
          <w:lang w:eastAsia="en-IE"/>
        </w:rPr>
        <w:t> </w:t>
      </w:r>
    </w:p>
    <w:p w14:paraId="7C9A3FDB" w14:textId="19E8B757" w:rsidR="00A86140" w:rsidRPr="00CD128E" w:rsidRDefault="00A86140" w:rsidP="00A86140">
      <w:pPr>
        <w:ind w:left="720"/>
        <w:textAlignment w:val="baseline"/>
        <w:rPr>
          <w:rFonts w:cs="Segoe UI"/>
          <w:lang w:eastAsia="en-IE"/>
        </w:rPr>
      </w:pPr>
      <w:r w:rsidRPr="54A75BA2">
        <w:rPr>
          <w:rFonts w:cs="Calibri"/>
          <w:i/>
          <w:lang w:eastAsia="en-IE"/>
        </w:rPr>
        <w:t>So, at first there was a little bit of reluctance...but I think then as people seen first-hand the impact that it could make on somebody’s life, or end</w:t>
      </w:r>
      <w:r w:rsidR="00AD236A">
        <w:rPr>
          <w:rFonts w:cs="Calibri"/>
          <w:i/>
          <w:iCs/>
          <w:lang w:eastAsia="en-IE"/>
        </w:rPr>
        <w:t xml:space="preserve"> </w:t>
      </w:r>
      <w:r w:rsidRPr="54A75BA2">
        <w:rPr>
          <w:rFonts w:cs="Calibri"/>
          <w:i/>
          <w:lang w:eastAsia="en-IE"/>
        </w:rPr>
        <w:t>of</w:t>
      </w:r>
      <w:r w:rsidR="00AD236A">
        <w:rPr>
          <w:rFonts w:cs="Calibri"/>
          <w:i/>
          <w:iCs/>
          <w:lang w:eastAsia="en-IE"/>
        </w:rPr>
        <w:t xml:space="preserve"> </w:t>
      </w:r>
      <w:r w:rsidRPr="54A75BA2">
        <w:rPr>
          <w:rFonts w:cs="Calibri"/>
          <w:i/>
          <w:lang w:eastAsia="en-IE"/>
        </w:rPr>
        <w:t>life, the buy in was a lot greater.</w:t>
      </w:r>
      <w:r w:rsidRPr="54A75BA2">
        <w:rPr>
          <w:rFonts w:ascii="Arial" w:hAnsi="Arial" w:cs="Arial"/>
          <w:i/>
          <w:iCs/>
          <w:lang w:eastAsia="en-IE"/>
        </w:rPr>
        <w:t> </w:t>
      </w:r>
      <w:r w:rsidRPr="54A75BA2">
        <w:rPr>
          <w:rFonts w:cs="Calibri"/>
          <w:lang w:eastAsia="en-IE"/>
        </w:rPr>
        <w:t>(Moya, M, SS)</w:t>
      </w:r>
    </w:p>
    <w:p w14:paraId="4490B223" w14:textId="1E2114DC" w:rsidR="00A86140" w:rsidRPr="00CD128E" w:rsidRDefault="00A86140" w:rsidP="00A86140">
      <w:pPr>
        <w:ind w:left="720"/>
        <w:textAlignment w:val="baseline"/>
        <w:rPr>
          <w:rFonts w:cs="Segoe UI"/>
          <w:lang w:eastAsia="en-IE"/>
        </w:rPr>
      </w:pPr>
      <w:r w:rsidRPr="51B54947">
        <w:rPr>
          <w:rFonts w:cs="Calibri"/>
          <w:i/>
          <w:lang w:eastAsia="en-IE"/>
        </w:rPr>
        <w:t>We have done longitudinal training with people around end</w:t>
      </w:r>
      <w:r w:rsidR="00AD236A">
        <w:rPr>
          <w:rFonts w:cs="Calibri"/>
          <w:i/>
          <w:iCs/>
          <w:lang w:eastAsia="en-IE"/>
        </w:rPr>
        <w:t xml:space="preserve"> </w:t>
      </w:r>
      <w:r w:rsidRPr="51B54947">
        <w:rPr>
          <w:rFonts w:cs="Calibri"/>
          <w:i/>
          <w:lang w:eastAsia="en-IE"/>
        </w:rPr>
        <w:t>of</w:t>
      </w:r>
      <w:r w:rsidR="00AD236A">
        <w:rPr>
          <w:rFonts w:cs="Calibri"/>
          <w:i/>
          <w:iCs/>
          <w:lang w:eastAsia="en-IE"/>
        </w:rPr>
        <w:t xml:space="preserve"> </w:t>
      </w:r>
      <w:r w:rsidRPr="51B54947">
        <w:rPr>
          <w:rFonts w:cs="Calibri"/>
          <w:i/>
          <w:lang w:eastAsia="en-IE"/>
        </w:rPr>
        <w:t>life and using the end</w:t>
      </w:r>
      <w:r w:rsidR="00AD236A">
        <w:rPr>
          <w:rFonts w:cs="Calibri"/>
          <w:i/>
          <w:lang w:eastAsia="en-IE"/>
        </w:rPr>
        <w:t xml:space="preserve"> </w:t>
      </w:r>
      <w:r w:rsidRPr="51B54947">
        <w:rPr>
          <w:rFonts w:cs="Calibri"/>
          <w:i/>
          <w:lang w:eastAsia="en-IE"/>
        </w:rPr>
        <w:t>of</w:t>
      </w:r>
      <w:r w:rsidR="00AD236A">
        <w:rPr>
          <w:rFonts w:cs="Calibri"/>
          <w:i/>
          <w:lang w:eastAsia="en-IE"/>
        </w:rPr>
        <w:t xml:space="preserve"> </w:t>
      </w:r>
      <w:r w:rsidRPr="51B54947">
        <w:rPr>
          <w:rFonts w:cs="Calibri"/>
          <w:i/>
          <w:lang w:eastAsia="en-IE"/>
        </w:rPr>
        <w:t>life planning tool which is I think probably one of the most difficult trainings for staff because a lot of people struggle with that piece, with individuals talking about</w:t>
      </w:r>
      <w:r w:rsidRPr="51B54947">
        <w:rPr>
          <w:rFonts w:cs="Calibri"/>
          <w:lang w:eastAsia="en-IE"/>
        </w:rPr>
        <w:t xml:space="preserve"> </w:t>
      </w:r>
      <w:r w:rsidRPr="51B54947">
        <w:rPr>
          <w:rFonts w:cs="Calibri"/>
          <w:i/>
          <w:lang w:eastAsia="en-IE"/>
        </w:rPr>
        <w:t>end</w:t>
      </w:r>
      <w:r w:rsidR="00AD236A">
        <w:rPr>
          <w:rFonts w:cs="Calibri"/>
          <w:i/>
          <w:iCs/>
          <w:lang w:eastAsia="en-IE"/>
        </w:rPr>
        <w:t xml:space="preserve"> </w:t>
      </w:r>
      <w:r w:rsidRPr="51B54947">
        <w:rPr>
          <w:rFonts w:cs="Calibri"/>
          <w:i/>
          <w:lang w:eastAsia="en-IE"/>
        </w:rPr>
        <w:t>of</w:t>
      </w:r>
      <w:r w:rsidR="00AD236A">
        <w:rPr>
          <w:rFonts w:cs="Calibri"/>
          <w:i/>
          <w:iCs/>
          <w:lang w:eastAsia="en-IE"/>
        </w:rPr>
        <w:t xml:space="preserve"> </w:t>
      </w:r>
      <w:r w:rsidRPr="51B54947">
        <w:rPr>
          <w:rFonts w:cs="Calibri"/>
          <w:i/>
          <w:lang w:eastAsia="en-IE"/>
        </w:rPr>
        <w:t>life.</w:t>
      </w:r>
      <w:r w:rsidRPr="51B54947">
        <w:rPr>
          <w:rFonts w:cs="Calibri"/>
          <w:lang w:eastAsia="en-IE"/>
        </w:rPr>
        <w:t xml:space="preserve"> (Claire, M, GS)</w:t>
      </w:r>
    </w:p>
    <w:p w14:paraId="7E0ED309" w14:textId="77777777" w:rsidR="00A86140" w:rsidRPr="00CD128E" w:rsidRDefault="00A86140" w:rsidP="00A86140">
      <w:pPr>
        <w:textAlignment w:val="baseline"/>
        <w:rPr>
          <w:rFonts w:cs="Segoe UI"/>
          <w:szCs w:val="26"/>
          <w:lang w:eastAsia="en-IE"/>
        </w:rPr>
      </w:pPr>
      <w:r w:rsidRPr="00CD128E">
        <w:rPr>
          <w:rFonts w:cs="Calibri"/>
          <w:szCs w:val="26"/>
          <w:lang w:eastAsia="en-IE"/>
        </w:rPr>
        <w:t>Some services also offered training opportunities to personnel that don’t provide direct care but who do come into contact with the person over the course of their work such as transport drivers and maintenance staff</w:t>
      </w:r>
      <w:r w:rsidRPr="009E498C">
        <w:rPr>
          <w:rFonts w:cs="Calibri"/>
          <w:szCs w:val="26"/>
          <w:lang w:eastAsia="en-IE"/>
        </w:rPr>
        <w:t>:</w:t>
      </w:r>
      <w:r w:rsidRPr="00CD128E">
        <w:rPr>
          <w:rFonts w:ascii="Arial" w:hAnsi="Arial" w:cs="Arial"/>
          <w:szCs w:val="26"/>
          <w:lang w:eastAsia="en-IE"/>
        </w:rPr>
        <w:t> </w:t>
      </w:r>
      <w:r w:rsidRPr="00CD128E">
        <w:rPr>
          <w:rFonts w:cs="Calibri"/>
          <w:szCs w:val="26"/>
          <w:lang w:eastAsia="en-IE"/>
        </w:rPr>
        <w:t> </w:t>
      </w:r>
    </w:p>
    <w:p w14:paraId="19C2F6CF" w14:textId="77777777" w:rsidR="00A86140" w:rsidRPr="00CD128E" w:rsidRDefault="00A86140" w:rsidP="00A86140">
      <w:pPr>
        <w:ind w:left="720"/>
        <w:textAlignment w:val="baseline"/>
        <w:rPr>
          <w:rFonts w:cs="Segoe UI"/>
          <w:szCs w:val="26"/>
          <w:lang w:eastAsia="en-IE"/>
        </w:rPr>
      </w:pPr>
      <w:r w:rsidRPr="009E498C">
        <w:rPr>
          <w:rFonts w:cs="Calibri"/>
          <w:i/>
          <w:szCs w:val="26"/>
          <w:lang w:eastAsia="en-IE"/>
        </w:rPr>
        <w:t>…</w:t>
      </w:r>
      <w:r w:rsidRPr="00CD128E">
        <w:rPr>
          <w:rFonts w:cs="Calibri"/>
          <w:i/>
          <w:szCs w:val="26"/>
          <w:lang w:eastAsia="en-IE"/>
        </w:rPr>
        <w:t>our transport drivers and maintenance…if they have any interaction with any of the residents</w:t>
      </w:r>
      <w:r w:rsidRPr="009E498C">
        <w:rPr>
          <w:rFonts w:cs="Calibri"/>
          <w:i/>
          <w:szCs w:val="26"/>
          <w:lang w:eastAsia="en-IE"/>
        </w:rPr>
        <w:t>.</w:t>
      </w:r>
      <w:r w:rsidRPr="00CD128E">
        <w:rPr>
          <w:rFonts w:cs="Calibri"/>
          <w:szCs w:val="26"/>
          <w:lang w:eastAsia="en-IE"/>
        </w:rPr>
        <w:t xml:space="preserve"> (Carol, M, GS)</w:t>
      </w:r>
    </w:p>
    <w:p w14:paraId="67832476" w14:textId="77777777" w:rsidR="00A86140" w:rsidRPr="00CD128E" w:rsidRDefault="00A86140" w:rsidP="00A86140">
      <w:pPr>
        <w:textAlignment w:val="baseline"/>
        <w:rPr>
          <w:rFonts w:cs="Segoe UI"/>
          <w:szCs w:val="26"/>
          <w:lang w:eastAsia="en-IE"/>
        </w:rPr>
      </w:pPr>
      <w:r w:rsidRPr="00CD128E">
        <w:rPr>
          <w:rFonts w:cs="Calibri"/>
          <w:szCs w:val="26"/>
          <w:lang w:eastAsia="en-IE"/>
        </w:rPr>
        <w:t>Other services have invited nursing home staff to their education and training session to enable them to support the person who was transitioning from their current service to their nursing home</w:t>
      </w:r>
      <w:r w:rsidRPr="009E498C">
        <w:rPr>
          <w:rFonts w:cs="Calibri"/>
          <w:szCs w:val="26"/>
          <w:lang w:eastAsia="en-IE"/>
        </w:rPr>
        <w:t>:</w:t>
      </w:r>
    </w:p>
    <w:p w14:paraId="2D1AA4BA" w14:textId="77777777" w:rsidR="00A86140" w:rsidRDefault="00A86140" w:rsidP="00A86140">
      <w:pPr>
        <w:ind w:left="720"/>
        <w:textAlignment w:val="baseline"/>
        <w:rPr>
          <w:rFonts w:cs="Calibri"/>
          <w:szCs w:val="26"/>
          <w:lang w:eastAsia="en-IE"/>
        </w:rPr>
      </w:pPr>
      <w:r w:rsidRPr="00CD128E">
        <w:rPr>
          <w:rFonts w:cs="Calibri"/>
          <w:i/>
          <w:szCs w:val="26"/>
          <w:lang w:eastAsia="en-IE"/>
        </w:rPr>
        <w:t>…we would have invited in nursing home staff to the training, and we would have gone out and provided training to nursing home team of staff just as part of a transition</w:t>
      </w:r>
      <w:r w:rsidRPr="009E498C">
        <w:rPr>
          <w:rFonts w:cs="Calibri"/>
          <w:i/>
          <w:szCs w:val="26"/>
          <w:lang w:eastAsia="en-IE"/>
        </w:rPr>
        <w:t>.</w:t>
      </w:r>
      <w:r w:rsidRPr="00CD128E">
        <w:rPr>
          <w:rFonts w:cs="Calibri"/>
          <w:szCs w:val="26"/>
          <w:lang w:eastAsia="en-IE"/>
        </w:rPr>
        <w:t xml:space="preserve"> (Claire, M, GS</w:t>
      </w:r>
      <w:r w:rsidRPr="009E498C">
        <w:rPr>
          <w:rFonts w:cs="Calibri"/>
          <w:szCs w:val="26"/>
          <w:lang w:eastAsia="en-IE"/>
        </w:rPr>
        <w:t>)</w:t>
      </w:r>
    </w:p>
    <w:p w14:paraId="7FC2BF1F" w14:textId="508A5387" w:rsidR="1351CA91" w:rsidRDefault="1351CA91" w:rsidP="5F23F1D8">
      <w:pPr>
        <w:rPr>
          <w:rFonts w:cs="Calibri"/>
          <w:lang w:eastAsia="en-IE"/>
        </w:rPr>
      </w:pPr>
      <w:r w:rsidRPr="004E7B80">
        <w:rPr>
          <w:rFonts w:cs="Calibri"/>
          <w:lang w:eastAsia="en-IE"/>
        </w:rPr>
        <w:t xml:space="preserve">The issue of staffing and ensuring an appropriate staff mix </w:t>
      </w:r>
      <w:r w:rsidR="6808BDC5" w:rsidRPr="004E7B80">
        <w:rPr>
          <w:rFonts w:cs="Calibri"/>
          <w:lang w:eastAsia="en-IE"/>
        </w:rPr>
        <w:t>is one of great pertinence to services. The speed at which an older person’s care needs m</w:t>
      </w:r>
      <w:r w:rsidR="372565AC" w:rsidRPr="004E7B80">
        <w:rPr>
          <w:rFonts w:cs="Calibri"/>
          <w:lang w:eastAsia="en-IE"/>
        </w:rPr>
        <w:t xml:space="preserve">ay change requires a timely </w:t>
      </w:r>
      <w:r w:rsidR="351BAA25" w:rsidRPr="004E7B80">
        <w:rPr>
          <w:rFonts w:cs="Calibri"/>
          <w:lang w:eastAsia="en-IE"/>
        </w:rPr>
        <w:t>and flexible</w:t>
      </w:r>
      <w:r w:rsidR="372565AC" w:rsidRPr="004E7B80">
        <w:rPr>
          <w:rFonts w:cs="Calibri"/>
          <w:lang w:eastAsia="en-IE"/>
        </w:rPr>
        <w:t xml:space="preserve"> response however</w:t>
      </w:r>
      <w:r w:rsidR="6885BF89" w:rsidRPr="004E7B80">
        <w:rPr>
          <w:rFonts w:cs="Calibri"/>
          <w:lang w:eastAsia="en-IE"/>
        </w:rPr>
        <w:t xml:space="preserve"> </w:t>
      </w:r>
      <w:r w:rsidR="14B3A876" w:rsidRPr="004E7B80">
        <w:rPr>
          <w:rFonts w:cs="Calibri"/>
          <w:lang w:eastAsia="en-IE"/>
        </w:rPr>
        <w:t xml:space="preserve">services experience </w:t>
      </w:r>
      <w:r w:rsidR="1BDC03B4" w:rsidRPr="004E7B80">
        <w:rPr>
          <w:rFonts w:cs="Calibri"/>
          <w:lang w:eastAsia="en-IE"/>
        </w:rPr>
        <w:t xml:space="preserve">particular </w:t>
      </w:r>
      <w:r w:rsidR="14B3A876" w:rsidRPr="004E7B80">
        <w:rPr>
          <w:rFonts w:cs="Calibri"/>
          <w:lang w:eastAsia="en-IE"/>
        </w:rPr>
        <w:t xml:space="preserve">challenges in </w:t>
      </w:r>
      <w:r w:rsidR="5592E4F3" w:rsidRPr="004E7B80">
        <w:rPr>
          <w:rFonts w:cs="Calibri"/>
          <w:lang w:eastAsia="en-IE"/>
        </w:rPr>
        <w:t xml:space="preserve">the </w:t>
      </w:r>
      <w:r w:rsidR="14B3A876" w:rsidRPr="004E7B80">
        <w:rPr>
          <w:rFonts w:cs="Calibri"/>
          <w:lang w:eastAsia="en-IE"/>
        </w:rPr>
        <w:t xml:space="preserve">recruitment </w:t>
      </w:r>
      <w:r w:rsidR="5592E4F3" w:rsidRPr="004E7B80">
        <w:rPr>
          <w:rFonts w:cs="Calibri"/>
          <w:lang w:eastAsia="en-IE"/>
        </w:rPr>
        <w:t>of RNIDs</w:t>
      </w:r>
      <w:r w:rsidR="5A41A170" w:rsidRPr="004E7B80">
        <w:rPr>
          <w:rFonts w:cs="Calibri"/>
          <w:lang w:eastAsia="en-IE"/>
        </w:rPr>
        <w:t xml:space="preserve">, </w:t>
      </w:r>
      <w:r w:rsidR="5663DE4E" w:rsidRPr="004E7B80">
        <w:rPr>
          <w:rFonts w:cs="Calibri"/>
          <w:lang w:eastAsia="en-IE"/>
        </w:rPr>
        <w:t xml:space="preserve">and </w:t>
      </w:r>
      <w:r w:rsidR="5A41A170" w:rsidRPr="004E7B80">
        <w:rPr>
          <w:rFonts w:cs="Calibri"/>
          <w:lang w:eastAsia="en-IE"/>
        </w:rPr>
        <w:t>the reluctance of some staff to upskill or take positions of respo</w:t>
      </w:r>
      <w:r w:rsidR="61FA350A" w:rsidRPr="004E7B80">
        <w:rPr>
          <w:rFonts w:cs="Calibri"/>
          <w:lang w:eastAsia="en-IE"/>
        </w:rPr>
        <w:t>n</w:t>
      </w:r>
      <w:r w:rsidR="5A41A170" w:rsidRPr="004E7B80">
        <w:rPr>
          <w:rFonts w:cs="Calibri"/>
          <w:lang w:eastAsia="en-IE"/>
        </w:rPr>
        <w:t>sibility</w:t>
      </w:r>
      <w:r w:rsidR="000F7095">
        <w:rPr>
          <w:rFonts w:cs="Calibri"/>
          <w:lang w:eastAsia="en-IE"/>
        </w:rPr>
        <w:t>.</w:t>
      </w:r>
      <w:r w:rsidR="7FD82145">
        <w:rPr>
          <w:rFonts w:cs="Calibri"/>
          <w:color w:val="FF0000"/>
          <w:lang w:eastAsia="en-IE"/>
        </w:rPr>
        <w:t xml:space="preserve"> </w:t>
      </w:r>
      <w:r w:rsidR="004C3EE4">
        <w:rPr>
          <w:rFonts w:cs="Calibri"/>
          <w:lang w:eastAsia="en-IE"/>
        </w:rPr>
        <w:t xml:space="preserve">The absence of </w:t>
      </w:r>
      <w:r w:rsidR="003C6F2F">
        <w:rPr>
          <w:rFonts w:cs="Calibri"/>
          <w:lang w:eastAsia="en-IE"/>
        </w:rPr>
        <w:t>such skill mix</w:t>
      </w:r>
      <w:r w:rsidR="00B60A01">
        <w:rPr>
          <w:rFonts w:cs="Calibri"/>
          <w:lang w:eastAsia="en-IE"/>
        </w:rPr>
        <w:t xml:space="preserve"> and </w:t>
      </w:r>
      <w:r w:rsidR="000F7095">
        <w:rPr>
          <w:rFonts w:cs="Calibri"/>
          <w:lang w:eastAsia="en-IE"/>
        </w:rPr>
        <w:t>shortfalls in</w:t>
      </w:r>
      <w:r w:rsidR="7FD82145" w:rsidRPr="704DFAFB">
        <w:rPr>
          <w:rFonts w:cs="Calibri"/>
          <w:lang w:eastAsia="en-IE"/>
        </w:rPr>
        <w:t xml:space="preserve"> staffing levels may result in an untimely relocation </w:t>
      </w:r>
      <w:r w:rsidR="2259BF2B" w:rsidRPr="704DFAFB">
        <w:rPr>
          <w:rFonts w:cs="Calibri"/>
          <w:lang w:eastAsia="en-IE"/>
        </w:rPr>
        <w:t xml:space="preserve">of an older person from their current home. </w:t>
      </w:r>
    </w:p>
    <w:p w14:paraId="70E47A49" w14:textId="77777777" w:rsidR="00A86140" w:rsidRPr="005376DC" w:rsidRDefault="00A86140" w:rsidP="001A2B40">
      <w:pPr>
        <w:pStyle w:val="Heading3"/>
        <w:rPr>
          <w:color w:val="auto"/>
        </w:rPr>
      </w:pPr>
      <w:bookmarkStart w:id="255" w:name="_Toc118558304"/>
      <w:r w:rsidRPr="005376DC">
        <w:rPr>
          <w:color w:val="auto"/>
        </w:rPr>
        <w:t>Funding</w:t>
      </w:r>
      <w:bookmarkEnd w:id="255"/>
    </w:p>
    <w:p w14:paraId="083438D6" w14:textId="77777777" w:rsidR="00A86140" w:rsidRPr="00015F20" w:rsidRDefault="00A86140" w:rsidP="00A86140">
      <w:pPr>
        <w:textAlignment w:val="baseline"/>
        <w:rPr>
          <w:rFonts w:cs="Segoe UI"/>
          <w:szCs w:val="26"/>
          <w:lang w:eastAsia="en-IE"/>
        </w:rPr>
      </w:pPr>
      <w:r>
        <w:rPr>
          <w:rFonts w:cs="Calibri"/>
          <w:szCs w:val="26"/>
          <w:lang w:eastAsia="en-IE"/>
        </w:rPr>
        <w:t>It has already been noted that the provision of a quality service, and one that is responsive to the older persons’ needs and wishes, is premised on the availability of resources, and particularly funding. Thus, if there is no flexibility in financial resourcing, this will result in a service that will be unable to address individual’s needs and wishes</w:t>
      </w:r>
      <w:r w:rsidRPr="00015F20">
        <w:rPr>
          <w:rFonts w:cs="Calibri"/>
          <w:szCs w:val="26"/>
          <w:lang w:eastAsia="en-IE"/>
        </w:rPr>
        <w:t xml:space="preserve">. </w:t>
      </w:r>
      <w:r>
        <w:rPr>
          <w:rFonts w:cs="Calibri"/>
          <w:szCs w:val="26"/>
          <w:lang w:eastAsia="en-IE"/>
        </w:rPr>
        <w:t>Some participants</w:t>
      </w:r>
      <w:r w:rsidRPr="00015F20">
        <w:rPr>
          <w:rFonts w:cs="Calibri"/>
          <w:szCs w:val="26"/>
          <w:lang w:eastAsia="en-IE"/>
        </w:rPr>
        <w:t xml:space="preserve"> noted that </w:t>
      </w:r>
      <w:r>
        <w:rPr>
          <w:rFonts w:cs="Calibri"/>
          <w:szCs w:val="26"/>
          <w:lang w:eastAsia="en-IE"/>
        </w:rPr>
        <w:t xml:space="preserve">where </w:t>
      </w:r>
      <w:r w:rsidRPr="00015F20">
        <w:rPr>
          <w:rFonts w:cs="Calibri"/>
          <w:szCs w:val="26"/>
          <w:lang w:eastAsia="en-IE"/>
        </w:rPr>
        <w:t>staffing and environmental adaptations</w:t>
      </w:r>
      <w:r>
        <w:rPr>
          <w:rFonts w:cs="Calibri"/>
          <w:szCs w:val="26"/>
          <w:lang w:eastAsia="en-IE"/>
        </w:rPr>
        <w:t xml:space="preserve"> were possible</w:t>
      </w:r>
      <w:r w:rsidRPr="00015F20">
        <w:rPr>
          <w:rFonts w:cs="Calibri"/>
          <w:szCs w:val="26"/>
          <w:lang w:eastAsia="en-IE"/>
        </w:rPr>
        <w:t>,</w:t>
      </w:r>
      <w:r>
        <w:rPr>
          <w:rFonts w:cs="Calibri"/>
          <w:szCs w:val="26"/>
          <w:lang w:eastAsia="en-IE"/>
        </w:rPr>
        <w:t xml:space="preserve"> there was often a difficulty in getting this </w:t>
      </w:r>
      <w:r w:rsidRPr="00015F20">
        <w:rPr>
          <w:rFonts w:cs="Calibri"/>
          <w:szCs w:val="26"/>
          <w:lang w:eastAsia="en-IE"/>
        </w:rPr>
        <w:t>funded:</w:t>
      </w:r>
      <w:r w:rsidRPr="00015F20">
        <w:rPr>
          <w:rFonts w:ascii="Arial" w:hAnsi="Arial" w:cs="Arial"/>
          <w:szCs w:val="26"/>
          <w:lang w:eastAsia="en-IE"/>
        </w:rPr>
        <w:t> </w:t>
      </w:r>
      <w:r w:rsidRPr="00015F20">
        <w:rPr>
          <w:rFonts w:cs="Calibri"/>
          <w:szCs w:val="26"/>
          <w:lang w:eastAsia="en-IE"/>
        </w:rPr>
        <w:t> </w:t>
      </w:r>
    </w:p>
    <w:p w14:paraId="56751606" w14:textId="77777777" w:rsidR="00A86140" w:rsidRDefault="00A86140" w:rsidP="00A86140">
      <w:pPr>
        <w:ind w:left="709"/>
        <w:textAlignment w:val="baseline"/>
        <w:rPr>
          <w:rFonts w:cs="Calibri"/>
          <w:szCs w:val="26"/>
          <w:lang w:eastAsia="en-IE"/>
        </w:rPr>
      </w:pPr>
      <w:r w:rsidRPr="00015F20">
        <w:rPr>
          <w:rFonts w:cs="Calibri"/>
          <w:i/>
          <w:szCs w:val="26"/>
          <w:lang w:eastAsia="en-IE"/>
        </w:rPr>
        <w:t>…we have not been able to care for them within their own home and that was probably due to funding issues, whether they needed increasing staff. Some of it was environmental</w:t>
      </w:r>
      <w:r>
        <w:rPr>
          <w:rFonts w:cs="Calibri"/>
          <w:i/>
          <w:szCs w:val="26"/>
          <w:lang w:eastAsia="en-IE"/>
        </w:rPr>
        <w:t>.</w:t>
      </w:r>
      <w:r w:rsidRPr="00015F20">
        <w:rPr>
          <w:rFonts w:cs="Calibri"/>
          <w:szCs w:val="26"/>
          <w:lang w:eastAsia="en-IE"/>
        </w:rPr>
        <w:t xml:space="preserve"> (</w:t>
      </w:r>
      <w:r w:rsidRPr="00B67444">
        <w:rPr>
          <w:rFonts w:cs="Calibri"/>
          <w:szCs w:val="26"/>
          <w:lang w:eastAsia="en-IE"/>
        </w:rPr>
        <w:t>Sarah, M, SS</w:t>
      </w:r>
      <w:r w:rsidRPr="00015F20">
        <w:rPr>
          <w:rFonts w:cs="Calibri"/>
          <w:szCs w:val="26"/>
          <w:lang w:eastAsia="en-IE"/>
        </w:rPr>
        <w:t>)</w:t>
      </w:r>
      <w:r w:rsidRPr="00015F20">
        <w:rPr>
          <w:rFonts w:ascii="Arial" w:hAnsi="Arial" w:cs="Arial"/>
          <w:szCs w:val="26"/>
          <w:lang w:eastAsia="en-IE"/>
        </w:rPr>
        <w:t> </w:t>
      </w:r>
    </w:p>
    <w:p w14:paraId="64DACB6E" w14:textId="77777777" w:rsidR="00A86140" w:rsidRDefault="00A86140" w:rsidP="00A86140">
      <w:pPr>
        <w:textAlignment w:val="baseline"/>
        <w:rPr>
          <w:rFonts w:cs="Calibri"/>
          <w:szCs w:val="26"/>
          <w:lang w:eastAsia="en-IE"/>
        </w:rPr>
      </w:pPr>
      <w:r>
        <w:rPr>
          <w:rFonts w:cs="Calibri"/>
          <w:szCs w:val="26"/>
          <w:lang w:eastAsia="en-IE"/>
        </w:rPr>
        <w:t>This view was also aired by one survey respondent:</w:t>
      </w:r>
    </w:p>
    <w:p w14:paraId="38BB2057" w14:textId="77777777" w:rsidR="00A86140" w:rsidRPr="00D6224A" w:rsidRDefault="00A86140" w:rsidP="00A86140">
      <w:pPr>
        <w:ind w:left="709"/>
        <w:rPr>
          <w:rFonts w:eastAsia="Calibri" w:cs="Calibri"/>
          <w:szCs w:val="26"/>
        </w:rPr>
      </w:pPr>
      <w:r w:rsidRPr="00D6224A">
        <w:rPr>
          <w:rFonts w:eastAsia="Calibri" w:cs="Calibri"/>
          <w:i/>
          <w:color w:val="000000" w:themeColor="text1"/>
          <w:szCs w:val="26"/>
        </w:rPr>
        <w:t>…funding not available for change related needs in a proactive manner.</w:t>
      </w:r>
      <w:r>
        <w:rPr>
          <w:rFonts w:eastAsia="Calibri" w:cs="Calibri"/>
          <w:color w:val="000000" w:themeColor="text1"/>
          <w:szCs w:val="26"/>
        </w:rPr>
        <w:t xml:space="preserve"> (S)</w:t>
      </w:r>
    </w:p>
    <w:p w14:paraId="7DD47A3A" w14:textId="77777777" w:rsidR="00A86140" w:rsidRDefault="00A86140" w:rsidP="00A86140">
      <w:pPr>
        <w:textAlignment w:val="baseline"/>
        <w:rPr>
          <w:rFonts w:cs="Calibri"/>
          <w:szCs w:val="26"/>
          <w:lang w:eastAsia="en-IE"/>
        </w:rPr>
      </w:pPr>
      <w:r>
        <w:rPr>
          <w:rFonts w:cs="Calibri"/>
          <w:szCs w:val="26"/>
          <w:lang w:eastAsia="en-IE"/>
        </w:rPr>
        <w:t>It was noted that this inability to get funds was also leading to non-optimal service outcomes for the older persons:</w:t>
      </w:r>
    </w:p>
    <w:p w14:paraId="5B61EDFE" w14:textId="77777777" w:rsidR="00A86140" w:rsidRPr="00015F20" w:rsidRDefault="00A86140" w:rsidP="00A86140">
      <w:pPr>
        <w:ind w:left="709"/>
        <w:textAlignment w:val="baseline"/>
        <w:rPr>
          <w:rFonts w:cs="Segoe UI"/>
          <w:szCs w:val="26"/>
          <w:lang w:eastAsia="en-IE"/>
        </w:rPr>
      </w:pPr>
      <w:r w:rsidRPr="00015F20">
        <w:rPr>
          <w:rFonts w:cs="Calibri"/>
          <w:i/>
          <w:szCs w:val="26"/>
          <w:lang w:eastAsia="en-IE"/>
        </w:rPr>
        <w:t>…the majority of our people have gone to nursing homes for the very reason</w:t>
      </w:r>
      <w:r>
        <w:rPr>
          <w:rFonts w:cs="Calibri"/>
          <w:i/>
          <w:szCs w:val="26"/>
          <w:lang w:eastAsia="en-IE"/>
        </w:rPr>
        <w:t>;</w:t>
      </w:r>
      <w:r w:rsidRPr="00015F20">
        <w:rPr>
          <w:rFonts w:cs="Calibri"/>
          <w:i/>
          <w:szCs w:val="26"/>
          <w:lang w:eastAsia="en-IE"/>
        </w:rPr>
        <w:t xml:space="preserve"> it's not that we didn’t have skills, or we didn’t have the expertise, or we didn’t have the experience…we are finding it more and more difficult to get any funding for anybody’s changing needs</w:t>
      </w:r>
      <w:r>
        <w:rPr>
          <w:rFonts w:cs="Calibri"/>
          <w:i/>
          <w:szCs w:val="26"/>
          <w:lang w:eastAsia="en-IE"/>
        </w:rPr>
        <w:t>.</w:t>
      </w:r>
      <w:r w:rsidRPr="00015F20">
        <w:rPr>
          <w:rFonts w:cs="Calibri"/>
          <w:szCs w:val="26"/>
          <w:lang w:eastAsia="en-IE"/>
        </w:rPr>
        <w:t xml:space="preserve"> (</w:t>
      </w:r>
      <w:r w:rsidRPr="006E4D96">
        <w:rPr>
          <w:rFonts w:cs="Calibri"/>
          <w:szCs w:val="26"/>
          <w:lang w:eastAsia="en-IE"/>
        </w:rPr>
        <w:t>Claire, M, GS</w:t>
      </w:r>
      <w:r w:rsidRPr="00015F20">
        <w:rPr>
          <w:rFonts w:cs="Calibri"/>
          <w:szCs w:val="26"/>
          <w:lang w:eastAsia="en-IE"/>
        </w:rPr>
        <w:t>)</w:t>
      </w:r>
      <w:r w:rsidRPr="00015F20">
        <w:rPr>
          <w:rFonts w:ascii="Arial" w:hAnsi="Arial" w:cs="Arial"/>
          <w:szCs w:val="26"/>
          <w:lang w:eastAsia="en-IE"/>
        </w:rPr>
        <w:t> </w:t>
      </w:r>
      <w:r w:rsidRPr="00015F20">
        <w:rPr>
          <w:rFonts w:cs="Calibri"/>
          <w:szCs w:val="26"/>
          <w:lang w:eastAsia="en-IE"/>
        </w:rPr>
        <w:t> </w:t>
      </w:r>
    </w:p>
    <w:p w14:paraId="56F40AE7" w14:textId="77777777" w:rsidR="00A86140" w:rsidRPr="00015F20" w:rsidRDefault="00A86140" w:rsidP="00A86140">
      <w:pPr>
        <w:textAlignment w:val="baseline"/>
        <w:rPr>
          <w:rFonts w:cs="Segoe UI"/>
          <w:szCs w:val="26"/>
          <w:lang w:eastAsia="en-IE"/>
        </w:rPr>
      </w:pPr>
      <w:r w:rsidRPr="00015F20">
        <w:rPr>
          <w:rFonts w:cs="Calibri"/>
          <w:szCs w:val="26"/>
          <w:lang w:eastAsia="en-IE"/>
        </w:rPr>
        <w:t>Even where there was potential for funding, the process was often quite unwieldy, and</w:t>
      </w:r>
      <w:r>
        <w:rPr>
          <w:rFonts w:cs="Calibri"/>
          <w:szCs w:val="26"/>
          <w:lang w:eastAsia="en-IE"/>
        </w:rPr>
        <w:t xml:space="preserve"> this</w:t>
      </w:r>
      <w:r w:rsidRPr="00015F20">
        <w:rPr>
          <w:rFonts w:cs="Calibri"/>
          <w:szCs w:val="26"/>
          <w:lang w:eastAsia="en-IE"/>
        </w:rPr>
        <w:t xml:space="preserve"> led to delays </w:t>
      </w:r>
      <w:r>
        <w:rPr>
          <w:rFonts w:cs="Calibri"/>
          <w:szCs w:val="26"/>
          <w:lang w:eastAsia="en-IE"/>
        </w:rPr>
        <w:t>such that</w:t>
      </w:r>
      <w:r w:rsidRPr="00015F20">
        <w:rPr>
          <w:rFonts w:cs="Calibri"/>
          <w:szCs w:val="26"/>
          <w:lang w:eastAsia="en-IE"/>
        </w:rPr>
        <w:t xml:space="preserve"> the older person’s needs </w:t>
      </w:r>
      <w:r>
        <w:rPr>
          <w:rFonts w:cs="Calibri"/>
          <w:szCs w:val="26"/>
          <w:lang w:eastAsia="en-IE"/>
        </w:rPr>
        <w:t xml:space="preserve">had </w:t>
      </w:r>
      <w:r w:rsidRPr="00015F20">
        <w:rPr>
          <w:rFonts w:cs="Calibri"/>
          <w:szCs w:val="26"/>
          <w:lang w:eastAsia="en-IE"/>
        </w:rPr>
        <w:t xml:space="preserve">changed and the </w:t>
      </w:r>
      <w:r>
        <w:rPr>
          <w:rFonts w:cs="Calibri"/>
          <w:szCs w:val="26"/>
          <w:lang w:eastAsia="en-IE"/>
        </w:rPr>
        <w:t>funded</w:t>
      </w:r>
      <w:r w:rsidRPr="00015F20">
        <w:rPr>
          <w:rFonts w:cs="Calibri"/>
          <w:szCs w:val="26"/>
          <w:lang w:eastAsia="en-IE"/>
        </w:rPr>
        <w:t xml:space="preserve"> service response possible was one that was </w:t>
      </w:r>
      <w:r>
        <w:rPr>
          <w:rFonts w:cs="Calibri"/>
          <w:szCs w:val="26"/>
          <w:lang w:eastAsia="en-IE"/>
        </w:rPr>
        <w:t>no longer</w:t>
      </w:r>
      <w:r w:rsidRPr="00015F20">
        <w:rPr>
          <w:rFonts w:cs="Calibri"/>
          <w:szCs w:val="26"/>
          <w:lang w:eastAsia="en-IE"/>
        </w:rPr>
        <w:t xml:space="preserve"> aligned to those needs:</w:t>
      </w:r>
      <w:r w:rsidRPr="00015F20">
        <w:rPr>
          <w:rFonts w:ascii="Arial" w:hAnsi="Arial" w:cs="Arial"/>
          <w:szCs w:val="26"/>
          <w:lang w:eastAsia="en-IE"/>
        </w:rPr>
        <w:t> </w:t>
      </w:r>
      <w:r w:rsidRPr="00015F20">
        <w:rPr>
          <w:rFonts w:cs="Calibri"/>
          <w:szCs w:val="26"/>
          <w:lang w:eastAsia="en-IE"/>
        </w:rPr>
        <w:t> </w:t>
      </w:r>
    </w:p>
    <w:p w14:paraId="6B5333C1" w14:textId="77777777" w:rsidR="00A86140" w:rsidRPr="00015F20" w:rsidRDefault="00A86140" w:rsidP="00A86140">
      <w:pPr>
        <w:ind w:left="709"/>
        <w:textAlignment w:val="baseline"/>
        <w:rPr>
          <w:rFonts w:cs="Segoe UI"/>
          <w:szCs w:val="26"/>
          <w:lang w:eastAsia="en-IE"/>
        </w:rPr>
      </w:pPr>
      <w:r w:rsidRPr="00015F20">
        <w:rPr>
          <w:rFonts w:cs="Calibri"/>
          <w:i/>
          <w:szCs w:val="26"/>
          <w:lang w:eastAsia="en-IE"/>
        </w:rPr>
        <w:t>We had to apply to our funders through our business case process…and we had a long wait</w:t>
      </w:r>
      <w:r>
        <w:rPr>
          <w:rFonts w:cs="Calibri"/>
          <w:i/>
          <w:szCs w:val="26"/>
          <w:lang w:eastAsia="en-IE"/>
        </w:rPr>
        <w:t>.</w:t>
      </w:r>
      <w:r w:rsidRPr="00015F20">
        <w:rPr>
          <w:rFonts w:cs="Calibri"/>
          <w:i/>
          <w:szCs w:val="26"/>
          <w:lang w:eastAsia="en-IE"/>
        </w:rPr>
        <w:t xml:space="preserve"> </w:t>
      </w:r>
      <w:r w:rsidRPr="00015F20">
        <w:rPr>
          <w:rFonts w:cs="Calibri"/>
          <w:szCs w:val="26"/>
          <w:lang w:eastAsia="en-IE"/>
        </w:rPr>
        <w:t>(</w:t>
      </w:r>
      <w:r w:rsidRPr="00AF697D">
        <w:rPr>
          <w:rFonts w:cs="Calibri"/>
          <w:szCs w:val="26"/>
          <w:lang w:eastAsia="en-IE"/>
        </w:rPr>
        <w:t>Emily, M, GS</w:t>
      </w:r>
      <w:r w:rsidRPr="00015F20">
        <w:rPr>
          <w:rFonts w:cs="Calibri"/>
          <w:szCs w:val="26"/>
          <w:lang w:eastAsia="en-IE"/>
        </w:rPr>
        <w:t>)</w:t>
      </w:r>
      <w:r w:rsidRPr="00015F20">
        <w:rPr>
          <w:rFonts w:ascii="Arial" w:hAnsi="Arial" w:cs="Arial"/>
          <w:szCs w:val="26"/>
          <w:lang w:eastAsia="en-IE"/>
        </w:rPr>
        <w:t> </w:t>
      </w:r>
      <w:r w:rsidRPr="00015F20">
        <w:rPr>
          <w:rFonts w:cs="Calibri"/>
          <w:szCs w:val="26"/>
          <w:lang w:eastAsia="en-IE"/>
        </w:rPr>
        <w:t> </w:t>
      </w:r>
    </w:p>
    <w:p w14:paraId="71F56C45" w14:textId="77777777" w:rsidR="00A86140" w:rsidRDefault="00A86140" w:rsidP="00A86140">
      <w:pPr>
        <w:textAlignment w:val="baseline"/>
        <w:rPr>
          <w:rFonts w:cs="Segoe UI"/>
          <w:szCs w:val="26"/>
          <w:lang w:eastAsia="en-IE"/>
        </w:rPr>
      </w:pPr>
      <w:r>
        <w:rPr>
          <w:rFonts w:cs="Segoe UI"/>
          <w:szCs w:val="26"/>
          <w:lang w:eastAsia="en-IE"/>
        </w:rPr>
        <w:t>Nor could the service be aligned to the older person’s stated wishes, making person-centeredness impossible to apply:</w:t>
      </w:r>
    </w:p>
    <w:p w14:paraId="6F478854" w14:textId="77777777" w:rsidR="00A86140" w:rsidRPr="0038312B" w:rsidRDefault="00A86140" w:rsidP="00A86140">
      <w:pPr>
        <w:ind w:left="709"/>
        <w:textAlignment w:val="baseline"/>
        <w:rPr>
          <w:rFonts w:cs="Calibri"/>
          <w:szCs w:val="26"/>
          <w:lang w:eastAsia="en-IE"/>
        </w:rPr>
      </w:pPr>
      <w:r>
        <w:rPr>
          <w:rFonts w:cs="Calibri"/>
          <w:i/>
          <w:szCs w:val="26"/>
          <w:lang w:eastAsia="en-IE"/>
        </w:rPr>
        <w:t>…</w:t>
      </w:r>
      <w:r w:rsidRPr="0038312B">
        <w:rPr>
          <w:rFonts w:cs="Calibri"/>
          <w:i/>
          <w:szCs w:val="26"/>
          <w:lang w:eastAsia="en-IE"/>
        </w:rPr>
        <w:t>if we don’t have the resources and the funding</w:t>
      </w:r>
      <w:r>
        <w:rPr>
          <w:rFonts w:cs="Calibri"/>
          <w:i/>
          <w:szCs w:val="26"/>
          <w:lang w:eastAsia="en-IE"/>
        </w:rPr>
        <w:t>,</w:t>
      </w:r>
      <w:r w:rsidRPr="0038312B">
        <w:rPr>
          <w:rFonts w:cs="Calibri"/>
          <w:i/>
          <w:szCs w:val="26"/>
          <w:lang w:eastAsia="en-IE"/>
        </w:rPr>
        <w:t xml:space="preserve"> it's very challenging for staff to try and apply a person-centred approach for that person and to really realise what their own decisions are and give them the choice and decisions</w:t>
      </w:r>
      <w:r>
        <w:rPr>
          <w:rFonts w:cs="Calibri"/>
          <w:i/>
          <w:szCs w:val="26"/>
          <w:lang w:eastAsia="en-IE"/>
        </w:rPr>
        <w:t>.</w:t>
      </w:r>
      <w:r w:rsidRPr="0038312B">
        <w:rPr>
          <w:rFonts w:cs="Calibri"/>
          <w:i/>
          <w:szCs w:val="26"/>
          <w:lang w:eastAsia="en-IE"/>
        </w:rPr>
        <w:t xml:space="preserve"> </w:t>
      </w:r>
      <w:r w:rsidRPr="0038312B">
        <w:rPr>
          <w:rFonts w:cs="Calibri"/>
          <w:szCs w:val="26"/>
          <w:lang w:eastAsia="en-IE"/>
        </w:rPr>
        <w:t>(</w:t>
      </w:r>
      <w:r w:rsidRPr="00D401AE">
        <w:rPr>
          <w:rFonts w:cs="Calibri"/>
          <w:szCs w:val="26"/>
          <w:lang w:eastAsia="en-IE"/>
        </w:rPr>
        <w:t>Anne, M, SS</w:t>
      </w:r>
      <w:r w:rsidRPr="0038312B">
        <w:rPr>
          <w:rFonts w:cs="Calibri"/>
          <w:szCs w:val="26"/>
          <w:lang w:eastAsia="en-IE"/>
        </w:rPr>
        <w:t>)</w:t>
      </w:r>
      <w:r w:rsidRPr="0038312B">
        <w:rPr>
          <w:rFonts w:ascii="Arial" w:hAnsi="Arial" w:cs="Arial"/>
          <w:szCs w:val="26"/>
          <w:lang w:eastAsia="en-IE"/>
        </w:rPr>
        <w:t> </w:t>
      </w:r>
      <w:r w:rsidRPr="0038312B">
        <w:rPr>
          <w:rFonts w:cs="Calibri"/>
          <w:szCs w:val="26"/>
          <w:lang w:eastAsia="en-IE"/>
        </w:rPr>
        <w:t> </w:t>
      </w:r>
    </w:p>
    <w:p w14:paraId="2645E2B2" w14:textId="77777777" w:rsidR="00A86140" w:rsidRPr="006863F1" w:rsidRDefault="00A86140" w:rsidP="00A86140">
      <w:pPr>
        <w:textAlignment w:val="baseline"/>
        <w:rPr>
          <w:rFonts w:cs="Segoe UI"/>
          <w:szCs w:val="26"/>
          <w:lang w:eastAsia="en-IE"/>
        </w:rPr>
      </w:pPr>
      <w:r>
        <w:rPr>
          <w:rFonts w:cs="Segoe UI"/>
          <w:szCs w:val="26"/>
          <w:lang w:eastAsia="en-IE"/>
        </w:rPr>
        <w:t xml:space="preserve">It was noted that funding is provided at a defined and static level which does not take account of changing complexity, new compliance needs, or individuals’ wishes. The cost of providing a service for those older people living in a particular environment is met by </w:t>
      </w:r>
      <w:r>
        <w:rPr>
          <w:rFonts w:cs="Segoe UI"/>
          <w:i/>
          <w:szCs w:val="26"/>
          <w:lang w:eastAsia="en-IE"/>
        </w:rPr>
        <w:t>congregating</w:t>
      </w:r>
      <w:r>
        <w:rPr>
          <w:rFonts w:cs="Segoe UI"/>
          <w:szCs w:val="26"/>
          <w:lang w:eastAsia="en-IE"/>
        </w:rPr>
        <w:t xml:space="preserve"> the monies provided for those people’s service. This seriously limited the possibility of individualised services responses:</w:t>
      </w:r>
    </w:p>
    <w:p w14:paraId="62169AF5" w14:textId="77777777" w:rsidR="00A86140" w:rsidRPr="00015F20" w:rsidRDefault="00A86140" w:rsidP="00A86140">
      <w:pPr>
        <w:ind w:left="709"/>
        <w:textAlignment w:val="baseline"/>
        <w:rPr>
          <w:rFonts w:cs="Segoe UI"/>
          <w:szCs w:val="26"/>
          <w:lang w:eastAsia="en-IE"/>
        </w:rPr>
      </w:pPr>
      <w:r w:rsidRPr="00442AC2">
        <w:rPr>
          <w:rFonts w:cs="Calibri"/>
          <w:i/>
          <w:szCs w:val="26"/>
          <w:lang w:eastAsia="en-IE"/>
        </w:rPr>
        <w:t>We still only get €12,000 and €15,000 euro for them. But the staffing needs are higher, the transport, the equipment, the facilities both for the houses and for the services. Being able to give time to people means you need more staff because if you have ten people and you need to give somebody…a really respectful time in the bathroom, then somebody else has to be with the other people</w:t>
      </w:r>
      <w:r>
        <w:rPr>
          <w:rFonts w:cs="Calibri"/>
          <w:i/>
          <w:szCs w:val="26"/>
          <w:lang w:eastAsia="en-IE"/>
        </w:rPr>
        <w:t>.</w:t>
      </w:r>
      <w:r w:rsidRPr="00442AC2">
        <w:rPr>
          <w:rFonts w:cs="Calibri"/>
          <w:szCs w:val="26"/>
          <w:lang w:eastAsia="en-IE"/>
        </w:rPr>
        <w:t xml:space="preserve"> (</w:t>
      </w:r>
      <w:r w:rsidRPr="003D3012">
        <w:rPr>
          <w:rFonts w:cs="Calibri"/>
          <w:szCs w:val="26"/>
          <w:lang w:eastAsia="en-IE"/>
        </w:rPr>
        <w:t>Elizabeth, M, GS</w:t>
      </w:r>
      <w:r w:rsidRPr="00442AC2">
        <w:rPr>
          <w:rFonts w:cs="Calibri"/>
          <w:szCs w:val="26"/>
          <w:lang w:eastAsia="en-IE"/>
        </w:rPr>
        <w:t>) </w:t>
      </w:r>
    </w:p>
    <w:p w14:paraId="1843901C" w14:textId="77777777" w:rsidR="00A86140" w:rsidRDefault="00A86140" w:rsidP="00A86140">
      <w:pPr>
        <w:textAlignment w:val="baseline"/>
        <w:rPr>
          <w:rFonts w:cs="Calibri"/>
          <w:szCs w:val="26"/>
          <w:lang w:eastAsia="en-IE"/>
        </w:rPr>
      </w:pPr>
      <w:r>
        <w:rPr>
          <w:rFonts w:cs="Calibri"/>
          <w:szCs w:val="26"/>
          <w:lang w:eastAsia="en-IE"/>
        </w:rPr>
        <w:t>This problem transferred to the provision of equipment to meet older person’s needs. The challenges in respect of managing such equipment in a setting that has limited capability of being expanded or structurally changed, has been identified already. The purchase of equipment and provision of space is, again, subject to availability of funding:</w:t>
      </w:r>
    </w:p>
    <w:p w14:paraId="72FC333F" w14:textId="77777777" w:rsidR="00A86140" w:rsidRPr="00D47728" w:rsidRDefault="00A86140" w:rsidP="00A86140">
      <w:pPr>
        <w:ind w:left="709"/>
        <w:textAlignment w:val="baseline"/>
        <w:rPr>
          <w:rFonts w:cs="Segoe UI"/>
          <w:szCs w:val="26"/>
          <w:lang w:eastAsia="en-IE"/>
        </w:rPr>
      </w:pPr>
      <w:r w:rsidRPr="00D47728">
        <w:rPr>
          <w:rFonts w:ascii="Arial" w:hAnsi="Arial" w:cs="Arial"/>
          <w:szCs w:val="26"/>
          <w:lang w:eastAsia="en-IE"/>
        </w:rPr>
        <w:t> </w:t>
      </w:r>
      <w:r w:rsidRPr="00D47728">
        <w:rPr>
          <w:rFonts w:cs="Segoe UI"/>
          <w:szCs w:val="26"/>
          <w:lang w:eastAsia="en-IE"/>
        </w:rPr>
        <w:t> </w:t>
      </w:r>
      <w:r w:rsidRPr="00015F20">
        <w:rPr>
          <w:rFonts w:cs="Calibri"/>
          <w:i/>
          <w:szCs w:val="26"/>
          <w:lang w:eastAsia="en-IE"/>
        </w:rPr>
        <w:t>it's never just about the person because there’s always so many influencing factors…do we have the equipment? Is there space to put in what they need in the house they are living in…but finance isn’t always there to do it.</w:t>
      </w:r>
      <w:r w:rsidRPr="00015F20">
        <w:rPr>
          <w:rFonts w:ascii="Arial" w:hAnsi="Arial" w:cs="Arial"/>
          <w:i/>
          <w:iCs/>
          <w:szCs w:val="26"/>
          <w:lang w:eastAsia="en-IE"/>
        </w:rPr>
        <w:t> </w:t>
      </w:r>
      <w:r w:rsidRPr="00015F20">
        <w:rPr>
          <w:rFonts w:cs="Calibri"/>
          <w:i/>
          <w:szCs w:val="26"/>
          <w:lang w:eastAsia="en-IE"/>
        </w:rPr>
        <w:t xml:space="preserve"> So, you are always, it comes back to resources and finance a lot</w:t>
      </w:r>
      <w:r w:rsidRPr="00015F20">
        <w:rPr>
          <w:rFonts w:cs="Calibri"/>
          <w:szCs w:val="26"/>
          <w:lang w:eastAsia="en-IE"/>
        </w:rPr>
        <w:t xml:space="preserve"> (</w:t>
      </w:r>
      <w:r w:rsidRPr="008C213B">
        <w:rPr>
          <w:rFonts w:cs="Calibri"/>
          <w:szCs w:val="26"/>
          <w:lang w:eastAsia="en-IE"/>
        </w:rPr>
        <w:t>Jane, M, SS</w:t>
      </w:r>
      <w:r w:rsidRPr="00015F20">
        <w:rPr>
          <w:rFonts w:cs="Calibri"/>
          <w:szCs w:val="26"/>
          <w:lang w:eastAsia="en-IE"/>
        </w:rPr>
        <w:t>)</w:t>
      </w:r>
      <w:r w:rsidRPr="00015F20">
        <w:rPr>
          <w:rFonts w:ascii="Arial" w:hAnsi="Arial" w:cs="Arial"/>
          <w:szCs w:val="26"/>
          <w:lang w:eastAsia="en-IE"/>
        </w:rPr>
        <w:t> </w:t>
      </w:r>
      <w:r w:rsidRPr="00015F20">
        <w:rPr>
          <w:rFonts w:cs="Calibri"/>
          <w:szCs w:val="26"/>
          <w:lang w:eastAsia="en-IE"/>
        </w:rPr>
        <w:t> </w:t>
      </w:r>
    </w:p>
    <w:p w14:paraId="5046F71D" w14:textId="2E80C547" w:rsidR="00A86140" w:rsidRPr="00D47728" w:rsidRDefault="00A86140" w:rsidP="00A86140">
      <w:pPr>
        <w:textAlignment w:val="baseline"/>
        <w:rPr>
          <w:rFonts w:cs="Calibri"/>
          <w:lang w:eastAsia="en-IE"/>
        </w:rPr>
      </w:pPr>
      <w:r w:rsidRPr="28A33E87">
        <w:rPr>
          <w:rFonts w:cs="Calibri"/>
          <w:lang w:eastAsia="en-IE"/>
        </w:rPr>
        <w:t>For some services, it was possible to achieve a compromise, due to the creativity and of in-service occupational therapists and physiotherapists to source equipment as needed via personal contacts:</w:t>
      </w:r>
    </w:p>
    <w:p w14:paraId="4D82FDDC" w14:textId="77777777" w:rsidR="00A86140" w:rsidRPr="00D47728" w:rsidRDefault="00A86140" w:rsidP="00A86140">
      <w:pPr>
        <w:ind w:left="720"/>
        <w:textAlignment w:val="baseline"/>
        <w:rPr>
          <w:rFonts w:cs="Segoe UI"/>
          <w:szCs w:val="26"/>
          <w:lang w:eastAsia="en-IE"/>
        </w:rPr>
      </w:pPr>
      <w:r w:rsidRPr="00D47728">
        <w:rPr>
          <w:rFonts w:cs="Calibri"/>
          <w:i/>
          <w:szCs w:val="26"/>
          <w:lang w:eastAsia="en-IE"/>
        </w:rPr>
        <w:t>Well, I have to say in our situation over the years</w:t>
      </w:r>
      <w:r>
        <w:rPr>
          <w:rFonts w:cs="Calibri"/>
          <w:i/>
          <w:szCs w:val="26"/>
          <w:lang w:eastAsia="en-IE"/>
        </w:rPr>
        <w:t>.</w:t>
      </w:r>
      <w:r w:rsidRPr="00D47728">
        <w:rPr>
          <w:rFonts w:cs="Calibri"/>
          <w:i/>
          <w:szCs w:val="26"/>
          <w:lang w:eastAsia="en-IE"/>
        </w:rPr>
        <w:t xml:space="preserve"> that has improved greatly</w:t>
      </w:r>
      <w:r>
        <w:rPr>
          <w:rFonts w:cs="Calibri"/>
          <w:i/>
          <w:szCs w:val="26"/>
          <w:lang w:eastAsia="en-IE"/>
        </w:rPr>
        <w:t>…</w:t>
      </w:r>
      <w:r w:rsidRPr="00D47728">
        <w:rPr>
          <w:rFonts w:cs="Calibri"/>
          <w:i/>
          <w:szCs w:val="26"/>
          <w:lang w:eastAsia="en-IE"/>
        </w:rPr>
        <w:t>we'd have an OT and physiotherapists</w:t>
      </w:r>
      <w:r>
        <w:rPr>
          <w:rFonts w:cs="Calibri"/>
          <w:i/>
          <w:szCs w:val="26"/>
          <w:lang w:eastAsia="en-IE"/>
        </w:rPr>
        <w:t>…</w:t>
      </w:r>
      <w:r w:rsidRPr="00D47728">
        <w:rPr>
          <w:rFonts w:cs="Calibri"/>
          <w:i/>
          <w:szCs w:val="26"/>
          <w:lang w:eastAsia="en-IE"/>
        </w:rPr>
        <w:t xml:space="preserve">their workload is massive, but they were able to get all of the equipment and things and appliances that were required in the last few months. We had them really quickly, within a couple of days sometimes and a week for a wheelchair it was fantastic. </w:t>
      </w:r>
      <w:r w:rsidRPr="002E3809">
        <w:rPr>
          <w:rFonts w:cs="Calibri"/>
          <w:szCs w:val="26"/>
          <w:lang w:eastAsia="en-IE"/>
        </w:rPr>
        <w:t>(</w:t>
      </w:r>
      <w:r w:rsidRPr="006A65B8">
        <w:rPr>
          <w:rFonts w:cs="Calibri"/>
          <w:szCs w:val="26"/>
          <w:lang w:eastAsia="en-IE"/>
        </w:rPr>
        <w:t>Eve, D, GS</w:t>
      </w:r>
      <w:r w:rsidRPr="002E3809">
        <w:rPr>
          <w:rFonts w:cs="Calibri"/>
          <w:szCs w:val="26"/>
          <w:lang w:eastAsia="en-IE"/>
        </w:rPr>
        <w:t>)</w:t>
      </w:r>
      <w:r w:rsidRPr="002E3809">
        <w:rPr>
          <w:rFonts w:ascii="Arial" w:hAnsi="Arial" w:cs="Arial"/>
          <w:szCs w:val="26"/>
          <w:lang w:eastAsia="en-IE"/>
        </w:rPr>
        <w:t> </w:t>
      </w:r>
      <w:r w:rsidRPr="00D47728">
        <w:rPr>
          <w:rFonts w:cs="Calibri"/>
          <w:szCs w:val="26"/>
          <w:lang w:eastAsia="en-IE"/>
        </w:rPr>
        <w:t> </w:t>
      </w:r>
    </w:p>
    <w:p w14:paraId="1A03CD33" w14:textId="4EFC06DF" w:rsidR="00A86140" w:rsidRPr="009E498C" w:rsidRDefault="0679D580" w:rsidP="00A86140">
      <w:pPr>
        <w:rPr>
          <w:rFonts w:cstheme="minorBidi"/>
          <w:lang w:eastAsia="en-IE"/>
        </w:rPr>
      </w:pPr>
      <w:r w:rsidRPr="009B1C81">
        <w:rPr>
          <w:rFonts w:cstheme="minorBidi"/>
          <w:lang w:eastAsia="en-IE"/>
        </w:rPr>
        <w:t xml:space="preserve">Adequate resources </w:t>
      </w:r>
      <w:r w:rsidR="142C3B44" w:rsidRPr="009B1C81">
        <w:rPr>
          <w:rFonts w:cstheme="minorBidi"/>
          <w:lang w:eastAsia="en-IE"/>
        </w:rPr>
        <w:t xml:space="preserve">are the key </w:t>
      </w:r>
      <w:r w:rsidR="0D050379" w:rsidRPr="009B1C81">
        <w:rPr>
          <w:rFonts w:cstheme="minorBidi"/>
          <w:lang w:eastAsia="en-IE"/>
        </w:rPr>
        <w:t>prerequisite</w:t>
      </w:r>
      <w:r w:rsidR="142C3B44" w:rsidRPr="009B1C81">
        <w:rPr>
          <w:rFonts w:cstheme="minorBidi"/>
          <w:lang w:eastAsia="en-IE"/>
        </w:rPr>
        <w:t xml:space="preserve"> to the provision </w:t>
      </w:r>
      <w:r w:rsidR="03B185E5" w:rsidRPr="009B1C81">
        <w:rPr>
          <w:rFonts w:cstheme="minorBidi"/>
          <w:lang w:eastAsia="en-IE"/>
        </w:rPr>
        <w:t>of person-centred supports for older people with intellectual disabilit</w:t>
      </w:r>
      <w:r w:rsidR="00C85736">
        <w:rPr>
          <w:rFonts w:cstheme="minorBidi"/>
          <w:lang w:eastAsia="en-IE"/>
        </w:rPr>
        <w:t>ies</w:t>
      </w:r>
      <w:r w:rsidR="03B185E5" w:rsidRPr="009B1C81">
        <w:rPr>
          <w:rFonts w:cstheme="minorBidi"/>
          <w:lang w:eastAsia="en-IE"/>
        </w:rPr>
        <w:t xml:space="preserve">. </w:t>
      </w:r>
      <w:r w:rsidR="5B132C76" w:rsidRPr="009B1C81">
        <w:rPr>
          <w:rFonts w:cstheme="minorBidi"/>
          <w:lang w:eastAsia="en-IE"/>
        </w:rPr>
        <w:t>Staffing levels, staff mix</w:t>
      </w:r>
      <w:r w:rsidR="009B1C81">
        <w:rPr>
          <w:rFonts w:cstheme="minorBidi"/>
          <w:lang w:eastAsia="en-IE"/>
        </w:rPr>
        <w:t>,</w:t>
      </w:r>
      <w:r w:rsidR="5B132C76" w:rsidRPr="009B1C81">
        <w:rPr>
          <w:rFonts w:cstheme="minorBidi"/>
          <w:lang w:eastAsia="en-IE"/>
        </w:rPr>
        <w:t xml:space="preserve"> and the timely provision of equipment </w:t>
      </w:r>
      <w:r w:rsidR="26A3E6C7" w:rsidRPr="009B1C81">
        <w:rPr>
          <w:rFonts w:cstheme="minorBidi"/>
          <w:lang w:eastAsia="en-IE"/>
        </w:rPr>
        <w:t>were</w:t>
      </w:r>
      <w:r w:rsidR="4BF19AF8" w:rsidRPr="009B1C81">
        <w:rPr>
          <w:rFonts w:cstheme="minorBidi"/>
          <w:lang w:eastAsia="en-IE"/>
        </w:rPr>
        <w:t xml:space="preserve"> all </w:t>
      </w:r>
      <w:r w:rsidR="2F65CC29" w:rsidRPr="009B1C81">
        <w:rPr>
          <w:rFonts w:cstheme="minorBidi"/>
          <w:lang w:eastAsia="en-IE"/>
        </w:rPr>
        <w:t>reported to</w:t>
      </w:r>
      <w:r w:rsidR="5B132C76" w:rsidRPr="009B1C81">
        <w:rPr>
          <w:rFonts w:cstheme="minorBidi"/>
          <w:lang w:eastAsia="en-IE"/>
        </w:rPr>
        <w:t xml:space="preserve"> impact</w:t>
      </w:r>
      <w:r w:rsidR="0D164757" w:rsidRPr="009B1C81">
        <w:rPr>
          <w:rFonts w:cstheme="minorBidi"/>
          <w:lang w:eastAsia="en-IE"/>
        </w:rPr>
        <w:t xml:space="preserve"> on the ability of services to respond to the changing and, often complex, needs of people with intellectual disabilit</w:t>
      </w:r>
      <w:r w:rsidR="00C85736">
        <w:rPr>
          <w:rFonts w:cstheme="minorBidi"/>
          <w:lang w:eastAsia="en-IE"/>
        </w:rPr>
        <w:t>ies</w:t>
      </w:r>
      <w:r w:rsidR="0D164757" w:rsidRPr="009B1C81">
        <w:rPr>
          <w:rFonts w:cstheme="minorBidi"/>
          <w:lang w:eastAsia="en-IE"/>
        </w:rPr>
        <w:t xml:space="preserve"> as they age. </w:t>
      </w:r>
      <w:r w:rsidR="734179AF" w:rsidRPr="009B1C81">
        <w:rPr>
          <w:rFonts w:cstheme="minorBidi"/>
          <w:lang w:eastAsia="en-IE"/>
        </w:rPr>
        <w:t>Many of the challenges are underpinned by inadequate funding</w:t>
      </w:r>
      <w:r w:rsidR="734179AF" w:rsidRPr="7E1ABCE3">
        <w:rPr>
          <w:rFonts w:cstheme="minorBidi"/>
          <w:lang w:eastAsia="en-IE"/>
        </w:rPr>
        <w:t xml:space="preserve"> </w:t>
      </w:r>
      <w:r w:rsidR="26F5045F" w:rsidRPr="13F4234D">
        <w:rPr>
          <w:rFonts w:cstheme="minorBidi"/>
          <w:lang w:eastAsia="en-IE"/>
        </w:rPr>
        <w:t xml:space="preserve">and a funding model </w:t>
      </w:r>
      <w:r w:rsidR="26F5045F" w:rsidRPr="7A18FCB1">
        <w:rPr>
          <w:rFonts w:cstheme="minorBidi"/>
          <w:lang w:eastAsia="en-IE"/>
        </w:rPr>
        <w:t xml:space="preserve">that is not </w:t>
      </w:r>
      <w:r w:rsidR="26F5045F" w:rsidRPr="5EBBF85B">
        <w:rPr>
          <w:rFonts w:cstheme="minorBidi"/>
          <w:lang w:eastAsia="en-IE"/>
        </w:rPr>
        <w:t xml:space="preserve">sensitive to </w:t>
      </w:r>
      <w:r w:rsidR="26F5045F" w:rsidRPr="535AC082">
        <w:rPr>
          <w:rFonts w:cstheme="minorBidi"/>
          <w:lang w:eastAsia="en-IE"/>
        </w:rPr>
        <w:t>increase</w:t>
      </w:r>
      <w:r w:rsidR="787FBD01" w:rsidRPr="535AC082">
        <w:rPr>
          <w:rFonts w:cstheme="minorBidi"/>
          <w:lang w:eastAsia="en-IE"/>
        </w:rPr>
        <w:t xml:space="preserve">d need at the level of the </w:t>
      </w:r>
      <w:r w:rsidR="787FBD01" w:rsidRPr="10C372F7">
        <w:rPr>
          <w:rFonts w:cstheme="minorBidi"/>
          <w:lang w:eastAsia="en-IE"/>
        </w:rPr>
        <w:t xml:space="preserve">individual. </w:t>
      </w:r>
    </w:p>
    <w:p w14:paraId="1EE3CB16" w14:textId="77777777" w:rsidR="00A86140" w:rsidRPr="00C00CA8" w:rsidRDefault="00A86140" w:rsidP="001A2B40">
      <w:pPr>
        <w:pStyle w:val="Heading2"/>
      </w:pPr>
      <w:bookmarkStart w:id="256" w:name="_Toc117628777"/>
      <w:bookmarkStart w:id="257" w:name="_Toc118555218"/>
      <w:bookmarkStart w:id="258" w:name="_Toc118558305"/>
      <w:bookmarkStart w:id="259" w:name="_Toc118558376"/>
      <w:bookmarkStart w:id="260" w:name="_Toc121830633"/>
      <w:r>
        <w:t xml:space="preserve">Outcomes </w:t>
      </w:r>
      <w:bookmarkEnd w:id="232"/>
      <w:bookmarkEnd w:id="256"/>
      <w:r>
        <w:t>and quality of life</w:t>
      </w:r>
      <w:bookmarkEnd w:id="257"/>
      <w:bookmarkEnd w:id="258"/>
      <w:bookmarkEnd w:id="259"/>
      <w:bookmarkEnd w:id="260"/>
    </w:p>
    <w:p w14:paraId="23F2CF41" w14:textId="064F4077" w:rsidR="00A86140" w:rsidRDefault="00A86140" w:rsidP="11C55A92">
      <w:pPr>
        <w:rPr>
          <w:rFonts w:cstheme="minorBidi"/>
          <w:lang w:eastAsia="en-IE"/>
        </w:rPr>
      </w:pPr>
      <w:r w:rsidRPr="11C55A92">
        <w:rPr>
          <w:rFonts w:cstheme="minorBidi"/>
          <w:lang w:eastAsia="en-IE"/>
        </w:rPr>
        <w:t>Survey respondents most frequently reported using person-centred support plans (78.1%; n=25) or person-centred care plans (68.8%; n=22) to measure outcomes of care and support for older adults in their services. Almost 60% (59.4%; n=19) used their advocacy process or a complaints process (59.4%; n=19) and more than half reported using HIQA standards measures (56.3%; n=18). Other reported tools included satisfaction surveys (46.9%; n=15), and the DisDAT (Disability Distress Assessment Tool)</w:t>
      </w:r>
      <w:r w:rsidR="004A2176" w:rsidRPr="11C55A92">
        <w:rPr>
          <w:rFonts w:cstheme="minorBidi"/>
          <w:lang w:eastAsia="en-IE"/>
        </w:rPr>
        <w:t xml:space="preserve"> </w:t>
      </w:r>
      <w:r w:rsidRPr="11C55A92">
        <w:rPr>
          <w:rFonts w:cstheme="minorBidi"/>
          <w:lang w:eastAsia="en-IE"/>
        </w:rPr>
        <w:fldChar w:fldCharType="begin"/>
      </w:r>
      <w:r w:rsidRPr="11C55A92">
        <w:rPr>
          <w:rFonts w:cstheme="minorBidi"/>
          <w:lang w:eastAsia="en-IE"/>
        </w:rPr>
        <w:instrText xml:space="preserve"> ADDIN EN.CITE &lt;EndNote&gt;&lt;Cite&gt;&lt;Author&gt;Regnard&lt;/Author&gt;&lt;Year&gt;2007&lt;/Year&gt;&lt;RecNum&gt;719&lt;/RecNum&gt;&lt;DisplayText&gt;(Regnard et al., 2007)&lt;/DisplayText&gt;&lt;record&gt;&lt;rec-number&gt;719&lt;/rec-number&gt;&lt;foreign-keys&gt;&lt;key app="EN" db-id="xtwfdzde5ttr0zevxrh5sf0c2wfzw5zf2vra" timestamp="1666955584" guid="3fc5d8b3-1a0c-4edb-ac81-146eb789755d"&gt;719&lt;/key&gt;&lt;/foreign-keys&gt;&lt;ref-type name="Journal Article"&gt;17&lt;/ref-type&gt;&lt;contributors&gt;&lt;authors&gt;&lt;author&gt;Regnard, Claud&lt;/author&gt;&lt;author&gt;Reynolds, Joanna&lt;/author&gt;&lt;author&gt;Watson, Bill&lt;/author&gt;&lt;author&gt;Matthews, Dorothy&lt;/author&gt;&lt;author&gt;Gibson, Lynn&lt;/author&gt;&lt;author&gt;Clarke, Charlotte&lt;/author&gt;&lt;/authors&gt;&lt;/contributors&gt;&lt;titles&gt;&lt;title&gt;Understanding distress in people with severe communication difficulties: developing and assessing the Disability Distress Assessment Tool (DisDAT)&lt;/title&gt;&lt;secondary-title&gt;Journal of Intellectual Disability Research&lt;/secondary-title&gt;&lt;/titles&gt;&lt;periodical&gt;&lt;full-title&gt;Journal of Intellectual Disability Research&lt;/full-title&gt;&lt;/periodical&gt;&lt;pages&gt;277-292&lt;/pages&gt;&lt;volume&gt;51&lt;/volume&gt;&lt;number&gt;4&lt;/number&gt;&lt;dates&gt;&lt;year&gt;2007&lt;/year&gt;&lt;/dates&gt;&lt;isbn&gt;0964-2633&lt;/isbn&gt;&lt;urls&gt;&lt;/urls&gt;&lt;/record&gt;&lt;/Cite&gt;&lt;/EndNote&gt;</w:instrText>
      </w:r>
      <w:r w:rsidRPr="11C55A92">
        <w:rPr>
          <w:rFonts w:cstheme="minorBidi"/>
          <w:lang w:eastAsia="en-IE"/>
        </w:rPr>
        <w:fldChar w:fldCharType="separate"/>
      </w:r>
      <w:r w:rsidR="004A2176" w:rsidRPr="11C55A92">
        <w:rPr>
          <w:rFonts w:cstheme="minorBidi"/>
          <w:lang w:eastAsia="en-IE"/>
        </w:rPr>
        <w:t>(Regnard et al., 2007)</w:t>
      </w:r>
      <w:r w:rsidRPr="11C55A92">
        <w:rPr>
          <w:rFonts w:cstheme="minorBidi"/>
          <w:lang w:eastAsia="en-IE"/>
        </w:rPr>
        <w:fldChar w:fldCharType="end"/>
      </w:r>
      <w:r w:rsidR="000B5C5C" w:rsidRPr="11C55A92">
        <w:rPr>
          <w:rFonts w:cstheme="minorBidi"/>
          <w:lang w:eastAsia="en-IE"/>
        </w:rPr>
        <w:t xml:space="preserve"> </w:t>
      </w:r>
      <w:r w:rsidRPr="11C55A92">
        <w:rPr>
          <w:rFonts w:cstheme="minorBidi"/>
          <w:lang w:eastAsia="en-IE"/>
        </w:rPr>
        <w:t>(43.8%; n=14). Apart from satisfaction surveys and the HIQA measures, specialist services reported using these tools more than non-specialist services</w:t>
      </w:r>
      <w:r w:rsidR="07A79356" w:rsidRPr="11C55A92">
        <w:rPr>
          <w:rFonts w:cstheme="minorBidi"/>
          <w:lang w:eastAsia="en-IE"/>
        </w:rPr>
        <w:t>.</w:t>
      </w:r>
      <w:r w:rsidRPr="11C55A92">
        <w:rPr>
          <w:rFonts w:cstheme="minorBidi"/>
          <w:lang w:eastAsia="en-IE"/>
        </w:rPr>
        <w:t xml:space="preserve"> </w:t>
      </w:r>
      <w:r w:rsidR="3DD2788D" w:rsidRPr="11C55A92">
        <w:rPr>
          <w:rFonts w:cstheme="minorBidi"/>
          <w:lang w:eastAsia="en-IE"/>
        </w:rPr>
        <w:t>H</w:t>
      </w:r>
      <w:r w:rsidRPr="11C55A92">
        <w:rPr>
          <w:rFonts w:cstheme="minorBidi"/>
          <w:lang w:eastAsia="en-IE"/>
        </w:rPr>
        <w:t>owever, overall, these tools were used more frequently by ‘other’ services compared to specialist and non-specialist services.</w:t>
      </w:r>
    </w:p>
    <w:p w14:paraId="3505B64C" w14:textId="2BF3E0AA" w:rsidR="00A86140" w:rsidRPr="00181B19" w:rsidRDefault="00A86140" w:rsidP="00A86140">
      <w:pPr>
        <w:rPr>
          <w:rFonts w:cstheme="minorBidi"/>
          <w:lang w:eastAsia="en-IE"/>
        </w:rPr>
      </w:pPr>
      <w:r w:rsidRPr="00FC56ED">
        <w:rPr>
          <w:rFonts w:cstheme="minorBidi"/>
          <w:lang w:eastAsia="en-IE"/>
        </w:rPr>
        <w:t xml:space="preserve">Focus group participants, too, reported the use of those and other measurement tools including </w:t>
      </w:r>
      <w:r w:rsidRPr="19294017">
        <w:rPr>
          <w:lang w:eastAsia="en-IE"/>
        </w:rPr>
        <w:t>I Plan, Glancing Back Planning Forward tool</w:t>
      </w:r>
      <w:r w:rsidR="001E4061">
        <w:rPr>
          <w:lang w:eastAsia="en-IE"/>
        </w:rPr>
        <w:t xml:space="preserve"> </w:t>
      </w:r>
      <w:r w:rsidR="001E4061">
        <w:rPr>
          <w:lang w:eastAsia="en-IE"/>
        </w:rPr>
        <w:fldChar w:fldCharType="begin"/>
      </w:r>
      <w:r w:rsidR="0075587D">
        <w:rPr>
          <w:lang w:eastAsia="en-IE"/>
        </w:rPr>
        <w:instrText xml:space="preserve"> ADDIN EN.CITE &lt;EndNote&gt;&lt;Cite&gt;&lt;Author&gt;Burke&lt;/Author&gt;&lt;Year&gt;2017&lt;/Year&gt;&lt;RecNum&gt;720&lt;/RecNum&gt;&lt;DisplayText&gt;(Burke et al., 2017)&lt;/DisplayText&gt;&lt;record&gt;&lt;rec-number&gt;720&lt;/rec-number&gt;&lt;foreign-keys&gt;&lt;key app="EN" db-id="xtwfdzde5ttr0zevxrh5sf0c2wfzw5zf2vra" timestamp="1666955964" guid="cf8e1fe9-dca2-4c2a-81d7-c5008ed33725"&gt;720&lt;/key&gt;&lt;/foreign-keys&gt;&lt;ref-type name="Report"&gt;27&lt;/ref-type&gt;&lt;contributors&gt;&lt;authors&gt;&lt;author&gt;Burke, É&lt;/author&gt;&lt;author&gt;O’Dwyer, C&lt;/author&gt;&lt;author&gt;Ryan, K&lt;/author&gt;&lt;author&gt;McCallion, P&lt;/author&gt;&lt;author&gt;McCarron, M&lt;/author&gt;&lt;/authors&gt;&lt;/contributors&gt;&lt;titles&gt;&lt;title&gt;Glancing Back, Planning Forward, A guide for planning end of life care with people with intellectual disability.&lt;/title&gt;&lt;/titles&gt;&lt;dates&gt;&lt;year&gt;2017&lt;/year&gt;&lt;/dates&gt;&lt;pub-location&gt;Dublin&lt;/pub-location&gt;&lt;publisher&gt;Trinity Centre for Ageing and Intellectual Disabilities, Trinity College Dublin&lt;/publisher&gt;&lt;urls&gt;&lt;/urls&gt;&lt;/record&gt;&lt;/Cite&gt;&lt;/EndNote&gt;</w:instrText>
      </w:r>
      <w:r w:rsidR="001E4061">
        <w:rPr>
          <w:lang w:eastAsia="en-IE"/>
        </w:rPr>
        <w:fldChar w:fldCharType="separate"/>
      </w:r>
      <w:r w:rsidR="000B5C5C">
        <w:rPr>
          <w:lang w:eastAsia="en-IE"/>
        </w:rPr>
        <w:t>(Burke et al., 2017)</w:t>
      </w:r>
      <w:r w:rsidR="001E4061">
        <w:rPr>
          <w:lang w:eastAsia="en-IE"/>
        </w:rPr>
        <w:fldChar w:fldCharType="end"/>
      </w:r>
      <w:r>
        <w:rPr>
          <w:lang w:eastAsia="en-IE"/>
        </w:rPr>
        <w:t>,</w:t>
      </w:r>
      <w:r w:rsidRPr="19294017">
        <w:rPr>
          <w:lang w:eastAsia="en-IE"/>
        </w:rPr>
        <w:t xml:space="preserve"> as well as qualitative interviews</w:t>
      </w:r>
      <w:r w:rsidRPr="428D25D7">
        <w:rPr>
          <w:lang w:eastAsia="en-IE"/>
        </w:rPr>
        <w:t xml:space="preserve"> and </w:t>
      </w:r>
      <w:r w:rsidRPr="08300751">
        <w:rPr>
          <w:lang w:eastAsia="en-IE"/>
        </w:rPr>
        <w:t>satisfaction surveys</w:t>
      </w:r>
      <w:r w:rsidRPr="19294017">
        <w:rPr>
          <w:lang w:eastAsia="en-IE"/>
        </w:rPr>
        <w:t>:</w:t>
      </w:r>
    </w:p>
    <w:p w14:paraId="372F589A" w14:textId="77777777" w:rsidR="00A86140" w:rsidRDefault="00A86140" w:rsidP="00A86140">
      <w:pPr>
        <w:ind w:left="720"/>
        <w:rPr>
          <w:rFonts w:cstheme="minorBidi"/>
          <w:lang w:eastAsia="en-IE"/>
        </w:rPr>
      </w:pPr>
      <w:r w:rsidRPr="19294017">
        <w:rPr>
          <w:rFonts w:cstheme="minorBidi"/>
          <w:i/>
          <w:lang w:eastAsia="en-IE"/>
        </w:rPr>
        <w:t>…we have a system called ‘I Plan’, so we can go in and monitor are we meeting the outcomes for people. We’re using the live outcomes; we’re looking at them. They’re constantly being looked at and changed and monitored with the individual.</w:t>
      </w:r>
      <w:r w:rsidRPr="19294017">
        <w:rPr>
          <w:rFonts w:cstheme="minorBidi"/>
          <w:lang w:eastAsia="en-IE"/>
        </w:rPr>
        <w:t> (Elizabeth, M, GS) </w:t>
      </w:r>
    </w:p>
    <w:p w14:paraId="2E66E15D" w14:textId="77777777" w:rsidR="00A86140" w:rsidRDefault="00A86140" w:rsidP="00A86140">
      <w:pPr>
        <w:ind w:left="720"/>
        <w:rPr>
          <w:rFonts w:cstheme="minorBidi"/>
          <w:lang w:eastAsia="en-IE"/>
        </w:rPr>
      </w:pPr>
      <w:r w:rsidRPr="19294017">
        <w:rPr>
          <w:rFonts w:cstheme="minorBidi"/>
          <w:i/>
          <w:lang w:eastAsia="en-IE"/>
        </w:rPr>
        <w:t>…the tool that we used…for supporting the care conversations…</w:t>
      </w:r>
      <w:r w:rsidRPr="19294017">
        <w:rPr>
          <w:rFonts w:cstheme="minorBidi"/>
          <w:lang w:eastAsia="en-IE"/>
        </w:rPr>
        <w:t>[is]</w:t>
      </w:r>
      <w:r w:rsidRPr="19294017">
        <w:rPr>
          <w:rFonts w:cstheme="minorBidi"/>
          <w:i/>
          <w:lang w:eastAsia="en-IE"/>
        </w:rPr>
        <w:t>…the ‘Glancing Back, Planning Forward’ tool, and we analyse that…we say well, did we meet all the person’s wishes? Did we tick the boxes of what they wanted to do? And if we did, that’s where the positive outcome is for the person. </w:t>
      </w:r>
      <w:r w:rsidRPr="19294017">
        <w:rPr>
          <w:rFonts w:cstheme="minorBidi"/>
          <w:lang w:eastAsia="en-IE"/>
        </w:rPr>
        <w:t>(Emily, M, GS)  </w:t>
      </w:r>
    </w:p>
    <w:p w14:paraId="3BE08952" w14:textId="77777777" w:rsidR="00A86140" w:rsidRDefault="00A86140" w:rsidP="00A86140">
      <w:pPr>
        <w:ind w:left="720"/>
        <w:rPr>
          <w:rFonts w:cstheme="minorBidi"/>
          <w:color w:val="FF0000"/>
          <w:lang w:eastAsia="en-IE"/>
        </w:rPr>
      </w:pPr>
      <w:r w:rsidRPr="19294017">
        <w:rPr>
          <w:rFonts w:cstheme="minorBidi"/>
          <w:i/>
          <w:lang w:eastAsia="en-IE"/>
        </w:rPr>
        <w:t>…we do what we call ‘reliable interviews’ with people. And I suppose we come back, and we score it; we determine what outcome is present in a person’s life or what isn’t.</w:t>
      </w:r>
      <w:r w:rsidRPr="19294017">
        <w:rPr>
          <w:rFonts w:cstheme="minorBidi"/>
          <w:lang w:eastAsia="en-IE"/>
        </w:rPr>
        <w:t xml:space="preserve"> (Claire, M, GS)</w:t>
      </w:r>
    </w:p>
    <w:p w14:paraId="3000F524" w14:textId="77777777" w:rsidR="00A86140" w:rsidRPr="004D3A4A" w:rsidRDefault="00A86140" w:rsidP="00A86140">
      <w:pPr>
        <w:ind w:left="720"/>
        <w:rPr>
          <w:rFonts w:cstheme="minorBidi"/>
          <w:color w:val="FF0000"/>
          <w:lang w:eastAsia="en-IE"/>
        </w:rPr>
      </w:pPr>
      <w:r w:rsidRPr="14305956">
        <w:rPr>
          <w:rFonts w:cstheme="minorBidi"/>
          <w:i/>
          <w:lang w:eastAsia="en-IE"/>
        </w:rPr>
        <w:t xml:space="preserve">We have our questionnaires that we would provide to the residents, and then we just kind of educate people on their rights and the complaints process. And the more that people are aware of what they’re entitled to, and their likes and their choices, the more that we find that people speak if they want change or if they’re not happy with something or if they’d like something else. </w:t>
      </w:r>
      <w:r w:rsidRPr="14305956">
        <w:rPr>
          <w:rFonts w:cstheme="minorBidi"/>
          <w:lang w:eastAsia="en-IE"/>
        </w:rPr>
        <w:t>(Moya, M, SS)</w:t>
      </w:r>
    </w:p>
    <w:p w14:paraId="2FC94490" w14:textId="77777777" w:rsidR="00A86140" w:rsidRDefault="00A86140" w:rsidP="00A86140">
      <w:pPr>
        <w:rPr>
          <w:lang w:eastAsia="en-IE"/>
        </w:rPr>
      </w:pPr>
      <w:r w:rsidRPr="7B46D536">
        <w:rPr>
          <w:rFonts w:cstheme="minorBidi"/>
          <w:lang w:eastAsia="en-IE"/>
        </w:rPr>
        <w:t>For others, the measurement of outcomes is work that is only being commenced, and specifically in relation to those who have been diagnosed with dementia or who are likely to be:</w:t>
      </w:r>
    </w:p>
    <w:p w14:paraId="57582406" w14:textId="77777777" w:rsidR="00A86140" w:rsidRDefault="00A86140" w:rsidP="00A86140">
      <w:pPr>
        <w:ind w:left="720"/>
      </w:pPr>
      <w:r w:rsidRPr="7B46D536">
        <w:rPr>
          <w:rFonts w:cstheme="minorBidi"/>
          <w:i/>
          <w:lang w:eastAsia="en-IE"/>
        </w:rPr>
        <w:t>…in terms of measuring, it…</w:t>
      </w:r>
      <w:r w:rsidRPr="7B46D536">
        <w:rPr>
          <w:rFonts w:cstheme="minorBidi"/>
          <w:lang w:eastAsia="en-IE"/>
        </w:rPr>
        <w:t>[the process]</w:t>
      </w:r>
      <w:r w:rsidRPr="7B46D536">
        <w:rPr>
          <w:rFonts w:cstheme="minorBidi"/>
          <w:i/>
          <w:lang w:eastAsia="en-IE"/>
        </w:rPr>
        <w:t>…is really starting now…trying to figure out you know how many people and looking at how many people are fifty years of age or forty years of age now, and we will be going through the screening for dementia, especially if they are presenting with Down syndrome.</w:t>
      </w:r>
      <w:r w:rsidRPr="7B46D536">
        <w:rPr>
          <w:rFonts w:cstheme="minorBidi"/>
          <w:lang w:eastAsia="en-IE"/>
        </w:rPr>
        <w:t xml:space="preserve"> (Claire, M, GS) </w:t>
      </w:r>
      <w:r w:rsidRPr="7B46D536">
        <w:t xml:space="preserve"> </w:t>
      </w:r>
    </w:p>
    <w:p w14:paraId="6B6AE09B" w14:textId="77777777" w:rsidR="00A86140" w:rsidRDefault="00A86140" w:rsidP="00A86140">
      <w:r w:rsidRPr="3CDD4940">
        <w:t>In relation to measuring outcomes of care for people with dementia, participants spoke about the need to review the person’s care on a more frequent basis:</w:t>
      </w:r>
    </w:p>
    <w:p w14:paraId="7E377FC2" w14:textId="77777777" w:rsidR="00A86140" w:rsidRDefault="00A86140" w:rsidP="00A86140">
      <w:pPr>
        <w:ind w:left="720"/>
        <w:rPr>
          <w:rFonts w:cstheme="minorBidi"/>
          <w:i/>
          <w:lang w:eastAsia="en-IE"/>
        </w:rPr>
      </w:pPr>
      <w:r w:rsidRPr="3CDD4940">
        <w:rPr>
          <w:rFonts w:cstheme="minorBidi"/>
          <w:i/>
          <w:lang w:eastAsia="en-IE"/>
        </w:rPr>
        <w:t>…people with dementia, their goal planning is very different…so their goal planning, definitely the timelines, are shorter. So, we might do that every three months, but you might just focus on one goal as opposed to maybe two or three. So, it’s very individualised…everything is always captured on kind of like your action plan page…there’s a timeline on it and we’d always have one person with the key responsibility to ensure that that goal…and make sure that the person is getting what they would have liked. And that’s really how we measure. </w:t>
      </w:r>
      <w:r w:rsidRPr="3CDD4940">
        <w:rPr>
          <w:rFonts w:cstheme="minorBidi"/>
          <w:lang w:eastAsia="en-IE"/>
        </w:rPr>
        <w:t>(Mary, M, SS)</w:t>
      </w:r>
    </w:p>
    <w:p w14:paraId="322D3395" w14:textId="7BAE5D04" w:rsidR="00A86140" w:rsidRDefault="00A86140" w:rsidP="00A86140">
      <w:r w:rsidRPr="11C55A92">
        <w:rPr>
          <w:rFonts w:cstheme="minorBidi"/>
          <w:lang w:eastAsia="en-IE"/>
        </w:rPr>
        <w:t>The potential limitations of some outcome of care measurement tools arose as a discussion point in a number of focus groups</w:t>
      </w:r>
      <w:r w:rsidR="19D2F23E" w:rsidRPr="11C55A92">
        <w:rPr>
          <w:rFonts w:cstheme="minorBidi"/>
          <w:lang w:eastAsia="en-IE"/>
        </w:rPr>
        <w:t>.</w:t>
      </w:r>
      <w:r w:rsidRPr="11C55A92">
        <w:rPr>
          <w:rFonts w:cstheme="minorBidi"/>
          <w:lang w:eastAsia="en-IE"/>
        </w:rPr>
        <w:t xml:space="preserve"> It was argued that t</w:t>
      </w:r>
      <w:r>
        <w:t>here was a lack of clarity as to what the indicators of quality might be, and participants spoke about the challenges of documenting the evidence to show that the outcomes identified for the person had been met:</w:t>
      </w:r>
    </w:p>
    <w:p w14:paraId="0B20A995" w14:textId="689E2293" w:rsidR="00A86140" w:rsidRDefault="00A86140" w:rsidP="00A86140">
      <w:pPr>
        <w:ind w:left="720"/>
        <w:rPr>
          <w:rFonts w:cstheme="minorBidi"/>
          <w:lang w:eastAsia="en-IE"/>
        </w:rPr>
      </w:pPr>
      <w:r w:rsidRPr="1DECAFEB">
        <w:rPr>
          <w:rFonts w:cstheme="minorBidi"/>
          <w:i/>
          <w:lang w:eastAsia="en-IE"/>
        </w:rPr>
        <w:t>I suppose measuring it, you know it's kind of a bit, it's thrown me a little bit to be honest because if somebody asked me to prove that somebody is living a good life…I can show you documentation and speak to the person and they could tell you themselves once they are verbal. But on paper to give evidence of it, I don’t know…but as a measurable tool I don’t know what you would use really to determine how good somebody’s life is.</w:t>
      </w:r>
      <w:r w:rsidRPr="1DECAFEB">
        <w:rPr>
          <w:rFonts w:cstheme="minorBidi"/>
          <w:lang w:eastAsia="en-IE"/>
        </w:rPr>
        <w:t xml:space="preserve"> (Jane, M, SS) </w:t>
      </w:r>
    </w:p>
    <w:p w14:paraId="7F16736B" w14:textId="77777777" w:rsidR="00A86140" w:rsidRDefault="00A86140" w:rsidP="00A86140">
      <w:pPr>
        <w:rPr>
          <w:rFonts w:cstheme="minorBidi"/>
          <w:lang w:eastAsia="en-IE"/>
        </w:rPr>
      </w:pPr>
      <w:r>
        <w:rPr>
          <w:rFonts w:cstheme="minorBidi"/>
          <w:lang w:eastAsia="en-IE"/>
        </w:rPr>
        <w:t>Outcome measurement in a situation whereby</w:t>
      </w:r>
      <w:r w:rsidRPr="7A8FE9D6">
        <w:rPr>
          <w:rFonts w:cstheme="minorBidi"/>
          <w:lang w:eastAsia="en-IE"/>
        </w:rPr>
        <w:t xml:space="preserve"> the </w:t>
      </w:r>
      <w:r>
        <w:rPr>
          <w:rFonts w:cstheme="minorBidi"/>
          <w:lang w:eastAsia="en-IE"/>
        </w:rPr>
        <w:t xml:space="preserve">older </w:t>
      </w:r>
      <w:r w:rsidRPr="7A8FE9D6">
        <w:rPr>
          <w:rFonts w:cstheme="minorBidi"/>
          <w:lang w:eastAsia="en-IE"/>
        </w:rPr>
        <w:t xml:space="preserve">person </w:t>
      </w:r>
      <w:r>
        <w:rPr>
          <w:rFonts w:cstheme="minorBidi"/>
          <w:lang w:eastAsia="en-IE"/>
        </w:rPr>
        <w:t>could not</w:t>
      </w:r>
      <w:r w:rsidRPr="7A8FE9D6">
        <w:rPr>
          <w:rFonts w:cstheme="minorBidi"/>
          <w:lang w:eastAsia="en-IE"/>
        </w:rPr>
        <w:t xml:space="preserve"> communicate verbally was identified by some of the participants as potentially challenging and this highlighted the need for the task to be conducted by someone who </w:t>
      </w:r>
      <w:r>
        <w:rPr>
          <w:rFonts w:cstheme="minorBidi"/>
          <w:lang w:eastAsia="en-IE"/>
        </w:rPr>
        <w:t>knew</w:t>
      </w:r>
      <w:r w:rsidRPr="7A8FE9D6">
        <w:rPr>
          <w:rFonts w:cstheme="minorBidi"/>
          <w:lang w:eastAsia="en-IE"/>
        </w:rPr>
        <w:t xml:space="preserve"> the individual very well: </w:t>
      </w:r>
    </w:p>
    <w:p w14:paraId="1B56DC37" w14:textId="77777777" w:rsidR="00A86140" w:rsidRDefault="00A86140" w:rsidP="00A86140">
      <w:pPr>
        <w:ind w:left="720"/>
        <w:rPr>
          <w:rFonts w:cstheme="minorBidi"/>
          <w:lang w:eastAsia="en-IE"/>
        </w:rPr>
      </w:pPr>
      <w:r w:rsidRPr="7A8FE9D6">
        <w:rPr>
          <w:rFonts w:cstheme="minorBidi"/>
          <w:i/>
          <w:lang w:eastAsia="en-IE"/>
        </w:rPr>
        <w:t>…</w:t>
      </w:r>
      <w:r w:rsidRPr="7A8FE9D6">
        <w:rPr>
          <w:rFonts w:cstheme="minorBidi"/>
          <w:lang w:eastAsia="en-IE"/>
        </w:rPr>
        <w:t>[communication]</w:t>
      </w:r>
      <w:r w:rsidRPr="7A8FE9D6">
        <w:rPr>
          <w:rFonts w:cstheme="minorBidi"/>
          <w:i/>
          <w:lang w:eastAsia="en-IE"/>
        </w:rPr>
        <w:t>…can be measured in several ways. Even if it's vocalisation around whether they are happy or not, it's really down to the person knowing the person very well and knowing how they express that they are happy. And how they express that they are not…that ability is a tool to use to gauge what the person’s experience is, how they are expressing themselves.</w:t>
      </w:r>
      <w:r w:rsidRPr="7A8FE9D6">
        <w:rPr>
          <w:rFonts w:cstheme="minorBidi"/>
          <w:lang w:eastAsia="en-IE"/>
        </w:rPr>
        <w:t xml:space="preserve"> (Anne, M, SS) </w:t>
      </w:r>
    </w:p>
    <w:p w14:paraId="6E4AE5B2" w14:textId="77777777" w:rsidR="00A86140" w:rsidRDefault="00A86140" w:rsidP="00A86140">
      <w:pPr>
        <w:rPr>
          <w:rFonts w:cstheme="minorBidi"/>
          <w:lang w:eastAsia="en-IE"/>
        </w:rPr>
      </w:pPr>
      <w:r w:rsidRPr="6D4791B9">
        <w:rPr>
          <w:rFonts w:cstheme="minorBidi"/>
          <w:lang w:eastAsia="en-IE"/>
        </w:rPr>
        <w:t>Likewise, i</w:t>
      </w:r>
      <w:r w:rsidRPr="5AADEB6E">
        <w:rPr>
          <w:rFonts w:cstheme="minorBidi"/>
          <w:lang w:eastAsia="en-IE"/>
        </w:rPr>
        <w:t xml:space="preserve">t was queried whether responses to surveys </w:t>
      </w:r>
      <w:r w:rsidRPr="625715C4">
        <w:rPr>
          <w:rFonts w:cstheme="minorBidi"/>
          <w:lang w:eastAsia="en-IE"/>
        </w:rPr>
        <w:t xml:space="preserve">reflected </w:t>
      </w:r>
      <w:r w:rsidRPr="79341836">
        <w:rPr>
          <w:rFonts w:cstheme="minorBidi"/>
          <w:lang w:eastAsia="en-IE"/>
        </w:rPr>
        <w:t xml:space="preserve">the perspective of the </w:t>
      </w:r>
      <w:r w:rsidRPr="47816E9B">
        <w:rPr>
          <w:rFonts w:cstheme="minorBidi"/>
          <w:lang w:eastAsia="en-IE"/>
        </w:rPr>
        <w:t>person themselves or the staff member who completes the survey:</w:t>
      </w:r>
    </w:p>
    <w:p w14:paraId="4A5AD4F3" w14:textId="77777777" w:rsidR="00A86140" w:rsidRPr="00181B19" w:rsidRDefault="00A86140" w:rsidP="00A86140">
      <w:pPr>
        <w:ind w:left="720"/>
        <w:rPr>
          <w:rFonts w:cstheme="minorBidi"/>
          <w:lang w:eastAsia="en-IE"/>
        </w:rPr>
      </w:pPr>
      <w:r w:rsidRPr="14305956">
        <w:rPr>
          <w:rFonts w:cstheme="minorBidi"/>
          <w:i/>
          <w:lang w:eastAsia="en-IE"/>
        </w:rPr>
        <w:t>…the service user satisfaction survey that we would do annually or more often…sometimes I do feel a lot of the times are filled in by staff. So, are you getting the staff’s perspective of what the person’s life is like or are you getting the true reflection of how the person’s lived experience would be?</w:t>
      </w:r>
      <w:r w:rsidRPr="14305956">
        <w:rPr>
          <w:rFonts w:cstheme="minorBidi"/>
          <w:lang w:eastAsia="en-IE"/>
        </w:rPr>
        <w:t> (Jane, M, SS) </w:t>
      </w:r>
    </w:p>
    <w:p w14:paraId="19A84EB6" w14:textId="77777777" w:rsidR="00A86140" w:rsidRDefault="00A86140" w:rsidP="00A86140">
      <w:pPr>
        <w:rPr>
          <w:rFonts w:cs="Segoe UI"/>
          <w:lang w:eastAsia="en-IE"/>
        </w:rPr>
      </w:pPr>
      <w:r w:rsidRPr="64B4BE00">
        <w:rPr>
          <w:rFonts w:cs="Calibri"/>
          <w:lang w:val="en-GB" w:eastAsia="en-IE"/>
        </w:rPr>
        <w:t>The issue of quality, as an outcome of care, arose in a number of the sibling interviews. These family members repeatedly spoke of the relationship between certain factors and quality of care, namely, staffing levels, staff knowledge and skills in respect of intellectual disability and the stability and continuity of the workforce in living environments:</w:t>
      </w:r>
    </w:p>
    <w:p w14:paraId="68E06D30" w14:textId="11E42115" w:rsidR="00A86140" w:rsidRDefault="00A86140" w:rsidP="00A86140">
      <w:pPr>
        <w:ind w:firstLine="720"/>
        <w:rPr>
          <w:rFonts w:cs="Segoe UI"/>
          <w:lang w:eastAsia="en-IE"/>
        </w:rPr>
      </w:pPr>
      <w:r w:rsidRPr="64B4BE00">
        <w:rPr>
          <w:rFonts w:cs="Calibri"/>
          <w:i/>
          <w:color w:val="000000" w:themeColor="text1"/>
          <w:lang w:val="en-GB" w:eastAsia="en-IE"/>
        </w:rPr>
        <w:t>She knows everybody here, and the staff is a huge thing.</w:t>
      </w:r>
      <w:r w:rsidRPr="64B4BE00">
        <w:rPr>
          <w:rFonts w:ascii="Arial" w:hAnsi="Arial" w:cs="Arial"/>
          <w:color w:val="000000" w:themeColor="text1"/>
          <w:lang w:val="en-GB" w:eastAsia="en-IE"/>
        </w:rPr>
        <w:t> </w:t>
      </w:r>
      <w:r w:rsidRPr="64B4BE00">
        <w:rPr>
          <w:rFonts w:cs="Calibri"/>
          <w:color w:val="000000" w:themeColor="text1"/>
          <w:lang w:eastAsia="en-IE"/>
        </w:rPr>
        <w:t xml:space="preserve">(Mags, </w:t>
      </w:r>
      <w:r w:rsidR="006A65B8">
        <w:rPr>
          <w:rFonts w:cs="Calibri"/>
          <w:color w:val="000000" w:themeColor="text1"/>
          <w:lang w:eastAsia="en-IE"/>
        </w:rPr>
        <w:t>Fam</w:t>
      </w:r>
      <w:r w:rsidRPr="64B4BE00">
        <w:rPr>
          <w:rFonts w:cs="Calibri"/>
          <w:color w:val="000000" w:themeColor="text1"/>
          <w:lang w:eastAsia="en-IE"/>
        </w:rPr>
        <w:t>)</w:t>
      </w:r>
      <w:r w:rsidRPr="64B4BE00">
        <w:rPr>
          <w:rFonts w:ascii="Arial" w:hAnsi="Arial" w:cs="Arial"/>
          <w:color w:val="000000" w:themeColor="text1"/>
          <w:lang w:eastAsia="en-IE"/>
        </w:rPr>
        <w:t> </w:t>
      </w:r>
      <w:r w:rsidRPr="64B4BE00">
        <w:rPr>
          <w:rFonts w:cs="Calibri"/>
          <w:color w:val="000000" w:themeColor="text1"/>
          <w:lang w:eastAsia="en-IE"/>
        </w:rPr>
        <w:t> </w:t>
      </w:r>
    </w:p>
    <w:p w14:paraId="04C9B8D0" w14:textId="72DAF148" w:rsidR="00A86140" w:rsidRDefault="00A86140" w:rsidP="00A86140">
      <w:pPr>
        <w:rPr>
          <w:rFonts w:cs="Segoe UI"/>
          <w:lang w:eastAsia="en-IE"/>
        </w:rPr>
      </w:pPr>
      <w:r w:rsidRPr="64B4BE00">
        <w:rPr>
          <w:rFonts w:cs="Calibri"/>
          <w:lang w:val="en-GB" w:eastAsia="en-IE"/>
        </w:rPr>
        <w:t xml:space="preserve">Some </w:t>
      </w:r>
      <w:r w:rsidRPr="174B507E">
        <w:rPr>
          <w:rFonts w:cs="Calibri"/>
          <w:lang w:val="en-GB" w:eastAsia="en-IE"/>
        </w:rPr>
        <w:t>spoke</w:t>
      </w:r>
      <w:r w:rsidRPr="64B4BE00">
        <w:rPr>
          <w:rFonts w:cs="Calibri"/>
          <w:lang w:val="en-GB" w:eastAsia="en-IE"/>
        </w:rPr>
        <w:t xml:space="preserve"> </w:t>
      </w:r>
      <w:r w:rsidR="00351BFE">
        <w:rPr>
          <w:rFonts w:cs="Calibri"/>
          <w:lang w:val="en-GB" w:eastAsia="en-IE"/>
        </w:rPr>
        <w:t xml:space="preserve">of </w:t>
      </w:r>
      <w:r w:rsidRPr="64B4BE00">
        <w:rPr>
          <w:rFonts w:cs="Calibri"/>
          <w:lang w:val="en-GB" w:eastAsia="en-IE"/>
        </w:rPr>
        <w:t>the deep affection between the older person with intellectual disabilities and staff members</w:t>
      </w:r>
      <w:r w:rsidRPr="64B4BE00">
        <w:rPr>
          <w:rFonts w:ascii="Arial" w:hAnsi="Arial" w:cs="Arial"/>
          <w:lang w:val="en-GB" w:eastAsia="en-IE"/>
        </w:rPr>
        <w:t>:</w:t>
      </w:r>
    </w:p>
    <w:p w14:paraId="49C3A607" w14:textId="26B34972" w:rsidR="00A86140" w:rsidRDefault="00A86140" w:rsidP="00A86140">
      <w:pPr>
        <w:ind w:left="720"/>
        <w:rPr>
          <w:rFonts w:cs="Segoe UI"/>
          <w:lang w:eastAsia="en-IE"/>
        </w:rPr>
      </w:pPr>
      <w:r w:rsidRPr="64B4BE00">
        <w:rPr>
          <w:rFonts w:cs="Calibri"/>
          <w:i/>
          <w:lang w:eastAsia="en-IE"/>
        </w:rPr>
        <w:t>…he was very happy those last two years of his life even though he was in a wheelchair and was basically non-verbal; he was just loved by the staff.</w:t>
      </w:r>
      <w:r w:rsidR="00991E69">
        <w:rPr>
          <w:rFonts w:ascii="Arial" w:hAnsi="Arial" w:cs="Arial"/>
          <w:i/>
          <w:iCs/>
          <w:lang w:eastAsia="en-IE"/>
        </w:rPr>
        <w:t xml:space="preserve"> </w:t>
      </w:r>
      <w:r w:rsidRPr="64B4BE00">
        <w:rPr>
          <w:rFonts w:cs="Calibri"/>
          <w:i/>
          <w:lang w:eastAsia="en-IE"/>
        </w:rPr>
        <w:t>You could see, there were one or two, one particular man there, one of his carers, as soon as he walked into the room, his face would just light up, they had an amazing relationship.</w:t>
      </w:r>
      <w:r w:rsidRPr="64B4BE00">
        <w:rPr>
          <w:rFonts w:cs="Calibri"/>
          <w:lang w:eastAsia="en-IE"/>
        </w:rPr>
        <w:t xml:space="preserve"> (Nancy, </w:t>
      </w:r>
      <w:r w:rsidR="006A65B8">
        <w:rPr>
          <w:rFonts w:cs="Calibri"/>
          <w:lang w:eastAsia="en-IE"/>
        </w:rPr>
        <w:t>Fam</w:t>
      </w:r>
      <w:r w:rsidRPr="64B4BE00">
        <w:rPr>
          <w:rFonts w:cs="Calibri"/>
          <w:lang w:eastAsia="en-IE"/>
        </w:rPr>
        <w:t>)</w:t>
      </w:r>
      <w:r w:rsidRPr="64B4BE00">
        <w:rPr>
          <w:rFonts w:ascii="Arial" w:hAnsi="Arial" w:cs="Arial"/>
          <w:lang w:eastAsia="en-IE"/>
        </w:rPr>
        <w:t> </w:t>
      </w:r>
      <w:r w:rsidRPr="64B4BE00">
        <w:rPr>
          <w:rFonts w:cs="Calibri"/>
          <w:lang w:eastAsia="en-IE"/>
        </w:rPr>
        <w:t> </w:t>
      </w:r>
    </w:p>
    <w:p w14:paraId="71C549A9" w14:textId="6BD29E1A" w:rsidR="00A86140" w:rsidRDefault="00A86140" w:rsidP="00A86140">
      <w:pPr>
        <w:ind w:left="720"/>
        <w:rPr>
          <w:rFonts w:cs="Segoe UI"/>
          <w:lang w:eastAsia="en-IE"/>
        </w:rPr>
      </w:pPr>
      <w:r w:rsidRPr="64B4BE00">
        <w:rPr>
          <w:rFonts w:cs="Calibri"/>
          <w:i/>
          <w:color w:val="000000" w:themeColor="text1"/>
          <w:lang w:eastAsia="en-IE"/>
        </w:rPr>
        <w:t>His manager in the last house was so amazing.</w:t>
      </w:r>
      <w:r w:rsidR="00991E69">
        <w:rPr>
          <w:rFonts w:ascii="Arial" w:hAnsi="Arial" w:cs="Arial"/>
          <w:i/>
          <w:iCs/>
          <w:color w:val="000000" w:themeColor="text1"/>
          <w:lang w:eastAsia="en-IE"/>
        </w:rPr>
        <w:t xml:space="preserve"> </w:t>
      </w:r>
      <w:r w:rsidRPr="64B4BE00">
        <w:rPr>
          <w:rFonts w:cs="Calibri"/>
          <w:i/>
          <w:color w:val="000000" w:themeColor="text1"/>
          <w:lang w:eastAsia="en-IE"/>
        </w:rPr>
        <w:t>Oh, they had been together for twenty-six years.</w:t>
      </w:r>
      <w:r w:rsidR="00991E69">
        <w:rPr>
          <w:rFonts w:ascii="Arial" w:hAnsi="Arial" w:cs="Arial"/>
          <w:i/>
          <w:iCs/>
          <w:color w:val="000000" w:themeColor="text1"/>
          <w:lang w:eastAsia="en-IE"/>
        </w:rPr>
        <w:t xml:space="preserve"> </w:t>
      </w:r>
      <w:r w:rsidRPr="64B4BE00">
        <w:rPr>
          <w:rFonts w:cs="Calibri"/>
          <w:i/>
          <w:color w:val="000000" w:themeColor="text1"/>
          <w:lang w:eastAsia="en-IE"/>
        </w:rPr>
        <w:t>And they were like a couple, they got on so well.</w:t>
      </w:r>
      <w:r w:rsidR="00991E69">
        <w:rPr>
          <w:rFonts w:ascii="Arial" w:hAnsi="Arial" w:cs="Arial"/>
          <w:i/>
          <w:iCs/>
          <w:color w:val="000000" w:themeColor="text1"/>
          <w:lang w:eastAsia="en-IE"/>
        </w:rPr>
        <w:t xml:space="preserve"> </w:t>
      </w:r>
      <w:r w:rsidRPr="64B4BE00">
        <w:rPr>
          <w:rFonts w:cs="Calibri"/>
          <w:i/>
          <w:color w:val="000000" w:themeColor="text1"/>
          <w:lang w:eastAsia="en-IE"/>
        </w:rPr>
        <w:t>So, she made sure that everything was done for the right reasons.</w:t>
      </w:r>
      <w:r w:rsidRPr="64B4BE00">
        <w:rPr>
          <w:rFonts w:ascii="Arial" w:hAnsi="Arial" w:cs="Arial"/>
          <w:color w:val="000000" w:themeColor="text1"/>
          <w:lang w:eastAsia="en-IE"/>
        </w:rPr>
        <w:t> </w:t>
      </w:r>
      <w:r w:rsidRPr="64B4BE00">
        <w:rPr>
          <w:rFonts w:cs="Calibri"/>
          <w:color w:val="000000" w:themeColor="text1"/>
          <w:lang w:eastAsia="en-IE"/>
        </w:rPr>
        <w:t xml:space="preserve">(Kay, </w:t>
      </w:r>
      <w:r w:rsidR="006A65B8">
        <w:rPr>
          <w:rFonts w:cs="Calibri"/>
          <w:color w:val="000000" w:themeColor="text1"/>
          <w:lang w:eastAsia="en-IE"/>
        </w:rPr>
        <w:t>Fam</w:t>
      </w:r>
      <w:r w:rsidRPr="64B4BE00">
        <w:rPr>
          <w:rFonts w:cs="Calibri"/>
          <w:color w:val="000000" w:themeColor="text1"/>
          <w:lang w:eastAsia="en-IE"/>
        </w:rPr>
        <w:t>)</w:t>
      </w:r>
    </w:p>
    <w:p w14:paraId="38A7C08C" w14:textId="0D54CF24" w:rsidR="00A86140" w:rsidRPr="00285524" w:rsidRDefault="00A86140" w:rsidP="5F23F1D8">
      <w:pPr>
        <w:rPr>
          <w:rFonts w:cstheme="minorBidi"/>
        </w:rPr>
      </w:pPr>
      <w:r w:rsidRPr="5F23F1D8">
        <w:rPr>
          <w:rFonts w:eastAsia="Calibri"/>
        </w:rPr>
        <w:t xml:space="preserve">As previously described, family members wanted the service given to their family member to reflect the changes which they may experience as they age including attendance at day service and participation in activities. Likewise, the </w:t>
      </w:r>
      <w:r w:rsidRPr="5F23F1D8">
        <w:rPr>
          <w:rFonts w:eastAsia="Calibri" w:cs="Calibri"/>
        </w:rPr>
        <w:t>vast majority (93.1%</w:t>
      </w:r>
      <w:r w:rsidR="00D74927" w:rsidRPr="5F23F1D8">
        <w:rPr>
          <w:rFonts w:eastAsia="Calibri" w:cs="Calibri"/>
        </w:rPr>
        <w:t>; n=</w:t>
      </w:r>
      <w:r w:rsidR="16B256A7" w:rsidRPr="3DB2CA5F">
        <w:rPr>
          <w:rFonts w:eastAsia="Calibri" w:cs="Calibri"/>
        </w:rPr>
        <w:t>27</w:t>
      </w:r>
      <w:r w:rsidRPr="5F23F1D8" w:rsidDel="00A86140">
        <w:rPr>
          <w:rFonts w:eastAsia="Calibri" w:cs="Calibri"/>
        </w:rPr>
        <w:t>)</w:t>
      </w:r>
      <w:r w:rsidRPr="5F23F1D8">
        <w:rPr>
          <w:rFonts w:eastAsia="Calibri" w:cs="Calibri"/>
        </w:rPr>
        <w:t xml:space="preserve"> of respondents reported that quality of life (QOL) outcomes change as older people with intellectual disabilities and complex age-related needs develop. Such changes, it was said, should be seen as a normal part of ageing</w:t>
      </w:r>
      <w:r w:rsidR="0B2EB352" w:rsidRPr="2AB7FE5D">
        <w:rPr>
          <w:rFonts w:eastAsia="Calibri" w:cs="Calibri"/>
        </w:rPr>
        <w:t>:</w:t>
      </w:r>
      <w:r w:rsidRPr="5F23F1D8">
        <w:rPr>
          <w:rFonts w:eastAsia="Calibri" w:cs="Calibri"/>
        </w:rPr>
        <w:t xml:space="preserve"> </w:t>
      </w:r>
    </w:p>
    <w:p w14:paraId="169280EC" w14:textId="77777777" w:rsidR="00A86140" w:rsidRPr="00904F8D" w:rsidRDefault="00A86140" w:rsidP="00A86140">
      <w:pPr>
        <w:ind w:left="720"/>
        <w:rPr>
          <w:rFonts w:eastAsia="Calibri" w:cs="Calibri"/>
          <w:szCs w:val="26"/>
        </w:rPr>
      </w:pPr>
      <w:r w:rsidRPr="00904F8D">
        <w:rPr>
          <w:rFonts w:eastAsia="Calibri" w:cs="Calibri"/>
          <w:i/>
          <w:szCs w:val="26"/>
        </w:rPr>
        <w:t>QOL outcomes change as the person gets older.</w:t>
      </w:r>
      <w:r>
        <w:rPr>
          <w:rFonts w:eastAsia="Calibri" w:cs="Calibri"/>
          <w:i/>
          <w:szCs w:val="26"/>
        </w:rPr>
        <w:t xml:space="preserve"> </w:t>
      </w:r>
      <w:r w:rsidRPr="00904F8D">
        <w:rPr>
          <w:rFonts w:eastAsia="Calibri" w:cs="Calibri"/>
          <w:i/>
          <w:szCs w:val="26"/>
        </w:rPr>
        <w:t>This is a natural process and one that is not necessarily a worsening of outcomes. </w:t>
      </w:r>
      <w:r w:rsidRPr="00904F8D">
        <w:rPr>
          <w:rFonts w:eastAsia="Calibri" w:cs="Calibri"/>
          <w:szCs w:val="26"/>
        </w:rPr>
        <w:t>(S)</w:t>
      </w:r>
    </w:p>
    <w:p w14:paraId="0D688AD8" w14:textId="77777777" w:rsidR="00A86140" w:rsidRDefault="00A86140" w:rsidP="00A86140">
      <w:pPr>
        <w:ind w:left="720"/>
        <w:rPr>
          <w:rFonts w:eastAsia="Calibri" w:cs="Calibri"/>
        </w:rPr>
      </w:pPr>
      <w:r w:rsidRPr="1F01F705">
        <w:rPr>
          <w:rFonts w:eastAsia="Calibri" w:cs="Calibri"/>
          <w:i/>
          <w:lang w:val="en-US"/>
        </w:rPr>
        <w:t>As with all people as they age, the outcomes of life do change, but this does not have to be a negative change, it means living as well as you can, engaging as much as you can but staying safe also.</w:t>
      </w:r>
      <w:r w:rsidRPr="1F01F705">
        <w:rPr>
          <w:rFonts w:eastAsia="Calibri" w:cs="Calibri"/>
          <w:i/>
        </w:rPr>
        <w:t> </w:t>
      </w:r>
      <w:r w:rsidRPr="1F01F705">
        <w:rPr>
          <w:rFonts w:eastAsia="Calibri" w:cs="Calibri"/>
        </w:rPr>
        <w:t>(S)</w:t>
      </w:r>
    </w:p>
    <w:p w14:paraId="7EA34147" w14:textId="4D1BACD3" w:rsidR="00A86140" w:rsidRPr="00285524" w:rsidRDefault="00A86140" w:rsidP="00A86140">
      <w:pPr>
        <w:ind w:left="720"/>
        <w:rPr>
          <w:rFonts w:eastAsia="Calibri" w:cs="Calibri"/>
        </w:rPr>
      </w:pPr>
      <w:r w:rsidRPr="11C55A92">
        <w:rPr>
          <w:rFonts w:eastAsia="Calibri" w:cs="Calibri"/>
          <w:i/>
          <w:iCs/>
          <w:lang w:val="en-US"/>
        </w:rPr>
        <w:t>Persons, as they get older, may have different quality of life outcomes. Going out to concerts etc. may not be their priority, but meeting friends in a quiet environment may now be their quality of life outcome.</w:t>
      </w:r>
      <w:r w:rsidRPr="11C55A92">
        <w:rPr>
          <w:rFonts w:eastAsia="Calibri" w:cs="Calibri"/>
          <w:i/>
          <w:iCs/>
        </w:rPr>
        <w:t> </w:t>
      </w:r>
      <w:r w:rsidR="00755FE9" w:rsidRPr="1F01F705">
        <w:rPr>
          <w:rFonts w:eastAsia="Calibri" w:cs="Calibri"/>
        </w:rPr>
        <w:t>(S)</w:t>
      </w:r>
      <w:r w:rsidRPr="11C55A92">
        <w:rPr>
          <w:rFonts w:eastAsia="Calibri" w:cs="Calibri"/>
          <w:i/>
          <w:iCs/>
        </w:rPr>
        <w:t> </w:t>
      </w:r>
    </w:p>
    <w:p w14:paraId="580C4591" w14:textId="77777777" w:rsidR="00A86140" w:rsidRDefault="00A86140" w:rsidP="00A86140">
      <w:r w:rsidRPr="7562E256">
        <w:t>These approaches to outcomes measurement are more akin to ongoing person-centred planning and may be considered ‘bespoke’ in nature. This idea of planning for the future care needs of individuals was further discussed by some participants who identified the benefit of having short and long-term plans to accommodate the person as their needs changed:</w:t>
      </w:r>
    </w:p>
    <w:p w14:paraId="69D5A06B" w14:textId="77777777" w:rsidR="00A86140" w:rsidRDefault="00A86140" w:rsidP="00A86140">
      <w:pPr>
        <w:ind w:left="720"/>
        <w:rPr>
          <w:lang w:eastAsia="en-IE"/>
        </w:rPr>
      </w:pPr>
      <w:r w:rsidRPr="7562E256">
        <w:rPr>
          <w:i/>
          <w:lang w:eastAsia="en-IE"/>
        </w:rPr>
        <w:t>…we are updating everybody’s need assessments in terms of our five-year planning as well. Individuals are being interviewed as well as their family members to try and plan for their future and try to accommodate everyone’s needs so that we know what, in five years’ time or even in two months’ time, life for someone is going to look like, even if their health does deteriorate. That okay we have planned actions in place and that we have put in business plans for everybody, as accurately as we can.</w:t>
      </w:r>
      <w:r w:rsidRPr="7562E256">
        <w:rPr>
          <w:lang w:eastAsia="en-IE"/>
        </w:rPr>
        <w:t xml:space="preserve"> (Carol, M, GS)</w:t>
      </w:r>
    </w:p>
    <w:p w14:paraId="4378136B" w14:textId="7F0CFC00" w:rsidR="00A86140" w:rsidRPr="000970FC" w:rsidRDefault="2B13F6BE" w:rsidP="5F23F1D8">
      <w:r w:rsidRPr="000970FC">
        <w:t>A wide range of tools are used by services to measure outcomes for, and the qua</w:t>
      </w:r>
      <w:r w:rsidR="47A0F530" w:rsidRPr="000970FC">
        <w:t xml:space="preserve">lity of life of, older people with complex needs. </w:t>
      </w:r>
      <w:r w:rsidR="117EEA4F" w:rsidRPr="000970FC">
        <w:t xml:space="preserve">However, </w:t>
      </w:r>
      <w:r w:rsidR="1FE75728" w:rsidRPr="000970FC">
        <w:t xml:space="preserve">measuring outcomes was perceived </w:t>
      </w:r>
      <w:r w:rsidR="000970FC" w:rsidRPr="000970FC">
        <w:t xml:space="preserve">not </w:t>
      </w:r>
      <w:r w:rsidR="1FE75728" w:rsidRPr="000970FC">
        <w:t xml:space="preserve">to </w:t>
      </w:r>
      <w:r w:rsidR="2CF6966D" w:rsidRPr="000970FC">
        <w:t xml:space="preserve">be straightforward and the process is </w:t>
      </w:r>
      <w:r w:rsidR="182A0821" w:rsidRPr="000970FC">
        <w:t>often</w:t>
      </w:r>
      <w:r w:rsidR="2CF6966D" w:rsidRPr="000970FC">
        <w:t xml:space="preserve"> one of </w:t>
      </w:r>
      <w:r w:rsidR="6034A617" w:rsidRPr="000970FC">
        <w:t>ongoing care and support planning</w:t>
      </w:r>
      <w:r w:rsidR="000970FC" w:rsidRPr="000970FC">
        <w:t>,</w:t>
      </w:r>
      <w:r w:rsidR="6034A617" w:rsidRPr="000970FC">
        <w:t xml:space="preserve"> rather than outcome measurement. </w:t>
      </w:r>
      <w:r w:rsidR="2A016F72" w:rsidRPr="000970FC">
        <w:t xml:space="preserve">There was unanimity across the data sources that the </w:t>
      </w:r>
      <w:r w:rsidR="585A110C" w:rsidRPr="000970FC">
        <w:t xml:space="preserve">components of a good </w:t>
      </w:r>
      <w:r w:rsidR="2A016F72" w:rsidRPr="000970FC">
        <w:t xml:space="preserve">quality of life </w:t>
      </w:r>
      <w:r w:rsidR="1FC6BB3B" w:rsidRPr="000970FC">
        <w:t>change with age and ensu</w:t>
      </w:r>
      <w:r w:rsidR="04E0C103" w:rsidRPr="000970FC">
        <w:t>ring a good quality of life requires careful attention to individual needs.</w:t>
      </w:r>
    </w:p>
    <w:p w14:paraId="37DDF947" w14:textId="4133CB84" w:rsidR="00702B9E" w:rsidRPr="00BC6699" w:rsidRDefault="00702B9E">
      <w:pPr>
        <w:rPr>
          <w:color w:val="FF0000"/>
        </w:rPr>
      </w:pPr>
      <w:r w:rsidRPr="00BC6699">
        <w:t>This chapter drew together data from older people with intellectual disabilit</w:t>
      </w:r>
      <w:r w:rsidR="00C85736">
        <w:t>ies</w:t>
      </w:r>
      <w:r w:rsidRPr="00BC6699">
        <w:t>, family members, intellectual disability service managers and direct care staff. It is notable that despite the initial aim of the study to explore models of care employed by specialist age-related services and those that do not have a specialist age-related service, this clear delineation does not exist. Rather services employ diverse approaches to care that incorporate various living settings (home, community, campus, specialist units) grounded in diverse, and often eclectic models, underpinned by nursing, health, and social care.</w:t>
      </w:r>
    </w:p>
    <w:p w14:paraId="3929961F" w14:textId="7933DA45" w:rsidR="03DB3681" w:rsidRDefault="03DB3681" w:rsidP="03DB3681">
      <w:pPr>
        <w:rPr>
          <w:rFonts w:eastAsiaTheme="minorEastAsia"/>
        </w:rPr>
      </w:pPr>
    </w:p>
    <w:p w14:paraId="1EE3A907" w14:textId="266EF98B" w:rsidR="03DB3681" w:rsidRDefault="03DB3681" w:rsidP="03DB3681">
      <w:pPr>
        <w:rPr>
          <w:rFonts w:eastAsiaTheme="minorEastAsia" w:cs="Calibri"/>
          <w:lang w:eastAsia="en-IE"/>
        </w:rPr>
      </w:pPr>
    </w:p>
    <w:p w14:paraId="54E0D6AD" w14:textId="5B974EB1" w:rsidR="03DB3681" w:rsidRDefault="03DB3681" w:rsidP="03DB3681">
      <w:pPr>
        <w:rPr>
          <w:rFonts w:eastAsiaTheme="minorEastAsia"/>
        </w:rPr>
      </w:pPr>
    </w:p>
    <w:p w14:paraId="47ECFC63" w14:textId="55E3275A" w:rsidR="03DB3681" w:rsidRDefault="00D60B6B">
      <w:pPr>
        <w:spacing w:after="0"/>
        <w:rPr>
          <w:rFonts w:eastAsiaTheme="minorEastAsia"/>
        </w:rPr>
      </w:pPr>
      <w:r>
        <w:rPr>
          <w:rFonts w:eastAsiaTheme="minorEastAsia"/>
        </w:rPr>
        <w:br w:type="page"/>
      </w:r>
    </w:p>
    <w:p w14:paraId="06F92022" w14:textId="15A15698" w:rsidR="05B046BF" w:rsidRDefault="133BF614" w:rsidP="1F2B3B4D">
      <w:pPr>
        <w:pStyle w:val="Heading1"/>
      </w:pPr>
      <w:bookmarkStart w:id="261" w:name="_Toc118555219"/>
      <w:bookmarkStart w:id="262" w:name="_Toc118558306"/>
      <w:bookmarkStart w:id="263" w:name="_Toc118558377"/>
      <w:bookmarkStart w:id="264" w:name="_Toc121830634"/>
      <w:r>
        <w:t xml:space="preserve">Chapter 6: </w:t>
      </w:r>
      <w:r w:rsidR="004B4787">
        <w:t>Discussion</w:t>
      </w:r>
      <w:r>
        <w:t xml:space="preserve"> and recommendations</w:t>
      </w:r>
      <w:bookmarkEnd w:id="261"/>
      <w:bookmarkEnd w:id="262"/>
      <w:bookmarkEnd w:id="263"/>
      <w:bookmarkEnd w:id="264"/>
    </w:p>
    <w:p w14:paraId="688BF08C" w14:textId="68737BC2" w:rsidR="009F2319" w:rsidRDefault="2ED8C3D7" w:rsidP="11C55A92">
      <w:pPr>
        <w:rPr>
          <w:rFonts w:eastAsia="Gill Sans" w:cs="Gill Sans"/>
        </w:rPr>
      </w:pPr>
      <w:r w:rsidRPr="68A51868">
        <w:rPr>
          <w:rFonts w:eastAsia="Gill Sans" w:cs="Gill Sans"/>
        </w:rPr>
        <w:t>The proportion of older people in the services is increasing</w:t>
      </w:r>
      <w:r w:rsidR="33476A7F" w:rsidRPr="68A51868">
        <w:rPr>
          <w:rFonts w:eastAsia="Gill Sans" w:cs="Gill Sans"/>
        </w:rPr>
        <w:t>,</w:t>
      </w:r>
      <w:r w:rsidRPr="68A51868">
        <w:rPr>
          <w:rFonts w:eastAsia="Gill Sans" w:cs="Gill Sans"/>
        </w:rPr>
        <w:t xml:space="preserve"> </w:t>
      </w:r>
      <w:r w:rsidR="0E9EEE57" w:rsidRPr="68A51868">
        <w:rPr>
          <w:rFonts w:eastAsia="Gill Sans" w:cs="Gill Sans"/>
        </w:rPr>
        <w:t xml:space="preserve">with </w:t>
      </w:r>
      <w:r w:rsidR="0E9EEE57" w:rsidRPr="68A51868">
        <w:rPr>
          <w:rFonts w:eastAsia="Gill Sans"/>
        </w:rPr>
        <w:t xml:space="preserve">the older age cohort already presenting as the dominant one </w:t>
      </w:r>
      <w:r w:rsidR="0E9EEE57">
        <w:t xml:space="preserve">in </w:t>
      </w:r>
      <w:r w:rsidR="3A8219A6">
        <w:t>28% of</w:t>
      </w:r>
      <w:r w:rsidR="0E9EEE57">
        <w:t xml:space="preserve"> services</w:t>
      </w:r>
      <w:r w:rsidR="3A8219A6">
        <w:t xml:space="preserve"> surveyed</w:t>
      </w:r>
      <w:r w:rsidR="22E4BDDD">
        <w:t>. T</w:t>
      </w:r>
      <w:r w:rsidR="0E9EEE57">
        <w:t>he expectation is that</w:t>
      </w:r>
      <w:r w:rsidR="06526C97">
        <w:t xml:space="preserve"> it </w:t>
      </w:r>
      <w:r w:rsidR="0E9EEE57" w:rsidRPr="68A51868">
        <w:rPr>
          <w:rFonts w:eastAsia="Gill Sans"/>
        </w:rPr>
        <w:t xml:space="preserve">will </w:t>
      </w:r>
      <w:r w:rsidR="0E9EEE57">
        <w:t>rise rapidly over</w:t>
      </w:r>
      <w:r w:rsidR="0E9EEE57" w:rsidRPr="68A51868">
        <w:rPr>
          <w:rFonts w:eastAsia="Gill Sans"/>
        </w:rPr>
        <w:t xml:space="preserve"> the next five years</w:t>
      </w:r>
      <w:r w:rsidR="06526C97">
        <w:t xml:space="preserve"> in other services too</w:t>
      </w:r>
      <w:r w:rsidR="0E9EEE57">
        <w:t>.</w:t>
      </w:r>
      <w:r w:rsidR="06526C97">
        <w:t xml:space="preserve"> </w:t>
      </w:r>
      <w:r w:rsidR="06526C97" w:rsidRPr="68A51868">
        <w:rPr>
          <w:color w:val="000000" w:themeColor="text1"/>
        </w:rPr>
        <w:t xml:space="preserve">It is, therefore, not </w:t>
      </w:r>
      <w:r w:rsidR="3A8219A6" w:rsidRPr="68A51868">
        <w:rPr>
          <w:color w:val="000000" w:themeColor="text1"/>
        </w:rPr>
        <w:t>surprising that</w:t>
      </w:r>
      <w:r w:rsidR="06526C97" w:rsidRPr="68A51868">
        <w:rPr>
          <w:color w:val="000000" w:themeColor="text1"/>
        </w:rPr>
        <w:t xml:space="preserve"> </w:t>
      </w:r>
      <w:r w:rsidR="09C34A0A" w:rsidRPr="68A51868">
        <w:rPr>
          <w:color w:val="000000" w:themeColor="text1"/>
        </w:rPr>
        <w:t>respondents</w:t>
      </w:r>
      <w:r w:rsidR="06526C97" w:rsidRPr="68A51868">
        <w:rPr>
          <w:color w:val="000000" w:themeColor="text1"/>
        </w:rPr>
        <w:t xml:space="preserve"> </w:t>
      </w:r>
      <w:r w:rsidR="3A8219A6" w:rsidRPr="68A51868">
        <w:rPr>
          <w:color w:val="000000" w:themeColor="text1"/>
        </w:rPr>
        <w:t>highlighted the relevance of</w:t>
      </w:r>
      <w:r w:rsidR="06526C97" w:rsidRPr="68A51868">
        <w:rPr>
          <w:color w:val="000000" w:themeColor="text1"/>
        </w:rPr>
        <w:t xml:space="preserve"> </w:t>
      </w:r>
      <w:r w:rsidR="22E4BDDD" w:rsidRPr="68A51868">
        <w:rPr>
          <w:color w:val="000000" w:themeColor="text1"/>
        </w:rPr>
        <w:t xml:space="preserve">age-related </w:t>
      </w:r>
      <w:r w:rsidR="06526C97" w:rsidRPr="68A51868">
        <w:rPr>
          <w:color w:val="000000" w:themeColor="text1"/>
        </w:rPr>
        <w:t>issues to services</w:t>
      </w:r>
      <w:r w:rsidR="22E4BDDD" w:rsidRPr="68A51868">
        <w:rPr>
          <w:color w:val="000000" w:themeColor="text1"/>
        </w:rPr>
        <w:t>.</w:t>
      </w:r>
      <w:r w:rsidR="22E4BDDD" w:rsidRPr="68A51868">
        <w:rPr>
          <w:rFonts w:eastAsia="Gill Sans" w:cs="Gill Sans"/>
        </w:rPr>
        <w:t xml:space="preserve"> </w:t>
      </w:r>
      <w:r w:rsidR="1ED4BCB7" w:rsidRPr="68A51868">
        <w:rPr>
          <w:rFonts w:eastAsia="Gill Sans" w:cs="Gill Sans"/>
        </w:rPr>
        <w:t>This increase in life expectancy</w:t>
      </w:r>
      <w:r w:rsidR="3A2A3ECB" w:rsidRPr="68A51868">
        <w:rPr>
          <w:rFonts w:eastAsia="Gill Sans" w:cs="Gill Sans"/>
        </w:rPr>
        <w:t xml:space="preserve"> has </w:t>
      </w:r>
      <w:r w:rsidR="47F4839A" w:rsidRPr="68A51868">
        <w:rPr>
          <w:rFonts w:eastAsia="Gill Sans" w:cs="Gill Sans"/>
        </w:rPr>
        <w:t>brought a new focus on transitions in later life</w:t>
      </w:r>
      <w:r w:rsidR="024EA7F7" w:rsidRPr="68A51868">
        <w:rPr>
          <w:rFonts w:eastAsia="Gill Sans" w:cs="Gill Sans"/>
        </w:rPr>
        <w:t xml:space="preserve"> </w:t>
      </w:r>
      <w:r w:rsidR="00484531" w:rsidRPr="68A51868">
        <w:rPr>
          <w:rFonts w:eastAsia="Gill Sans" w:cs="Gill Sans"/>
        </w:rPr>
        <w:fldChar w:fldCharType="begin"/>
      </w:r>
      <w:r w:rsidR="00484531" w:rsidRPr="68A51868">
        <w:rPr>
          <w:rFonts w:eastAsia="Gill Sans" w:cs="Gill Sans"/>
        </w:rPr>
        <w:instrText xml:space="preserve"> ADDIN EN.CITE &lt;EndNote&gt;&lt;Cite&gt;&lt;Author&gt;Egan&lt;/Author&gt;&lt;Year&gt;2022&lt;/Year&gt;&lt;RecNum&gt;339&lt;/RecNum&gt;&lt;DisplayText&gt;(Egan et al., 2022)&lt;/DisplayText&gt;&lt;record&gt;&lt;rec-number&gt;339&lt;/rec-number&gt;&lt;foreign-keys&gt;&lt;key app="EN" db-id="xtwfdzde5ttr0zevxrh5sf0c2wfzw5zf2vra" timestamp="1643290955" guid="478640a9-ada5-4ce8-8d71-5570ffce4a90"&gt;339&lt;/key&gt;&lt;/foreign-keys&gt;&lt;ref-type name="Journal Article"&gt;17&lt;/ref-type&gt;&lt;contributors&gt;&lt;authors&gt;&lt;author&gt;Egan, Caroline&lt;/author&gt;&lt;author&gt;Mulcahy, Helen&lt;/author&gt;&lt;author&gt;Naughton, Corina&lt;/author&gt;&lt;/authors&gt;&lt;/contributors&gt;&lt;titles&gt;&lt;title&gt;Transitioning to long-term care for older adults with intellectual disabilities: A concept analysis&lt;/title&gt;&lt;secondary-title&gt;Journal of Intellectual Disabilities&lt;/secondary-title&gt;&lt;short-title&gt;Transitioning to long-term care for older adults with intellectual disabilities: A concept analysis&lt;/short-title&gt;&lt;/titles&gt;&lt;periodical&gt;&lt;full-title&gt;Journal of Intellectual Disabilities&lt;/full-title&gt;&lt;/periodical&gt;&lt;pages&gt;1015-1032&lt;/pages&gt;&lt;volume&gt;26&lt;/volume&gt;&lt;number&gt;4&lt;/number&gt;&lt;dates&gt;&lt;year&gt;2022&lt;/year&gt;&lt;/dates&gt;&lt;urls&gt;&lt;/urls&gt;&lt;electronic-resource-num&gt;10.1177/17446295211041839&lt;/electronic-resource-num&gt;&lt;/record&gt;&lt;/Cite&gt;&lt;/EndNote&gt;</w:instrText>
      </w:r>
      <w:r w:rsidR="00484531" w:rsidRPr="68A51868">
        <w:rPr>
          <w:rFonts w:eastAsia="Gill Sans" w:cs="Gill Sans"/>
        </w:rPr>
        <w:fldChar w:fldCharType="separate"/>
      </w:r>
      <w:r w:rsidR="3AB2A827" w:rsidRPr="68A51868">
        <w:rPr>
          <w:rFonts w:eastAsia="Gill Sans" w:cs="Gill Sans"/>
          <w:noProof/>
        </w:rPr>
        <w:t>(Egan et al., 2022)</w:t>
      </w:r>
      <w:r w:rsidR="00484531" w:rsidRPr="68A51868">
        <w:rPr>
          <w:rFonts w:eastAsia="Gill Sans" w:cs="Gill Sans"/>
        </w:rPr>
        <w:fldChar w:fldCharType="end"/>
      </w:r>
      <w:r w:rsidR="024EA7F7" w:rsidRPr="68A51868">
        <w:rPr>
          <w:rFonts w:eastAsia="Gill Sans" w:cs="Gill Sans"/>
        </w:rPr>
        <w:t xml:space="preserve"> and</w:t>
      </w:r>
      <w:r w:rsidR="1ED4BCB7" w:rsidRPr="68A51868">
        <w:rPr>
          <w:rFonts w:eastAsia="Gill Sans" w:cs="Gill Sans"/>
        </w:rPr>
        <w:t xml:space="preserve"> </w:t>
      </w:r>
      <w:r w:rsidR="44216C16" w:rsidRPr="68A51868">
        <w:rPr>
          <w:rFonts w:eastAsia="Gill Sans" w:cs="Gill Sans"/>
        </w:rPr>
        <w:t xml:space="preserve">the need for </w:t>
      </w:r>
      <w:r w:rsidR="3FE56D84" w:rsidRPr="68A51868">
        <w:rPr>
          <w:rFonts w:eastAsia="Gill Sans" w:cs="Gill Sans"/>
        </w:rPr>
        <w:t>services to be reconfigured</w:t>
      </w:r>
      <w:r w:rsidR="35E3201D" w:rsidRPr="68A51868">
        <w:rPr>
          <w:rFonts w:eastAsia="Gill Sans" w:cs="Gill Sans"/>
        </w:rPr>
        <w:t xml:space="preserve"> </w:t>
      </w:r>
      <w:r w:rsidR="3FE56D84" w:rsidRPr="68A51868">
        <w:rPr>
          <w:rFonts w:eastAsia="Gill Sans" w:cs="Gill Sans"/>
        </w:rPr>
        <w:t xml:space="preserve">accordingly. </w:t>
      </w:r>
      <w:r w:rsidR="78A6DC7C" w:rsidRPr="68A51868">
        <w:rPr>
          <w:rFonts w:eastAsia="Gill Sans" w:cs="Gill Sans"/>
        </w:rPr>
        <w:t xml:space="preserve">The National </w:t>
      </w:r>
      <w:r w:rsidR="59EC1D87" w:rsidRPr="68A51868">
        <w:rPr>
          <w:rFonts w:eastAsia="Gill Sans" w:cs="Gill Sans"/>
        </w:rPr>
        <w:t xml:space="preserve">Positive </w:t>
      </w:r>
      <w:r w:rsidR="78A6DC7C" w:rsidRPr="68A51868">
        <w:rPr>
          <w:rFonts w:eastAsia="Gill Sans" w:cs="Gill Sans"/>
        </w:rPr>
        <w:t xml:space="preserve">Ageing </w:t>
      </w:r>
      <w:r w:rsidR="4C8313CE" w:rsidRPr="68A51868">
        <w:rPr>
          <w:rFonts w:eastAsia="Gill Sans" w:cs="Gill Sans"/>
        </w:rPr>
        <w:t>Strategy</w:t>
      </w:r>
      <w:r w:rsidR="59EC1D87" w:rsidRPr="68A51868">
        <w:rPr>
          <w:rFonts w:eastAsia="Gill Sans" w:cs="Gill Sans"/>
        </w:rPr>
        <w:t xml:space="preserve"> </w:t>
      </w:r>
      <w:r w:rsidR="00484531" w:rsidRPr="68A51868">
        <w:rPr>
          <w:rFonts w:eastAsia="Gill Sans" w:cs="Gill Sans"/>
        </w:rPr>
        <w:fldChar w:fldCharType="begin"/>
      </w:r>
      <w:r w:rsidR="00484531" w:rsidRPr="68A51868">
        <w:rPr>
          <w:rFonts w:eastAsia="Gill Sans" w:cs="Gill Sans"/>
        </w:rPr>
        <w:instrText xml:space="preserve"> ADDIN EN.CITE &lt;EndNote&gt;&lt;Cite&gt;&lt;Author&gt;Department of Health&lt;/Author&gt;&lt;Year&gt;2013&lt;/Year&gt;&lt;RecNum&gt;724&lt;/RecNum&gt;&lt;DisplayText&gt;(Department of Health, 2013)&lt;/DisplayText&gt;&lt;record&gt;&lt;rec-number&gt;724&lt;/rec-number&gt;&lt;foreign-keys&gt;&lt;key app="EN" db-id="xtwfdzde5ttr0zevxrh5sf0c2wfzw5zf2vra" timestamp="1667386285" guid="8691d89c-687d-472d-8967-f3cbdfff83d2"&gt;724&lt;/key&gt;&lt;/foreign-keys&gt;&lt;ref-type name="Report"&gt;27&lt;/ref-type&gt;&lt;contributors&gt;&lt;authors&gt;&lt;author&gt;Department of Health,&lt;/author&gt;&lt;/authors&gt;&lt;/contributors&gt;&lt;titles&gt;&lt;title&gt;The National Positive Ageing Strategy&lt;/title&gt;&lt;/titles&gt;&lt;dates&gt;&lt;year&gt;2013&lt;/year&gt;&lt;/dates&gt;&lt;pub-location&gt;Dublin&lt;/pub-location&gt;&lt;publisher&gt;Department of Health&lt;/publisher&gt;&lt;urls&gt;&lt;/urls&gt;&lt;/record&gt;&lt;/Cite&gt;&lt;/EndNote&gt;</w:instrText>
      </w:r>
      <w:r w:rsidR="00484531" w:rsidRPr="68A51868">
        <w:rPr>
          <w:rFonts w:eastAsia="Gill Sans" w:cs="Gill Sans"/>
        </w:rPr>
        <w:fldChar w:fldCharType="separate"/>
      </w:r>
      <w:r w:rsidR="64E8201B" w:rsidRPr="68A51868">
        <w:rPr>
          <w:rFonts w:eastAsia="Gill Sans" w:cs="Gill Sans"/>
          <w:noProof/>
        </w:rPr>
        <w:t>(Department of Health, 2013)</w:t>
      </w:r>
      <w:r w:rsidR="00484531" w:rsidRPr="68A51868">
        <w:rPr>
          <w:rFonts w:eastAsia="Gill Sans" w:cs="Gill Sans"/>
        </w:rPr>
        <w:fldChar w:fldCharType="end"/>
      </w:r>
      <w:r w:rsidR="78A6DC7C" w:rsidRPr="68A51868">
        <w:rPr>
          <w:rFonts w:eastAsia="Gill Sans" w:cs="Gill Sans"/>
        </w:rPr>
        <w:t xml:space="preserve"> </w:t>
      </w:r>
      <w:r w:rsidR="7287D6AD" w:rsidRPr="68A51868">
        <w:rPr>
          <w:rFonts w:eastAsia="Gill Sans" w:cs="Gill Sans"/>
        </w:rPr>
        <w:t xml:space="preserve">provided a framework for </w:t>
      </w:r>
      <w:r w:rsidR="4244F4C7" w:rsidRPr="68A51868">
        <w:rPr>
          <w:rFonts w:eastAsia="Gill Sans" w:cs="Gill Sans"/>
        </w:rPr>
        <w:t>addressing age-related policy and service</w:t>
      </w:r>
      <w:r w:rsidR="04751AA3" w:rsidRPr="68A51868">
        <w:rPr>
          <w:rFonts w:eastAsia="Gill Sans" w:cs="Gill Sans"/>
        </w:rPr>
        <w:t xml:space="preserve"> at a national level, but </w:t>
      </w:r>
      <w:r w:rsidR="59750C84" w:rsidRPr="68A51868">
        <w:rPr>
          <w:rFonts w:eastAsia="Gill Sans" w:cs="Gill Sans"/>
        </w:rPr>
        <w:t xml:space="preserve">the impact of this in the lives of older people with intellectual disabilities has progressed </w:t>
      </w:r>
      <w:r w:rsidR="61F8F113" w:rsidRPr="68A51868">
        <w:rPr>
          <w:rFonts w:eastAsia="Gill Sans" w:cs="Gill Sans"/>
        </w:rPr>
        <w:t xml:space="preserve">more </w:t>
      </w:r>
      <w:r w:rsidR="59750C84" w:rsidRPr="68A51868">
        <w:rPr>
          <w:rFonts w:eastAsia="Gill Sans" w:cs="Gill Sans"/>
        </w:rPr>
        <w:t>slowly</w:t>
      </w:r>
      <w:r w:rsidR="61F8F113" w:rsidRPr="68A51868">
        <w:rPr>
          <w:rFonts w:eastAsia="Gill Sans" w:cs="Gill Sans"/>
        </w:rPr>
        <w:t xml:space="preserve">. </w:t>
      </w:r>
      <w:r w:rsidR="72F34BB4" w:rsidRPr="68A51868">
        <w:rPr>
          <w:rFonts w:eastAsia="Gill Sans" w:cs="Gill Sans"/>
        </w:rPr>
        <w:t xml:space="preserve">The </w:t>
      </w:r>
      <w:r w:rsidR="7C8EA78C" w:rsidRPr="68A51868">
        <w:rPr>
          <w:rFonts w:eastAsia="Gill Sans" w:cs="Gill Sans"/>
        </w:rPr>
        <w:t xml:space="preserve">Intellectual Disability Supplement to the Irish Longitudinal Study on Ageing </w:t>
      </w:r>
      <w:r w:rsidR="00484531" w:rsidRPr="68A51868">
        <w:rPr>
          <w:rFonts w:eastAsia="Gill Sans" w:cs="Gill Sans"/>
        </w:rPr>
        <w:fldChar w:fldCharType="begin"/>
      </w:r>
      <w:r w:rsidR="00484531" w:rsidRPr="68A51868">
        <w:rPr>
          <w:rFonts w:eastAsia="Gill Sans" w:cs="Gill Sans"/>
        </w:rPr>
        <w:instrText xml:space="preserve"> ADDIN EN.CITE &lt;EndNote&gt;&lt;Cite&gt;&lt;Author&gt;McCarron&lt;/Author&gt;&lt;Year&gt;2017&lt;/Year&gt;&lt;RecNum&gt;459&lt;/RecNum&gt;&lt;DisplayText&gt;(McCarron et al., 2017b)&lt;/DisplayText&gt;&lt;record&gt;&lt;rec-number&gt;459&lt;/rec-number&gt;&lt;foreign-keys&gt;&lt;key app="EN" db-id="xtwfdzde5ttr0zevxrh5sf0c2wfzw5zf2vra" timestamp="1646131747" guid="a375753f-315a-46ab-abce-35f19b39f85c"&gt;459&lt;/key&gt;&lt;/foreign-keys&gt;&lt;ref-type name="Report"&gt;27&lt;/ref-type&gt;&lt;contributors&gt;&lt;authors&gt;&lt;author&gt;McCarron, Mary&lt;/author&gt;&lt;author&gt;Haigh, Margaret&lt;/author&gt;&lt;author&gt;McCallion, Philip&lt;/author&gt;&lt;author&gt;McCallion, Philip&lt;/author&gt;&lt;author&gt;Carroll, Rachael&lt;/author&gt;&lt;author&gt;Burke, Eilish&lt;/author&gt;&lt;author&gt;McGlinchey, Eimear&lt;/author&gt;&lt;author&gt;O’Donovan, Mary-Ann&lt;/author&gt;&lt;author&gt;McCausland, Darren&lt;/author&gt;&lt;author&gt;Sheerin, Fintan&lt;/author&gt;&lt;/authors&gt;&lt;/contributors&gt;&lt;titles&gt;&lt;title&gt;Health, wellbeing and social inclusion: Ageing with an intellectual disability in Ireland: Evidence from the first ten years of The Intellectual Disability Supplement to The Irish Longitudinal Study on Ageing (IDS-TILDA)&lt;/title&gt;&lt;/titles&gt;&lt;dates&gt;&lt;year&gt;2017&lt;/year&gt;&lt;/dates&gt;&lt;pub-location&gt;Dublin&lt;/pub-location&gt;&lt;publisher&gt;Trinity College Dublin&lt;/publisher&gt;&lt;urls&gt;&lt;/urls&gt;&lt;/record&gt;&lt;/Cite&gt;&lt;/EndNote&gt;</w:instrText>
      </w:r>
      <w:r w:rsidR="00484531" w:rsidRPr="68A51868">
        <w:rPr>
          <w:rFonts w:eastAsia="Gill Sans" w:cs="Gill Sans"/>
        </w:rPr>
        <w:fldChar w:fldCharType="separate"/>
      </w:r>
      <w:r w:rsidR="04278E56" w:rsidRPr="68A51868">
        <w:rPr>
          <w:rFonts w:eastAsia="Gill Sans" w:cs="Gill Sans"/>
        </w:rPr>
        <w:t>(McCarron et al., 2017b)</w:t>
      </w:r>
      <w:r w:rsidR="00484531" w:rsidRPr="68A51868">
        <w:rPr>
          <w:rFonts w:eastAsia="Gill Sans" w:cs="Gill Sans"/>
        </w:rPr>
        <w:fldChar w:fldCharType="end"/>
      </w:r>
      <w:r w:rsidR="46882351" w:rsidRPr="68A51868">
        <w:rPr>
          <w:rFonts w:eastAsia="Gill Sans" w:cs="Gill Sans"/>
        </w:rPr>
        <w:t xml:space="preserve"> </w:t>
      </w:r>
      <w:r w:rsidR="384C26F9" w:rsidRPr="68A51868">
        <w:rPr>
          <w:rFonts w:eastAsia="Gill Sans" w:cs="Gill Sans"/>
        </w:rPr>
        <w:t xml:space="preserve">and the </w:t>
      </w:r>
      <w:r w:rsidR="72F34BB4" w:rsidRPr="68A51868">
        <w:rPr>
          <w:rFonts w:eastAsia="Gill Sans" w:cs="Gill Sans"/>
        </w:rPr>
        <w:t xml:space="preserve">identification of </w:t>
      </w:r>
      <w:r w:rsidR="6153D837" w:rsidRPr="68A51868">
        <w:rPr>
          <w:rFonts w:eastAsia="Gill Sans" w:cs="Gill Sans"/>
        </w:rPr>
        <w:t>Positive Ageing Indicators</w:t>
      </w:r>
      <w:r w:rsidR="264F3762" w:rsidRPr="68A51868">
        <w:rPr>
          <w:rFonts w:eastAsia="Gill Sans" w:cs="Gill Sans"/>
        </w:rPr>
        <w:t xml:space="preserve"> for </w:t>
      </w:r>
      <w:r w:rsidR="415E93A9" w:rsidRPr="68A51868">
        <w:rPr>
          <w:rFonts w:eastAsia="Gill Sans" w:cs="Gill Sans"/>
        </w:rPr>
        <w:t>people with intellec</w:t>
      </w:r>
      <w:r w:rsidR="77146C29" w:rsidRPr="68A51868">
        <w:rPr>
          <w:rFonts w:eastAsia="Gill Sans" w:cs="Gill Sans"/>
        </w:rPr>
        <w:t>tual disabilit</w:t>
      </w:r>
      <w:r w:rsidR="0DE39AD0" w:rsidRPr="68A51868">
        <w:rPr>
          <w:rFonts w:eastAsia="Gill Sans" w:cs="Gill Sans"/>
        </w:rPr>
        <w:t xml:space="preserve">ies </w:t>
      </w:r>
      <w:r w:rsidR="00484531" w:rsidRPr="68A51868">
        <w:rPr>
          <w:rFonts w:eastAsia="Gill Sans" w:cs="Gill Sans"/>
        </w:rPr>
        <w:fldChar w:fldCharType="begin"/>
      </w:r>
      <w:r w:rsidR="00484531" w:rsidRPr="68A51868">
        <w:rPr>
          <w:rFonts w:eastAsia="Gill Sans" w:cs="Gill Sans"/>
        </w:rPr>
        <w:instrText xml:space="preserve"> ADDIN EN.CITE &lt;EndNote&gt;&lt;Cite&gt;&lt;Author&gt;Healthy and Positive Ageing Initiative&lt;/Author&gt;&lt;Year&gt;2018&lt;/Year&gt;&lt;RecNum&gt;725&lt;/RecNum&gt;&lt;DisplayText&gt;(Healthy and Positive Ageing Initiative, 2018)&lt;/DisplayText&gt;&lt;record&gt;&lt;rec-number&gt;725&lt;/rec-number&gt;&lt;foreign-keys&gt;&lt;key app="EN" db-id="xtwfdzde5ttr0zevxrh5sf0c2wfzw5zf2vra" timestamp="1667386541" guid="b9965d3f-ff28-4476-a22c-8701d2b63400"&gt;725&lt;/key&gt;&lt;/foreign-keys&gt;&lt;ref-type name="Report"&gt;27&lt;/ref-type&gt;&lt;contributors&gt;&lt;authors&gt;&lt;author&gt;Healthy and Positive Ageing Initiative, &lt;/author&gt;&lt;/authors&gt;&lt;/contributors&gt;&lt;titles&gt;&lt;title&gt;Positive Ageing Indicators&lt;/title&gt;&lt;/titles&gt;&lt;dates&gt;&lt;year&gt;2018&lt;/year&gt;&lt;/dates&gt;&lt;pub-location&gt;Dublin&lt;/pub-location&gt;&lt;publisher&gt;Department of Health&lt;/publisher&gt;&lt;urls&gt;&lt;/urls&gt;&lt;/record&gt;&lt;/Cite&gt;&lt;/EndNote&gt;</w:instrText>
      </w:r>
      <w:r w:rsidR="00484531" w:rsidRPr="68A51868">
        <w:rPr>
          <w:rFonts w:eastAsia="Gill Sans" w:cs="Gill Sans"/>
        </w:rPr>
        <w:fldChar w:fldCharType="separate"/>
      </w:r>
      <w:r w:rsidR="68D0AFBF" w:rsidRPr="68A51868">
        <w:rPr>
          <w:rFonts w:eastAsia="Gill Sans" w:cs="Gill Sans"/>
          <w:noProof/>
        </w:rPr>
        <w:t>(Healthy and Positive Ageing Initiative, 2018)</w:t>
      </w:r>
      <w:r w:rsidR="00484531" w:rsidRPr="68A51868">
        <w:rPr>
          <w:rFonts w:eastAsia="Gill Sans" w:cs="Gill Sans"/>
        </w:rPr>
        <w:fldChar w:fldCharType="end"/>
      </w:r>
      <w:r w:rsidR="0DE39AD0" w:rsidRPr="68A51868">
        <w:rPr>
          <w:rFonts w:eastAsia="Gill Sans" w:cs="Gill Sans"/>
        </w:rPr>
        <w:t xml:space="preserve"> </w:t>
      </w:r>
      <w:r w:rsidR="5B69E588" w:rsidRPr="68A51868">
        <w:rPr>
          <w:rFonts w:eastAsia="Gill Sans" w:cs="Gill Sans"/>
        </w:rPr>
        <w:t>ha</w:t>
      </w:r>
      <w:r w:rsidR="384C26F9" w:rsidRPr="68A51868">
        <w:rPr>
          <w:rFonts w:eastAsia="Gill Sans" w:cs="Gill Sans"/>
        </w:rPr>
        <w:t>ve</w:t>
      </w:r>
      <w:r w:rsidR="5B69E588" w:rsidRPr="68A51868">
        <w:rPr>
          <w:rFonts w:eastAsia="Gill Sans" w:cs="Gill Sans"/>
        </w:rPr>
        <w:t xml:space="preserve"> been important milestone</w:t>
      </w:r>
      <w:r w:rsidR="384C26F9" w:rsidRPr="68A51868">
        <w:rPr>
          <w:rFonts w:eastAsia="Gill Sans" w:cs="Gill Sans"/>
        </w:rPr>
        <w:t>s</w:t>
      </w:r>
      <w:r w:rsidR="5B69E588" w:rsidRPr="68A51868">
        <w:rPr>
          <w:rFonts w:eastAsia="Gill Sans" w:cs="Gill Sans"/>
        </w:rPr>
        <w:t xml:space="preserve"> in</w:t>
      </w:r>
      <w:r w:rsidR="0DE39AD0" w:rsidRPr="68A51868">
        <w:rPr>
          <w:rFonts w:eastAsia="Gill Sans" w:cs="Gill Sans"/>
        </w:rPr>
        <w:t xml:space="preserve"> redressing this</w:t>
      </w:r>
      <w:r w:rsidR="73A4ACE4" w:rsidRPr="68A51868">
        <w:rPr>
          <w:rFonts w:eastAsia="Gill Sans" w:cs="Gill Sans"/>
        </w:rPr>
        <w:t xml:space="preserve">. </w:t>
      </w:r>
      <w:r w:rsidR="37B505EB" w:rsidRPr="68A51868">
        <w:rPr>
          <w:rFonts w:eastAsia="Gill Sans" w:cs="Gill Sans"/>
        </w:rPr>
        <w:t xml:space="preserve">Furthermore, the recent </w:t>
      </w:r>
      <w:r w:rsidR="26DC5F5E" w:rsidRPr="68A51868">
        <w:rPr>
          <w:rFonts w:eastAsia="Gill Sans" w:cs="Gill Sans"/>
        </w:rPr>
        <w:t>Disability Capacity Review to 2032</w:t>
      </w:r>
      <w:r w:rsidR="64969609" w:rsidRPr="68A51868">
        <w:rPr>
          <w:rFonts w:eastAsia="Gill Sans" w:cs="Gill Sans"/>
        </w:rPr>
        <w:t xml:space="preserve"> </w:t>
      </w:r>
      <w:r w:rsidR="00484531" w:rsidRPr="68A51868">
        <w:rPr>
          <w:rFonts w:eastAsia="Gill Sans" w:cs="Gill Sans"/>
        </w:rPr>
        <w:fldChar w:fldCharType="begin"/>
      </w:r>
      <w:r w:rsidR="00484531" w:rsidRPr="68A51868">
        <w:rPr>
          <w:rFonts w:eastAsia="Gill Sans" w:cs="Gill Sans"/>
        </w:rPr>
        <w:instrText xml:space="preserve"> ADDIN EN.CITE &lt;EndNote&gt;&lt;Cite&gt;&lt;Author&gt;Department of Health&lt;/Author&gt;&lt;Year&gt;2021&lt;/Year&gt;&lt;RecNum&gt;646&lt;/RecNum&gt;&lt;DisplayText&gt;(Department of Health, 2021a)&lt;/DisplayText&gt;&lt;record&gt;&lt;rec-number&gt;646&lt;/rec-number&gt;&lt;foreign-keys&gt;&lt;key app="EN" db-id="xtwfdzde5ttr0zevxrh5sf0c2wfzw5zf2vra" timestamp="1656687744" guid="53f05810-e44d-4a8a-92c5-482827b73d80"&gt;646&lt;/key&gt;&lt;/foreign-keys&gt;&lt;ref-type name="Report"&gt;27&lt;/ref-type&gt;&lt;contributors&gt;&lt;authors&gt;&lt;author&gt;Department of Health,&lt;/author&gt;&lt;/authors&gt;&lt;/contributors&gt;&lt;titles&gt;&lt;title&gt;Disability Capacity Review to 2032 - A Review of Social Care Demand and Capacity Requirements to 2032&lt;/title&gt;&lt;/titles&gt;&lt;dates&gt;&lt;year&gt;2021&lt;/year&gt;&lt;pub-dates&gt;&lt;date&gt;July&lt;/date&gt;&lt;/pub-dates&gt;&lt;/dates&gt;&lt;pub-location&gt;Dublin&lt;/pub-location&gt;&lt;publisher&gt;Department of Health&lt;/publisher&gt;&lt;urls&gt;&lt;/urls&gt;&lt;/record&gt;&lt;/Cite&gt;&lt;/EndNote&gt;</w:instrText>
      </w:r>
      <w:r w:rsidR="00484531" w:rsidRPr="68A51868">
        <w:rPr>
          <w:rFonts w:eastAsia="Gill Sans" w:cs="Gill Sans"/>
        </w:rPr>
        <w:fldChar w:fldCharType="separate"/>
      </w:r>
      <w:r w:rsidR="64969609" w:rsidRPr="68A51868">
        <w:rPr>
          <w:rFonts w:eastAsia="Gill Sans" w:cs="Gill Sans"/>
          <w:noProof/>
        </w:rPr>
        <w:t>(Department of Health, 2021a)</w:t>
      </w:r>
      <w:r w:rsidR="00484531" w:rsidRPr="68A51868">
        <w:rPr>
          <w:rFonts w:eastAsia="Gill Sans" w:cs="Gill Sans"/>
        </w:rPr>
        <w:fldChar w:fldCharType="end"/>
      </w:r>
      <w:r w:rsidR="67C948D3" w:rsidRPr="68A51868">
        <w:rPr>
          <w:rFonts w:eastAsia="Gill Sans" w:cs="Gill Sans"/>
        </w:rPr>
        <w:t>,</w:t>
      </w:r>
      <w:r w:rsidR="26DC5F5E" w:rsidRPr="68A51868">
        <w:rPr>
          <w:rFonts w:eastAsia="Gill Sans" w:cs="Gill Sans"/>
        </w:rPr>
        <w:t xml:space="preserve"> </w:t>
      </w:r>
      <w:r w:rsidR="614EFD5A" w:rsidRPr="68A51868">
        <w:rPr>
          <w:rFonts w:eastAsia="Gill Sans" w:cs="Gill Sans"/>
        </w:rPr>
        <w:t xml:space="preserve">may </w:t>
      </w:r>
      <w:r w:rsidR="26DC5F5E" w:rsidRPr="68A51868">
        <w:rPr>
          <w:rFonts w:eastAsia="Gill Sans" w:cs="Gill Sans"/>
        </w:rPr>
        <w:t xml:space="preserve">provide </w:t>
      </w:r>
      <w:r w:rsidR="417BC169" w:rsidRPr="68A51868">
        <w:rPr>
          <w:rFonts w:eastAsia="Gill Sans" w:cs="Gill Sans"/>
        </w:rPr>
        <w:t xml:space="preserve">an important platform for the resourcing </w:t>
      </w:r>
      <w:r w:rsidR="74B9608A" w:rsidRPr="68A51868">
        <w:rPr>
          <w:rFonts w:eastAsia="Gill Sans" w:cs="Gill Sans"/>
        </w:rPr>
        <w:t xml:space="preserve">service supports for people with intellectual </w:t>
      </w:r>
      <w:r w:rsidR="006E5862">
        <w:rPr>
          <w:rFonts w:eastAsia="Gill Sans" w:cs="Gill Sans"/>
        </w:rPr>
        <w:t>disabilit</w:t>
      </w:r>
      <w:r w:rsidR="00C85736">
        <w:rPr>
          <w:rFonts w:eastAsia="Gill Sans" w:cs="Gill Sans"/>
        </w:rPr>
        <w:t>ies</w:t>
      </w:r>
      <w:r w:rsidR="74B9608A" w:rsidRPr="68A51868">
        <w:rPr>
          <w:rFonts w:eastAsia="Gill Sans" w:cs="Gill Sans"/>
        </w:rPr>
        <w:t xml:space="preserve"> as they age. </w:t>
      </w:r>
      <w:r w:rsidR="461818B4" w:rsidRPr="68A51868">
        <w:rPr>
          <w:rFonts w:eastAsia="Gill Sans" w:cs="Gill Sans"/>
        </w:rPr>
        <w:t>Such developments have increased aw</w:t>
      </w:r>
      <w:r w:rsidR="1FDD197E" w:rsidRPr="68A51868">
        <w:rPr>
          <w:rFonts w:eastAsia="Gill Sans" w:cs="Gill Sans"/>
        </w:rPr>
        <w:t xml:space="preserve">areness </w:t>
      </w:r>
      <w:r w:rsidR="62951BD9" w:rsidRPr="68A51868">
        <w:rPr>
          <w:rFonts w:eastAsia="Gill Sans" w:cs="Gill Sans"/>
        </w:rPr>
        <w:t xml:space="preserve">of the </w:t>
      </w:r>
      <w:r w:rsidR="21B38A9F" w:rsidRPr="68A51868">
        <w:rPr>
          <w:rFonts w:eastAsia="Gill Sans" w:cs="Gill Sans"/>
        </w:rPr>
        <w:t xml:space="preserve">need to </w:t>
      </w:r>
      <w:r w:rsidR="2E57DD49" w:rsidRPr="68A51868">
        <w:rPr>
          <w:rFonts w:eastAsia="Gill Sans" w:cs="Gill Sans"/>
        </w:rPr>
        <w:t>support healthy ageing</w:t>
      </w:r>
      <w:r w:rsidR="7AE60AA7" w:rsidRPr="68A51868">
        <w:rPr>
          <w:rFonts w:eastAsia="Gill Sans" w:cs="Gill Sans"/>
        </w:rPr>
        <w:t xml:space="preserve"> for</w:t>
      </w:r>
      <w:r w:rsidR="1C062D41" w:rsidRPr="68A51868">
        <w:rPr>
          <w:rFonts w:eastAsia="Gill Sans" w:cs="Gill Sans"/>
        </w:rPr>
        <w:t xml:space="preserve"> people with intellectual disabilities</w:t>
      </w:r>
      <w:r w:rsidR="7AE60AA7" w:rsidRPr="68A51868">
        <w:rPr>
          <w:rFonts w:eastAsia="Gill Sans" w:cs="Gill Sans"/>
        </w:rPr>
        <w:t xml:space="preserve">, and to embed the principles of </w:t>
      </w:r>
      <w:r w:rsidR="2CC45EE3" w:rsidRPr="68A51868">
        <w:rPr>
          <w:rFonts w:eastAsia="Gill Sans" w:cs="Gill Sans"/>
        </w:rPr>
        <w:t xml:space="preserve">positive ageing in </w:t>
      </w:r>
      <w:r w:rsidR="0CE6F8F2" w:rsidRPr="68A51868">
        <w:rPr>
          <w:rFonts w:eastAsia="Gill Sans" w:cs="Gill Sans"/>
        </w:rPr>
        <w:t>intellectual disability services. I</w:t>
      </w:r>
      <w:r w:rsidR="1798D673" w:rsidRPr="68A51868">
        <w:rPr>
          <w:rFonts w:eastAsia="Gill Sans" w:cs="Gill Sans"/>
        </w:rPr>
        <w:t xml:space="preserve">t is not surprising, therefore, that </w:t>
      </w:r>
      <w:r w:rsidR="442F71EE" w:rsidRPr="68A51868">
        <w:rPr>
          <w:rFonts w:eastAsia="Gill Sans" w:cs="Gill Sans"/>
        </w:rPr>
        <w:t>key concepts such as ageing in place</w:t>
      </w:r>
      <w:r w:rsidR="2A63A934" w:rsidRPr="68A51868">
        <w:rPr>
          <w:rFonts w:eastAsia="Gill Sans" w:cs="Gill Sans"/>
        </w:rPr>
        <w:t xml:space="preserve">, person-centred support, responsivity </w:t>
      </w:r>
      <w:r w:rsidR="59D25DFA" w:rsidRPr="68A51868">
        <w:rPr>
          <w:rFonts w:eastAsia="Gill Sans" w:cs="Gill Sans"/>
        </w:rPr>
        <w:t xml:space="preserve">to older persons’ needs and proactive future planning </w:t>
      </w:r>
      <w:r w:rsidR="2CA5FD43" w:rsidRPr="68A51868">
        <w:rPr>
          <w:rFonts w:eastAsia="Gill Sans" w:cs="Gill Sans"/>
        </w:rPr>
        <w:t>were highlighted by participants in this study.</w:t>
      </w:r>
      <w:r w:rsidR="478ECDF1" w:rsidRPr="68A51868">
        <w:rPr>
          <w:rFonts w:eastAsia="Gill Sans" w:cs="Gill Sans"/>
        </w:rPr>
        <w:t xml:space="preserve"> </w:t>
      </w:r>
      <w:r w:rsidRPr="68A51868">
        <w:rPr>
          <w:rFonts w:eastAsia="Gill Sans" w:cs="Gill Sans"/>
        </w:rPr>
        <w:t xml:space="preserve">There was </w:t>
      </w:r>
      <w:r w:rsidR="26561650" w:rsidRPr="68A51868">
        <w:rPr>
          <w:rFonts w:eastAsia="Gill Sans" w:cs="Gill Sans"/>
        </w:rPr>
        <w:t xml:space="preserve">also </w:t>
      </w:r>
      <w:r w:rsidRPr="68A51868">
        <w:rPr>
          <w:rFonts w:eastAsia="Gill Sans" w:cs="Gill Sans"/>
        </w:rPr>
        <w:t xml:space="preserve">widespread consensus that quality of life outcomes change as people with intellectual </w:t>
      </w:r>
      <w:r w:rsidR="00484531" w:rsidRPr="11C55A92">
        <w:rPr>
          <w:rFonts w:eastAsia="Gill Sans" w:cs="Gill Sans"/>
        </w:rPr>
        <w:t>disabilit</w:t>
      </w:r>
      <w:r w:rsidR="00C85736">
        <w:rPr>
          <w:rFonts w:eastAsia="Gill Sans" w:cs="Gill Sans"/>
        </w:rPr>
        <w:t>ies</w:t>
      </w:r>
      <w:r w:rsidRPr="68A51868">
        <w:rPr>
          <w:rFonts w:eastAsia="Gill Sans" w:cs="Gill Sans"/>
        </w:rPr>
        <w:t xml:space="preserve"> age</w:t>
      </w:r>
      <w:r w:rsidR="26561650" w:rsidRPr="68A51868">
        <w:rPr>
          <w:rFonts w:eastAsia="Gill Sans" w:cs="Gill Sans"/>
        </w:rPr>
        <w:t>,</w:t>
      </w:r>
      <w:r w:rsidRPr="68A51868">
        <w:rPr>
          <w:rFonts w:eastAsia="Gill Sans" w:cs="Gill Sans"/>
        </w:rPr>
        <w:t xml:space="preserve"> just as </w:t>
      </w:r>
      <w:r w:rsidR="478ECDF1" w:rsidRPr="68A51868">
        <w:rPr>
          <w:rFonts w:eastAsia="Gill Sans" w:cs="Gill Sans"/>
        </w:rPr>
        <w:t>they do for those</w:t>
      </w:r>
      <w:r w:rsidR="022ADE41" w:rsidRPr="68A51868">
        <w:rPr>
          <w:rFonts w:eastAsia="Gill Sans" w:cs="Gill Sans"/>
        </w:rPr>
        <w:t xml:space="preserve"> in the</w:t>
      </w:r>
      <w:r w:rsidRPr="68A51868">
        <w:rPr>
          <w:rFonts w:eastAsia="Gill Sans" w:cs="Gill Sans"/>
        </w:rPr>
        <w:t xml:space="preserve"> general population</w:t>
      </w:r>
      <w:r w:rsidR="022ADE41" w:rsidRPr="68A51868">
        <w:rPr>
          <w:rFonts w:eastAsia="Gill Sans" w:cs="Gill Sans"/>
        </w:rPr>
        <w:t xml:space="preserve">, and these </w:t>
      </w:r>
      <w:r w:rsidR="433B26B8" w:rsidRPr="68A51868">
        <w:rPr>
          <w:rFonts w:eastAsia="Gill Sans" w:cs="Gill Sans"/>
        </w:rPr>
        <w:t xml:space="preserve">require a level of agility on the part of services to facilitate </w:t>
      </w:r>
      <w:r w:rsidR="668895BD" w:rsidRPr="68A51868">
        <w:rPr>
          <w:rFonts w:eastAsia="Gill Sans" w:cs="Gill Sans"/>
        </w:rPr>
        <w:t>indiv</w:t>
      </w:r>
      <w:r w:rsidR="58D66693" w:rsidRPr="68A51868">
        <w:rPr>
          <w:rFonts w:eastAsia="Gill Sans" w:cs="Gill Sans"/>
        </w:rPr>
        <w:t xml:space="preserve">idually-determined </w:t>
      </w:r>
      <w:r w:rsidR="21A54C38" w:rsidRPr="68A51868">
        <w:rPr>
          <w:rFonts w:eastAsia="Gill Sans" w:cs="Gill Sans"/>
        </w:rPr>
        <w:t>responses, such as having a</w:t>
      </w:r>
      <w:r w:rsidRPr="68A51868">
        <w:rPr>
          <w:rFonts w:eastAsia="Gill Sans" w:cs="Gill Sans"/>
        </w:rPr>
        <w:t xml:space="preserve"> slower pace of life and daytime activities that differ from the day centre model that </w:t>
      </w:r>
      <w:r w:rsidR="21A54C38" w:rsidRPr="68A51868">
        <w:rPr>
          <w:rFonts w:eastAsia="Gill Sans" w:cs="Gill Sans"/>
        </w:rPr>
        <w:t>has been the</w:t>
      </w:r>
      <w:r w:rsidRPr="68A51868">
        <w:rPr>
          <w:rFonts w:eastAsia="Gill Sans" w:cs="Gill Sans"/>
        </w:rPr>
        <w:t xml:space="preserve"> cornerstone of service provision for adults with intellectual </w:t>
      </w:r>
      <w:r w:rsidR="00484531" w:rsidRPr="11C55A92">
        <w:rPr>
          <w:rFonts w:eastAsia="Gill Sans" w:cs="Gill Sans"/>
        </w:rPr>
        <w:t>disabilit</w:t>
      </w:r>
      <w:r w:rsidR="00C85736">
        <w:rPr>
          <w:rFonts w:eastAsia="Gill Sans" w:cs="Gill Sans"/>
        </w:rPr>
        <w:t>ies</w:t>
      </w:r>
      <w:r w:rsidRPr="68A51868">
        <w:rPr>
          <w:rFonts w:eastAsia="Gill Sans" w:cs="Gill Sans"/>
        </w:rPr>
        <w:t xml:space="preserve">. </w:t>
      </w:r>
    </w:p>
    <w:p w14:paraId="093DC5F2" w14:textId="759FABA9" w:rsidR="00484531" w:rsidRPr="00E11631" w:rsidRDefault="009F2319" w:rsidP="009F2319">
      <w:pPr>
        <w:pStyle w:val="Heading2"/>
        <w:rPr>
          <w:rFonts w:eastAsia="Gill Sans"/>
        </w:rPr>
      </w:pPr>
      <w:bookmarkStart w:id="265" w:name="_Toc118555220"/>
      <w:bookmarkStart w:id="266" w:name="_Toc118558307"/>
      <w:bookmarkStart w:id="267" w:name="_Toc118558378"/>
      <w:bookmarkStart w:id="268" w:name="_Toc121830635"/>
      <w:r>
        <w:rPr>
          <w:rFonts w:eastAsia="Gill Sans"/>
        </w:rPr>
        <w:t xml:space="preserve">Service </w:t>
      </w:r>
      <w:r w:rsidR="00222F22">
        <w:rPr>
          <w:rFonts w:eastAsia="Gill Sans"/>
        </w:rPr>
        <w:t>a</w:t>
      </w:r>
      <w:r>
        <w:rPr>
          <w:rFonts w:eastAsia="Gill Sans"/>
        </w:rPr>
        <w:t>pproaches</w:t>
      </w:r>
      <w:bookmarkEnd w:id="265"/>
      <w:bookmarkEnd w:id="266"/>
      <w:bookmarkEnd w:id="267"/>
      <w:bookmarkEnd w:id="268"/>
      <w:r w:rsidR="00484531" w:rsidRPr="33CF92C6">
        <w:rPr>
          <w:rFonts w:eastAsia="Gill Sans"/>
        </w:rPr>
        <w:t xml:space="preserve"> </w:t>
      </w:r>
    </w:p>
    <w:p w14:paraId="21DF8D90" w14:textId="4878BC29" w:rsidR="00484531" w:rsidRDefault="00484531" w:rsidP="006307D4">
      <w:pPr>
        <w:rPr>
          <w:rFonts w:eastAsia="Gill Sans" w:cs="Gill Sans"/>
          <w:szCs w:val="26"/>
        </w:rPr>
      </w:pPr>
      <w:r w:rsidRPr="006A65B8">
        <w:rPr>
          <w:rFonts w:eastAsia="Gill Sans" w:cs="Gill Sans"/>
          <w:szCs w:val="26"/>
        </w:rPr>
        <w:t>Whereas a commitment to the provision of an individualised service to meet the needs of people as they age was evident,</w:t>
      </w:r>
      <w:r w:rsidR="00926773">
        <w:rPr>
          <w:rFonts w:eastAsia="Gill Sans" w:cs="Gill Sans"/>
          <w:szCs w:val="26"/>
        </w:rPr>
        <w:t xml:space="preserve"> </w:t>
      </w:r>
      <w:r w:rsidR="00FC40F0">
        <w:rPr>
          <w:rFonts w:eastAsia="Gill Sans" w:cs="Gill Sans"/>
          <w:szCs w:val="26"/>
        </w:rPr>
        <w:t xml:space="preserve">service managers, direct care staff and family members </w:t>
      </w:r>
      <w:r w:rsidR="007B2D69">
        <w:rPr>
          <w:rFonts w:eastAsia="Gill Sans" w:cs="Gill Sans"/>
          <w:szCs w:val="26"/>
        </w:rPr>
        <w:t>emphasised the considerable challenges to actually achieving this for those in receipt of service.</w:t>
      </w:r>
      <w:r w:rsidR="00EA4EAE">
        <w:rPr>
          <w:rFonts w:eastAsia="Gill Sans" w:cs="Gill Sans"/>
          <w:szCs w:val="26"/>
        </w:rPr>
        <w:t xml:space="preserve"> </w:t>
      </w:r>
      <w:r w:rsidR="00603A8E">
        <w:rPr>
          <w:rFonts w:eastAsia="Gill Sans" w:cs="Gill Sans"/>
          <w:szCs w:val="26"/>
        </w:rPr>
        <w:t xml:space="preserve">Central to this is </w:t>
      </w:r>
      <w:r w:rsidR="00830057">
        <w:rPr>
          <w:rFonts w:eastAsia="Gill Sans" w:cs="Gill Sans"/>
          <w:szCs w:val="26"/>
        </w:rPr>
        <w:t>absence of a formal</w:t>
      </w:r>
      <w:r w:rsidR="00536A8F">
        <w:rPr>
          <w:rFonts w:eastAsia="Gill Sans" w:cs="Gill Sans"/>
          <w:szCs w:val="26"/>
        </w:rPr>
        <w:t xml:space="preserve"> model</w:t>
      </w:r>
      <w:r w:rsidR="00AC3E77">
        <w:rPr>
          <w:rFonts w:eastAsia="Gill Sans" w:cs="Gill Sans"/>
          <w:szCs w:val="26"/>
        </w:rPr>
        <w:t xml:space="preserve"> o</w:t>
      </w:r>
      <w:r w:rsidR="006A50FF">
        <w:rPr>
          <w:rFonts w:eastAsia="Gill Sans" w:cs="Gill Sans"/>
          <w:szCs w:val="26"/>
        </w:rPr>
        <w:t>f</w:t>
      </w:r>
      <w:r w:rsidR="00AC3E77">
        <w:rPr>
          <w:rFonts w:eastAsia="Gill Sans" w:cs="Gill Sans"/>
          <w:szCs w:val="26"/>
        </w:rPr>
        <w:t xml:space="preserve"> </w:t>
      </w:r>
      <w:r w:rsidR="006A50FF">
        <w:rPr>
          <w:rFonts w:eastAsia="Gill Sans" w:cs="Gill Sans"/>
          <w:szCs w:val="26"/>
        </w:rPr>
        <w:t xml:space="preserve">service pertaining to </w:t>
      </w:r>
      <w:r w:rsidR="00B03A6A" w:rsidRPr="0026ABD9">
        <w:rPr>
          <w:rFonts w:eastAsia="Gill Sans" w:cs="Gill Sans"/>
        </w:rPr>
        <w:t>ageing</w:t>
      </w:r>
      <w:r w:rsidR="61435800" w:rsidRPr="0026ABD9">
        <w:rPr>
          <w:rFonts w:eastAsia="Gill Sans" w:cs="Gill Sans"/>
        </w:rPr>
        <w:t xml:space="preserve"> </w:t>
      </w:r>
      <w:r w:rsidR="00B03A6A" w:rsidRPr="0026ABD9">
        <w:rPr>
          <w:rFonts w:eastAsia="Gill Sans" w:cs="Gill Sans"/>
        </w:rPr>
        <w:t>and</w:t>
      </w:r>
      <w:r w:rsidR="00B03A6A">
        <w:rPr>
          <w:rFonts w:eastAsia="Gill Sans" w:cs="Gill Sans"/>
          <w:szCs w:val="26"/>
        </w:rPr>
        <w:t xml:space="preserve"> the</w:t>
      </w:r>
      <w:r w:rsidR="00536A8F">
        <w:rPr>
          <w:rFonts w:eastAsia="Gill Sans" w:cs="Gill Sans"/>
          <w:szCs w:val="26"/>
        </w:rPr>
        <w:t xml:space="preserve"> </w:t>
      </w:r>
      <w:r w:rsidR="006207B3">
        <w:rPr>
          <w:rFonts w:eastAsia="Gill Sans" w:cs="Gill Sans"/>
          <w:szCs w:val="26"/>
        </w:rPr>
        <w:t xml:space="preserve">scarcity of </w:t>
      </w:r>
      <w:r w:rsidR="002B49C3">
        <w:rPr>
          <w:rFonts w:eastAsia="Gill Sans" w:cs="Gill Sans"/>
          <w:szCs w:val="26"/>
        </w:rPr>
        <w:t xml:space="preserve">key </w:t>
      </w:r>
      <w:r w:rsidR="006207B3">
        <w:rPr>
          <w:rFonts w:eastAsia="Gill Sans" w:cs="Gill Sans"/>
          <w:szCs w:val="26"/>
        </w:rPr>
        <w:t>resources, particularly funding</w:t>
      </w:r>
      <w:r w:rsidR="00B03A6A">
        <w:rPr>
          <w:rFonts w:eastAsia="Gill Sans" w:cs="Gill Sans"/>
          <w:szCs w:val="26"/>
        </w:rPr>
        <w:t xml:space="preserve">. </w:t>
      </w:r>
      <w:r w:rsidRPr="006A65B8">
        <w:rPr>
          <w:rFonts w:eastAsia="Gill Sans" w:cs="Gill Sans"/>
          <w:szCs w:val="26"/>
        </w:rPr>
        <w:t>Th</w:t>
      </w:r>
      <w:r w:rsidR="00BE1C39">
        <w:rPr>
          <w:rFonts w:eastAsia="Gill Sans" w:cs="Gill Sans"/>
          <w:szCs w:val="26"/>
        </w:rPr>
        <w:t>is</w:t>
      </w:r>
      <w:r w:rsidRPr="006A65B8">
        <w:rPr>
          <w:rFonts w:eastAsia="Gill Sans" w:cs="Gill Sans"/>
          <w:szCs w:val="26"/>
        </w:rPr>
        <w:t xml:space="preserve"> hampered the agile response that is often needed to appropriately respond to needs that may change very rapidly. Aspects of staffing were also identified as a constraining challenge, particularly as pertaining to the recruitment and retainment of </w:t>
      </w:r>
      <w:r w:rsidR="00BE1C39">
        <w:rPr>
          <w:rFonts w:eastAsia="Gill Sans" w:cs="Gill Sans"/>
          <w:szCs w:val="26"/>
        </w:rPr>
        <w:t>skilled personnel.</w:t>
      </w:r>
      <w:r w:rsidRPr="006A65B8">
        <w:rPr>
          <w:rFonts w:eastAsia="Gill Sans" w:cs="Gill Sans"/>
          <w:szCs w:val="26"/>
        </w:rPr>
        <w:t xml:space="preserve"> </w:t>
      </w:r>
    </w:p>
    <w:p w14:paraId="76269137" w14:textId="5CAD4E17" w:rsidR="00BF785B" w:rsidRDefault="206BFED0" w:rsidP="006307D4">
      <w:pPr>
        <w:rPr>
          <w:lang w:eastAsia="en-IE"/>
        </w:rPr>
      </w:pPr>
      <w:r w:rsidRPr="68A51868">
        <w:rPr>
          <w:rFonts w:eastAsia="Gill Sans" w:cs="Gill Sans"/>
        </w:rPr>
        <w:t xml:space="preserve">This study </w:t>
      </w:r>
      <w:r w:rsidR="29D0D8B4" w:rsidRPr="68A51868">
        <w:rPr>
          <w:rFonts w:eastAsia="Gill Sans" w:cs="Gill Sans"/>
        </w:rPr>
        <w:t>set out</w:t>
      </w:r>
      <w:r w:rsidRPr="68A51868">
        <w:rPr>
          <w:rFonts w:eastAsia="Gill Sans" w:cs="Gill Sans"/>
        </w:rPr>
        <w:t xml:space="preserve"> to examine the care</w:t>
      </w:r>
      <w:r w:rsidR="2500ED21" w:rsidRPr="68A51868">
        <w:rPr>
          <w:rFonts w:eastAsia="Gill Sans" w:cs="Gill Sans"/>
        </w:rPr>
        <w:t xml:space="preserve"> and</w:t>
      </w:r>
      <w:r w:rsidR="00E32442">
        <w:rPr>
          <w:rFonts w:eastAsia="Gill Sans" w:cs="Gill Sans"/>
        </w:rPr>
        <w:t xml:space="preserve"> </w:t>
      </w:r>
      <w:r w:rsidRPr="68A51868">
        <w:rPr>
          <w:rFonts w:eastAsia="Gill Sans" w:cs="Gill Sans"/>
        </w:rPr>
        <w:t>service options for older adults with intellectual disabilities and complex age-related conditions. It did so from a premise that there are clearly delineable approaches to providing service and that these can be generalised as intellectual disability services with specific ageing pathways, services without such pathways and mainstream nursing homes</w:t>
      </w:r>
      <w:r w:rsidR="644CD7B1" w:rsidRPr="68A51868">
        <w:rPr>
          <w:rFonts w:eastAsia="Gill Sans" w:cs="Gill Sans"/>
        </w:rPr>
        <w:t xml:space="preserve">. </w:t>
      </w:r>
      <w:r w:rsidR="644CD7B1">
        <w:t xml:space="preserve">Drawing from this, the study further sought to garner new evidence on current models/approaches to care, to compare outcomes and quality of life in care settings and to provide additional information on expected future needs of older adults with intellectual disabilities and complex age-related conditions. </w:t>
      </w:r>
      <w:r w:rsidRPr="68A51868">
        <w:rPr>
          <w:rFonts w:eastAsia="Gill Sans" w:cs="Gill Sans"/>
        </w:rPr>
        <w:t xml:space="preserve">Whilst nothing can, at this point, be concluded in respect of nursing homes (due to </w:t>
      </w:r>
      <w:r w:rsidR="29D0D8B4" w:rsidRPr="68A51868">
        <w:rPr>
          <w:rFonts w:eastAsia="Gill Sans" w:cs="Gill Sans"/>
        </w:rPr>
        <w:t>their non-inclusion</w:t>
      </w:r>
      <w:r w:rsidRPr="68A51868">
        <w:rPr>
          <w:rFonts w:eastAsia="Gill Sans" w:cs="Gill Sans"/>
        </w:rPr>
        <w:t xml:space="preserve"> in this study), the findings suggest, however, that there is in fact no clear delineation within intellectual disability services </w:t>
      </w:r>
      <w:r w:rsidRPr="68A51868">
        <w:rPr>
          <w:rFonts w:eastAsia="Gill Sans" w:cs="Gill Sans"/>
          <w:i/>
          <w:iCs/>
        </w:rPr>
        <w:t>vis a vis</w:t>
      </w:r>
      <w:r w:rsidRPr="68A51868">
        <w:rPr>
          <w:rFonts w:eastAsia="Gill Sans" w:cs="Gill Sans"/>
        </w:rPr>
        <w:t xml:space="preserve"> models or approaches</w:t>
      </w:r>
      <w:r w:rsidR="7471B7AA" w:rsidRPr="68A51868">
        <w:rPr>
          <w:rFonts w:eastAsia="Gill Sans" w:cs="Gill Sans"/>
        </w:rPr>
        <w:t xml:space="preserve"> </w:t>
      </w:r>
      <w:r w:rsidR="74F506C9" w:rsidRPr="68A51868">
        <w:rPr>
          <w:rFonts w:eastAsia="Gill Sans" w:cs="Gill Sans"/>
        </w:rPr>
        <w:t xml:space="preserve">for this </w:t>
      </w:r>
      <w:r w:rsidR="0DEC1103" w:rsidRPr="68A51868">
        <w:rPr>
          <w:rFonts w:eastAsia="Gill Sans" w:cs="Gill Sans"/>
        </w:rPr>
        <w:t>cohort</w:t>
      </w:r>
      <w:r w:rsidRPr="68A51868">
        <w:rPr>
          <w:rFonts w:eastAsia="Gill Sans" w:cs="Gill Sans"/>
        </w:rPr>
        <w:t xml:space="preserve">. This is </w:t>
      </w:r>
      <w:r w:rsidR="29D0D8B4" w:rsidRPr="68A51868">
        <w:rPr>
          <w:rFonts w:eastAsia="Gill Sans" w:cs="Gill Sans"/>
        </w:rPr>
        <w:t>also</w:t>
      </w:r>
      <w:r w:rsidRPr="68A51868">
        <w:rPr>
          <w:rFonts w:eastAsia="Gill Sans" w:cs="Gill Sans"/>
        </w:rPr>
        <w:t xml:space="preserve"> borne out by the dearth of literature identified in this regard</w:t>
      </w:r>
      <w:r w:rsidR="55D8BD9E" w:rsidRPr="68A51868">
        <w:rPr>
          <w:rFonts w:eastAsia="Gill Sans" w:cs="Gill Sans"/>
        </w:rPr>
        <w:t xml:space="preserve"> </w:t>
      </w:r>
      <w:r w:rsidR="05B046BF" w:rsidRPr="68A51868">
        <w:rPr>
          <w:rFonts w:eastAsia="Gill Sans" w:cs="Gill Sans"/>
        </w:rPr>
        <w:fldChar w:fldCharType="begin"/>
      </w:r>
      <w:r w:rsidR="05B046BF" w:rsidRPr="68A51868">
        <w:rPr>
          <w:rFonts w:eastAsia="Gill Sans" w:cs="Gill Sans"/>
        </w:rPr>
        <w:instrText xml:space="preserve"> ADDIN EN.CITE &lt;EndNote&gt;&lt;Cite&gt;&lt;Author&gt;Sheerin&lt;/Author&gt;&lt;Year&gt;2021&lt;/Year&gt;&lt;RecNum&gt;658&lt;/RecNum&gt;&lt;DisplayText&gt;(Sheerin et al., 2021a)&lt;/DisplayText&gt;&lt;record&gt;&lt;rec-number&gt;658&lt;/rec-number&gt;&lt;foreign-keys&gt;&lt;key app="EN" db-id="xtwfdzde5ttr0zevxrh5sf0c2wfzw5zf2vra" timestamp="1657546608" guid="83298505-6f88-4222-b415-1a7ec538af8e"&gt;658&lt;/key&gt;&lt;/foreign-keys&gt;&lt;ref-type name="Unpublished Work"&gt;34&lt;/ref-type&gt;&lt;contributors&gt;&lt;authors&gt;&lt;author&gt;Sheerin, Fintan&lt;/author&gt;&lt;author&gt;Fleming, Sandra&lt;/author&gt;&lt;author&gt;Naseer, Amara&lt;/author&gt;&lt;author&gt;Foden, Eadaoin &lt;/author&gt;&lt;author&gt;McCallion, Philip&lt;/author&gt;&lt;author&gt;McCarron, Mary&lt;/author&gt;&lt;/authors&gt;&lt;/contributors&gt;&lt;titles&gt;&lt;title&gt;Care of Older Adults with Intellectual Disabilities and Complex Age-Related Conditions: A Systematic Review Final Report [Unpublished Manuscript]&lt;/title&gt;&lt;/titles&gt;&lt;dates&gt;&lt;year&gt;2021&lt;/year&gt;&lt;pub-dates&gt;&lt;date&gt;July&lt;/date&gt;&lt;/pub-dates&gt;&lt;/dates&gt;&lt;pub-location&gt;Dublin&lt;/pub-location&gt;&lt;publisher&gt;Trinity Centre for Ageing and Intellectual Disability&lt;/publisher&gt;&lt;urls&gt;&lt;/urls&gt;&lt;/record&gt;&lt;/Cite&gt;&lt;/EndNote&gt;</w:instrText>
      </w:r>
      <w:r w:rsidR="05B046BF" w:rsidRPr="68A51868">
        <w:rPr>
          <w:rFonts w:eastAsia="Gill Sans" w:cs="Gill Sans"/>
        </w:rPr>
        <w:fldChar w:fldCharType="separate"/>
      </w:r>
      <w:r w:rsidR="22F4CF3E" w:rsidRPr="68A51868">
        <w:rPr>
          <w:rFonts w:eastAsia="Gill Sans" w:cs="Gill Sans"/>
          <w:noProof/>
        </w:rPr>
        <w:t>(Sheerin et al., 2021a)</w:t>
      </w:r>
      <w:r w:rsidR="05B046BF" w:rsidRPr="68A51868">
        <w:rPr>
          <w:rFonts w:eastAsia="Gill Sans" w:cs="Gill Sans"/>
        </w:rPr>
        <w:fldChar w:fldCharType="end"/>
      </w:r>
      <w:r w:rsidRPr="68A51868">
        <w:rPr>
          <w:rFonts w:eastAsia="Gill Sans" w:cs="Gill Sans"/>
        </w:rPr>
        <w:t xml:space="preserve">. </w:t>
      </w:r>
      <w:r w:rsidR="3EC02A75" w:rsidRPr="68A51868">
        <w:rPr>
          <w:lang w:eastAsia="en-IE"/>
        </w:rPr>
        <w:t>In the absence of a dedicated</w:t>
      </w:r>
      <w:r w:rsidR="2A404014" w:rsidRPr="68A51868">
        <w:rPr>
          <w:lang w:eastAsia="en-IE"/>
        </w:rPr>
        <w:t>,</w:t>
      </w:r>
      <w:r w:rsidR="3EC02A75" w:rsidRPr="68A51868">
        <w:rPr>
          <w:lang w:eastAsia="en-IE"/>
        </w:rPr>
        <w:t xml:space="preserve"> structured approach</w:t>
      </w:r>
      <w:r w:rsidR="2165AC21" w:rsidRPr="68A51868">
        <w:rPr>
          <w:lang w:eastAsia="en-IE"/>
        </w:rPr>
        <w:t>,</w:t>
      </w:r>
      <w:r w:rsidR="2A404014" w:rsidRPr="68A51868">
        <w:rPr>
          <w:lang w:eastAsia="en-IE"/>
        </w:rPr>
        <w:t xml:space="preserve"> </w:t>
      </w:r>
      <w:r w:rsidR="4E341D52" w:rsidRPr="68A51868">
        <w:rPr>
          <w:lang w:eastAsia="en-IE"/>
        </w:rPr>
        <w:t>intellectual disability services, staff and family members have had to develop alternative</w:t>
      </w:r>
      <w:r w:rsidR="4A2EEFC0" w:rsidRPr="68A51868">
        <w:rPr>
          <w:lang w:eastAsia="en-IE"/>
        </w:rPr>
        <w:t xml:space="preserve"> possibilities</w:t>
      </w:r>
      <w:r w:rsidR="4E341D52" w:rsidRPr="68A51868">
        <w:rPr>
          <w:lang w:eastAsia="en-IE"/>
        </w:rPr>
        <w:t xml:space="preserve">, often </w:t>
      </w:r>
      <w:r w:rsidR="4A2EEFC0" w:rsidRPr="68A51868">
        <w:rPr>
          <w:lang w:eastAsia="en-IE"/>
        </w:rPr>
        <w:t>an eclectic mix of health and social care provision</w:t>
      </w:r>
      <w:r w:rsidR="6D62F762" w:rsidRPr="68A51868">
        <w:rPr>
          <w:lang w:eastAsia="en-IE"/>
        </w:rPr>
        <w:t xml:space="preserve"> often cobbled from adjustments to services for other age groups</w:t>
      </w:r>
      <w:r w:rsidR="4A2EEFC0" w:rsidRPr="68A51868">
        <w:rPr>
          <w:lang w:eastAsia="en-IE"/>
        </w:rPr>
        <w:t>,</w:t>
      </w:r>
      <w:r w:rsidR="4E341D52" w:rsidRPr="68A51868">
        <w:rPr>
          <w:lang w:eastAsia="en-IE"/>
        </w:rPr>
        <w:t xml:space="preserve"> to provide the support required for people with intellectual </w:t>
      </w:r>
      <w:r w:rsidR="46ACC5D9" w:rsidRPr="68A51868">
        <w:rPr>
          <w:lang w:eastAsia="en-IE"/>
        </w:rPr>
        <w:t>disabilit</w:t>
      </w:r>
      <w:r w:rsidR="22E4BDDD" w:rsidRPr="68A51868">
        <w:rPr>
          <w:lang w:eastAsia="en-IE"/>
        </w:rPr>
        <w:t>ies</w:t>
      </w:r>
      <w:r w:rsidR="46ACC5D9" w:rsidRPr="68A51868">
        <w:rPr>
          <w:lang w:eastAsia="en-IE"/>
        </w:rPr>
        <w:t xml:space="preserve"> </w:t>
      </w:r>
      <w:r w:rsidR="4E341D52" w:rsidRPr="68A51868">
        <w:rPr>
          <w:lang w:eastAsia="en-IE"/>
        </w:rPr>
        <w:t>to achieve healthy ageing</w:t>
      </w:r>
      <w:r w:rsidR="2A404014" w:rsidRPr="68A51868">
        <w:rPr>
          <w:lang w:eastAsia="en-IE"/>
        </w:rPr>
        <w:t xml:space="preserve">. </w:t>
      </w:r>
    </w:p>
    <w:p w14:paraId="5778A0A7" w14:textId="6F95AD74" w:rsidR="00517E37" w:rsidRDefault="00BF785B" w:rsidP="003951E5">
      <w:pPr>
        <w:rPr>
          <w:rFonts w:eastAsia="Gill Sans" w:cs="Gill Sans"/>
        </w:rPr>
      </w:pPr>
      <w:r w:rsidRPr="05E0C4B5">
        <w:rPr>
          <w:rFonts w:eastAsia="Gill Sans" w:cs="Gill Sans"/>
        </w:rPr>
        <w:t xml:space="preserve">The reason for the lack of structured approaches may </w:t>
      </w:r>
      <w:r w:rsidR="00B26317" w:rsidRPr="05E0C4B5">
        <w:rPr>
          <w:rFonts w:eastAsia="Gill Sans" w:cs="Gill Sans"/>
        </w:rPr>
        <w:t xml:space="preserve">also </w:t>
      </w:r>
      <w:r w:rsidRPr="05E0C4B5">
        <w:rPr>
          <w:rFonts w:eastAsia="Gill Sans" w:cs="Gill Sans"/>
        </w:rPr>
        <w:t xml:space="preserve">lie with the </w:t>
      </w:r>
      <w:r w:rsidR="00517E37" w:rsidRPr="05E0C4B5">
        <w:rPr>
          <w:rFonts w:eastAsia="Gill Sans" w:cs="Gill Sans"/>
        </w:rPr>
        <w:t>fact that intellectual disability service in Ireland was never properly underpinned by a</w:t>
      </w:r>
      <w:r w:rsidR="003A4F11" w:rsidRPr="05E0C4B5">
        <w:rPr>
          <w:rFonts w:eastAsia="Gill Sans" w:cs="Gill Sans"/>
        </w:rPr>
        <w:t xml:space="preserve"> service model but</w:t>
      </w:r>
      <w:r w:rsidR="009F2920" w:rsidRPr="05E0C4B5">
        <w:rPr>
          <w:rFonts w:eastAsia="Gill Sans" w:cs="Gill Sans"/>
        </w:rPr>
        <w:t xml:space="preserve"> developed </w:t>
      </w:r>
      <w:r w:rsidR="000853BE" w:rsidRPr="05E0C4B5">
        <w:rPr>
          <w:rFonts w:eastAsia="Gill Sans" w:cs="Gill Sans"/>
        </w:rPr>
        <w:t xml:space="preserve">in a somewhat </w:t>
      </w:r>
      <w:r w:rsidR="00BF23F7" w:rsidRPr="05E0C4B5">
        <w:rPr>
          <w:rFonts w:eastAsia="Gill Sans" w:cs="Gill Sans"/>
        </w:rPr>
        <w:t>fragmented manner</w:t>
      </w:r>
      <w:r w:rsidR="00ED48A4" w:rsidRPr="05E0C4B5">
        <w:rPr>
          <w:rFonts w:eastAsia="Gill Sans" w:cs="Gill Sans"/>
        </w:rPr>
        <w:t xml:space="preserve">, through the </w:t>
      </w:r>
      <w:r w:rsidR="00681150" w:rsidRPr="05E0C4B5">
        <w:rPr>
          <w:rFonts w:eastAsia="Gill Sans" w:cs="Gill Sans"/>
        </w:rPr>
        <w:t>growth</w:t>
      </w:r>
      <w:r w:rsidR="00ED48A4" w:rsidRPr="05E0C4B5">
        <w:rPr>
          <w:rFonts w:eastAsia="Gill Sans" w:cs="Gill Sans"/>
        </w:rPr>
        <w:t xml:space="preserve"> of </w:t>
      </w:r>
      <w:r w:rsidR="00681150" w:rsidRPr="05E0C4B5">
        <w:rPr>
          <w:rFonts w:eastAsia="Gill Sans" w:cs="Gill Sans"/>
        </w:rPr>
        <w:t>largely</w:t>
      </w:r>
      <w:r w:rsidR="00517E37" w:rsidRPr="05E0C4B5">
        <w:rPr>
          <w:rFonts w:eastAsia="Gill Sans" w:cs="Gill Sans"/>
        </w:rPr>
        <w:t xml:space="preserve"> voluntary bodies</w:t>
      </w:r>
      <w:r w:rsidR="00681150" w:rsidRPr="05E0C4B5">
        <w:rPr>
          <w:rFonts w:eastAsia="Gill Sans" w:cs="Gill Sans"/>
        </w:rPr>
        <w:t>, funded by the state.</w:t>
      </w:r>
      <w:r w:rsidR="00F20245" w:rsidRPr="05E0C4B5">
        <w:rPr>
          <w:rFonts w:eastAsia="Gill Sans" w:cs="Gill Sans"/>
        </w:rPr>
        <w:t xml:space="preserve"> </w:t>
      </w:r>
      <w:r w:rsidR="00067C3E" w:rsidRPr="00067C3E">
        <w:t>Furthermore</w:t>
      </w:r>
      <w:r w:rsidR="00E12409">
        <w:t>,</w:t>
      </w:r>
      <w:r w:rsidR="00067C3E" w:rsidRPr="00067C3E">
        <w:t xml:space="preserve"> the historical financial and physical separation of the intellectual disability service from other mainstream services has resulted in a </w:t>
      </w:r>
      <w:r w:rsidR="00067C3E" w:rsidRPr="009A4609">
        <w:t xml:space="preserve">service structure that does not </w:t>
      </w:r>
      <w:r w:rsidR="64AE51C9">
        <w:t xml:space="preserve">easily </w:t>
      </w:r>
      <w:r w:rsidR="00067C3E" w:rsidRPr="009A4609">
        <w:t>support the application of national strategies on ageing to people with intellectual disabilit</w:t>
      </w:r>
      <w:r w:rsidR="00C85736">
        <w:t>ies</w:t>
      </w:r>
      <w:r w:rsidR="00067C3E" w:rsidRPr="009A4609">
        <w:t xml:space="preserve">. </w:t>
      </w:r>
      <w:r w:rsidR="00E12409" w:rsidRPr="009A4609">
        <w:t xml:space="preserve">The </w:t>
      </w:r>
      <w:r w:rsidR="009A4609" w:rsidRPr="009A4609">
        <w:t xml:space="preserve">funding </w:t>
      </w:r>
      <w:r w:rsidR="009A4609" w:rsidRPr="00BE3310">
        <w:t>model for such services was</w:t>
      </w:r>
      <w:r w:rsidR="00BE3310">
        <w:t xml:space="preserve"> </w:t>
      </w:r>
      <w:r w:rsidR="1C74329E">
        <w:t>for many years</w:t>
      </w:r>
      <w:r w:rsidR="00BE3310" w:rsidRPr="00BE3310">
        <w:t xml:space="preserve"> a largely congregated one</w:t>
      </w:r>
      <w:r w:rsidR="00BE3310">
        <w:t xml:space="preserve">, which facilitated </w:t>
      </w:r>
      <w:r w:rsidR="004C322C">
        <w:t xml:space="preserve">group rather than </w:t>
      </w:r>
      <w:r w:rsidR="002B76F6">
        <w:t>indiv</w:t>
      </w:r>
      <w:r w:rsidR="009B6BA4">
        <w:t xml:space="preserve">idual </w:t>
      </w:r>
      <w:r w:rsidR="00092887">
        <w:t>activity</w:t>
      </w:r>
      <w:r w:rsidR="003951E5">
        <w:t xml:space="preserve">, </w:t>
      </w:r>
      <w:r w:rsidR="05B046BF" w:rsidRPr="05E0C4B5">
        <w:rPr>
          <w:rFonts w:eastAsia="Gill Sans" w:cs="Gill Sans"/>
        </w:rPr>
        <w:t xml:space="preserve">making person-centred outcomes difficult to achieve </w:t>
      </w:r>
      <w:r w:rsidR="000E3FE1" w:rsidRPr="009C3BED">
        <w:fldChar w:fldCharType="begin"/>
      </w:r>
      <w:r w:rsidR="000E3FE1" w:rsidRPr="009C3BED">
        <w:instrText xml:space="preserve"> ADDIN EN.CITE &lt;EndNote&gt;&lt;Cite&gt;&lt;Author&gt;Bigby&lt;/Author&gt;&lt;Year&gt;2002&lt;/Year&gt;&lt;RecNum&gt;308&lt;/RecNum&gt;&lt;DisplayText&gt;(Bigby, 2002)&lt;/DisplayText&gt;&lt;record&gt;&lt;rec-number&gt;308&lt;/rec-number&gt;&lt;foreign-keys&gt;&lt;key app="EN" db-id="xtwfdzde5ttr0zevxrh5sf0c2wfzw5zf2vra" timestamp="1643290955" guid="d28f15c4-ae62-4e3c-ae19-7070d92d2234"&gt;308&lt;/key&gt;&lt;/foreign-keys&gt;&lt;ref-type name="Journal Article"&gt;17&lt;/ref-type&gt;&lt;contributors&gt;&lt;authors&gt;&lt;author&gt;Bigby, Christine&lt;/author&gt;&lt;/authors&gt;&lt;/contributors&gt;&lt;titles&gt;&lt;title&gt;Ageing people with a lifelong disability: Challenges for the aged care and disability sectors&lt;/title&gt;&lt;secondary-title&gt;Journal of Intellectual and Developmental Disability&lt;/secondary-title&gt;&lt;short-title&gt;Ageing people with a lifelong disability: Challenges for the aged care and disability sectors&lt;/short-title&gt;&lt;/titles&gt;&lt;periodical&gt;&lt;full-title&gt;Journal of Intellectual and Developmental Disability&lt;/full-title&gt;&lt;/periodical&gt;&lt;volume&gt;27&lt;/volume&gt;&lt;number&gt;4&lt;/number&gt;&lt;dates&gt;&lt;year&gt;2002&lt;/year&gt;&lt;/dates&gt;&lt;urls&gt;&lt;/urls&gt;&lt;electronic-resource-num&gt;10.1080/1366825021000029294&lt;/electronic-resource-num&gt;&lt;/record&gt;&lt;/Cite&gt;&lt;/EndNote&gt;</w:instrText>
      </w:r>
      <w:r w:rsidR="000E3FE1" w:rsidRPr="009C3BED">
        <w:fldChar w:fldCharType="separate"/>
      </w:r>
      <w:r w:rsidR="000E3FE1" w:rsidRPr="009C3BED">
        <w:rPr>
          <w:noProof/>
        </w:rPr>
        <w:t>(Bigby, 2002)</w:t>
      </w:r>
      <w:r w:rsidR="000E3FE1" w:rsidRPr="009C3BED">
        <w:fldChar w:fldCharType="end"/>
      </w:r>
      <w:r w:rsidR="000E3FE1">
        <w:t>.</w:t>
      </w:r>
      <w:r w:rsidR="000E3FE1" w:rsidRPr="05E0C4B5">
        <w:rPr>
          <w:rFonts w:eastAsia="Gill Sans" w:cs="Gill Sans"/>
        </w:rPr>
        <w:t xml:space="preserve"> </w:t>
      </w:r>
      <w:r w:rsidR="00C428E6">
        <w:rPr>
          <w:rFonts w:eastAsia="Gill Sans" w:cs="Gill Sans"/>
        </w:rPr>
        <w:t>Furthermore, as noted by</w:t>
      </w:r>
      <w:r w:rsidR="00872B3D">
        <w:rPr>
          <w:rFonts w:eastAsia="Gill Sans" w:cs="Gill Sans"/>
        </w:rPr>
        <w:t xml:space="preserve"> the</w:t>
      </w:r>
      <w:r w:rsidR="00774C73">
        <w:rPr>
          <w:rFonts w:eastAsia="Gill Sans" w:cs="Gill Sans"/>
        </w:rPr>
        <w:t xml:space="preserve"> </w:t>
      </w:r>
      <w:r w:rsidR="00774C73">
        <w:fldChar w:fldCharType="begin"/>
      </w:r>
      <w:r w:rsidR="00774C73">
        <w:instrText xml:space="preserve"> ADDIN EN.CITE &lt;EndNote&gt;&lt;Cite AuthorYear="1"&gt;&lt;Author&gt;NDA&lt;/Author&gt;&lt;Year&gt;2006&lt;/Year&gt;&lt;RecNum&gt;503&lt;/RecNum&gt;&lt;DisplayText&gt;NDA (2006)&lt;/DisplayText&gt;&lt;record&gt;&lt;rec-number&gt;503&lt;/rec-number&gt;&lt;foreign-keys&gt;&lt;key app="EN" db-id="xtwfdzde5ttr0zevxrh5sf0c2wfzw5zf2vra" timestamp="1648135232" guid="4bd20a04-f8a6-42f7-b837-a1b98d3a96ff"&gt;503&lt;/key&gt;&lt;/foreign-keys&gt;&lt;ref-type name="Report"&gt;27&lt;/ref-type&gt;&lt;contributors&gt;&lt;authors&gt;&lt;author&gt;NDA&lt;/author&gt;&lt;/authors&gt;&lt;/contributors&gt;&lt;titles&gt;&lt;title&gt;Ageing &amp;amp; Disability: A Discussion Paper&lt;/title&gt;&lt;/titles&gt;&lt;dates&gt;&lt;year&gt;2006&lt;/year&gt;&lt;/dates&gt;&lt;pub-location&gt;Dublin&lt;/pub-location&gt;&lt;publisher&gt;National Disability Authority&lt;/publisher&gt;&lt;urls&gt;&lt;related-urls&gt;&lt;url&gt;https://nda.ie/Publications/Health/Health-Publications/Ageing-Disability-A-Discussion-Paper1.html&lt;/url&gt;&lt;/related-urls&gt;&lt;/urls&gt;&lt;/record&gt;&lt;/Cite&gt;&lt;/EndNote&gt;</w:instrText>
      </w:r>
      <w:r w:rsidR="00774C73">
        <w:fldChar w:fldCharType="separate"/>
      </w:r>
      <w:r w:rsidR="00774C73">
        <w:rPr>
          <w:noProof/>
        </w:rPr>
        <w:t>NDA (2006)</w:t>
      </w:r>
      <w:r w:rsidR="00774C73">
        <w:fldChar w:fldCharType="end"/>
      </w:r>
      <w:r w:rsidR="00AA6C2A">
        <w:rPr>
          <w:rFonts w:eastAsia="Gill Sans" w:cs="Gill Sans"/>
        </w:rPr>
        <w:t xml:space="preserve">, the siloing of funding </w:t>
      </w:r>
      <w:r w:rsidR="00AA6C2A" w:rsidRPr="09B806CE">
        <w:rPr>
          <w:rFonts w:eastAsia="Gill Sans" w:cs="Gill Sans"/>
        </w:rPr>
        <w:t>bet</w:t>
      </w:r>
      <w:r w:rsidR="2D70FC44" w:rsidRPr="09B806CE">
        <w:rPr>
          <w:rFonts w:eastAsia="Gill Sans" w:cs="Gill Sans"/>
        </w:rPr>
        <w:t>w</w:t>
      </w:r>
      <w:r w:rsidR="00AA6C2A" w:rsidRPr="09B806CE">
        <w:rPr>
          <w:rFonts w:eastAsia="Gill Sans" w:cs="Gill Sans"/>
        </w:rPr>
        <w:t>e</w:t>
      </w:r>
      <w:r w:rsidR="33C153EF" w:rsidRPr="09B806CE">
        <w:rPr>
          <w:rFonts w:eastAsia="Gill Sans" w:cs="Gill Sans"/>
        </w:rPr>
        <w:t>e</w:t>
      </w:r>
      <w:r w:rsidR="00AA6C2A" w:rsidRPr="09B806CE">
        <w:rPr>
          <w:rFonts w:eastAsia="Gill Sans" w:cs="Gill Sans"/>
        </w:rPr>
        <w:t>n</w:t>
      </w:r>
      <w:r w:rsidR="00AA6C2A">
        <w:rPr>
          <w:rFonts w:eastAsia="Gill Sans" w:cs="Gill Sans"/>
        </w:rPr>
        <w:t xml:space="preserve"> ageing and disability services has resulted in a lack of coordination between them in addressing older </w:t>
      </w:r>
      <w:r w:rsidR="00AA6C2A" w:rsidRPr="2101D54B">
        <w:rPr>
          <w:rFonts w:eastAsia="Gill Sans" w:cs="Gill Sans"/>
        </w:rPr>
        <w:t>persons</w:t>
      </w:r>
      <w:r w:rsidR="51FEC0BF" w:rsidRPr="2101D54B">
        <w:rPr>
          <w:rFonts w:eastAsia="Gill Sans" w:cs="Gill Sans"/>
        </w:rPr>
        <w:t>’</w:t>
      </w:r>
      <w:r w:rsidR="00AA6C2A">
        <w:rPr>
          <w:rFonts w:eastAsia="Gill Sans" w:cs="Gill Sans"/>
        </w:rPr>
        <w:t xml:space="preserve"> care needs. </w:t>
      </w:r>
      <w:r w:rsidR="001202AE">
        <w:rPr>
          <w:rFonts w:eastAsia="Gill Sans" w:cs="Gill Sans"/>
        </w:rPr>
        <w:t>Th</w:t>
      </w:r>
      <w:r w:rsidR="00AA6C2A">
        <w:rPr>
          <w:rFonts w:eastAsia="Gill Sans" w:cs="Gill Sans"/>
        </w:rPr>
        <w:t xml:space="preserve">ese issues have likely </w:t>
      </w:r>
      <w:r w:rsidR="00795F75">
        <w:rPr>
          <w:rFonts w:eastAsia="Gill Sans" w:cs="Gill Sans"/>
        </w:rPr>
        <w:t xml:space="preserve">limited the </w:t>
      </w:r>
      <w:r w:rsidR="004977F4">
        <w:rPr>
          <w:rFonts w:eastAsia="Gill Sans" w:cs="Gill Sans"/>
        </w:rPr>
        <w:t>realisation of</w:t>
      </w:r>
      <w:r w:rsidR="004977F4" w:rsidRPr="2101D54B">
        <w:rPr>
          <w:rFonts w:eastAsia="Gill Sans" w:cs="Gill Sans"/>
        </w:rPr>
        <w:t xml:space="preserve"> </w:t>
      </w:r>
      <w:r w:rsidR="6C65D5F6" w:rsidRPr="2101D54B">
        <w:rPr>
          <w:rFonts w:eastAsia="Gill Sans" w:cs="Gill Sans"/>
        </w:rPr>
        <w:t>general population</w:t>
      </w:r>
      <w:r w:rsidR="004977F4">
        <w:rPr>
          <w:rFonts w:eastAsia="Gill Sans" w:cs="Gill Sans"/>
        </w:rPr>
        <w:t xml:space="preserve"> healthy ageing</w:t>
      </w:r>
      <w:r w:rsidR="00A740CF">
        <w:rPr>
          <w:rFonts w:eastAsia="Gill Sans" w:cs="Gill Sans"/>
        </w:rPr>
        <w:t xml:space="preserve"> </w:t>
      </w:r>
      <w:r w:rsidR="00A740CF" w:rsidRPr="4491F1D5">
        <w:rPr>
          <w:rFonts w:eastAsia="Gill Sans" w:cs="Gill Sans"/>
        </w:rPr>
        <w:t>polic</w:t>
      </w:r>
      <w:r w:rsidR="060E831B" w:rsidRPr="4491F1D5">
        <w:rPr>
          <w:rFonts w:eastAsia="Gill Sans" w:cs="Gill Sans"/>
        </w:rPr>
        <w:t>ies</w:t>
      </w:r>
      <w:r w:rsidR="00A740CF">
        <w:rPr>
          <w:rFonts w:eastAsia="Gill Sans" w:cs="Gill Sans"/>
        </w:rPr>
        <w:t xml:space="preserve"> in the lives of many older people with intellectual disabilities. </w:t>
      </w:r>
      <w:r w:rsidR="00305648">
        <w:rPr>
          <w:rFonts w:eastAsia="Gill Sans" w:cs="Gill Sans"/>
        </w:rPr>
        <w:t>The</w:t>
      </w:r>
      <w:r w:rsidR="00774C73">
        <w:rPr>
          <w:rFonts w:eastAsia="Gill Sans" w:cs="Gill Sans"/>
        </w:rPr>
        <w:t xml:space="preserve"> </w:t>
      </w:r>
      <w:r w:rsidR="00774C73">
        <w:fldChar w:fldCharType="begin"/>
      </w:r>
      <w:r w:rsidR="00774C73">
        <w:instrText xml:space="preserve"> ADDIN EN.CITE &lt;EndNote&gt;&lt;Cite AuthorYear="1"&gt;&lt;Author&gt;Department of Health&lt;/Author&gt;&lt;Year&gt;2022&lt;/Year&gt;&lt;RecNum&gt;706&lt;/RecNum&gt;&lt;DisplayText&gt;Department of Health (2022)&lt;/DisplayText&gt;&lt;record&gt;&lt;rec-number&gt;706&lt;/rec-number&gt;&lt;foreign-keys&gt;&lt;key app="EN" db-id="xtwfdzde5ttr0zevxrh5sf0c2wfzw5zf2vra" timestamp="1664890819" guid="648ae13a-5bea-48aa-9805-8f28ef6d6035"&gt;706&lt;/key&gt;&lt;/foreign-keys&gt;&lt;ref-type name="Report"&gt;27&lt;/ref-type&gt;&lt;contributors&gt;&lt;authors&gt;&lt;author&gt;Department of Health, &lt;/author&gt;&lt;/authors&gt;&lt;/contributors&gt;&lt;titles&gt;&lt;title&gt;Disability Action Plan 2022 - 2025 Report on the Public Consultation&lt;/title&gt;&lt;/titles&gt;&lt;dates&gt;&lt;year&gt;2022&lt;/year&gt;&lt;/dates&gt;&lt;pub-location&gt;Dublin&lt;/pub-location&gt;&lt;publisher&gt;Department of Health&lt;/publisher&gt;&lt;urls&gt;&lt;/urls&gt;&lt;/record&gt;&lt;/Cite&gt;&lt;/EndNote&gt;</w:instrText>
      </w:r>
      <w:r w:rsidR="00774C73">
        <w:fldChar w:fldCharType="separate"/>
      </w:r>
      <w:r w:rsidR="00774C73">
        <w:rPr>
          <w:noProof/>
        </w:rPr>
        <w:t>Department of Health (2022)</w:t>
      </w:r>
      <w:r w:rsidR="00774C73">
        <w:fldChar w:fldCharType="end"/>
      </w:r>
      <w:r w:rsidR="00305648">
        <w:rPr>
          <w:rFonts w:eastAsia="Gill Sans" w:cs="Gill Sans"/>
        </w:rPr>
        <w:t xml:space="preserve"> </w:t>
      </w:r>
      <w:r w:rsidR="00E7360C">
        <w:rPr>
          <w:rFonts w:eastAsia="Gill Sans" w:cs="Gill Sans"/>
        </w:rPr>
        <w:t xml:space="preserve">highlighted the need for a complete overhaul of the </w:t>
      </w:r>
      <w:r w:rsidR="4B3DBBBC" w:rsidRPr="023F9B39">
        <w:rPr>
          <w:rFonts w:eastAsia="Gill Sans" w:cs="Gill Sans"/>
        </w:rPr>
        <w:t xml:space="preserve">services </w:t>
      </w:r>
      <w:r w:rsidR="00E7360C" w:rsidRPr="023F9B39">
        <w:rPr>
          <w:rFonts w:eastAsia="Gill Sans" w:cs="Gill Sans"/>
        </w:rPr>
        <w:t>funding</w:t>
      </w:r>
      <w:r w:rsidR="00E7360C">
        <w:rPr>
          <w:rFonts w:eastAsia="Gill Sans" w:cs="Gill Sans"/>
        </w:rPr>
        <w:t xml:space="preserve"> model</w:t>
      </w:r>
      <w:r w:rsidR="00592ED2">
        <w:rPr>
          <w:rFonts w:eastAsia="Gill Sans" w:cs="Gill Sans"/>
        </w:rPr>
        <w:t xml:space="preserve">, noting that this was crucial if service transformation is to be achieved. </w:t>
      </w:r>
      <w:r w:rsidR="002331EC" w:rsidRPr="05E0C4B5">
        <w:rPr>
          <w:rFonts w:eastAsia="Gill Sans" w:cs="Gill Sans"/>
        </w:rPr>
        <w:t xml:space="preserve">Attempts to </w:t>
      </w:r>
      <w:r w:rsidR="00FE2543" w:rsidRPr="05E0C4B5">
        <w:rPr>
          <w:rFonts w:eastAsia="Gill Sans" w:cs="Gill Sans"/>
        </w:rPr>
        <w:t>roll out alternative</w:t>
      </w:r>
      <w:r w:rsidR="00032D2F">
        <w:rPr>
          <w:rFonts w:eastAsia="Gill Sans" w:cs="Gill Sans"/>
        </w:rPr>
        <w:t xml:space="preserve">, and agile, </w:t>
      </w:r>
      <w:r w:rsidR="0024209F" w:rsidRPr="05E0C4B5">
        <w:rPr>
          <w:rFonts w:eastAsia="Gill Sans" w:cs="Gill Sans"/>
        </w:rPr>
        <w:t xml:space="preserve">funding models, </w:t>
      </w:r>
      <w:r w:rsidR="00944BBD">
        <w:rPr>
          <w:rFonts w:eastAsia="Gill Sans" w:cs="Gill Sans"/>
        </w:rPr>
        <w:t>such</w:t>
      </w:r>
      <w:r w:rsidR="0024209F" w:rsidRPr="05E0C4B5">
        <w:rPr>
          <w:rFonts w:eastAsia="Gill Sans" w:cs="Gill Sans"/>
        </w:rPr>
        <w:t xml:space="preserve"> </w:t>
      </w:r>
      <w:r w:rsidR="106E03CB" w:rsidRPr="023F9B39">
        <w:rPr>
          <w:rFonts w:eastAsia="Gill Sans" w:cs="Gill Sans"/>
        </w:rPr>
        <w:t xml:space="preserve">as </w:t>
      </w:r>
      <w:r w:rsidR="00FE2543" w:rsidRPr="05E0C4B5">
        <w:rPr>
          <w:rFonts w:eastAsia="Gill Sans" w:cs="Gill Sans"/>
        </w:rPr>
        <w:t>personalised budget</w:t>
      </w:r>
      <w:r w:rsidR="0024209F" w:rsidRPr="05E0C4B5">
        <w:rPr>
          <w:rFonts w:eastAsia="Gill Sans" w:cs="Gill Sans"/>
        </w:rPr>
        <w:t xml:space="preserve">s, has been </w:t>
      </w:r>
      <w:r w:rsidR="00F40C69" w:rsidRPr="05E0C4B5">
        <w:rPr>
          <w:rFonts w:eastAsia="Gill Sans" w:cs="Gill Sans"/>
        </w:rPr>
        <w:t xml:space="preserve">slow </w:t>
      </w:r>
      <w:r w:rsidR="00AB04D5" w:rsidRPr="05E0C4B5">
        <w:rPr>
          <w:rFonts w:eastAsia="Gill Sans" w:cs="Gill Sans"/>
        </w:rPr>
        <w:t>despite</w:t>
      </w:r>
      <w:r w:rsidR="00455419" w:rsidRPr="05E0C4B5">
        <w:rPr>
          <w:rFonts w:eastAsia="Gill Sans" w:cs="Gill Sans"/>
        </w:rPr>
        <w:t xml:space="preserve"> the establishment of </w:t>
      </w:r>
      <w:r w:rsidR="00944BBD">
        <w:rPr>
          <w:rFonts w:eastAsia="Gill Sans" w:cs="Gill Sans"/>
        </w:rPr>
        <w:t>the</w:t>
      </w:r>
      <w:r w:rsidR="00FA0DEB" w:rsidRPr="05E0C4B5">
        <w:rPr>
          <w:rFonts w:eastAsia="Gill Sans" w:cs="Gill Sans"/>
        </w:rPr>
        <w:t xml:space="preserve"> task force </w:t>
      </w:r>
      <w:r w:rsidR="006A730D" w:rsidRPr="05E0C4B5">
        <w:rPr>
          <w:rFonts w:eastAsia="Gill Sans" w:cs="Gill Sans"/>
        </w:rPr>
        <w:t>in 2016</w:t>
      </w:r>
      <w:r w:rsidR="00DB1E9F">
        <w:rPr>
          <w:rFonts w:eastAsia="Gill Sans" w:cs="Gill Sans"/>
        </w:rPr>
        <w:t>.</w:t>
      </w:r>
      <w:r w:rsidR="00AD54D1">
        <w:rPr>
          <w:rFonts w:eastAsia="Gill Sans" w:cs="Gill Sans"/>
        </w:rPr>
        <w:t xml:space="preserve"> </w:t>
      </w:r>
      <w:r w:rsidR="00032D2F">
        <w:rPr>
          <w:rFonts w:eastAsia="Gill Sans" w:cs="Gill Sans"/>
        </w:rPr>
        <w:t xml:space="preserve">The absence of such </w:t>
      </w:r>
      <w:r w:rsidR="00086568">
        <w:rPr>
          <w:rFonts w:eastAsia="Gill Sans" w:cs="Gill Sans"/>
        </w:rPr>
        <w:t>funding models</w:t>
      </w:r>
      <w:r w:rsidR="00E27FC7">
        <w:rPr>
          <w:rFonts w:eastAsia="Gill Sans" w:cs="Gill Sans"/>
        </w:rPr>
        <w:t xml:space="preserve">, and the reported delays associated with </w:t>
      </w:r>
      <w:r w:rsidR="00B75080">
        <w:rPr>
          <w:rFonts w:eastAsia="Gill Sans" w:cs="Gill Sans"/>
        </w:rPr>
        <w:t xml:space="preserve">the business case process means that </w:t>
      </w:r>
      <w:r w:rsidR="00411E7D">
        <w:rPr>
          <w:rFonts w:eastAsia="Gill Sans" w:cs="Gill Sans"/>
        </w:rPr>
        <w:t xml:space="preserve">person-centred supports </w:t>
      </w:r>
      <w:r w:rsidR="002D0A32">
        <w:rPr>
          <w:rFonts w:eastAsia="Gill Sans" w:cs="Gill Sans"/>
        </w:rPr>
        <w:t>are often</w:t>
      </w:r>
      <w:r w:rsidR="00411E7D">
        <w:rPr>
          <w:rFonts w:eastAsia="Gill Sans" w:cs="Gill Sans"/>
        </w:rPr>
        <w:t xml:space="preserve"> </w:t>
      </w:r>
      <w:r w:rsidR="002D0A32">
        <w:rPr>
          <w:rFonts w:eastAsia="Gill Sans" w:cs="Gill Sans"/>
        </w:rPr>
        <w:t xml:space="preserve">unavailable, or delayed at best, leading to </w:t>
      </w:r>
      <w:r w:rsidR="00F2650E">
        <w:rPr>
          <w:rFonts w:eastAsia="Gill Sans" w:cs="Gill Sans"/>
        </w:rPr>
        <w:t xml:space="preserve">an inability to meet </w:t>
      </w:r>
      <w:r w:rsidR="00DD6290">
        <w:rPr>
          <w:rFonts w:eastAsia="Gill Sans" w:cs="Gill Sans"/>
        </w:rPr>
        <w:t>older persons’ needs.</w:t>
      </w:r>
    </w:p>
    <w:p w14:paraId="10A5922E" w14:textId="558F323F" w:rsidR="05B046BF" w:rsidRPr="006A65B8" w:rsidRDefault="05B046BF" w:rsidP="5416C8AD">
      <w:r w:rsidRPr="11C55A92">
        <w:rPr>
          <w:rFonts w:eastAsia="Gill Sans" w:cs="Gill Sans"/>
        </w:rPr>
        <w:t>Th</w:t>
      </w:r>
      <w:r w:rsidR="00EA4126" w:rsidRPr="11C55A92">
        <w:rPr>
          <w:rFonts w:eastAsia="Gill Sans" w:cs="Gill Sans"/>
        </w:rPr>
        <w:t>ese issues may have contributed to</w:t>
      </w:r>
      <w:r w:rsidRPr="11C55A92">
        <w:rPr>
          <w:rFonts w:eastAsia="Gill Sans" w:cs="Gill Sans"/>
        </w:rPr>
        <w:t xml:space="preserve"> </w:t>
      </w:r>
      <w:r w:rsidR="00D04D37" w:rsidRPr="11C55A92">
        <w:rPr>
          <w:rFonts w:eastAsia="Gill Sans" w:cs="Gill Sans"/>
        </w:rPr>
        <w:t xml:space="preserve">the evolution of </w:t>
      </w:r>
      <w:r w:rsidR="00BA32FA" w:rsidRPr="11C55A92">
        <w:rPr>
          <w:rFonts w:eastAsia="Gill Sans" w:cs="Gill Sans"/>
        </w:rPr>
        <w:t>service</w:t>
      </w:r>
      <w:r w:rsidRPr="11C55A92">
        <w:rPr>
          <w:rFonts w:eastAsia="Gill Sans" w:cs="Gill Sans"/>
        </w:rPr>
        <w:t xml:space="preserve"> approaches described by participants. The </w:t>
      </w:r>
      <w:r w:rsidR="002C60DE" w:rsidRPr="11C55A92">
        <w:rPr>
          <w:rFonts w:eastAsia="Gill Sans" w:cs="Gill Sans"/>
        </w:rPr>
        <w:t>move</w:t>
      </w:r>
      <w:r w:rsidR="00742D56" w:rsidRPr="11C55A92">
        <w:rPr>
          <w:rFonts w:eastAsia="Gill Sans" w:cs="Gill Sans"/>
        </w:rPr>
        <w:t xml:space="preserve"> towards a social model of disability, while welcome, </w:t>
      </w:r>
      <w:r w:rsidR="00F77A91" w:rsidRPr="11C55A92">
        <w:rPr>
          <w:rFonts w:eastAsia="Gill Sans" w:cs="Gill Sans"/>
        </w:rPr>
        <w:t xml:space="preserve">saw a concomitant move away from </w:t>
      </w:r>
      <w:r w:rsidR="004C019A" w:rsidRPr="11C55A92">
        <w:rPr>
          <w:rFonts w:eastAsia="Gill Sans" w:cs="Gill Sans"/>
        </w:rPr>
        <w:t xml:space="preserve">the </w:t>
      </w:r>
      <w:r w:rsidR="00F77A91" w:rsidRPr="11C55A92">
        <w:rPr>
          <w:rFonts w:eastAsia="Gill Sans" w:cs="Gill Sans"/>
        </w:rPr>
        <w:t>health</w:t>
      </w:r>
      <w:r w:rsidR="004C019A" w:rsidRPr="11C55A92">
        <w:rPr>
          <w:rFonts w:eastAsia="Gill Sans" w:cs="Gill Sans"/>
        </w:rPr>
        <w:t>-oriented perspectives that had historically predominated service provision</w:t>
      </w:r>
      <w:r w:rsidR="0060751E" w:rsidRPr="11C55A92">
        <w:rPr>
          <w:rFonts w:eastAsia="Gill Sans" w:cs="Gill Sans"/>
        </w:rPr>
        <w:t xml:space="preserve">, </w:t>
      </w:r>
      <w:r w:rsidR="00EC385F" w:rsidRPr="11C55A92">
        <w:rPr>
          <w:rFonts w:eastAsia="Gill Sans" w:cs="Gill Sans"/>
        </w:rPr>
        <w:t xml:space="preserve">something manifested in the </w:t>
      </w:r>
      <w:r w:rsidR="00935FB6" w:rsidRPr="11C55A92">
        <w:rPr>
          <w:rFonts w:eastAsia="Gill Sans" w:cs="Gill Sans"/>
        </w:rPr>
        <w:t xml:space="preserve">policy on decongregation </w:t>
      </w:r>
      <w:r w:rsidRPr="11C55A92">
        <w:rPr>
          <w:rFonts w:eastAsia="Gill Sans" w:cs="Gill Sans"/>
        </w:rPr>
        <w:fldChar w:fldCharType="begin"/>
      </w:r>
      <w:r w:rsidR="00AD24C0">
        <w:rPr>
          <w:rFonts w:eastAsia="Gill Sans" w:cs="Gill Sans"/>
        </w:rPr>
        <w:instrText xml:space="preserve"> ADDIN EN.CITE &lt;EndNote&gt;&lt;Cite&gt;&lt;Author&gt;HSE&lt;/Author&gt;&lt;Year&gt;2011&lt;/Year&gt;&lt;RecNum&gt;482&lt;/RecNum&gt;&lt;DisplayText&gt;(HSE, 2011)&lt;/DisplayText&gt;&lt;record&gt;&lt;rec-number&gt;482&lt;/rec-number&gt;&lt;foreign-keys&gt;&lt;key app="EN" db-id="xtwfdzde5ttr0zevxrh5sf0c2wfzw5zf2vra" timestamp="1646829731" guid="5c1be10c-e081-4c41-989a-cd8997c335da"&gt;482&lt;/key&gt;&lt;/foreign-keys&gt;&lt;ref-type name="Report"&gt;27&lt;/ref-type&gt;&lt;contributors&gt;&lt;authors&gt;&lt;author&gt;HSE, &lt;/author&gt;&lt;/authors&gt;&lt;/contributors&gt;&lt;titles&gt;&lt;title&gt;Time to Move on from Congregated Settings, A strategy for Community Inclusion&lt;/title&gt;&lt;/titles&gt;&lt;dates&gt;&lt;year&gt;2011&lt;/year&gt;&lt;pub-dates&gt;&lt;date&gt;June&lt;/date&gt;&lt;/pub-dates&gt;&lt;/dates&gt;&lt;pub-location&gt;Dublin&lt;/pub-location&gt;&lt;publisher&gt;Health Service Executive&lt;/publisher&gt;&lt;urls&gt;&lt;/urls&gt;&lt;/record&gt;&lt;/Cite&gt;&lt;/EndNote&gt;</w:instrText>
      </w:r>
      <w:r w:rsidRPr="11C55A92">
        <w:rPr>
          <w:rFonts w:eastAsia="Gill Sans" w:cs="Gill Sans"/>
        </w:rPr>
        <w:fldChar w:fldCharType="separate"/>
      </w:r>
      <w:r w:rsidR="00A925F1" w:rsidRPr="11C55A92">
        <w:rPr>
          <w:rFonts w:eastAsia="Gill Sans" w:cs="Gill Sans"/>
          <w:noProof/>
        </w:rPr>
        <w:t>(HSE, 2011)</w:t>
      </w:r>
      <w:r w:rsidRPr="11C55A92">
        <w:rPr>
          <w:rFonts w:eastAsia="Gill Sans" w:cs="Gill Sans"/>
        </w:rPr>
        <w:fldChar w:fldCharType="end"/>
      </w:r>
      <w:r w:rsidR="00A925F1" w:rsidRPr="11C55A92">
        <w:rPr>
          <w:rFonts w:eastAsia="Gill Sans" w:cs="Gill Sans"/>
        </w:rPr>
        <w:t xml:space="preserve"> </w:t>
      </w:r>
      <w:r w:rsidR="00070183" w:rsidRPr="11C55A92">
        <w:rPr>
          <w:rFonts w:eastAsia="Gill Sans" w:cs="Gill Sans"/>
        </w:rPr>
        <w:t xml:space="preserve">which </w:t>
      </w:r>
      <w:r w:rsidR="00116C50" w:rsidRPr="11C55A92">
        <w:rPr>
          <w:rFonts w:eastAsia="Gill Sans" w:cs="Gill Sans"/>
        </w:rPr>
        <w:t xml:space="preserve">saw the </w:t>
      </w:r>
      <w:r w:rsidR="00ED546C" w:rsidRPr="11C55A92">
        <w:rPr>
          <w:rFonts w:eastAsia="Gill Sans" w:cs="Gill Sans"/>
        </w:rPr>
        <w:t xml:space="preserve">flourishing of community-based </w:t>
      </w:r>
      <w:r w:rsidR="00FE4436" w:rsidRPr="11C55A92">
        <w:rPr>
          <w:rFonts w:eastAsia="Gill Sans" w:cs="Gill Sans"/>
        </w:rPr>
        <w:t xml:space="preserve">accommodation provided largely by </w:t>
      </w:r>
      <w:r w:rsidR="00ED546C" w:rsidRPr="11C55A92">
        <w:rPr>
          <w:rFonts w:eastAsia="Gill Sans" w:cs="Gill Sans"/>
        </w:rPr>
        <w:t xml:space="preserve">social care </w:t>
      </w:r>
      <w:r w:rsidR="00FE4436" w:rsidRPr="11C55A92">
        <w:rPr>
          <w:rFonts w:eastAsia="Gill Sans" w:cs="Gill Sans"/>
        </w:rPr>
        <w:t>staff</w:t>
      </w:r>
      <w:r w:rsidR="7669AB8A" w:rsidRPr="11C55A92">
        <w:rPr>
          <w:rFonts w:eastAsia="Gill Sans" w:cs="Gill Sans"/>
        </w:rPr>
        <w:t xml:space="preserve"> with the assumption</w:t>
      </w:r>
      <w:r w:rsidR="652C4B47" w:rsidRPr="11C55A92">
        <w:rPr>
          <w:rFonts w:eastAsia="Gill Sans" w:cs="Gill Sans"/>
        </w:rPr>
        <w:t>,</w:t>
      </w:r>
      <w:r w:rsidR="7669AB8A" w:rsidRPr="11C55A92">
        <w:rPr>
          <w:rFonts w:eastAsia="Gill Sans" w:cs="Gill Sans"/>
        </w:rPr>
        <w:t xml:space="preserve"> </w:t>
      </w:r>
      <w:r w:rsidR="3A41080B" w:rsidRPr="11C55A92">
        <w:rPr>
          <w:rFonts w:eastAsia="Gill Sans" w:cs="Gill Sans"/>
        </w:rPr>
        <w:t>as in other countries</w:t>
      </w:r>
      <w:r w:rsidR="46358BCF" w:rsidRPr="11C55A92">
        <w:rPr>
          <w:rFonts w:eastAsia="Gill Sans" w:cs="Gill Sans"/>
        </w:rPr>
        <w:t>,</w:t>
      </w:r>
      <w:r w:rsidR="3A41080B" w:rsidRPr="11C55A92">
        <w:rPr>
          <w:rFonts w:eastAsia="Gill Sans" w:cs="Gill Sans"/>
        </w:rPr>
        <w:t xml:space="preserve"> </w:t>
      </w:r>
      <w:r w:rsidR="7669AB8A" w:rsidRPr="11C55A92">
        <w:rPr>
          <w:rFonts w:eastAsia="Gill Sans" w:cs="Gill Sans"/>
        </w:rPr>
        <w:t>that healthcare services in the community would be accessed similar to the general popu</w:t>
      </w:r>
      <w:r w:rsidR="2E739D3D" w:rsidRPr="11C55A92">
        <w:rPr>
          <w:rFonts w:eastAsia="Gill Sans" w:cs="Gill Sans"/>
        </w:rPr>
        <w:t>l</w:t>
      </w:r>
      <w:r w:rsidR="7669AB8A" w:rsidRPr="11C55A92">
        <w:rPr>
          <w:rFonts w:eastAsia="Gill Sans" w:cs="Gill Sans"/>
        </w:rPr>
        <w:t>ation</w:t>
      </w:r>
      <w:r w:rsidR="5F21CDC4" w:rsidRPr="11C55A92">
        <w:rPr>
          <w:rFonts w:eastAsia="Gill Sans" w:cs="Gill Sans"/>
        </w:rPr>
        <w:t xml:space="preserve"> </w:t>
      </w:r>
      <w:r w:rsidRPr="11C55A92">
        <w:rPr>
          <w:rFonts w:eastAsia="Gill Sans" w:cs="Gill Sans"/>
        </w:rPr>
        <w:fldChar w:fldCharType="begin"/>
      </w:r>
      <w:r w:rsidRPr="11C55A92">
        <w:rPr>
          <w:rFonts w:eastAsia="Gill Sans" w:cs="Gill Sans"/>
        </w:rPr>
        <w:instrText xml:space="preserve"> ADDIN EN.CITE &lt;EndNote&gt;&lt;Cite&gt;&lt;Author&gt;McCallion&lt;/Author&gt;&lt;Year&gt;2017&lt;/Year&gt;&lt;RecNum&gt;602&lt;/RecNum&gt;&lt;DisplayText&gt;(McCallion et al., 2017)&lt;/DisplayText&gt;&lt;record&gt;&lt;rec-number&gt;602&lt;/rec-number&gt;&lt;foreign-keys&gt;&lt;key app="EN" db-id="xtwfdzde5ttr0zevxrh5sf0c2wfzw5zf2vra" timestamp="1652715148" guid="18830738-8df3-434c-817a-3664897ae55f"&gt;602&lt;/key&gt;&lt;/foreign-keys&gt;&lt;ref-type name="Journal Article"&gt;17&lt;/ref-type&gt;&lt;contributors&gt;&lt;authors&gt;&lt;author&gt;McCallion, Philip&lt;/author&gt;&lt;author&gt;Hogan, Mary&lt;/author&gt;&lt;author&gt;Santos, Flavia H&lt;/author&gt;&lt;author&gt;McCarron, Mary&lt;/author&gt;&lt;author&gt;Service, Kathryn&lt;/author&gt;&lt;author&gt;Stemp, Sandy&lt;/author&gt;&lt;author&gt;Keller, Seth&lt;/author&gt;&lt;author&gt;Fortea, Juan&lt;/author&gt;&lt;author&gt;Bishop, Kathleen&lt;/author&gt;&lt;author&gt;Watchman, Karen&lt;/author&gt;&lt;/authors&gt;&lt;/contributors&gt;&lt;titles&gt;&lt;title&gt;Consensus statement of the International Summit on Intellectual Disability and Dementia related to end</w:instrText>
      </w:r>
      <w:r w:rsidRPr="11C55A92">
        <w:rPr>
          <w:rFonts w:ascii="Cambria Math" w:eastAsia="Gill Sans" w:hAnsi="Cambria Math" w:cs="Cambria Math"/>
        </w:rPr>
        <w:instrText>‐</w:instrText>
      </w:r>
      <w:r w:rsidRPr="11C55A92">
        <w:rPr>
          <w:rFonts w:eastAsia="Gill Sans" w:cs="Gill Sans"/>
        </w:rPr>
        <w:instrText>of</w:instrText>
      </w:r>
      <w:r w:rsidRPr="11C55A92">
        <w:rPr>
          <w:rFonts w:ascii="Cambria Math" w:eastAsia="Gill Sans" w:hAnsi="Cambria Math" w:cs="Cambria Math"/>
        </w:rPr>
        <w:instrText>‐</w:instrText>
      </w:r>
      <w:r w:rsidRPr="11C55A92">
        <w:rPr>
          <w:rFonts w:eastAsia="Gill Sans" w:cs="Gill Sans"/>
        </w:rPr>
        <w:instrText>life care in advanced dementia&lt;/title&gt;&lt;secondary-title&gt;Journal of Applied Research in Intellectual Disabilities&lt;/secondary-title&gt;&lt;/titles&gt;&lt;periodical&gt;&lt;full-title&gt;Journal of Applied Research in Intellectual Disabilities&lt;/full-title&gt;&lt;/periodical&gt;&lt;pages&gt;1160-1164&lt;/pages&gt;&lt;volume&gt;30&lt;/volume&gt;&lt;number&gt;6&lt;/number&gt;&lt;dates&gt;&lt;year&gt;2017&lt;/year&gt;&lt;/dates&gt;&lt;isbn&gt;1360-2322&lt;/isbn&gt;&lt;urls&gt;&lt;/urls&gt;&lt;/record&gt;&lt;/Cite&gt;&lt;/EndNote&gt;</w:instrText>
      </w:r>
      <w:r w:rsidRPr="11C55A92">
        <w:rPr>
          <w:rFonts w:eastAsia="Gill Sans" w:cs="Gill Sans"/>
        </w:rPr>
        <w:fldChar w:fldCharType="separate"/>
      </w:r>
      <w:r w:rsidR="0022394A" w:rsidRPr="11C55A92">
        <w:rPr>
          <w:rFonts w:eastAsia="Gill Sans" w:cs="Gill Sans"/>
          <w:noProof/>
        </w:rPr>
        <w:t>(McCallion et al., 2017)</w:t>
      </w:r>
      <w:r w:rsidRPr="11C55A92">
        <w:rPr>
          <w:rFonts w:eastAsia="Gill Sans" w:cs="Gill Sans"/>
        </w:rPr>
        <w:fldChar w:fldCharType="end"/>
      </w:r>
      <w:r w:rsidR="00FE4436" w:rsidRPr="11C55A92">
        <w:rPr>
          <w:rFonts w:eastAsia="Gill Sans" w:cs="Gill Sans"/>
        </w:rPr>
        <w:t xml:space="preserve">. </w:t>
      </w:r>
      <w:r w:rsidR="00011F8B" w:rsidRPr="11C55A92">
        <w:rPr>
          <w:rFonts w:eastAsia="Gill Sans" w:cs="Gill Sans"/>
        </w:rPr>
        <w:t>T</w:t>
      </w:r>
      <w:r w:rsidR="0043113F" w:rsidRPr="11C55A92">
        <w:rPr>
          <w:rFonts w:eastAsia="Gill Sans" w:cs="Gill Sans"/>
        </w:rPr>
        <w:t>h</w:t>
      </w:r>
      <w:r w:rsidR="00BA57F8" w:rsidRPr="11C55A92">
        <w:rPr>
          <w:rFonts w:eastAsia="Gill Sans" w:cs="Gill Sans"/>
        </w:rPr>
        <w:t xml:space="preserve">e roll-out of </w:t>
      </w:r>
      <w:r w:rsidR="00E06AB1" w:rsidRPr="11C55A92">
        <w:rPr>
          <w:rFonts w:eastAsia="Gill Sans" w:cs="Gill Sans"/>
        </w:rPr>
        <w:t xml:space="preserve">such settings </w:t>
      </w:r>
      <w:r w:rsidR="00D178D1" w:rsidRPr="11C55A92">
        <w:rPr>
          <w:rFonts w:eastAsia="Gill Sans" w:cs="Gill Sans"/>
        </w:rPr>
        <w:t>has, however, occurred</w:t>
      </w:r>
      <w:r w:rsidR="2B5274D8" w:rsidRPr="11C55A92">
        <w:rPr>
          <w:rFonts w:eastAsia="Gill Sans" w:cs="Gill Sans"/>
        </w:rPr>
        <w:t xml:space="preserve"> in the absence of comprehensive, </w:t>
      </w:r>
      <w:r w:rsidR="34BD9BF4" w:rsidRPr="11C55A92">
        <w:rPr>
          <w:rFonts w:eastAsia="Gill Sans" w:cs="Gill Sans"/>
        </w:rPr>
        <w:t>quality community</w:t>
      </w:r>
      <w:r w:rsidR="504BFE9B" w:rsidRPr="11C55A92">
        <w:rPr>
          <w:rFonts w:eastAsia="Gill Sans" w:cs="Gill Sans"/>
        </w:rPr>
        <w:t>-</w:t>
      </w:r>
      <w:r w:rsidR="34BD9BF4" w:rsidRPr="11C55A92">
        <w:rPr>
          <w:rFonts w:eastAsia="Gill Sans" w:cs="Gill Sans"/>
        </w:rPr>
        <w:t xml:space="preserve">based healthcare and </w:t>
      </w:r>
      <w:r w:rsidR="00D178D1" w:rsidRPr="11C55A92">
        <w:rPr>
          <w:rFonts w:eastAsia="Gill Sans" w:cs="Gill Sans"/>
        </w:rPr>
        <w:t xml:space="preserve">at </w:t>
      </w:r>
      <w:r w:rsidR="3D78A8CD" w:rsidRPr="11C55A92">
        <w:rPr>
          <w:rFonts w:eastAsia="Gill Sans" w:cs="Gill Sans"/>
        </w:rPr>
        <w:t xml:space="preserve">a </w:t>
      </w:r>
      <w:r w:rsidR="00D178D1" w:rsidRPr="11C55A92">
        <w:rPr>
          <w:rFonts w:eastAsia="Gill Sans" w:cs="Gill Sans"/>
        </w:rPr>
        <w:t>time when ageing demographics have changed</w:t>
      </w:r>
      <w:r w:rsidR="004F5C3D" w:rsidRPr="11C55A92">
        <w:rPr>
          <w:rFonts w:eastAsia="Gill Sans" w:cs="Gill Sans"/>
        </w:rPr>
        <w:t>,</w:t>
      </w:r>
      <w:r w:rsidR="00AE45B0" w:rsidRPr="11C55A92">
        <w:rPr>
          <w:rFonts w:eastAsia="Gill Sans" w:cs="Gill Sans"/>
        </w:rPr>
        <w:t xml:space="preserve"> and </w:t>
      </w:r>
      <w:r w:rsidR="0A07E9FE" w:rsidRPr="11C55A92">
        <w:rPr>
          <w:rFonts w:eastAsia="Gill Sans" w:cs="Gill Sans"/>
        </w:rPr>
        <w:t xml:space="preserve">health </w:t>
      </w:r>
      <w:r w:rsidR="00AE45B0" w:rsidRPr="11C55A92">
        <w:rPr>
          <w:rFonts w:eastAsia="Gill Sans" w:cs="Gill Sans"/>
        </w:rPr>
        <w:t xml:space="preserve">complexity </w:t>
      </w:r>
      <w:r w:rsidR="22BE5C37" w:rsidRPr="11C55A92">
        <w:rPr>
          <w:rFonts w:eastAsia="Gill Sans" w:cs="Gill Sans"/>
        </w:rPr>
        <w:t xml:space="preserve">in particular </w:t>
      </w:r>
      <w:r w:rsidR="00AE45B0" w:rsidRPr="11C55A92">
        <w:rPr>
          <w:rFonts w:eastAsia="Gill Sans" w:cs="Gill Sans"/>
        </w:rPr>
        <w:t xml:space="preserve">has increased. The commitment to the social model </w:t>
      </w:r>
      <w:r w:rsidR="1D80E565" w:rsidRPr="11C55A92">
        <w:rPr>
          <w:rFonts w:eastAsia="Gill Sans" w:cs="Gill Sans"/>
        </w:rPr>
        <w:t xml:space="preserve">without </w:t>
      </w:r>
      <w:r w:rsidR="00B03B94" w:rsidRPr="11C55A92">
        <w:rPr>
          <w:rFonts w:eastAsia="Gill Sans" w:cs="Gill Sans"/>
        </w:rPr>
        <w:t>required</w:t>
      </w:r>
      <w:r w:rsidR="1D80E565" w:rsidRPr="11C55A92">
        <w:rPr>
          <w:rFonts w:eastAsia="Gill Sans" w:cs="Gill Sans"/>
        </w:rPr>
        <w:t xml:space="preserve"> levels of community d</w:t>
      </w:r>
      <w:r w:rsidR="2568ADF5" w:rsidRPr="11C55A92">
        <w:rPr>
          <w:rFonts w:eastAsia="Gill Sans" w:cs="Gill Sans"/>
        </w:rPr>
        <w:t>el</w:t>
      </w:r>
      <w:r w:rsidR="1D80E565" w:rsidRPr="11C55A92">
        <w:rPr>
          <w:rFonts w:eastAsia="Gill Sans" w:cs="Gill Sans"/>
        </w:rPr>
        <w:t>ivered healthcare</w:t>
      </w:r>
      <w:r w:rsidR="53EDF00C" w:rsidRPr="7F45FF05">
        <w:rPr>
          <w:rFonts w:eastAsia="Gill Sans" w:cs="Gill Sans"/>
        </w:rPr>
        <w:t>, as obligated by the UNCRPD,</w:t>
      </w:r>
      <w:r w:rsidR="1D80E565" w:rsidRPr="11C55A92">
        <w:rPr>
          <w:rFonts w:eastAsia="Gill Sans" w:cs="Gill Sans"/>
        </w:rPr>
        <w:t xml:space="preserve"> </w:t>
      </w:r>
      <w:r w:rsidR="00403D89" w:rsidRPr="11C55A92">
        <w:rPr>
          <w:rFonts w:eastAsia="Gill Sans" w:cs="Gill Sans"/>
        </w:rPr>
        <w:t xml:space="preserve">has </w:t>
      </w:r>
      <w:r w:rsidR="004F5C3D" w:rsidRPr="11C55A92">
        <w:rPr>
          <w:rFonts w:eastAsia="Gill Sans" w:cs="Gill Sans"/>
        </w:rPr>
        <w:t xml:space="preserve">resulted in </w:t>
      </w:r>
      <w:r w:rsidR="009E66C2" w:rsidRPr="11C55A92">
        <w:rPr>
          <w:rFonts w:eastAsia="Gill Sans" w:cs="Gill Sans"/>
        </w:rPr>
        <w:t>a</w:t>
      </w:r>
      <w:r w:rsidR="00C440F7" w:rsidRPr="11C55A92">
        <w:rPr>
          <w:rFonts w:eastAsia="Gill Sans" w:cs="Gill Sans"/>
        </w:rPr>
        <w:t xml:space="preserve"> </w:t>
      </w:r>
      <w:r w:rsidR="004F5C3D" w:rsidRPr="11C55A92">
        <w:rPr>
          <w:rFonts w:eastAsia="Gill Sans" w:cs="Gill Sans"/>
        </w:rPr>
        <w:t>dilemma</w:t>
      </w:r>
      <w:r w:rsidR="009E66C2" w:rsidRPr="11C55A92">
        <w:rPr>
          <w:rFonts w:eastAsia="Gill Sans" w:cs="Gill Sans"/>
        </w:rPr>
        <w:t xml:space="preserve"> </w:t>
      </w:r>
      <w:r w:rsidR="004F5C3D" w:rsidRPr="11C55A92">
        <w:rPr>
          <w:rFonts w:eastAsia="Gill Sans" w:cs="Gill Sans"/>
        </w:rPr>
        <w:t xml:space="preserve">as to </w:t>
      </w:r>
      <w:r w:rsidR="0029224F" w:rsidRPr="11C55A92">
        <w:rPr>
          <w:rFonts w:eastAsia="Gill Sans" w:cs="Gill Sans"/>
        </w:rPr>
        <w:t xml:space="preserve">whether </w:t>
      </w:r>
      <w:r w:rsidR="000730D1" w:rsidRPr="11C55A92">
        <w:rPr>
          <w:rFonts w:eastAsia="Gill Sans" w:cs="Gill Sans"/>
        </w:rPr>
        <w:t>older adults with developing complexity can</w:t>
      </w:r>
      <w:r w:rsidR="009E66C2" w:rsidRPr="11C55A92">
        <w:rPr>
          <w:rFonts w:eastAsia="Gill Sans" w:cs="Gill Sans"/>
        </w:rPr>
        <w:t xml:space="preserve"> or should</w:t>
      </w:r>
      <w:r w:rsidR="000730D1" w:rsidRPr="11C55A92">
        <w:rPr>
          <w:rFonts w:eastAsia="Gill Sans" w:cs="Gill Sans"/>
        </w:rPr>
        <w:t xml:space="preserve"> be </w:t>
      </w:r>
      <w:r w:rsidR="009E66C2" w:rsidRPr="11C55A92">
        <w:rPr>
          <w:rFonts w:eastAsia="Gill Sans" w:cs="Gill Sans"/>
        </w:rPr>
        <w:t>remain</w:t>
      </w:r>
      <w:r w:rsidR="00275B3D" w:rsidRPr="11C55A92">
        <w:rPr>
          <w:rFonts w:eastAsia="Gill Sans" w:cs="Gill Sans"/>
        </w:rPr>
        <w:t xml:space="preserve"> in </w:t>
      </w:r>
      <w:r w:rsidR="009E66C2" w:rsidRPr="11C55A92">
        <w:rPr>
          <w:rFonts w:eastAsia="Gill Sans" w:cs="Gill Sans"/>
        </w:rPr>
        <w:t xml:space="preserve">settings </w:t>
      </w:r>
      <w:r w:rsidR="002A07E1" w:rsidRPr="11C55A92">
        <w:rPr>
          <w:rFonts w:eastAsia="Gill Sans" w:cs="Gill Sans"/>
        </w:rPr>
        <w:t xml:space="preserve">that no longer have health personnel. </w:t>
      </w:r>
      <w:r w:rsidR="003C7996">
        <w:t xml:space="preserve">The prioritisation of social inclusion and decongregation </w:t>
      </w:r>
      <w:r w:rsidR="0FE84671">
        <w:t>may</w:t>
      </w:r>
      <w:r w:rsidR="003C7996">
        <w:t xml:space="preserve"> have </w:t>
      </w:r>
      <w:r w:rsidR="69EDA22D">
        <w:t xml:space="preserve">also </w:t>
      </w:r>
      <w:r w:rsidR="003C7996">
        <w:t xml:space="preserve">led to the reduction of residential places within intellectual disability services thereby inadvertently increasing the transition of people with developing complex needs into </w:t>
      </w:r>
      <w:r w:rsidR="710147D5">
        <w:t xml:space="preserve">other </w:t>
      </w:r>
      <w:r w:rsidR="003C7996">
        <w:t xml:space="preserve">long-term care </w:t>
      </w:r>
      <w:r>
        <w:fldChar w:fldCharType="begin"/>
      </w:r>
      <w:r>
        <w:instrText xml:space="preserve"> ADDIN EN.CITE &lt;EndNote&gt;&lt;Cite&gt;&lt;Author&gt;Egan&lt;/Author&gt;&lt;Year&gt;2022&lt;/Year&gt;&lt;RecNum&gt;339&lt;/RecNum&gt;&lt;DisplayText&gt;(Egan et al., 2022)&lt;/DisplayText&gt;&lt;record&gt;&lt;rec-number&gt;339&lt;/rec-number&gt;&lt;foreign-keys&gt;&lt;key app="EN" db-id="xtwfdzde5ttr0zevxrh5sf0c2wfzw5zf2vra" timestamp="1643290955" guid="478640a9-ada5-4ce8-8d71-5570ffce4a90"&gt;339&lt;/key&gt;&lt;/foreign-keys&gt;&lt;ref-type name="Journal Article"&gt;17&lt;/ref-type&gt;&lt;contributors&gt;&lt;authors&gt;&lt;author&gt;Egan, Caroline&lt;/author&gt;&lt;author&gt;Mulcahy, Helen&lt;/author&gt;&lt;author&gt;Naughton, Corina&lt;/author&gt;&lt;/authors&gt;&lt;/contributors&gt;&lt;titles&gt;&lt;title&gt;Transitioning to long-term care for older adults with intellectual disabilities: A concept analysis&lt;/title&gt;&lt;secondary-title&gt;Journal of Intellectual Disabilities&lt;/secondary-title&gt;&lt;short-title&gt;Transitioning to long-term care for older adults with intellectual disabilities: A concept analysis&lt;/short-title&gt;&lt;/titles&gt;&lt;periodical&gt;&lt;full-title&gt;Journal of Intellectual Disabilities&lt;/full-title&gt;&lt;/periodical&gt;&lt;pages&gt;1015-1032&lt;/pages&gt;&lt;volume&gt;26&lt;/volume&gt;&lt;number&gt;4&lt;/number&gt;&lt;dates&gt;&lt;year&gt;2022&lt;/year&gt;&lt;/dates&gt;&lt;urls&gt;&lt;/urls&gt;&lt;electronic-resource-num&gt;10.1177/17446295211041839&lt;/electronic-resource-num&gt;&lt;/record&gt;&lt;/Cite&gt;&lt;/EndNote&gt;</w:instrText>
      </w:r>
      <w:r>
        <w:fldChar w:fldCharType="separate"/>
      </w:r>
      <w:r w:rsidR="00774C73" w:rsidRPr="11C55A92">
        <w:rPr>
          <w:noProof/>
        </w:rPr>
        <w:t>(Egan et al., 2022)</w:t>
      </w:r>
      <w:r>
        <w:fldChar w:fldCharType="end"/>
      </w:r>
      <w:r w:rsidR="003C7996">
        <w:t xml:space="preserve">. </w:t>
      </w:r>
    </w:p>
    <w:p w14:paraId="7FF85C53" w14:textId="71DEB012" w:rsidR="2B821F06" w:rsidRDefault="5039A653" w:rsidP="2B821F06">
      <w:r w:rsidRPr="00EB4010">
        <w:t>The traditional distinction between the medical and the social model</w:t>
      </w:r>
      <w:r w:rsidR="61DA05FA" w:rsidRPr="00EB4010">
        <w:t xml:space="preserve">, discussed </w:t>
      </w:r>
      <w:r w:rsidR="55DF5F04" w:rsidRPr="00EB4010">
        <w:t>by the participants</w:t>
      </w:r>
      <w:r w:rsidR="74BF60CC" w:rsidRPr="00EB4010">
        <w:t>,</w:t>
      </w:r>
      <w:r w:rsidR="55DF5F04" w:rsidRPr="00EB4010">
        <w:t xml:space="preserve"> </w:t>
      </w:r>
      <w:r w:rsidR="00B897EB" w:rsidRPr="00EB4010">
        <w:t>may reflect an emphasis that has not served people with intellectual disabilities well</w:t>
      </w:r>
      <w:r w:rsidR="044A6552" w:rsidRPr="00EB4010">
        <w:t xml:space="preserve">. </w:t>
      </w:r>
      <w:r w:rsidR="629C720D" w:rsidRPr="00EB4010">
        <w:t xml:space="preserve">This emphasis focuses on the professions rather than </w:t>
      </w:r>
      <w:r w:rsidR="0F2A9927" w:rsidRPr="00EB4010">
        <w:t>on</w:t>
      </w:r>
      <w:r w:rsidR="629C720D" w:rsidRPr="00EB4010">
        <w:t xml:space="preserve"> the </w:t>
      </w:r>
      <w:r w:rsidR="6098CDA7">
        <w:t xml:space="preserve">individuals themselves and the </w:t>
      </w:r>
      <w:r w:rsidR="629C720D">
        <w:t xml:space="preserve">people </w:t>
      </w:r>
      <w:r w:rsidR="0FD22EDD">
        <w:t xml:space="preserve">(staff and family) </w:t>
      </w:r>
      <w:r w:rsidR="629C720D" w:rsidRPr="00EB4010">
        <w:t xml:space="preserve">who support the lives of people with intellectual disabilities and </w:t>
      </w:r>
      <w:r w:rsidR="488CA86D" w:rsidRPr="00EB4010">
        <w:t>on</w:t>
      </w:r>
      <w:r w:rsidR="629C720D" w:rsidRPr="00EB4010">
        <w:t xml:space="preserve"> the values </w:t>
      </w:r>
      <w:r w:rsidR="315208F5" w:rsidRPr="00EB4010">
        <w:t>that</w:t>
      </w:r>
      <w:r w:rsidR="629C720D" w:rsidRPr="00EB4010">
        <w:t xml:space="preserve"> underpin their support, namely person-centredness, ageing in place and self-determination. This has also diverted attention away from what has not yet been achieved in respect of decongregation, namely the challenges of accessing quality healthcare for people with intellectual disabilities as they age, on the same basis as the general population. </w:t>
      </w:r>
    </w:p>
    <w:p w14:paraId="24EE7B49" w14:textId="71B24485" w:rsidR="05B046BF" w:rsidRPr="006A65B8" w:rsidRDefault="79EE2DF8" w:rsidP="5416C8AD">
      <w:pPr>
        <w:rPr>
          <w:rFonts w:eastAsia="Gill Sans" w:cs="Gill Sans"/>
        </w:rPr>
      </w:pPr>
      <w:r w:rsidRPr="5FC44C77">
        <w:rPr>
          <w:rFonts w:eastAsia="Gill Sans" w:cs="Gill Sans"/>
        </w:rPr>
        <w:t>A</w:t>
      </w:r>
      <w:r w:rsidR="00856446" w:rsidRPr="5FC44C77">
        <w:rPr>
          <w:rFonts w:eastAsia="Gill Sans" w:cs="Gill Sans"/>
        </w:rPr>
        <w:t xml:space="preserve"> </w:t>
      </w:r>
      <w:r w:rsidR="41FEEE4A" w:rsidRPr="6A2F3BB9">
        <w:rPr>
          <w:rFonts w:eastAsia="Gill Sans" w:cs="Gill Sans"/>
        </w:rPr>
        <w:t xml:space="preserve">growing </w:t>
      </w:r>
      <w:r w:rsidR="00856446" w:rsidRPr="6A2F3BB9">
        <w:rPr>
          <w:rFonts w:eastAsia="Gill Sans" w:cs="Gill Sans"/>
        </w:rPr>
        <w:t>tendency</w:t>
      </w:r>
      <w:r w:rsidR="00856446" w:rsidRPr="5FC44C77">
        <w:rPr>
          <w:rFonts w:eastAsia="Gill Sans" w:cs="Gill Sans"/>
        </w:rPr>
        <w:t xml:space="preserve"> for older </w:t>
      </w:r>
      <w:r w:rsidR="00CA745A" w:rsidRPr="5FC44C77">
        <w:rPr>
          <w:rFonts w:eastAsia="Gill Sans" w:cs="Gill Sans"/>
        </w:rPr>
        <w:t xml:space="preserve">adults </w:t>
      </w:r>
      <w:r w:rsidR="7E2651F6" w:rsidRPr="5FC44C77">
        <w:rPr>
          <w:rFonts w:eastAsia="Gill Sans" w:cs="Gill Sans"/>
        </w:rPr>
        <w:t>with intell</w:t>
      </w:r>
      <w:r w:rsidR="4CF7A5EB" w:rsidRPr="5FC44C77">
        <w:rPr>
          <w:rFonts w:eastAsia="Gill Sans" w:cs="Gill Sans"/>
        </w:rPr>
        <w:t>e</w:t>
      </w:r>
      <w:r w:rsidR="7E2651F6" w:rsidRPr="5FC44C77">
        <w:rPr>
          <w:rFonts w:eastAsia="Gill Sans" w:cs="Gill Sans"/>
        </w:rPr>
        <w:t>ctual</w:t>
      </w:r>
      <w:r w:rsidR="6B139B37" w:rsidRPr="5FC44C77">
        <w:rPr>
          <w:rFonts w:eastAsia="Gill Sans" w:cs="Gill Sans"/>
        </w:rPr>
        <w:t xml:space="preserve"> disabilities</w:t>
      </w:r>
      <w:r w:rsidR="7E2651F6" w:rsidRPr="5FC44C77">
        <w:rPr>
          <w:rFonts w:eastAsia="Gill Sans" w:cs="Gill Sans"/>
        </w:rPr>
        <w:t xml:space="preserve"> </w:t>
      </w:r>
      <w:r w:rsidR="00CA745A" w:rsidRPr="5FC44C77">
        <w:rPr>
          <w:rFonts w:eastAsia="Gill Sans" w:cs="Gill Sans"/>
        </w:rPr>
        <w:t xml:space="preserve">to be moved </w:t>
      </w:r>
      <w:r w:rsidR="00AB7659" w:rsidRPr="5FC44C77">
        <w:rPr>
          <w:rFonts w:eastAsia="Gill Sans" w:cs="Gill Sans"/>
        </w:rPr>
        <w:t xml:space="preserve">to </w:t>
      </w:r>
      <w:r w:rsidR="25214702" w:rsidRPr="5FC44C77">
        <w:rPr>
          <w:rFonts w:eastAsia="Gill Sans" w:cs="Gill Sans"/>
        </w:rPr>
        <w:t xml:space="preserve">new </w:t>
      </w:r>
      <w:r w:rsidR="00AB7659" w:rsidRPr="5FC44C77">
        <w:rPr>
          <w:rFonts w:eastAsia="Gill Sans" w:cs="Gill Sans"/>
        </w:rPr>
        <w:t xml:space="preserve">congregated </w:t>
      </w:r>
      <w:r w:rsidR="003C7996" w:rsidRPr="5FC44C77">
        <w:rPr>
          <w:rFonts w:eastAsia="Gill Sans" w:cs="Gill Sans"/>
        </w:rPr>
        <w:t xml:space="preserve">settings </w:t>
      </w:r>
      <w:r w:rsidR="00CA745A" w:rsidRPr="5FC44C77">
        <w:rPr>
          <w:rFonts w:eastAsia="Gill Sans" w:cs="Gill Sans"/>
        </w:rPr>
        <w:t xml:space="preserve">has been highlighted by </w:t>
      </w:r>
      <w:r w:rsidR="00AB7659" w:rsidRPr="5FC44C77">
        <w:rPr>
          <w:rFonts w:eastAsia="Gill Sans" w:cs="Gill Sans"/>
        </w:rPr>
        <w:t>a number of authors</w:t>
      </w:r>
      <w:r w:rsidR="00B33C6A" w:rsidRPr="5FC44C77">
        <w:rPr>
          <w:rFonts w:eastAsia="Gill Sans" w:cs="Gill Sans"/>
        </w:rPr>
        <w:t xml:space="preserve"> </w:t>
      </w:r>
      <w:r w:rsidR="05B046BF" w:rsidRPr="5FC44C77">
        <w:rPr>
          <w:rFonts w:eastAsia="Gill Sans" w:cs="Gill Sans"/>
        </w:rPr>
        <w:fldChar w:fldCharType="begin"/>
      </w:r>
      <w:r w:rsidR="05B046BF" w:rsidRPr="5FC44C77">
        <w:rPr>
          <w:rFonts w:eastAsia="Gill Sans" w:cs="Gill Sans"/>
        </w:rPr>
        <w:instrText xml:space="preserve"> ADDIN EN.CITE &lt;EndNote&gt;&lt;Cite&gt;&lt;Author&gt;Taggart&lt;/Author&gt;&lt;Year&gt;2017&lt;/Year&gt;&lt;RecNum&gt;727&lt;/RecNum&gt;&lt;DisplayText&gt;(Todd et al., 2020; Taggart &amp;amp; Hanna-Trainor, 2017)&lt;/DisplayText&gt;&lt;record&gt;&lt;rec-number&gt;727&lt;/rec-number&gt;&lt;foreign-keys&gt;&lt;key app="EN" db-id="xtwfdzde5ttr0zevxrh5sf0c2wfzw5zf2vra" timestamp="1667386805" guid="4ee97f63-4d87-4be6-8dec-9b09ffa8146c"&gt;727&lt;/key&gt;&lt;/foreign-keys&gt;&lt;ref-type name="Report"&gt;27&lt;/ref-type&gt;&lt;contributors&gt;&lt;authors&gt;&lt;author&gt;Taggart, Laurence&lt;/author&gt;&lt;author&gt;Hanna-Trainor, Lisa&lt;/author&gt;&lt;/authors&gt;&lt;tertiary-authors&gt;&lt;author&gt;Unknown publisher&lt;/author&gt;&lt;/tertiary-authors&gt;&lt;/contributors&gt;&lt;titles&gt;&lt;title&gt;Supporting older adults with a learning disability and their ageing family carers: A family and community support model (FULL REPORT)&lt;/title&gt;&lt;/titles&gt;&lt;dates&gt;&lt;year&gt;2017&lt;/year&gt;&lt;/dates&gt;&lt;urls&gt;&lt;/urls&gt;&lt;/record&gt;&lt;/Cite&gt;&lt;Cite&gt;&lt;Author&gt;Todd&lt;/Author&gt;&lt;Year&gt;2020&lt;/Year&gt;&lt;RecNum&gt;726&lt;/RecNum&gt;&lt;record&gt;&lt;rec-number&gt;726&lt;/rec-number&gt;&lt;foreign-keys&gt;&lt;key app="EN" db-id="xtwfdzde5ttr0zevxrh5sf0c2wfzw5zf2vra" timestamp="1667386694" guid="a5cdb226-3275-4b13-8556-01f94426c08b"&gt;726&lt;/key&gt;&lt;/foreign-keys&gt;&lt;ref-type name="Journal Article"&gt;17&lt;/ref-type&gt;&lt;contributors&gt;&lt;authors&gt;&lt;author&gt;Todd, Stuart&lt;/author&gt;&lt;author&gt;Bernal, Jane&lt;/author&gt;&lt;author&gt;Shearn, Julia&lt;/author&gt;&lt;author&gt;Worth, Rhian&lt;/author&gt;&lt;author&gt;Jones, Edwin&lt;/author&gt;&lt;author&gt;Lowe, Kathy&lt;/author&gt;&lt;author&gt;Madden, Phil&lt;/author&gt;&lt;author&gt;Barr, Owen&lt;/author&gt;&lt;author&gt;Forrester Jones, Rachel&lt;/author&gt;&lt;author&gt;Jarvis, Paul&lt;/author&gt;&lt;/authors&gt;&lt;/contributors&gt;&lt;titles&gt;&lt;title&gt;Last months of life of people with intellectual disabilities: A UK population</w:instrText>
      </w:r>
      <w:r w:rsidR="05B046BF" w:rsidRPr="5FC44C77">
        <w:rPr>
          <w:rFonts w:ascii="Cambria Math" w:eastAsia="Gill Sans" w:hAnsi="Cambria Math" w:cs="Cambria Math"/>
        </w:rPr>
        <w:instrText>‐</w:instrText>
      </w:r>
      <w:r w:rsidR="05B046BF" w:rsidRPr="5FC44C77">
        <w:rPr>
          <w:rFonts w:eastAsia="Gill Sans" w:cs="Gill Sans"/>
        </w:rPr>
        <w:instrText>based study of death and dying in intellectual disability community services&lt;/title&gt;&lt;secondary-title&gt;Journal of Applied Research in Intellectual Disabilities&lt;/secondary-title&gt;&lt;/titles&gt;&lt;periodical&gt;&lt;full-title&gt;Journal of Applied Research in Intellectual Disabilities&lt;/full-title&gt;&lt;/periodical&gt;&lt;pages&gt;1245-1258&lt;/pages&gt;&lt;volume&gt;33&lt;/volume&gt;&lt;number&gt;6&lt;/number&gt;&lt;dates&gt;&lt;year&gt;2020&lt;/year&gt;&lt;/dates&gt;&lt;isbn&gt;1360-2322&lt;/isbn&gt;&lt;urls&gt;&lt;/urls&gt;&lt;/record&gt;&lt;/Cite&gt;&lt;/EndNote&gt;</w:instrText>
      </w:r>
      <w:r w:rsidR="05B046BF" w:rsidRPr="5FC44C77">
        <w:rPr>
          <w:rFonts w:eastAsia="Gill Sans" w:cs="Gill Sans"/>
        </w:rPr>
        <w:fldChar w:fldCharType="separate"/>
      </w:r>
      <w:r w:rsidR="00B33C6A" w:rsidRPr="5FC44C77">
        <w:rPr>
          <w:rFonts w:eastAsia="Gill Sans" w:cs="Gill Sans"/>
        </w:rPr>
        <w:t>(Todd et al., 2020; Taggart &amp; Hanna-Trainor, 2017)</w:t>
      </w:r>
      <w:r w:rsidR="05B046BF" w:rsidRPr="5FC44C77">
        <w:rPr>
          <w:rFonts w:eastAsia="Gill Sans" w:cs="Gill Sans"/>
        </w:rPr>
        <w:fldChar w:fldCharType="end"/>
      </w:r>
      <w:r w:rsidR="00464928" w:rsidRPr="5FC44C77">
        <w:rPr>
          <w:rFonts w:eastAsia="Gill Sans" w:cs="Gill Sans"/>
        </w:rPr>
        <w:t>.</w:t>
      </w:r>
      <w:r w:rsidR="00AB7659" w:rsidRPr="5FC44C77">
        <w:rPr>
          <w:rFonts w:eastAsia="Gill Sans" w:cs="Gill Sans"/>
        </w:rPr>
        <w:t xml:space="preserve"> In order to redress this, </w:t>
      </w:r>
      <w:r w:rsidR="002C6658" w:rsidRPr="5FC44C77">
        <w:rPr>
          <w:rFonts w:eastAsia="Gill Sans" w:cs="Gill Sans"/>
        </w:rPr>
        <w:t xml:space="preserve">many </w:t>
      </w:r>
      <w:r w:rsidR="00075BC6" w:rsidRPr="5FC44C77">
        <w:rPr>
          <w:rFonts w:eastAsia="Gill Sans" w:cs="Gill Sans"/>
        </w:rPr>
        <w:t>agencies</w:t>
      </w:r>
      <w:r w:rsidR="002C6658" w:rsidRPr="5FC44C77">
        <w:rPr>
          <w:rFonts w:eastAsia="Gill Sans" w:cs="Gill Sans"/>
        </w:rPr>
        <w:t xml:space="preserve"> have </w:t>
      </w:r>
      <w:r w:rsidR="05B046BF" w:rsidRPr="5FC44C77">
        <w:rPr>
          <w:rFonts w:eastAsia="Gill Sans" w:cs="Gill Sans"/>
        </w:rPr>
        <w:t xml:space="preserve">had to create their own aged-care pathways, </w:t>
      </w:r>
      <w:r w:rsidR="00AF0F8D" w:rsidRPr="5FC44C77">
        <w:rPr>
          <w:rFonts w:eastAsia="Gill Sans" w:cs="Gill Sans"/>
        </w:rPr>
        <w:t xml:space="preserve">bringing together </w:t>
      </w:r>
      <w:r w:rsidR="00E74F30" w:rsidRPr="5FC44C77">
        <w:rPr>
          <w:rFonts w:eastAsia="Gill Sans" w:cs="Gill Sans"/>
        </w:rPr>
        <w:t xml:space="preserve">various </w:t>
      </w:r>
      <w:r w:rsidR="00075BC6" w:rsidRPr="5FC44C77">
        <w:rPr>
          <w:rFonts w:eastAsia="Gill Sans" w:cs="Gill Sans"/>
        </w:rPr>
        <w:t xml:space="preserve">services and </w:t>
      </w:r>
      <w:r w:rsidR="00DC04DC" w:rsidRPr="5FC44C77">
        <w:rPr>
          <w:rFonts w:eastAsia="Gill Sans" w:cs="Gill Sans"/>
        </w:rPr>
        <w:t xml:space="preserve">creating </w:t>
      </w:r>
      <w:r w:rsidR="05B046BF" w:rsidRPr="5FC44C77">
        <w:rPr>
          <w:rFonts w:eastAsia="Gill Sans" w:cs="Gill Sans"/>
        </w:rPr>
        <w:t xml:space="preserve">informal networks to </w:t>
      </w:r>
      <w:r w:rsidR="346CB95B" w:rsidRPr="5FC44C77">
        <w:rPr>
          <w:rFonts w:eastAsia="Gill Sans" w:cs="Gill Sans"/>
        </w:rPr>
        <w:t xml:space="preserve">better </w:t>
      </w:r>
      <w:r w:rsidR="05B046BF" w:rsidRPr="5FC44C77">
        <w:rPr>
          <w:rFonts w:eastAsia="Gill Sans" w:cs="Gill Sans"/>
        </w:rPr>
        <w:t xml:space="preserve">access </w:t>
      </w:r>
      <w:r w:rsidR="00DC04DC" w:rsidRPr="5FC44C77">
        <w:rPr>
          <w:rFonts w:eastAsia="Gill Sans" w:cs="Gill Sans"/>
        </w:rPr>
        <w:t xml:space="preserve">mainstream </w:t>
      </w:r>
      <w:r w:rsidR="05B046BF" w:rsidRPr="5FC44C77">
        <w:rPr>
          <w:rFonts w:eastAsia="Gill Sans" w:cs="Gill Sans"/>
        </w:rPr>
        <w:t xml:space="preserve">health and social services. </w:t>
      </w:r>
      <w:r w:rsidR="00DC04DC" w:rsidRPr="5FC44C77">
        <w:rPr>
          <w:rFonts w:eastAsia="Gill Sans" w:cs="Gill Sans"/>
        </w:rPr>
        <w:t xml:space="preserve">It was noted, though, that </w:t>
      </w:r>
      <w:r w:rsidR="00CE51E2" w:rsidRPr="5FC44C77">
        <w:rPr>
          <w:rFonts w:eastAsia="Gill Sans" w:cs="Gill Sans"/>
        </w:rPr>
        <w:t xml:space="preserve">many of these </w:t>
      </w:r>
      <w:r w:rsidR="05B046BF" w:rsidRPr="5FC44C77">
        <w:rPr>
          <w:rFonts w:eastAsia="Gill Sans" w:cs="Gill Sans"/>
        </w:rPr>
        <w:t xml:space="preserve">networks </w:t>
      </w:r>
      <w:r w:rsidR="00917DEB" w:rsidRPr="5FC44C77">
        <w:rPr>
          <w:rFonts w:eastAsia="Gill Sans" w:cs="Gill Sans"/>
        </w:rPr>
        <w:t>were not built on</w:t>
      </w:r>
      <w:r w:rsidR="00D26033" w:rsidRPr="5FC44C77">
        <w:rPr>
          <w:rFonts w:eastAsia="Gill Sans" w:cs="Gill Sans"/>
        </w:rPr>
        <w:t xml:space="preserve"> </w:t>
      </w:r>
      <w:r w:rsidR="00852A10" w:rsidRPr="5FC44C77">
        <w:rPr>
          <w:rFonts w:eastAsia="Gill Sans" w:cs="Gill Sans"/>
        </w:rPr>
        <w:t xml:space="preserve">the </w:t>
      </w:r>
      <w:r w:rsidR="00D26033" w:rsidRPr="5FC44C77">
        <w:rPr>
          <w:rFonts w:eastAsia="Gill Sans" w:cs="Gill Sans"/>
        </w:rPr>
        <w:t xml:space="preserve">formalised </w:t>
      </w:r>
      <w:r w:rsidR="00917DEB" w:rsidRPr="5FC44C77">
        <w:rPr>
          <w:rFonts w:eastAsia="Gill Sans" w:cs="Gill Sans"/>
        </w:rPr>
        <w:t xml:space="preserve">relationships that </w:t>
      </w:r>
      <w:r w:rsidR="00852A10" w:rsidRPr="5FC44C77">
        <w:rPr>
          <w:rFonts w:eastAsia="Gill Sans" w:cs="Gill Sans"/>
        </w:rPr>
        <w:t xml:space="preserve">are recommended as </w:t>
      </w:r>
      <w:r w:rsidR="05B046BF" w:rsidRPr="5FC44C77">
        <w:rPr>
          <w:rFonts w:eastAsia="Gill Sans" w:cs="Gill Sans"/>
        </w:rPr>
        <w:t>part of an integrated service model</w:t>
      </w:r>
      <w:r w:rsidR="009A0B64" w:rsidRPr="5FC44C77">
        <w:rPr>
          <w:rFonts w:eastAsia="Gill Sans" w:cs="Gill Sans"/>
        </w:rPr>
        <w:t xml:space="preserve"> </w:t>
      </w:r>
      <w:r w:rsidR="05B046BF" w:rsidRPr="5FC44C77">
        <w:rPr>
          <w:rFonts w:eastAsia="Gill Sans" w:cs="Gill Sans"/>
        </w:rPr>
        <w:fldChar w:fldCharType="begin"/>
      </w:r>
      <w:r w:rsidR="00E03FFB">
        <w:rPr>
          <w:rFonts w:eastAsia="Gill Sans" w:cs="Gill Sans"/>
        </w:rPr>
        <w:instrText xml:space="preserve"> ADDIN EN.CITE &lt;EndNote&gt;&lt;Cite&gt;&lt;Author&gt;Sheerin&lt;/Author&gt;&lt;Year&gt;2021&lt;/Year&gt;&lt;RecNum&gt;658&lt;/RecNum&gt;&lt;DisplayText&gt;(Sheerin et al., 2021a)&lt;/DisplayText&gt;&lt;record&gt;&lt;rec-number&gt;658&lt;/rec-number&gt;&lt;foreign-keys&gt;&lt;key app="EN" db-id="xtwfdzde5ttr0zevxrh5sf0c2wfzw5zf2vra" timestamp="1657546608" guid="83298505-6f88-4222-b415-1a7ec538af8e"&gt;658&lt;/key&gt;&lt;/foreign-keys&gt;&lt;ref-type name="Unpublished Work"&gt;34&lt;/ref-type&gt;&lt;contributors&gt;&lt;authors&gt;&lt;author&gt;Sheerin, Fintan&lt;/author&gt;&lt;author&gt;Fleming, Sandra&lt;/author&gt;&lt;author&gt;Naseer, Amara&lt;/author&gt;&lt;author&gt;Foden, Eadaoin &lt;/author&gt;&lt;author&gt;McCallion, Philip&lt;/author&gt;&lt;author&gt;McCarron, Mary&lt;/author&gt;&lt;/authors&gt;&lt;/contributors&gt;&lt;titles&gt;&lt;title&gt;Care of Older Adults with Intellectual Disabilities and Complex Age-Related Conditions: A Systematic Review Final Report [Unpublished Manuscript]&lt;/title&gt;&lt;/titles&gt;&lt;dates&gt;&lt;year&gt;2021&lt;/year&gt;&lt;pub-dates&gt;&lt;date&gt;July&lt;/date&gt;&lt;/pub-dates&gt;&lt;/dates&gt;&lt;pub-location&gt;Dublin&lt;/pub-location&gt;&lt;publisher&gt;Trinity Centre for Ageing and Intellectual Disability&lt;/publisher&gt;&lt;urls&gt;&lt;/urls&gt;&lt;/record&gt;&lt;/Cite&gt;&lt;/EndNote&gt;</w:instrText>
      </w:r>
      <w:r w:rsidR="05B046BF" w:rsidRPr="5FC44C77">
        <w:rPr>
          <w:rFonts w:eastAsia="Gill Sans" w:cs="Gill Sans"/>
        </w:rPr>
        <w:fldChar w:fldCharType="separate"/>
      </w:r>
      <w:r w:rsidR="00E03FFB">
        <w:rPr>
          <w:rFonts w:eastAsia="Gill Sans" w:cs="Gill Sans"/>
          <w:noProof/>
        </w:rPr>
        <w:t>(Sheerin et al., 2021a)</w:t>
      </w:r>
      <w:r w:rsidR="05B046BF" w:rsidRPr="5FC44C77">
        <w:rPr>
          <w:rFonts w:eastAsia="Gill Sans" w:cs="Gill Sans"/>
        </w:rPr>
        <w:fldChar w:fldCharType="end"/>
      </w:r>
      <w:r w:rsidR="05B046BF" w:rsidRPr="5FC44C77">
        <w:rPr>
          <w:rFonts w:eastAsia="Gill Sans" w:cs="Gill Sans"/>
        </w:rPr>
        <w:t xml:space="preserve">. </w:t>
      </w:r>
      <w:r w:rsidR="4130BE8D" w:rsidRPr="5FC44C77">
        <w:rPr>
          <w:rFonts w:eastAsia="Gill Sans" w:cs="Gill Sans"/>
        </w:rPr>
        <w:t>There has also been recognition that there may be a need for the creation of new roles to support such networks and ensure that community</w:t>
      </w:r>
      <w:r w:rsidR="104FA36D" w:rsidRPr="2F2F80E4">
        <w:rPr>
          <w:rFonts w:eastAsia="Gill Sans" w:cs="Gill Sans"/>
        </w:rPr>
        <w:t>-</w:t>
      </w:r>
      <w:r w:rsidR="4130BE8D" w:rsidRPr="5FC44C77">
        <w:rPr>
          <w:rFonts w:eastAsia="Gill Sans" w:cs="Gill Sans"/>
        </w:rPr>
        <w:t xml:space="preserve">based </w:t>
      </w:r>
      <w:r w:rsidR="3C098FFD" w:rsidRPr="7F457B1A">
        <w:rPr>
          <w:rFonts w:eastAsia="Gill Sans" w:cs="Gill Sans"/>
        </w:rPr>
        <w:t>healthcare</w:t>
      </w:r>
      <w:r w:rsidR="4130BE8D" w:rsidRPr="5FC44C77">
        <w:rPr>
          <w:rFonts w:eastAsia="Gill Sans" w:cs="Gill Sans"/>
        </w:rPr>
        <w:t xml:space="preserve"> delivery for example in hospitals be supported through the creation of </w:t>
      </w:r>
      <w:r w:rsidR="5FF71C7F" w:rsidRPr="7F457B1A">
        <w:rPr>
          <w:rFonts w:eastAsia="Gill Sans" w:cs="Gill Sans"/>
        </w:rPr>
        <w:t>liaison</w:t>
      </w:r>
      <w:r w:rsidR="4130BE8D" w:rsidRPr="5FC44C77">
        <w:rPr>
          <w:rFonts w:eastAsia="Gill Sans" w:cs="Gill Sans"/>
        </w:rPr>
        <w:t xml:space="preserve"> and other </w:t>
      </w:r>
      <w:r w:rsidR="4130BE8D" w:rsidRPr="7181AABA">
        <w:rPr>
          <w:rFonts w:eastAsia="Gill Sans" w:cs="Gill Sans"/>
        </w:rPr>
        <w:t>speciali</w:t>
      </w:r>
      <w:r w:rsidR="1E2BBB68" w:rsidRPr="7181AABA">
        <w:rPr>
          <w:rFonts w:eastAsia="Gill Sans" w:cs="Gill Sans"/>
        </w:rPr>
        <w:t>s</w:t>
      </w:r>
      <w:r w:rsidR="4130BE8D" w:rsidRPr="7181AABA">
        <w:rPr>
          <w:rFonts w:eastAsia="Gill Sans" w:cs="Gill Sans"/>
        </w:rPr>
        <w:t>ed</w:t>
      </w:r>
      <w:r w:rsidR="4130BE8D" w:rsidRPr="5FC44C77">
        <w:rPr>
          <w:rFonts w:eastAsia="Gill Sans" w:cs="Gill Sans"/>
        </w:rPr>
        <w:t xml:space="preserve"> roles</w:t>
      </w:r>
      <w:r w:rsidR="05B80801" w:rsidRPr="5FC44C77">
        <w:rPr>
          <w:rFonts w:eastAsia="Gill Sans" w:cs="Gill Sans"/>
        </w:rPr>
        <w:t xml:space="preserve"> (McCarron et al., 2016)</w:t>
      </w:r>
      <w:r w:rsidR="00B03F5B">
        <w:rPr>
          <w:rFonts w:eastAsia="Gill Sans" w:cs="Gill Sans"/>
        </w:rPr>
        <w:t>.</w:t>
      </w:r>
    </w:p>
    <w:p w14:paraId="3366B783" w14:textId="21EAA977" w:rsidR="05B046BF" w:rsidRDefault="009F2E84" w:rsidP="7C680D13">
      <w:pPr>
        <w:spacing w:line="257" w:lineRule="auto"/>
        <w:rPr>
          <w:rFonts w:eastAsia="Gill Sans" w:cs="Gill Sans"/>
        </w:rPr>
      </w:pPr>
      <w:r w:rsidRPr="1386485D">
        <w:rPr>
          <w:rFonts w:eastAsia="Gill Sans" w:cs="Gill Sans"/>
        </w:rPr>
        <w:t xml:space="preserve">It </w:t>
      </w:r>
      <w:r w:rsidR="00B66EEF" w:rsidRPr="1386485D">
        <w:rPr>
          <w:rFonts w:eastAsia="Gill Sans" w:cs="Gill Sans"/>
        </w:rPr>
        <w:t xml:space="preserve">must be acknowledged that, despite the </w:t>
      </w:r>
      <w:r w:rsidR="7D9C6FE5" w:rsidRPr="1386485D">
        <w:rPr>
          <w:rFonts w:eastAsia="Gill Sans" w:cs="Gill Sans"/>
        </w:rPr>
        <w:t xml:space="preserve">challenges outlined </w:t>
      </w:r>
      <w:r w:rsidR="00B66EEF" w:rsidRPr="1386485D">
        <w:rPr>
          <w:rFonts w:eastAsia="Gill Sans" w:cs="Gill Sans"/>
        </w:rPr>
        <w:t xml:space="preserve">above, </w:t>
      </w:r>
      <w:r w:rsidR="05B046BF" w:rsidRPr="1386485D">
        <w:rPr>
          <w:rFonts w:eastAsia="Gill Sans" w:cs="Gill Sans"/>
        </w:rPr>
        <w:t xml:space="preserve">participants in this study, </w:t>
      </w:r>
      <w:r w:rsidR="00297CE9" w:rsidRPr="1386485D">
        <w:rPr>
          <w:rFonts w:eastAsia="Gill Sans" w:cs="Gill Sans"/>
        </w:rPr>
        <w:t xml:space="preserve">concurred </w:t>
      </w:r>
      <w:r w:rsidR="05B046BF" w:rsidRPr="1386485D">
        <w:rPr>
          <w:rFonts w:eastAsia="Gill Sans" w:cs="Gill Sans"/>
        </w:rPr>
        <w:t>that</w:t>
      </w:r>
      <w:r w:rsidR="0083788B">
        <w:rPr>
          <w:rFonts w:eastAsia="Gill Sans" w:cs="Gill Sans"/>
        </w:rPr>
        <w:t xml:space="preserve">, in line with Article 19 of the UNCRPD (United Nations, 2006), </w:t>
      </w:r>
      <w:r w:rsidR="05B046BF" w:rsidRPr="1386485D">
        <w:rPr>
          <w:rFonts w:eastAsia="Gill Sans" w:cs="Gill Sans"/>
        </w:rPr>
        <w:t>older people with intellectual disabilities should have person-centred support</w:t>
      </w:r>
      <w:r w:rsidR="00B66EEF" w:rsidRPr="1386485D">
        <w:rPr>
          <w:rFonts w:eastAsia="Gill Sans" w:cs="Gill Sans"/>
        </w:rPr>
        <w:t>,</w:t>
      </w:r>
      <w:r w:rsidR="05B046BF" w:rsidRPr="1386485D">
        <w:rPr>
          <w:rFonts w:eastAsia="Gill Sans" w:cs="Gill Sans"/>
        </w:rPr>
        <w:t xml:space="preserve"> provided preferably</w:t>
      </w:r>
      <w:r w:rsidR="00B66EEF" w:rsidRPr="1386485D">
        <w:rPr>
          <w:rFonts w:eastAsia="Gill Sans" w:cs="Gill Sans"/>
        </w:rPr>
        <w:t>,</w:t>
      </w:r>
      <w:r w:rsidR="05B046BF" w:rsidRPr="1386485D">
        <w:rPr>
          <w:rFonts w:eastAsia="Gill Sans" w:cs="Gill Sans"/>
        </w:rPr>
        <w:t xml:space="preserve"> in their own homes </w:t>
      </w:r>
      <w:r w:rsidR="009E5F6B" w:rsidRPr="1386485D">
        <w:rPr>
          <w:rFonts w:eastAsia="Gill Sans" w:cs="Gill Sans"/>
        </w:rPr>
        <w:fldChar w:fldCharType="begin">
          <w:fldData xml:space="preserve">PEVuZE5vdGU+PENpdGU+PEF1dGhvcj5EZXBhcnRtZW50IG9mIEhlYWx0aDwvQXV0aG9yPjxZZWFy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</w:fldData>
        </w:fldChar>
      </w:r>
      <w:r w:rsidR="00B26CBF">
        <w:rPr>
          <w:rFonts w:eastAsia="Gill Sans" w:cs="Gill Sans"/>
        </w:rPr>
        <w:instrText xml:space="preserve"> ADDIN EN.CITE </w:instrText>
      </w:r>
      <w:r w:rsidR="00B26CBF">
        <w:rPr>
          <w:rFonts w:eastAsia="Gill Sans" w:cs="Gill Sans"/>
        </w:rPr>
        <w:fldChar w:fldCharType="begin">
          <w:fldData xml:space="preserve">PEVuZE5vdGU+PENpdGU+PEF1dGhvcj5EZXBhcnRtZW50IG9mIEhlYWx0aDwvQXV0aG9yPjxZZWFy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</w:fldData>
        </w:fldChar>
      </w:r>
      <w:r w:rsidR="00B26CBF">
        <w:rPr>
          <w:rFonts w:eastAsia="Gill Sans" w:cs="Gill Sans"/>
        </w:rPr>
        <w:instrText xml:space="preserve"> ADDIN EN.CITE.DATA </w:instrText>
      </w:r>
      <w:r w:rsidR="00B26CBF">
        <w:rPr>
          <w:rFonts w:eastAsia="Gill Sans" w:cs="Gill Sans"/>
        </w:rPr>
      </w:r>
      <w:r w:rsidR="00B26CBF">
        <w:rPr>
          <w:rFonts w:eastAsia="Gill Sans" w:cs="Gill Sans"/>
        </w:rPr>
        <w:fldChar w:fldCharType="end"/>
      </w:r>
      <w:r w:rsidR="009E5F6B" w:rsidRPr="1386485D">
        <w:rPr>
          <w:rFonts w:eastAsia="Gill Sans" w:cs="Gill Sans"/>
        </w:rPr>
      </w:r>
      <w:r w:rsidR="009E5F6B" w:rsidRPr="1386485D">
        <w:rPr>
          <w:rFonts w:eastAsia="Gill Sans" w:cs="Gill Sans"/>
        </w:rPr>
        <w:fldChar w:fldCharType="separate"/>
      </w:r>
      <w:r w:rsidR="00B26CBF">
        <w:rPr>
          <w:rFonts w:eastAsia="Gill Sans" w:cs="Gill Sans"/>
          <w:noProof/>
        </w:rPr>
        <w:t>(Department of Health, 2020b; Chapman et al., 2018; Patti et al., 2010)</w:t>
      </w:r>
      <w:r w:rsidR="009E5F6B" w:rsidRPr="1386485D">
        <w:rPr>
          <w:rFonts w:eastAsia="Gill Sans" w:cs="Gill Sans"/>
        </w:rPr>
        <w:fldChar w:fldCharType="end"/>
      </w:r>
      <w:r w:rsidR="005A4EEB">
        <w:rPr>
          <w:rFonts w:eastAsia="Gill Sans" w:cs="Gill Sans"/>
        </w:rPr>
        <w:t>.</w:t>
      </w:r>
      <w:r w:rsidR="0083788B">
        <w:rPr>
          <w:rFonts w:eastAsia="Gill Sans" w:cs="Gill Sans"/>
        </w:rPr>
        <w:t xml:space="preserve"> </w:t>
      </w:r>
      <w:r w:rsidR="47153ECD" w:rsidRPr="1386485D">
        <w:rPr>
          <w:rFonts w:eastAsia="Gill Sans" w:cs="Gill Sans"/>
        </w:rPr>
        <w:t>Participants</w:t>
      </w:r>
      <w:r w:rsidR="05B046BF" w:rsidRPr="1386485D">
        <w:rPr>
          <w:rFonts w:eastAsia="Gill Sans" w:cs="Gill Sans"/>
        </w:rPr>
        <w:t xml:space="preserve"> also </w:t>
      </w:r>
      <w:r w:rsidR="00297CE9" w:rsidRPr="1386485D">
        <w:rPr>
          <w:rFonts w:eastAsia="Gill Sans" w:cs="Gill Sans"/>
        </w:rPr>
        <w:t>agreed</w:t>
      </w:r>
      <w:r w:rsidR="05B046BF" w:rsidRPr="1386485D">
        <w:rPr>
          <w:rFonts w:eastAsia="Gill Sans" w:cs="Gill Sans"/>
        </w:rPr>
        <w:t xml:space="preserve"> that such support should be dynamic in nature, </w:t>
      </w:r>
      <w:r w:rsidR="042AAC5D" w:rsidRPr="1386485D">
        <w:rPr>
          <w:rFonts w:eastAsia="Gill Sans" w:cs="Gill Sans"/>
        </w:rPr>
        <w:t xml:space="preserve">and </w:t>
      </w:r>
      <w:r w:rsidR="05B046BF" w:rsidRPr="1386485D">
        <w:rPr>
          <w:rFonts w:eastAsia="Gill Sans" w:cs="Gill Sans"/>
        </w:rPr>
        <w:t xml:space="preserve">responsive to emerging age-related complexity </w:t>
      </w:r>
      <w:r w:rsidR="00BE6A1E">
        <w:rPr>
          <w:lang w:eastAsia="en-IE"/>
        </w:rPr>
        <w:fldChar w:fldCharType="begin">
          <w:fldData xml:space="preserve">PEVuZE5vdGU+PENpdGU+PEF1dGhvcj5NY0NhcnJvbjwvQXV0aG9yPjxZZWFyPjIwMTA8L1llYXI+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</w:fldData>
        </w:fldChar>
      </w:r>
      <w:r w:rsidR="00B26CBF">
        <w:rPr>
          <w:lang w:eastAsia="en-IE"/>
        </w:rPr>
        <w:instrText xml:space="preserve"> ADDIN EN.CITE </w:instrText>
      </w:r>
      <w:r w:rsidR="00B26CBF">
        <w:rPr>
          <w:lang w:eastAsia="en-IE"/>
        </w:rPr>
        <w:fldChar w:fldCharType="begin">
          <w:fldData xml:space="preserve">PEVuZE5vdGU+PENpdGU+PEF1dGhvcj5NY0NhcnJvbjwvQXV0aG9yPjxZZWFyPjIwMTA8L1llYXI+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</w:fldData>
        </w:fldChar>
      </w:r>
      <w:r w:rsidR="00B26CBF">
        <w:rPr>
          <w:lang w:eastAsia="en-IE"/>
        </w:rPr>
        <w:instrText xml:space="preserve"> ADDIN EN.CITE.DATA </w:instrText>
      </w:r>
      <w:r w:rsidR="00B26CBF">
        <w:rPr>
          <w:lang w:eastAsia="en-IE"/>
        </w:rPr>
      </w:r>
      <w:r w:rsidR="00B26CBF">
        <w:rPr>
          <w:lang w:eastAsia="en-IE"/>
        </w:rPr>
        <w:fldChar w:fldCharType="end"/>
      </w:r>
      <w:r w:rsidR="00BE6A1E">
        <w:rPr>
          <w:lang w:eastAsia="en-IE"/>
        </w:rPr>
      </w:r>
      <w:r w:rsidR="00BE6A1E">
        <w:rPr>
          <w:lang w:eastAsia="en-IE"/>
        </w:rPr>
        <w:fldChar w:fldCharType="separate"/>
      </w:r>
      <w:r w:rsidR="00B26CBF">
        <w:rPr>
          <w:noProof/>
          <w:lang w:eastAsia="en-IE"/>
        </w:rPr>
        <w:t>(HSE, 2021; Schepens et al., 2019; New South Wales Ministry of Health, 2012; McCarron et al., 2010a)</w:t>
      </w:r>
      <w:r w:rsidR="00BE6A1E">
        <w:rPr>
          <w:lang w:eastAsia="en-IE"/>
        </w:rPr>
        <w:fldChar w:fldCharType="end"/>
      </w:r>
      <w:r w:rsidR="00EB4010">
        <w:rPr>
          <w:rFonts w:eastAsia="Gill Sans" w:cs="Gill Sans"/>
        </w:rPr>
        <w:t>.</w:t>
      </w:r>
      <w:r w:rsidR="05B046BF" w:rsidRPr="1386485D">
        <w:rPr>
          <w:rFonts w:eastAsia="Gill Sans" w:cs="Gill Sans"/>
        </w:rPr>
        <w:t xml:space="preserve"> </w:t>
      </w:r>
      <w:r w:rsidR="561822FE" w:rsidRPr="30E0B128">
        <w:rPr>
          <w:rFonts w:eastAsia="Segoe UI"/>
        </w:rPr>
        <w:t>Increasing age may add</w:t>
      </w:r>
      <w:r w:rsidR="05B046BF" w:rsidRPr="30E0B128">
        <w:rPr>
          <w:rFonts w:eastAsia="Gill Sans"/>
        </w:rPr>
        <w:t xml:space="preserve"> to the </w:t>
      </w:r>
      <w:r w:rsidR="561822FE" w:rsidRPr="30E0B128">
        <w:rPr>
          <w:rFonts w:eastAsia="Segoe UI"/>
        </w:rPr>
        <w:t>complexity</w:t>
      </w:r>
      <w:r w:rsidR="05B046BF" w:rsidRPr="30E0B128">
        <w:rPr>
          <w:rFonts w:eastAsia="Gill Sans"/>
        </w:rPr>
        <w:t xml:space="preserve"> of the </w:t>
      </w:r>
      <w:r w:rsidR="561822FE" w:rsidRPr="30E0B128">
        <w:rPr>
          <w:rFonts w:eastAsia="Segoe UI"/>
        </w:rPr>
        <w:t>transitions experienced by older people with intellectual disabilit</w:t>
      </w:r>
      <w:r w:rsidR="00C85736">
        <w:rPr>
          <w:rFonts w:eastAsia="Segoe UI"/>
        </w:rPr>
        <w:t>ies</w:t>
      </w:r>
      <w:r w:rsidR="561822FE" w:rsidRPr="30E0B128">
        <w:rPr>
          <w:rFonts w:eastAsia="Segoe UI"/>
        </w:rPr>
        <w:t xml:space="preserve"> and person-centred future planning can support and prepare older people with intellectual disabilit</w:t>
      </w:r>
      <w:r w:rsidR="00C85736">
        <w:rPr>
          <w:rFonts w:eastAsia="Segoe UI"/>
        </w:rPr>
        <w:t>ies</w:t>
      </w:r>
      <w:r w:rsidR="561822FE" w:rsidRPr="30E0B128">
        <w:rPr>
          <w:rFonts w:eastAsia="Segoe UI"/>
        </w:rPr>
        <w:t xml:space="preserve"> for transitions that reflect and respect the preferences</w:t>
      </w:r>
      <w:r w:rsidR="05B046BF" w:rsidRPr="30E0B128">
        <w:rPr>
          <w:rFonts w:eastAsia="Segoe UI"/>
        </w:rPr>
        <w:t xml:space="preserve"> of </w:t>
      </w:r>
      <w:r w:rsidR="561822FE" w:rsidRPr="30E0B128">
        <w:rPr>
          <w:rFonts w:eastAsia="Segoe UI"/>
        </w:rPr>
        <w:t xml:space="preserve">the individual </w:t>
      </w:r>
      <w:r w:rsidR="003E00DF" w:rsidRPr="30E0B128">
        <w:rPr>
          <w:rFonts w:eastAsia="Segoe UI"/>
        </w:rPr>
        <w:fldChar w:fldCharType="begin"/>
      </w:r>
      <w:r w:rsidR="00C2464C" w:rsidRPr="30E0B128">
        <w:rPr>
          <w:rFonts w:eastAsia="Segoe UI"/>
        </w:rPr>
        <w:instrText xml:space="preserve"> ADDIN EN.CITE &lt;EndNote&gt;&lt;Cite&gt;&lt;Author&gt;Strnadová&lt;/Author&gt;&lt;Year&gt;2019&lt;/Year&gt;&lt;RecNum&gt;766&lt;/RecNum&gt;&lt;DisplayText&gt;(Strnadová, 2019)&lt;/DisplayText&gt;&lt;record&gt;&lt;rec-number&gt;766&lt;/rec-number&gt;&lt;foreign-keys&gt;&lt;key app="EN" db-id="xtwfdzde5ttr0zevxrh5sf0c2wfzw5zf2vra" timestamp="1667647342" guid="029e5732-8f0e-45c0-970f-f059d949b01d"&gt;766&lt;/key&gt;&lt;/foreign-keys&gt;&lt;ref-type name="Journal Article"&gt;17&lt;/ref-type&gt;&lt;contributors&gt;&lt;authors&gt;&lt;author&gt;Strnadová, Iva&lt;/author&gt;&lt;/authors&gt;&lt;/contributors&gt;&lt;titles&gt;&lt;title&gt;Transitions in the lives of older adults with intellectual disabilities:“Having a sense of dignity and independence”&lt;/title&gt;&lt;secondary-title&gt;Journal of Policy and Practice in Intellectual Disabilities&lt;/secondary-title&gt;&lt;/titles&gt;&lt;periodical&gt;&lt;full-title&gt;Journal of Policy and Practice in Intellectual Disabilities&lt;/full-title&gt;&lt;/periodical&gt;&lt;pages&gt;58-66&lt;/pages&gt;&lt;volume&gt;16&lt;/volume&gt;&lt;number&gt;1&lt;/number&gt;&lt;dates&gt;&lt;year&gt;2019&lt;/year&gt;&lt;/dates&gt;&lt;isbn&gt;1741-1122&lt;/isbn&gt;&lt;urls&gt;&lt;/urls&gt;&lt;/record&gt;&lt;/Cite&gt;&lt;/EndNote&gt;</w:instrText>
      </w:r>
      <w:r w:rsidR="003E00DF" w:rsidRPr="30E0B128">
        <w:rPr>
          <w:rFonts w:eastAsia="Segoe UI"/>
        </w:rPr>
        <w:fldChar w:fldCharType="separate"/>
      </w:r>
      <w:r w:rsidR="003E00DF" w:rsidRPr="30E0B128">
        <w:rPr>
          <w:rFonts w:eastAsia="Segoe UI"/>
        </w:rPr>
        <w:t>(Strnadová, 2019)</w:t>
      </w:r>
      <w:r w:rsidR="003E00DF" w:rsidRPr="30E0B128">
        <w:rPr>
          <w:rFonts w:eastAsia="Segoe UI"/>
        </w:rPr>
        <w:fldChar w:fldCharType="end"/>
      </w:r>
      <w:r w:rsidR="561822FE" w:rsidRPr="30E0B128">
        <w:rPr>
          <w:rFonts w:eastAsia="Segoe UI"/>
        </w:rPr>
        <w:t xml:space="preserve">. </w:t>
      </w:r>
      <w:r w:rsidR="36AE91A8" w:rsidRPr="53839684">
        <w:rPr>
          <w:rFonts w:eastAsia="Segoe UI"/>
        </w:rPr>
        <w:t>Instead</w:t>
      </w:r>
      <w:r w:rsidR="561822FE" w:rsidRPr="30E0B128">
        <w:rPr>
          <w:rFonts w:eastAsia="Segoe UI"/>
        </w:rPr>
        <w:t xml:space="preserve">, many such transitions are reactive, made in response to a crisis and without the benefit of proactive planning </w:t>
      </w:r>
      <w:r w:rsidR="00F139A4" w:rsidRPr="3E7B8F55">
        <w:rPr>
          <w:rFonts w:eastAsia="Segoe UI"/>
        </w:rPr>
        <w:fldChar w:fldCharType="begin"/>
      </w:r>
      <w:r w:rsidR="00C2464C" w:rsidRPr="30E0B128">
        <w:rPr>
          <w:rFonts w:eastAsia="Segoe UI"/>
        </w:rPr>
        <w:instrText xml:space="preserve"> ADDIN EN.CITE &lt;EndNote&gt;&lt;Cite&gt;&lt;Author&gt;Strnadová&lt;/Author&gt;&lt;Year&gt;2019&lt;/Year&gt;&lt;RecNum&gt;766&lt;/RecNum&gt;&lt;DisplayText&gt;(Strnadová, 2019)&lt;/DisplayText&gt;&lt;record&gt;&lt;rec-number&gt;766&lt;/rec-number&gt;&lt;foreign-keys&gt;&lt;key app="EN" db-id="xtwfdzde5ttr0zevxrh5sf0c2wfzw5zf2vra" timestamp="1667647342" guid="029e5732-8f0e-45c0-970f-f059d949b01d"&gt;766&lt;/key&gt;&lt;/foreign-keys&gt;&lt;ref-type name="Journal Article"&gt;17&lt;/ref-type&gt;&lt;contributors&gt;&lt;authors&gt;&lt;author&gt;Strnadová, Iva&lt;/author&gt;&lt;/authors&gt;&lt;/contributors&gt;&lt;titles&gt;&lt;title&gt;Transitions in the lives of older adults with intellectual disabilities:“Having a sense of dignity and independence”&lt;/title&gt;&lt;secondary-title&gt;Journal of Policy and Practice in Intellectual Disabilities&lt;/secondary-title&gt;&lt;/titles&gt;&lt;periodical&gt;&lt;full-title&gt;Journal of Policy and Practice in Intellectual Disabilities&lt;/full-title&gt;&lt;/periodical&gt;&lt;pages&gt;58-66&lt;/pages&gt;&lt;volume&gt;16&lt;/volume&gt;&lt;number&gt;1&lt;/number&gt;&lt;dates&gt;&lt;year&gt;2019&lt;/year&gt;&lt;/dates&gt;&lt;isbn&gt;1741-1122&lt;/isbn&gt;&lt;urls&gt;&lt;/urls&gt;&lt;/record&gt;&lt;/Cite&gt;&lt;/EndNote&gt;</w:instrText>
      </w:r>
      <w:r w:rsidR="00F139A4" w:rsidRPr="3E7B8F55">
        <w:rPr>
          <w:rFonts w:eastAsia="Segoe UI"/>
        </w:rPr>
        <w:fldChar w:fldCharType="separate"/>
      </w:r>
      <w:r w:rsidR="00F139A4" w:rsidRPr="30E0B128">
        <w:rPr>
          <w:rFonts w:eastAsia="Segoe UI"/>
        </w:rPr>
        <w:t>(Strnadová, 2019</w:t>
      </w:r>
      <w:r w:rsidR="00F139A4" w:rsidRPr="53839684">
        <w:rPr>
          <w:rFonts w:eastAsia="Segoe UI"/>
          <w:noProof/>
        </w:rPr>
        <w:t>)</w:t>
      </w:r>
      <w:r w:rsidR="00F139A4" w:rsidRPr="3E7B8F55">
        <w:rPr>
          <w:rFonts w:eastAsia="Segoe UI"/>
        </w:rPr>
        <w:fldChar w:fldCharType="end"/>
      </w:r>
      <w:r w:rsidR="00F139A4" w:rsidRPr="30E0B128">
        <w:rPr>
          <w:rFonts w:eastAsia="Segoe UI"/>
        </w:rPr>
        <w:t>.</w:t>
      </w:r>
    </w:p>
    <w:p w14:paraId="0A0B4EFB" w14:textId="77777777" w:rsidR="0083788B" w:rsidRDefault="00E951F9" w:rsidP="00EB4010">
      <w:pPr>
        <w:rPr>
          <w:rFonts w:eastAsia="Gill Sans" w:cs="Gill Sans"/>
        </w:rPr>
      </w:pPr>
      <w:r>
        <w:rPr>
          <w:rFonts w:eastAsia="Gill Sans" w:cs="Gill Sans"/>
        </w:rPr>
        <w:t>Such planning</w:t>
      </w:r>
      <w:r w:rsidR="33798620" w:rsidRPr="1386485D">
        <w:rPr>
          <w:rFonts w:eastAsia="Gill Sans" w:cs="Gill Sans"/>
        </w:rPr>
        <w:t xml:space="preserve"> has not been easy, though, with many participants pointing to the challenge of providing a responsive service in the context of an inflexible funding system.</w:t>
      </w:r>
      <w:r w:rsidR="05B046BF" w:rsidRPr="1386485D">
        <w:rPr>
          <w:rFonts w:eastAsia="Gill Sans" w:cs="Gill Sans"/>
        </w:rPr>
        <w:t xml:space="preserve"> Indeed, several participants recounted stories whereby </w:t>
      </w:r>
      <w:r w:rsidR="05B046BF" w:rsidRPr="0DD18BB1">
        <w:rPr>
          <w:rFonts w:eastAsia="Gill Sans" w:cs="Gill Sans"/>
        </w:rPr>
        <w:t>service</w:t>
      </w:r>
      <w:r w:rsidR="60C0BA0C" w:rsidRPr="0DD18BB1">
        <w:rPr>
          <w:rFonts w:eastAsia="Gill Sans" w:cs="Gill Sans"/>
        </w:rPr>
        <w:t>s</w:t>
      </w:r>
      <w:r w:rsidR="05B046BF" w:rsidRPr="1386485D">
        <w:rPr>
          <w:rFonts w:eastAsia="Gill Sans" w:cs="Gill Sans"/>
        </w:rPr>
        <w:t xml:space="preserve"> could not be provided, resulting in older people being transferred to non-optimal accommodation. This reality was highlighted previously by</w:t>
      </w:r>
      <w:r w:rsidR="001A2C2E" w:rsidRPr="1386485D">
        <w:rPr>
          <w:rFonts w:eastAsia="Gill Sans" w:cs="Gill Sans"/>
        </w:rPr>
        <w:t xml:space="preserve"> </w:t>
      </w:r>
      <w:r w:rsidR="001A2C2E" w:rsidRPr="1386485D">
        <w:rPr>
          <w:rFonts w:eastAsia="Gill Sans" w:cs="Gill Sans"/>
        </w:rPr>
        <w:fldChar w:fldCharType="begin"/>
      </w:r>
      <w:r w:rsidR="001A2C2E" w:rsidRPr="1386485D">
        <w:rPr>
          <w:rFonts w:eastAsia="Gill Sans" w:cs="Gill Sans"/>
        </w:rPr>
        <w:instrText xml:space="preserve"> ADDIN EN.CITE &lt;EndNote&gt;&lt;Cite AuthorYear="1"&gt;&lt;Author&gt;Ryan&lt;/Author&gt;&lt;Year&gt;2014&lt;/Year&gt;&lt;RecNum&gt;529&lt;/RecNum&gt;&lt;DisplayText&gt;Ryan et al. (2014)&lt;/DisplayText&gt;&lt;record&gt;&lt;rec-number&gt;529&lt;/rec-number&gt;&lt;foreign-keys&gt;&lt;key app="EN" db-id="xtwfdzde5ttr0zevxrh5sf0c2wfzw5zf2vra" timestamp="1649175308" guid="7d363844-8cbb-47aa-afb5-22a46599daca"&gt;529&lt;/key&gt;&lt;/foreign-keys&gt;&lt;ref-type name="Journal Article"&gt;17&lt;/ref-type&gt;&lt;contributors&gt;&lt;authors&gt;&lt;author&gt;Ryan, Assumpta&lt;/author&gt;&lt;author&gt;Taggart, Laurence&lt;/author&gt;&lt;author&gt;Truesdale-Kennedy, Maria&lt;/author&gt;&lt;author&gt;Slevin, Eamonn&lt;/author&gt;&lt;/authors&gt;&lt;/contributors&gt;&lt;titles&gt;&lt;title&gt;Issues in caregiving for older people with intellectual disabilities and their ageing family carers: a review and commentary&lt;/title&gt;&lt;secondary-title&gt;International Journal of Older People Nursing&lt;/secondary-title&gt;&lt;/titles&gt;&lt;periodical&gt;&lt;full-title&gt;International Journal of Older People Nursing&lt;/full-title&gt;&lt;/periodical&gt;&lt;pages&gt;217-226&lt;/pages&gt;&lt;volume&gt;9&lt;/volume&gt;&lt;number&gt;3&lt;/number&gt;&lt;dates&gt;&lt;year&gt;2014&lt;/year&gt;&lt;/dates&gt;&lt;publisher&gt;Wiley&lt;/publisher&gt;&lt;isbn&gt;1748-3735&lt;/isbn&gt;&lt;urls&gt;&lt;related-urls&gt;&lt;url&gt;https://dx.doi.org/10.1111/opn.12021&lt;/url&gt;&lt;/related-urls&gt;&lt;/urls&gt;&lt;electronic-resource-num&gt;10.1111/opn.12021&lt;/electronic-resource-num&gt;&lt;/record&gt;&lt;/Cite&gt;&lt;/EndNote&gt;</w:instrText>
      </w:r>
      <w:r w:rsidR="001A2C2E" w:rsidRPr="1386485D">
        <w:rPr>
          <w:rFonts w:eastAsia="Gill Sans" w:cs="Gill Sans"/>
        </w:rPr>
        <w:fldChar w:fldCharType="separate"/>
      </w:r>
      <w:r w:rsidR="001A2C2E" w:rsidRPr="1386485D">
        <w:rPr>
          <w:rFonts w:eastAsia="Gill Sans" w:cs="Gill Sans"/>
        </w:rPr>
        <w:t>Ryan et al. (2014)</w:t>
      </w:r>
      <w:r w:rsidR="001A2C2E" w:rsidRPr="1386485D">
        <w:rPr>
          <w:rFonts w:eastAsia="Gill Sans" w:cs="Gill Sans"/>
        </w:rPr>
        <w:fldChar w:fldCharType="end"/>
      </w:r>
      <w:r w:rsidR="001A2C2E" w:rsidRPr="1386485D">
        <w:rPr>
          <w:rFonts w:eastAsia="Gill Sans" w:cs="Gill Sans"/>
        </w:rPr>
        <w:t>,</w:t>
      </w:r>
      <w:r w:rsidR="05B046BF" w:rsidRPr="1386485D">
        <w:rPr>
          <w:rFonts w:eastAsia="Gill Sans" w:cs="Gill Sans"/>
        </w:rPr>
        <w:t xml:space="preserve"> who noted the risk of nursing homes and residential placements becoming the default answer for such older people. </w:t>
      </w:r>
      <w:r w:rsidR="00740B03">
        <w:rPr>
          <w:rFonts w:eastAsia="Gill Sans" w:cs="Gill Sans"/>
        </w:rPr>
        <w:t>It is important, though, to move beyond acknowledging this</w:t>
      </w:r>
      <w:r w:rsidR="00111E82">
        <w:rPr>
          <w:rFonts w:eastAsia="Gill Sans" w:cs="Gill Sans"/>
        </w:rPr>
        <w:t xml:space="preserve"> a</w:t>
      </w:r>
      <w:r w:rsidR="004E10EE">
        <w:rPr>
          <w:rFonts w:eastAsia="Gill Sans" w:cs="Gill Sans"/>
        </w:rPr>
        <w:t xml:space="preserve">s it is occurring in the absence of </w:t>
      </w:r>
      <w:r w:rsidR="00B10FFD">
        <w:rPr>
          <w:rFonts w:eastAsia="Gill Sans" w:cs="Gill Sans"/>
        </w:rPr>
        <w:t xml:space="preserve">optimal care pathways, and </w:t>
      </w:r>
      <w:r w:rsidR="00507C3C">
        <w:rPr>
          <w:rFonts w:eastAsia="Gill Sans" w:cs="Gill Sans"/>
        </w:rPr>
        <w:t>the focus must move to ensuring that such pathways are put in place.</w:t>
      </w:r>
    </w:p>
    <w:p w14:paraId="2EA443BB" w14:textId="4859D703" w:rsidR="00EB4010" w:rsidRDefault="6FA55B06" w:rsidP="00EB4010">
      <w:pPr>
        <w:rPr>
          <w:rFonts w:eastAsia="Gill Sans" w:cs="Gill Sans"/>
        </w:rPr>
      </w:pPr>
      <w:r>
        <w:rPr>
          <w:rFonts w:eastAsia="Gill Sans" w:cs="Gill Sans"/>
        </w:rPr>
        <w:t>It is abundantly clear that there is a need for a more properly structured service model, focused on healthy ageing among people with intellectual disabilities, and with dedicated funding. Such a model must be informed by the needs</w:t>
      </w:r>
      <w:r w:rsidR="579A92A4">
        <w:rPr>
          <w:rFonts w:eastAsia="Gill Sans" w:cs="Gill Sans"/>
        </w:rPr>
        <w:t>,</w:t>
      </w:r>
      <w:r w:rsidRPr="11C55A92">
        <w:rPr>
          <w:rFonts w:eastAsia="Gill Sans" w:cs="Gill Sans"/>
        </w:rPr>
        <w:t xml:space="preserve"> complex and otherwise</w:t>
      </w:r>
      <w:r w:rsidR="050197E6">
        <w:rPr>
          <w:rFonts w:eastAsia="Gill Sans" w:cs="Gill Sans"/>
        </w:rPr>
        <w:t xml:space="preserve"> of this group of people. The literature review has identified many health-related issues. Many of these are presented in Figure 3, and describe impairments (sensory loss), disease processes (dementia, osteoporosis, epilepsy), metabolic concerns (nutrition, obesity), chronicity (pain), accidents (mobility and falls), mental health, life transitions (end of life) and intensive interventions (medical and palliative care). Others identified in this study, include problematic behaviours and frailty.</w:t>
      </w:r>
      <w:r w:rsidR="30F9813B" w:rsidRPr="11C55A92">
        <w:rPr>
          <w:rFonts w:eastAsia="Gill Sans" w:cs="Gill Sans"/>
        </w:rPr>
        <w:t xml:space="preserve"> </w:t>
      </w:r>
      <w:r>
        <w:rPr>
          <w:rFonts w:eastAsia="Gill Sans" w:cs="Gill Sans"/>
        </w:rPr>
        <w:t>Multimorbidity and</w:t>
      </w:r>
      <w:r w:rsidR="3E434686">
        <w:rPr>
          <w:rFonts w:eastAsia="Gill Sans" w:cs="Gill Sans"/>
        </w:rPr>
        <w:t>,</w:t>
      </w:r>
      <w:r>
        <w:rPr>
          <w:rFonts w:eastAsia="Gill Sans" w:cs="Gill Sans"/>
        </w:rPr>
        <w:t xml:space="preserve"> at times</w:t>
      </w:r>
      <w:r w:rsidR="192AFC3A">
        <w:rPr>
          <w:rFonts w:eastAsia="Gill Sans" w:cs="Gill Sans"/>
        </w:rPr>
        <w:t>,</w:t>
      </w:r>
      <w:r>
        <w:rPr>
          <w:rFonts w:eastAsia="Gill Sans" w:cs="Gill Sans"/>
        </w:rPr>
        <w:t xml:space="preserve"> different presentations of symptoms were also noted to be a significant health concern and this may underly some of the complexity that often characterises ageing amongst people with intellectual disabilities, as a number of the above issues may present simultaneously and interact with each other </w:t>
      </w:r>
      <w:r w:rsidR="00EB4010">
        <w:rPr>
          <w:rFonts w:eastAsia="Gill Sans" w:cs="Gill Sans"/>
        </w:rPr>
        <w:fldChar w:fldCharType="begin">
          <w:fldData xml:space="preserve">PEVuZE5vdGU+PENpdGU+PEF1dGhvcj5IdXNzYWluPC9BdXRob3I+PFllYXI+MjAyMDwvWWVhcj48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=
</w:fldData>
        </w:fldChar>
      </w:r>
      <w:r w:rsidR="00B26CBF">
        <w:rPr>
          <w:rFonts w:eastAsia="Gill Sans" w:cs="Gill Sans"/>
        </w:rPr>
        <w:instrText xml:space="preserve"> ADDIN EN.CITE </w:instrText>
      </w:r>
      <w:r w:rsidR="00B26CBF">
        <w:rPr>
          <w:rFonts w:eastAsia="Gill Sans" w:cs="Gill Sans"/>
        </w:rPr>
        <w:fldChar w:fldCharType="begin">
          <w:fldData xml:space="preserve">PEVuZE5vdGU+PENpdGU+PEF1dGhvcj5IdXNzYWluPC9BdXRob3I+PFllYXI+MjAyMDwvWWVhcj48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=
</w:fldData>
        </w:fldChar>
      </w:r>
      <w:r w:rsidR="00B26CBF">
        <w:rPr>
          <w:rFonts w:eastAsia="Gill Sans" w:cs="Gill Sans"/>
        </w:rPr>
        <w:instrText xml:space="preserve"> ADDIN EN.CITE.DATA </w:instrText>
      </w:r>
      <w:r w:rsidR="00B26CBF">
        <w:rPr>
          <w:rFonts w:eastAsia="Gill Sans" w:cs="Gill Sans"/>
        </w:rPr>
      </w:r>
      <w:r w:rsidR="00B26CBF">
        <w:rPr>
          <w:rFonts w:eastAsia="Gill Sans" w:cs="Gill Sans"/>
        </w:rPr>
        <w:fldChar w:fldCharType="end"/>
      </w:r>
      <w:r w:rsidR="00EB4010">
        <w:rPr>
          <w:rFonts w:eastAsia="Gill Sans" w:cs="Gill Sans"/>
        </w:rPr>
      </w:r>
      <w:r w:rsidR="00EB4010">
        <w:rPr>
          <w:rFonts w:eastAsia="Gill Sans" w:cs="Gill Sans"/>
        </w:rPr>
        <w:fldChar w:fldCharType="separate"/>
      </w:r>
      <w:r w:rsidR="4855CB28">
        <w:rPr>
          <w:rFonts w:eastAsia="Gill Sans" w:cs="Gill Sans"/>
          <w:noProof/>
        </w:rPr>
        <w:t>(Mann et al., 2022; Hussain et al., 2020; McCarron et al., 2013)</w:t>
      </w:r>
      <w:r w:rsidR="00EB4010">
        <w:rPr>
          <w:rFonts w:eastAsia="Gill Sans" w:cs="Gill Sans"/>
        </w:rPr>
        <w:fldChar w:fldCharType="end"/>
      </w:r>
      <w:r w:rsidDel="00774C73">
        <w:rPr>
          <w:rFonts w:eastAsia="Gill Sans" w:cs="Gill Sans"/>
        </w:rPr>
        <w:t>.</w:t>
      </w:r>
      <w:r>
        <w:rPr>
          <w:rFonts w:eastAsia="Gill Sans" w:cs="Gill Sans"/>
        </w:rPr>
        <w:t xml:space="preserve"> This may bring with it the need for complex interventions, such as those identified by </w:t>
      </w:r>
      <w:r w:rsidR="00EB4010">
        <w:rPr>
          <w:rFonts w:eastAsia="Gill Sans" w:cs="Gill Sans"/>
        </w:rPr>
        <w:fldChar w:fldCharType="begin"/>
      </w:r>
      <w:r w:rsidR="00EB4010">
        <w:rPr>
          <w:rFonts w:eastAsia="Gill Sans" w:cs="Gill Sans"/>
        </w:rPr>
        <w:instrText xml:space="preserve"> ADDIN EN.CITE &lt;EndNote&gt;&lt;Cite AuthorYear="1"&gt;&lt;Author&gt;O&amp;apos;Dwyer&lt;/Author&gt;&lt;Year&gt;2016&lt;/Year&gt;&lt;RecNum&gt;605&lt;/RecNum&gt;&lt;DisplayText&gt;O&amp;apos;Dwyer et al. (2016)&lt;/DisplayText&gt;&lt;record&gt;&lt;rec-number&gt;605&lt;/rec-number&gt;&lt;foreign-keys&gt;&lt;key app="EN" db-id="xtwfdzde5ttr0zevxrh5sf0c2wfzw5zf2vra" timestamp="1652802136" guid="bbab2294-2fd9-4ceb-a727-214ca21f912f"&gt;605&lt;/key&gt;&lt;/foreign-keys&gt;&lt;ref-type name="Journal Article"&gt;17&lt;/ref-type&gt;&lt;contributors&gt;&lt;authors&gt;&lt;author&gt;O&amp;apos;Dwyer, Máire&lt;/author&gt;&lt;author&gt;Peklar, Jure&lt;/author&gt;&lt;author&gt;McCallion, Philip&lt;/author&gt;&lt;author&gt;McCarron, Mary&lt;/author&gt;&lt;author&gt;Henman, Martin C.&lt;/author&gt;&lt;/authors&gt;&lt;/contributors&gt;&lt;titles&gt;&lt;title&gt;Factors associated with polypharmacy and excessive polypharmacy in older people with intellectual disability differ from the general population: a cross-sectional observational nationwide study&lt;/title&gt;&lt;secondary-title&gt;BMJ Open&lt;/secondary-title&gt;&lt;/titles&gt;&lt;periodical&gt;&lt;full-title&gt;BMJ open&lt;/full-title&gt;&lt;/periodical&gt;&lt;pages&gt;e010505&lt;/pages&gt;&lt;volume&gt;6&lt;/volume&gt;&lt;number&gt;4&lt;/number&gt;&lt;dates&gt;&lt;year&gt;2016&lt;/year&gt;&lt;/dates&gt;&lt;publisher&gt;BMJ&lt;/publisher&gt;&lt;isbn&gt;2044-6055&lt;/isbn&gt;&lt;urls&gt;&lt;related-urls&gt;&lt;url&gt;https://dx.doi.org/10.1136/bmjopen-2015-010505&lt;/url&gt;&lt;/related-urls&gt;&lt;/urls&gt;&lt;electronic-resource-num&gt;10.1136/bmjopen-2015-010505&lt;/electronic-resource-num&gt;&lt;/record&gt;&lt;/Cite&gt;&lt;/EndNote&gt;</w:instrText>
      </w:r>
      <w:r w:rsidR="00EB4010">
        <w:rPr>
          <w:rFonts w:eastAsia="Gill Sans" w:cs="Gill Sans"/>
        </w:rPr>
        <w:fldChar w:fldCharType="separate"/>
      </w:r>
      <w:r>
        <w:rPr>
          <w:rFonts w:eastAsia="Gill Sans" w:cs="Gill Sans"/>
          <w:noProof/>
        </w:rPr>
        <w:t>O'Dwyer et al. (2016)</w:t>
      </w:r>
      <w:r w:rsidR="00EB4010">
        <w:rPr>
          <w:rFonts w:eastAsia="Gill Sans" w:cs="Gill Sans"/>
        </w:rPr>
        <w:fldChar w:fldCharType="end"/>
      </w:r>
      <w:r>
        <w:rPr>
          <w:rFonts w:eastAsia="Gill Sans" w:cs="Gill Sans"/>
        </w:rPr>
        <w:t>.</w:t>
      </w:r>
    </w:p>
    <w:p w14:paraId="6A971012" w14:textId="0DBA27E1" w:rsidR="00EB4010" w:rsidRDefault="00EB4010" w:rsidP="00D033B5">
      <w:pPr>
        <w:spacing w:after="0"/>
        <w:rPr>
          <w:rFonts w:eastAsia="Gill Sans" w:cs="Gill Sans"/>
        </w:rPr>
        <w:sectPr w:rsidR="00EB4010" w:rsidSect="000F448E">
          <w:pgSz w:w="12240" w:h="15840"/>
          <w:pgMar w:top="1135" w:right="1701" w:bottom="1418" w:left="1701" w:header="709" w:footer="709" w:gutter="0"/>
          <w:cols w:space="708"/>
          <w:docGrid w:linePitch="360"/>
        </w:sectPr>
      </w:pPr>
    </w:p>
    <w:p w14:paraId="7E397213" w14:textId="77777777" w:rsidR="00D033B5" w:rsidRDefault="00D033B5" w:rsidP="0078243A">
      <w:pPr>
        <w:pStyle w:val="Caption"/>
        <w:rPr>
          <w:rFonts w:eastAsia="Gill Sans"/>
        </w:rPr>
      </w:pPr>
    </w:p>
    <w:p w14:paraId="6B49E844" w14:textId="1BC92858" w:rsidR="00CE4CFB" w:rsidRDefault="00CE4CFB" w:rsidP="0078243A">
      <w:pPr>
        <w:pStyle w:val="Caption"/>
        <w:rPr>
          <w:rFonts w:eastAsia="Gill Sans"/>
        </w:rPr>
      </w:pPr>
      <w:bookmarkStart w:id="269" w:name="_Toc118455451"/>
      <w:bookmarkStart w:id="270" w:name="_Toc121830566"/>
      <w:r>
        <w:t xml:space="preserve">Figure </w:t>
      </w:r>
      <w:r w:rsidR="00743EE1">
        <w:fldChar w:fldCharType="begin"/>
      </w:r>
      <w:r w:rsidR="00743EE1">
        <w:instrText>SEQ Figure \* ARABIC</w:instrText>
      </w:r>
      <w:r w:rsidR="00743EE1">
        <w:fldChar w:fldCharType="separate"/>
      </w:r>
      <w:r w:rsidR="004B09C8">
        <w:rPr>
          <w:noProof/>
        </w:rPr>
        <w:t>3</w:t>
      </w:r>
      <w:r w:rsidR="00743EE1">
        <w:fldChar w:fldCharType="end"/>
      </w:r>
      <w:r w:rsidR="00743EE1">
        <w:t>:</w:t>
      </w:r>
      <w:r>
        <w:t xml:space="preserve"> Scope of age-related needs of older people with intellectual disabilities</w:t>
      </w:r>
      <w:bookmarkEnd w:id="269"/>
      <w:bookmarkEnd w:id="270"/>
    </w:p>
    <w:p w14:paraId="0BCD88F6" w14:textId="08F605BC" w:rsidR="00A60DAD" w:rsidRPr="00E638FE" w:rsidRDefault="00A60DAD" w:rsidP="00E638FE"/>
    <w:p w14:paraId="7F16BAE8" w14:textId="34C12606" w:rsidR="00BC7F9D" w:rsidRDefault="00BC7F9D" w:rsidP="00B730B4">
      <w:pPr>
        <w:keepNext/>
        <w:spacing w:after="0"/>
        <w:jc w:val="both"/>
        <w:rPr>
          <w:noProof/>
        </w:rPr>
      </w:pPr>
      <w:r>
        <w:rPr>
          <w:noProof/>
          <w:lang w:eastAsia="en-IE"/>
        </w:rPr>
        <w:drawing>
          <wp:inline distT="0" distB="0" distL="0" distR="0" wp14:anchorId="2C9D0C78" wp14:editId="004FADEC">
            <wp:extent cx="7480272" cy="5334002"/>
            <wp:effectExtent l="0" t="0" r="6985" b="0"/>
            <wp:docPr id="31" name="Picture 31" descr="Age related needs of older people with intellectu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ge related needs of older people with intellectual disability"/>
                    <pic:cNvPicPr/>
                  </pic:nvPicPr>
                  <pic:blipFill>
                    <a:blip r:embed="rId17">
                      <a:extLst>
                        <a:ext uri="{28A0092B-C50C-407E-A947-70E740481C1C}">
                          <a14:useLocalDpi xmlns:a14="http://schemas.microsoft.com/office/drawing/2010/main" val="0"/>
                        </a:ext>
                      </a:extLst>
                    </a:blip>
                    <a:stretch>
                      <a:fillRect/>
                    </a:stretch>
                  </pic:blipFill>
                  <pic:spPr>
                    <a:xfrm>
                      <a:off x="0" y="0"/>
                      <a:ext cx="7480272" cy="5334002"/>
                    </a:xfrm>
                    <a:prstGeom prst="rect">
                      <a:avLst/>
                    </a:prstGeom>
                  </pic:spPr>
                </pic:pic>
              </a:graphicData>
            </a:graphic>
          </wp:inline>
        </w:drawing>
      </w:r>
    </w:p>
    <w:p w14:paraId="43018954" w14:textId="098444A9" w:rsidR="00A60DAD" w:rsidRPr="00E638FE" w:rsidRDefault="00A60DAD" w:rsidP="00E638FE">
      <w:pPr>
        <w:tabs>
          <w:tab w:val="left" w:pos="2010"/>
        </w:tabs>
        <w:spacing w:before="120"/>
        <w:jc w:val="center"/>
        <w:rPr>
          <w:noProof/>
          <w:sz w:val="22"/>
          <w:szCs w:val="22"/>
        </w:rPr>
      </w:pPr>
      <w:r w:rsidRPr="00A60DAD">
        <w:rPr>
          <w:noProof/>
          <w:sz w:val="22"/>
          <w:szCs w:val="22"/>
        </w:rPr>
        <w:t xml:space="preserve">Source: </w:t>
      </w:r>
      <w:r w:rsidR="00E8011D">
        <w:rPr>
          <w:noProof/>
          <w:sz w:val="22"/>
          <w:szCs w:val="22"/>
        </w:rPr>
        <w:fldChar w:fldCharType="begin"/>
      </w:r>
      <w:r w:rsidR="00E03FFB">
        <w:rPr>
          <w:noProof/>
          <w:sz w:val="22"/>
          <w:szCs w:val="22"/>
        </w:rPr>
        <w:instrText xml:space="preserve"> ADDIN EN.CITE &lt;EndNote&gt;&lt;Cite&gt;&lt;Author&gt;Sheerin&lt;/Author&gt;&lt;Year&gt;2021&lt;/Year&gt;&lt;RecNum&gt;658&lt;/RecNum&gt;&lt;DisplayText&gt;(Sheerin et al., 2021a)&lt;/DisplayText&gt;&lt;record&gt;&lt;rec-number&gt;658&lt;/rec-number&gt;&lt;foreign-keys&gt;&lt;key app="EN" db-id="xtwfdzde5ttr0zevxrh5sf0c2wfzw5zf2vra" timestamp="1657546608" guid="83298505-6f88-4222-b415-1a7ec538af8e"&gt;658&lt;/key&gt;&lt;/foreign-keys&gt;&lt;ref-type name="Unpublished Work"&gt;34&lt;/ref-type&gt;&lt;contributors&gt;&lt;authors&gt;&lt;author&gt;Sheerin, Fintan&lt;/author&gt;&lt;author&gt;Fleming, Sandra&lt;/author&gt;&lt;author&gt;Naseer, Amara&lt;/author&gt;&lt;author&gt;Foden, Eadaoin &lt;/author&gt;&lt;author&gt;McCallion, Philip&lt;/author&gt;&lt;author&gt;McCarron, Mary&lt;/author&gt;&lt;/authors&gt;&lt;/contributors&gt;&lt;titles&gt;&lt;title&gt;Care of Older Adults with Intellectual Disabilities and Complex Age-Related Conditions: A Systematic Review Final Report [Unpublished Manuscript]&lt;/title&gt;&lt;/titles&gt;&lt;dates&gt;&lt;year&gt;2021&lt;/year&gt;&lt;pub-dates&gt;&lt;date&gt;July&lt;/date&gt;&lt;/pub-dates&gt;&lt;/dates&gt;&lt;pub-location&gt;Dublin&lt;/pub-location&gt;&lt;publisher&gt;Trinity Centre for Ageing and Intellectual Disability&lt;/publisher&gt;&lt;urls&gt;&lt;/urls&gt;&lt;/record&gt;&lt;/Cite&gt;&lt;/EndNote&gt;</w:instrText>
      </w:r>
      <w:r w:rsidR="00E8011D">
        <w:rPr>
          <w:noProof/>
          <w:sz w:val="22"/>
          <w:szCs w:val="22"/>
        </w:rPr>
        <w:fldChar w:fldCharType="separate"/>
      </w:r>
      <w:r w:rsidR="00E03FFB">
        <w:rPr>
          <w:noProof/>
          <w:sz w:val="22"/>
          <w:szCs w:val="22"/>
        </w:rPr>
        <w:t>(Sheerin et al., 2021a)</w:t>
      </w:r>
      <w:r w:rsidR="00E8011D">
        <w:rPr>
          <w:noProof/>
          <w:sz w:val="22"/>
          <w:szCs w:val="22"/>
        </w:rPr>
        <w:fldChar w:fldCharType="end"/>
      </w:r>
    </w:p>
    <w:p w14:paraId="405071F5" w14:textId="2CFE2BEA" w:rsidR="00D033B5" w:rsidRDefault="00A60DAD" w:rsidP="00E638FE">
      <w:pPr>
        <w:tabs>
          <w:tab w:val="left" w:pos="2010"/>
        </w:tabs>
        <w:rPr>
          <w:rFonts w:eastAsia="Gill Sans" w:cs="Gill Sans"/>
          <w:szCs w:val="26"/>
        </w:rPr>
        <w:sectPr w:rsidR="00D033B5" w:rsidSect="00E638FE">
          <w:pgSz w:w="12240" w:h="15840"/>
          <w:pgMar w:top="1134" w:right="284" w:bottom="1418" w:left="284" w:header="709" w:footer="709" w:gutter="0"/>
          <w:cols w:space="708"/>
          <w:docGrid w:linePitch="360"/>
        </w:sectPr>
      </w:pPr>
      <w:r>
        <w:rPr>
          <w:rFonts w:eastAsia="Gill Sans" w:cs="Gill Sans"/>
          <w:szCs w:val="26"/>
        </w:rPr>
        <w:tab/>
      </w:r>
    </w:p>
    <w:p w14:paraId="4C481F5F" w14:textId="0EAB8392" w:rsidR="000603F6" w:rsidRDefault="00222F22" w:rsidP="007B5A85">
      <w:pPr>
        <w:pStyle w:val="Heading2"/>
        <w:rPr>
          <w:rFonts w:eastAsia="Gill Sans"/>
        </w:rPr>
      </w:pPr>
      <w:bookmarkStart w:id="271" w:name="_Toc118555221"/>
      <w:bookmarkStart w:id="272" w:name="_Toc118558308"/>
      <w:bookmarkStart w:id="273" w:name="_Toc118558379"/>
      <w:bookmarkStart w:id="274" w:name="_Toc121830636"/>
      <w:r>
        <w:rPr>
          <w:rFonts w:eastAsia="Gill Sans"/>
        </w:rPr>
        <w:t xml:space="preserve">Current and </w:t>
      </w:r>
      <w:r w:rsidR="007B5A85">
        <w:rPr>
          <w:rFonts w:eastAsia="Gill Sans"/>
        </w:rPr>
        <w:t>f</w:t>
      </w:r>
      <w:r>
        <w:rPr>
          <w:rFonts w:eastAsia="Gill Sans"/>
        </w:rPr>
        <w:t xml:space="preserve">uture </w:t>
      </w:r>
      <w:r w:rsidR="007B5A85">
        <w:rPr>
          <w:rFonts w:eastAsia="Gill Sans"/>
        </w:rPr>
        <w:t>n</w:t>
      </w:r>
      <w:r>
        <w:rPr>
          <w:rFonts w:eastAsia="Gill Sans"/>
        </w:rPr>
        <w:t>eeds</w:t>
      </w:r>
      <w:bookmarkEnd w:id="271"/>
      <w:bookmarkEnd w:id="272"/>
      <w:bookmarkEnd w:id="273"/>
      <w:bookmarkEnd w:id="274"/>
    </w:p>
    <w:p w14:paraId="33FA63E0" w14:textId="518F4AC6" w:rsidR="00F46A1A" w:rsidRDefault="0B5C030D" w:rsidP="00F46A1A">
      <w:r w:rsidRPr="5FC44C77">
        <w:rPr>
          <w:rFonts w:eastAsia="Gill Sans" w:cs="Gill Sans"/>
        </w:rPr>
        <w:t>A</w:t>
      </w:r>
      <w:r w:rsidR="005A2186" w:rsidRPr="5FC44C77">
        <w:rPr>
          <w:rFonts w:eastAsia="Gill Sans" w:cs="Gill Sans"/>
        </w:rPr>
        <w:t xml:space="preserve"> majority of survey respondents identif</w:t>
      </w:r>
      <w:r w:rsidR="256AE2F9" w:rsidRPr="5FC44C77">
        <w:rPr>
          <w:rFonts w:eastAsia="Gill Sans" w:cs="Gill Sans"/>
        </w:rPr>
        <w:t>ied</w:t>
      </w:r>
      <w:r w:rsidR="005A2186" w:rsidRPr="5FC44C77">
        <w:rPr>
          <w:rFonts w:eastAsia="Gill Sans" w:cs="Gill Sans"/>
        </w:rPr>
        <w:t xml:space="preserve"> dementia as the most significant challenge to meeting the needs of older adults with intellectual disabilit</w:t>
      </w:r>
      <w:r w:rsidR="00C85736">
        <w:rPr>
          <w:rFonts w:eastAsia="Gill Sans" w:cs="Gill Sans"/>
        </w:rPr>
        <w:t>ies</w:t>
      </w:r>
      <w:r w:rsidR="005A2186" w:rsidRPr="5FC44C77">
        <w:rPr>
          <w:rFonts w:eastAsia="Gill Sans" w:cs="Gill Sans"/>
        </w:rPr>
        <w:t xml:space="preserve"> in their service. This was also reflected in the comments of managers, direct care staff and family members across focus groups and interviews, with a particular emphasis on the significantly negative impact o</w:t>
      </w:r>
      <w:r w:rsidR="79280E42" w:rsidRPr="5FC44C77">
        <w:rPr>
          <w:rFonts w:eastAsia="Gill Sans" w:cs="Gill Sans"/>
        </w:rPr>
        <w:t>n</w:t>
      </w:r>
      <w:r w:rsidR="005A2186" w:rsidRPr="5FC44C77">
        <w:rPr>
          <w:rFonts w:eastAsia="Gill Sans" w:cs="Gill Sans"/>
        </w:rPr>
        <w:t xml:space="preserve"> the older persons’ quality of life </w:t>
      </w:r>
      <w:r w:rsidR="005A2186">
        <w:fldChar w:fldCharType="begin"/>
      </w:r>
      <w:r w:rsidR="005A2186">
        <w:instrText xml:space="preserve"> ADDIN EN.CITE &lt;EndNote&gt;&lt;Cite&gt;&lt;Author&gt;Marsack-Topolewski&lt;/Author&gt;&lt;Year&gt;2020&lt;/Year&gt;&lt;RecNum&gt;387&lt;/RecNum&gt;&lt;DisplayText&gt;(Marsack-Topolewski &amp;amp; Samuel, 2020)&lt;/DisplayText&gt;&lt;record&gt;&lt;rec-number&gt;387&lt;/rec-number&gt;&lt;foreign-keys&gt;&lt;key app="EN" db-id="xtwfdzde5ttr0zevxrh5sf0c2wfzw5zf2vra" timestamp="1643290955" guid="cb5d10bd-0e6f-4e54-9e2f-127ffaae416e"&gt;387&lt;/key&gt;&lt;/foreign-keys&gt;&lt;ref-type name="Journal Article"&gt;17&lt;/ref-type&gt;&lt;contributors&gt;&lt;authors&gt;&lt;author&gt;Marsack-Topolewski, Christina N.&lt;/author&gt;&lt;author&gt;Samuel, Preethy S.&lt;/author&gt;&lt;/authors&gt;&lt;/contributors&gt;&lt;titles&gt;&lt;title&gt;Caregivers’ Perceptions of Family Quality of Life of Individuals with Developmental Disabilities Comorbid with Dementia: A Pilot Study&lt;/title&gt;&lt;secondary-title&gt;Journal for ReAttach Therapy and Developmental Diversities&lt;/secondary-title&gt;&lt;short-title&gt;Caregivers’ Perceptions of Family Quality of Life of Individuals with Developmental Disabilities Comorbid with Dementia: A Pilot Study&lt;/short-title&gt;&lt;/titles&gt;&lt;periodical&gt;&lt;full-title&gt;Journal for ReAttach Therapy and Developmental Diversities&lt;/full-title&gt;&lt;/periodical&gt;&lt;pages&gt;56-70&lt;/pages&gt;&lt;volume&gt;3&lt;/volume&gt;&lt;number&gt;2&lt;/number&gt;&lt;dates&gt;&lt;year&gt;2020&lt;/year&gt;&lt;/dates&gt;&lt;urls&gt;&lt;/urls&gt;&lt;electronic-resource-num&gt;10.26407/2020jrtdd.1.38&lt;/electronic-resource-num&gt;&lt;/record&gt;&lt;/Cite&gt;&lt;/EndNote&gt;</w:instrText>
      </w:r>
      <w:r w:rsidR="005A2186">
        <w:fldChar w:fldCharType="separate"/>
      </w:r>
      <w:r w:rsidR="005A2186" w:rsidRPr="5FC44C77">
        <w:rPr>
          <w:noProof/>
        </w:rPr>
        <w:t>(Marsack-Topolewski &amp; Samuel, 2020)</w:t>
      </w:r>
      <w:r w:rsidR="005A2186">
        <w:fldChar w:fldCharType="end"/>
      </w:r>
      <w:r w:rsidR="005A2186">
        <w:t>.</w:t>
      </w:r>
      <w:r w:rsidR="004441DC">
        <w:t xml:space="preserve"> </w:t>
      </w:r>
      <w:r w:rsidR="00862E6C">
        <w:t xml:space="preserve">Dementia </w:t>
      </w:r>
      <w:r w:rsidR="00D8170F">
        <w:t xml:space="preserve">is a progressive disease which </w:t>
      </w:r>
      <w:r w:rsidR="00505E5D">
        <w:t>brings</w:t>
      </w:r>
      <w:r w:rsidR="00862E6C">
        <w:t xml:space="preserve"> </w:t>
      </w:r>
      <w:r w:rsidR="003E5ED8">
        <w:t>a myriad of</w:t>
      </w:r>
      <w:r w:rsidR="00862E6C">
        <w:t xml:space="preserve"> </w:t>
      </w:r>
      <w:r w:rsidR="00505E5D">
        <w:t>complex challenges</w:t>
      </w:r>
      <w:r w:rsidR="00D8170F">
        <w:t xml:space="preserve"> across health, social and other domains</w:t>
      </w:r>
      <w:r w:rsidR="00EF067F">
        <w:t xml:space="preserve"> </w:t>
      </w:r>
      <w:r w:rsidR="005A2186">
        <w:fldChar w:fldCharType="begin"/>
      </w:r>
      <w:r w:rsidR="00C472AE">
        <w:instrText xml:space="preserve"> ADDIN EN.CITE &lt;EndNote&gt;&lt;Cite&gt;&lt;Author&gt;Sheerin&lt;/Author&gt;&lt;Year&gt;2020&lt;/Year&gt;&lt;RecNum&gt;748&lt;/RecNum&gt;&lt;DisplayText&gt;(Sheerin et al., 2020)&lt;/DisplayText&gt;&lt;record&gt;&lt;rec-number&gt;748&lt;/rec-number&gt;&lt;foreign-keys&gt;&lt;key app="EN" db-id="xtwfdzde5ttr0zevxrh5sf0c2wfzw5zf2vra" timestamp="1667506980" guid="97afa04e-e91f-4d5b-a618-665f3fa4088a"&gt;748&lt;/key&gt;&lt;/foreign-keys&gt;&lt;ref-type name="Book Section"&gt;5&lt;/ref-type&gt;&lt;contributors&gt;&lt;authors&gt;&lt;author&gt;Sheerin, Fintan&lt;/author&gt;&lt;author&gt;McCallion, Philip&lt;/author&gt;&lt;author&gt;McGlinchey, Eimear&lt;/author&gt;&lt;author&gt;O’Dwyer, Máire&lt;/author&gt;&lt;author&gt;Reilly, Evelyn&lt;/author&gt;&lt;author&gt;McCarron, Mary&lt;/author&gt;&lt;/authors&gt;&lt;secondary-authors&gt;&lt;author&gt;Matson, E&lt;/author&gt;&lt;/secondary-authors&gt;&lt;/contributors&gt;&lt;titles&gt;&lt;title&gt;Aging with Intellectual Disability: Dementia and Cognitive Decline&lt;/title&gt;&lt;secondary-title&gt;Handbook of Dual Diagnosis&lt;/secondary-title&gt;&lt;/titles&gt;&lt;pages&gt;311-330&lt;/pages&gt;&lt;dates&gt;&lt;year&gt;2020&lt;/year&gt;&lt;/dates&gt;&lt;pub-location&gt;Switzerland&lt;/pub-location&gt;&lt;publisher&gt;Springer&lt;/publisher&gt;&lt;urls&gt;&lt;/urls&gt;&lt;/record&gt;&lt;/Cite&gt;&lt;/EndNote&gt;</w:instrText>
      </w:r>
      <w:r w:rsidR="005A2186">
        <w:fldChar w:fldCharType="separate"/>
      </w:r>
      <w:r w:rsidR="00EF067F" w:rsidRPr="5FC44C77">
        <w:rPr>
          <w:noProof/>
        </w:rPr>
        <w:t>(Sheerin et al., 2020)</w:t>
      </w:r>
      <w:r w:rsidR="005A2186">
        <w:fldChar w:fldCharType="end"/>
      </w:r>
      <w:r w:rsidR="00EF067F">
        <w:t>.</w:t>
      </w:r>
      <w:r w:rsidR="00505E5D">
        <w:t xml:space="preserve"> </w:t>
      </w:r>
      <w:r w:rsidR="00B557EC">
        <w:t xml:space="preserve">It </w:t>
      </w:r>
      <w:r w:rsidR="00991DA4">
        <w:t xml:space="preserve">is </w:t>
      </w:r>
      <w:r w:rsidR="00B04159">
        <w:t xml:space="preserve">typically </w:t>
      </w:r>
      <w:r w:rsidR="00991DA4">
        <w:t>characterised as having three stages</w:t>
      </w:r>
      <w:r w:rsidR="001F2DB3">
        <w:t xml:space="preserve"> (</w:t>
      </w:r>
      <w:r w:rsidR="00991DA4">
        <w:t>early, mid</w:t>
      </w:r>
      <w:r w:rsidR="00F5037E">
        <w:t xml:space="preserve"> and late</w:t>
      </w:r>
      <w:r w:rsidR="001F2DB3">
        <w:t xml:space="preserve">) during which </w:t>
      </w:r>
      <w:r w:rsidR="00FB1008">
        <w:t xml:space="preserve">health, </w:t>
      </w:r>
      <w:r w:rsidR="00E719E3">
        <w:t>functional</w:t>
      </w:r>
      <w:r w:rsidR="00FB1008">
        <w:t>, psychological</w:t>
      </w:r>
      <w:r w:rsidR="00065B67">
        <w:t xml:space="preserve"> and cognitive changes become increasingly pronounced</w:t>
      </w:r>
      <w:r w:rsidR="00FB1008">
        <w:t xml:space="preserve">, leading to </w:t>
      </w:r>
      <w:r w:rsidR="00CB686A">
        <w:t>associated changes</w:t>
      </w:r>
      <w:r w:rsidR="00673807">
        <w:t xml:space="preserve"> in</w:t>
      </w:r>
      <w:r w:rsidR="00C12C07">
        <w:t xml:space="preserve"> </w:t>
      </w:r>
      <w:r w:rsidR="00490F18">
        <w:t>support and care needs</w:t>
      </w:r>
      <w:r w:rsidR="00AC6FDB">
        <w:t xml:space="preserve"> (</w:t>
      </w:r>
      <w:r w:rsidR="00AC6FDB" w:rsidRPr="11C55A92">
        <w:rPr>
          <w:i/>
          <w:iCs/>
        </w:rPr>
        <w:t>ibid</w:t>
      </w:r>
      <w:r w:rsidR="00AC6FDB">
        <w:t>.)</w:t>
      </w:r>
      <w:r w:rsidR="003E155C">
        <w:t>.</w:t>
      </w:r>
      <w:r w:rsidR="0035516B">
        <w:t xml:space="preserve"> </w:t>
      </w:r>
      <w:r w:rsidR="00F84755">
        <w:t xml:space="preserve">It is support-intensive, with </w:t>
      </w:r>
      <w:r w:rsidR="00C210F0">
        <w:t>constant supervision often needed</w:t>
      </w:r>
      <w:r w:rsidR="00C23074">
        <w:t xml:space="preserve"> to </w:t>
      </w:r>
      <w:r w:rsidR="009B4E71">
        <w:t>reduce risk of injury</w:t>
      </w:r>
      <w:r w:rsidR="002939D2">
        <w:t xml:space="preserve"> </w:t>
      </w:r>
      <w:r w:rsidR="00C00ED4">
        <w:fldChar w:fldCharType="begin">
          <w:fldData xml:space="preserve">PEVuZE5vdGU+PENpdGU+PEF1dGhvcj5KYW5pY2tpPC9BdXRob3I+PFllYXI+MjAwMzwvWWVhcj48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</w:fldData>
        </w:fldChar>
      </w:r>
      <w:r w:rsidR="00B26CBF">
        <w:instrText xml:space="preserve"> ADDIN EN.CITE </w:instrText>
      </w:r>
      <w:r w:rsidR="00B26CBF">
        <w:fldChar w:fldCharType="begin">
          <w:fldData xml:space="preserve">PEVuZE5vdGU+PENpdGU+PEF1dGhvcj5KYW5pY2tpPC9BdXRob3I+PFllYXI+MjAwMzwvWWVhcj48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</w:fldData>
        </w:fldChar>
      </w:r>
      <w:r w:rsidR="00B26CBF">
        <w:instrText xml:space="preserve"> ADDIN EN.CITE.DATA </w:instrText>
      </w:r>
      <w:r w:rsidR="00B26CBF">
        <w:fldChar w:fldCharType="end"/>
      </w:r>
      <w:r w:rsidR="00C00ED4">
        <w:fldChar w:fldCharType="separate"/>
      </w:r>
      <w:r w:rsidR="00B26CBF">
        <w:rPr>
          <w:noProof/>
        </w:rPr>
        <w:t>(Jokinen et al., 2013; Janicki et al., 2003)</w:t>
      </w:r>
      <w:r w:rsidR="00C00ED4">
        <w:fldChar w:fldCharType="end"/>
      </w:r>
      <w:r w:rsidR="00C00ED4">
        <w:t>.</w:t>
      </w:r>
      <w:r w:rsidR="002939D2" w:rsidDel="00C00ED4">
        <w:t xml:space="preserve"> </w:t>
      </w:r>
      <w:r w:rsidR="002939D2">
        <w:t>Many participants related their experiences of attempting to address these needs but noted that staffing</w:t>
      </w:r>
      <w:r w:rsidR="00735396">
        <w:t xml:space="preserve"> issues</w:t>
      </w:r>
      <w:r w:rsidR="002939D2">
        <w:t xml:space="preserve"> and </w:t>
      </w:r>
      <w:r w:rsidR="00735396">
        <w:t xml:space="preserve">inflexible </w:t>
      </w:r>
      <w:r w:rsidR="002939D2">
        <w:t xml:space="preserve">funding seriously limited their ability to do so. </w:t>
      </w:r>
      <w:r w:rsidR="00B54416">
        <w:t xml:space="preserve">They were often not in a position to </w:t>
      </w:r>
      <w:r w:rsidR="004C340F">
        <w:t>reconfigure</w:t>
      </w:r>
      <w:r w:rsidR="00B54416">
        <w:t xml:space="preserve"> services around those needs</w:t>
      </w:r>
      <w:r w:rsidR="00F00E70">
        <w:t xml:space="preserve"> and this impacted on their ability to su</w:t>
      </w:r>
      <w:r w:rsidR="005B382B">
        <w:t>pport the older person to age in place</w:t>
      </w:r>
      <w:r w:rsidR="00F7325D">
        <w:t>, as recommended</w:t>
      </w:r>
      <w:r w:rsidR="006557F6">
        <w:t xml:space="preserve"> </w:t>
      </w:r>
      <w:r w:rsidR="005360C1">
        <w:fldChar w:fldCharType="begin"/>
      </w:r>
      <w:r w:rsidR="005845B1">
        <w:instrText xml:space="preserve"> ADDIN EN.CITE &lt;EndNote&gt;&lt;Cite&gt;&lt;Author&gt;Janicki&lt;/Author&gt;&lt;Year&gt;1996&lt;/Year&gt;&lt;RecNum&gt;749&lt;/RecNum&gt;&lt;DisplayText&gt;(Janicki et al., 2005; Janicki et al., 1996)&lt;/DisplayText&gt;&lt;record&gt;&lt;rec-number&gt;749&lt;/rec-number&gt;&lt;foreign-keys&gt;&lt;key app="EN" db-id="xtwfdzde5ttr0zevxrh5sf0c2wfzw5zf2vra" timestamp="1667507185" guid="9c9233fa-79f1-44ae-8a38-7c057d5935e7"&gt;749&lt;/key&gt;&lt;/foreign-keys&gt;&lt;ref-type name="Journal Article"&gt;17&lt;/ref-type&gt;&lt;contributors&gt;&lt;authors&gt;&lt;author&gt;Janicki, MP&lt;/author&gt;&lt;author&gt;Heller, T&lt;/author&gt;&lt;author&gt;Seltzer, GB&lt;/author&gt;&lt;author&gt;Hogg, J&lt;/author&gt;&lt;/authors&gt;&lt;/contributors&gt;&lt;titles&gt;&lt;title&gt;Practice guidelines for the clinical assessment and care management of Alzheimer&amp;apos;s disease and other dementias among adults with intellectual disability&lt;/title&gt;&lt;secondary-title&gt;Journal of Intellectual Disability Research&lt;/secondary-title&gt;&lt;/titles&gt;&lt;periodical&gt;&lt;full-title&gt;Journal of Intellectual Disability Research&lt;/full-title&gt;&lt;/periodical&gt;&lt;pages&gt;374-382&lt;/pages&gt;&lt;volume&gt;40&lt;/volume&gt;&lt;number&gt;4&lt;/number&gt;&lt;dates&gt;&lt;year&gt;1996&lt;/year&gt;&lt;/dates&gt;&lt;isbn&gt;0964-2633&lt;/isbn&gt;&lt;urls&gt;&lt;/urls&gt;&lt;/record&gt;&lt;/Cite&gt;&lt;Cite&gt;&lt;Author&gt;Janicki&lt;/Author&gt;&lt;Year&gt;2005&lt;/Year&gt;&lt;RecNum&gt;607&lt;/RecNum&gt;&lt;record&gt;&lt;rec-number&gt;607&lt;/rec-number&gt;&lt;foreign-keys&gt;&lt;key app="EN" db-id="xtwfdzde5ttr0zevxrh5sf0c2wfzw5zf2vra" timestamp="1652802374" guid="aabad66b-d5ef-4a95-8620-87ab4f86e3b0"&gt;607&lt;/key&gt;&lt;/foreign-keys&gt;&lt;ref-type name="Journal Article"&gt;17&lt;/ref-type&gt;&lt;contributors&gt;&lt;authors&gt;&lt;author&gt;Janicki, Matthew P&lt;/author&gt;&lt;author&gt;Dalton, Arthur J&lt;/author&gt;&lt;author&gt;McCallion, Philip&lt;/author&gt;&lt;author&gt;Baxley, Diann Davies&lt;/author&gt;&lt;author&gt;Zendell, Anna&lt;/author&gt;&lt;/authors&gt;&lt;/contributors&gt;&lt;titles&gt;&lt;title&gt;Group home care for adults with intellectual disabilities and Alzheimer’s disease&lt;/title&gt;&lt;secondary-title&gt;Dementia&lt;/secondary-title&gt;&lt;/titles&gt;&lt;periodical&gt;&lt;full-title&gt;Dementia&lt;/full-title&gt;&lt;/periodical&gt;&lt;pages&gt;361-385&lt;/pages&gt;&lt;volume&gt;4&lt;/volume&gt;&lt;number&gt;3&lt;/number&gt;&lt;dates&gt;&lt;year&gt;2005&lt;/year&gt;&lt;/dates&gt;&lt;isbn&gt;1471-3012&lt;/isbn&gt;&lt;urls&gt;&lt;/urls&gt;&lt;/record&gt;&lt;/Cite&gt;&lt;/EndNote&gt;</w:instrText>
      </w:r>
      <w:r w:rsidR="005360C1">
        <w:fldChar w:fldCharType="separate"/>
      </w:r>
      <w:r w:rsidR="005845B1">
        <w:rPr>
          <w:noProof/>
        </w:rPr>
        <w:t>(Janicki et al., 2005; Janicki et al., 1996)</w:t>
      </w:r>
      <w:r w:rsidR="005360C1">
        <w:fldChar w:fldCharType="end"/>
      </w:r>
      <w:r w:rsidR="667D2748">
        <w:t xml:space="preserve">. </w:t>
      </w:r>
      <w:r w:rsidR="000D0411">
        <w:t>Th</w:t>
      </w:r>
      <w:r w:rsidR="00E80148">
        <w:t>is</w:t>
      </w:r>
      <w:r w:rsidR="007E424C">
        <w:t xml:space="preserve"> </w:t>
      </w:r>
      <w:r w:rsidR="00E80148">
        <w:t xml:space="preserve">also </w:t>
      </w:r>
      <w:r w:rsidR="003E19F0">
        <w:t xml:space="preserve">restricted the </w:t>
      </w:r>
      <w:r w:rsidR="002229C9">
        <w:t>team</w:t>
      </w:r>
      <w:r w:rsidR="00AD507D">
        <w:t xml:space="preserve">'s and families' </w:t>
      </w:r>
      <w:r w:rsidR="003E19F0">
        <w:t xml:space="preserve">potential </w:t>
      </w:r>
      <w:r w:rsidR="00AD507D">
        <w:t>to</w:t>
      </w:r>
      <w:r w:rsidR="003E19F0">
        <w:t xml:space="preserve"> </w:t>
      </w:r>
      <w:r w:rsidR="004E2F6F">
        <w:t>plan</w:t>
      </w:r>
      <w:r w:rsidR="003E19F0">
        <w:t xml:space="preserve"> the</w:t>
      </w:r>
      <w:r w:rsidR="00991E69">
        <w:t xml:space="preserve"> </w:t>
      </w:r>
      <w:r w:rsidR="003E19F0">
        <w:t xml:space="preserve">support and care </w:t>
      </w:r>
      <w:r w:rsidR="00AD507D">
        <w:t>of the person as they moved through</w:t>
      </w:r>
      <w:r w:rsidR="005F1331">
        <w:t xml:space="preserve"> the </w:t>
      </w:r>
      <w:r w:rsidR="00927A9A">
        <w:t>disease</w:t>
      </w:r>
      <w:r w:rsidR="001135C6">
        <w:t>’s trajectory.</w:t>
      </w:r>
      <w:r w:rsidR="00816648">
        <w:t xml:space="preserve"> </w:t>
      </w:r>
      <w:r w:rsidR="006444D9">
        <w:t xml:space="preserve">Some </w:t>
      </w:r>
      <w:r w:rsidR="00A429FE">
        <w:t>services have manage</w:t>
      </w:r>
      <w:r w:rsidR="00386D5F">
        <w:t>d</w:t>
      </w:r>
      <w:r w:rsidR="00A429FE">
        <w:t xml:space="preserve"> to </w:t>
      </w:r>
      <w:r w:rsidR="004938DA">
        <w:t>set up purpose-built</w:t>
      </w:r>
      <w:r w:rsidR="00A429FE">
        <w:t xml:space="preserve"> dementia units which </w:t>
      </w:r>
      <w:r w:rsidR="00F14476">
        <w:t>follow best practice guidelines</w:t>
      </w:r>
      <w:r w:rsidR="00FE7756">
        <w:t xml:space="preserve"> but this is </w:t>
      </w:r>
      <w:r w:rsidR="00850743">
        <w:t xml:space="preserve">often supported </w:t>
      </w:r>
      <w:r w:rsidR="007076A6">
        <w:t xml:space="preserve">through private and charitable funding. </w:t>
      </w:r>
      <w:r w:rsidR="002C467B">
        <w:t>They are</w:t>
      </w:r>
      <w:r w:rsidR="004938DA">
        <w:t>, however,</w:t>
      </w:r>
      <w:r w:rsidR="002C467B">
        <w:t xml:space="preserve"> in a position to </w:t>
      </w:r>
      <w:r w:rsidR="004938DA">
        <w:t xml:space="preserve">provide a home environment where </w:t>
      </w:r>
      <w:r w:rsidR="000B2E04">
        <w:t xml:space="preserve">specialised </w:t>
      </w:r>
      <w:r w:rsidR="004A6F23">
        <w:t>care can be provided</w:t>
      </w:r>
      <w:r w:rsidR="00661FC7">
        <w:t xml:space="preserve"> and where there is </w:t>
      </w:r>
      <w:r w:rsidR="00534606">
        <w:t>appropriate</w:t>
      </w:r>
      <w:r w:rsidR="00E23404">
        <w:t xml:space="preserve"> space,</w:t>
      </w:r>
      <w:r w:rsidR="00534606">
        <w:t xml:space="preserve"> s</w:t>
      </w:r>
      <w:r w:rsidR="003B7E6A">
        <w:t>kill mix</w:t>
      </w:r>
      <w:r w:rsidR="00E23404">
        <w:t xml:space="preserve"> and equipment. </w:t>
      </w:r>
      <w:r w:rsidR="00124B01">
        <w:t xml:space="preserve">Other services have </w:t>
      </w:r>
      <w:r w:rsidR="0079125C">
        <w:t xml:space="preserve">used existing resources to </w:t>
      </w:r>
      <w:r w:rsidR="00F40353">
        <w:t xml:space="preserve">provide </w:t>
      </w:r>
      <w:r w:rsidR="00DA2C3C">
        <w:t>high-standard, homely care</w:t>
      </w:r>
      <w:r w:rsidR="00A702FC">
        <w:t xml:space="preserve">, often </w:t>
      </w:r>
      <w:r w:rsidR="00527485">
        <w:t>bringing</w:t>
      </w:r>
      <w:r w:rsidR="00A702FC">
        <w:t xml:space="preserve"> </w:t>
      </w:r>
      <w:r w:rsidR="0A0C24B1">
        <w:t xml:space="preserve">in </w:t>
      </w:r>
      <w:r w:rsidR="00527485">
        <w:t xml:space="preserve">nurses and other health professionals from other parts of the services. </w:t>
      </w:r>
      <w:r w:rsidR="594A6D82">
        <w:t>Still absent</w:t>
      </w:r>
      <w:r w:rsidR="0092432B">
        <w:t>, however,</w:t>
      </w:r>
      <w:r w:rsidR="594A6D82">
        <w:t xml:space="preserve"> is evidence of collaboration between intellectual disability service </w:t>
      </w:r>
      <w:r w:rsidR="0092432B">
        <w:t>agencies</w:t>
      </w:r>
      <w:r w:rsidR="594A6D82">
        <w:t xml:space="preserve"> and Alzheimer’s </w:t>
      </w:r>
      <w:r w:rsidR="000C66FA">
        <w:t xml:space="preserve">care </w:t>
      </w:r>
      <w:r w:rsidR="594A6D82">
        <w:t xml:space="preserve">providers </w:t>
      </w:r>
      <w:r w:rsidR="4D85A4FE">
        <w:t xml:space="preserve">to create a more shared rather than intellectual disability specific model. </w:t>
      </w:r>
      <w:r w:rsidR="004D4D83">
        <w:t xml:space="preserve">The absence </w:t>
      </w:r>
      <w:r w:rsidR="00FF36FB">
        <w:t xml:space="preserve">of </w:t>
      </w:r>
      <w:r w:rsidR="00606576">
        <w:t xml:space="preserve">dedicated </w:t>
      </w:r>
      <w:r w:rsidR="00FF36FB">
        <w:t>resources</w:t>
      </w:r>
      <w:r w:rsidR="004862AD">
        <w:t xml:space="preserve"> </w:t>
      </w:r>
      <w:r w:rsidR="000E19B1">
        <w:t xml:space="preserve">for planning and </w:t>
      </w:r>
      <w:r w:rsidR="00606576">
        <w:t xml:space="preserve">service provision is something that </w:t>
      </w:r>
      <w:r w:rsidR="0030044E">
        <w:t xml:space="preserve">must be addressed and is </w:t>
      </w:r>
      <w:r w:rsidR="00BF31F0">
        <w:t xml:space="preserve">a key principle in the </w:t>
      </w:r>
      <w:r w:rsidR="00321244">
        <w:t xml:space="preserve">Irish </w:t>
      </w:r>
      <w:r w:rsidR="00F46A1A">
        <w:t xml:space="preserve">National Dementia Strategy </w:t>
      </w:r>
      <w:r w:rsidR="003F6D21">
        <w:fldChar w:fldCharType="begin"/>
      </w:r>
      <w:r w:rsidR="003F6D21">
        <w:instrText xml:space="preserve"> ADDIN EN.CITE &lt;EndNote&gt;&lt;Cite&gt;&lt;Author&gt;Department of Health&lt;/Author&gt;&lt;Year&gt;2014&lt;/Year&gt;&lt;RecNum&gt;756&lt;/RecNum&gt;&lt;Pages&gt;13&lt;/Pages&gt;&lt;DisplayText&gt;(Department of Health, 2014, p. 13)&lt;/DisplayText&gt;&lt;record&gt;&lt;rec-number&gt;756&lt;/rec-number&gt;&lt;foreign-keys&gt;&lt;key app="EN" db-id="xtwfdzde5ttr0zevxrh5sf0c2wfzw5zf2vra" timestamp="1667576274" guid="bf7b414d-d599-42ee-99c8-26f85394dc59"&gt;756&lt;/key&gt;&lt;/foreign-keys&gt;&lt;ref-type name="Report"&gt;27&lt;/ref-type&gt;&lt;contributors&gt;&lt;authors&gt;&lt;author&gt;Department of Health, &lt;/author&gt;&lt;/authors&gt;&lt;/contributors&gt;&lt;titles&gt;&lt;title&gt;The Irish National Dementia Strategy&lt;/title&gt;&lt;/titles&gt;&lt;dates&gt;&lt;year&gt;2014&lt;/year&gt;&lt;/dates&gt;&lt;pub-location&gt;Dublin&lt;/pub-location&gt;&lt;publisher&gt;Department of Health&lt;/publisher&gt;&lt;urls&gt;&lt;/urls&gt;&lt;/record&gt;&lt;/Cite&gt;&lt;/EndNote&gt;</w:instrText>
      </w:r>
      <w:r w:rsidR="003F6D21">
        <w:fldChar w:fldCharType="separate"/>
      </w:r>
      <w:r w:rsidR="003F6D21">
        <w:rPr>
          <w:noProof/>
        </w:rPr>
        <w:t>(Department of Health, 2014, p. 13)</w:t>
      </w:r>
      <w:r w:rsidR="003F6D21">
        <w:fldChar w:fldCharType="end"/>
      </w:r>
      <w:r w:rsidR="00F46A1A">
        <w:t>:</w:t>
      </w:r>
    </w:p>
    <w:p w14:paraId="3F90D618" w14:textId="78DC3C18" w:rsidR="00F46A1A" w:rsidRPr="0001732D" w:rsidRDefault="00F46A1A" w:rsidP="00EB4010">
      <w:pPr>
        <w:ind w:left="720" w:right="758"/>
        <w:rPr>
          <w:i/>
        </w:rPr>
      </w:pPr>
      <w:r w:rsidRPr="6272EF34">
        <w:rPr>
          <w:rFonts w:eastAsia="SimSun" w:cs="Calibri"/>
          <w:i/>
          <w:lang w:eastAsia="en-IE"/>
        </w:rPr>
        <w:t>Available resources should be deployed on the basis of need and as effectively as possible to provide services for all people with dementia, including those with early-onset dementia and/or an intellectual disability, and should be delivered in a culturally appropriate way.</w:t>
      </w:r>
    </w:p>
    <w:p w14:paraId="2FE0CAF8" w14:textId="191863CB" w:rsidR="00D237B1" w:rsidRDefault="004441DC" w:rsidP="007F4F6F">
      <w:r w:rsidRPr="00E77237">
        <w:t xml:space="preserve">Dementia was </w:t>
      </w:r>
      <w:r w:rsidR="003665AC">
        <w:t xml:space="preserve">also </w:t>
      </w:r>
      <w:r w:rsidRPr="00E77237">
        <w:t>of particular concern to family members</w:t>
      </w:r>
      <w:r w:rsidR="001D0C08" w:rsidRPr="00E77237">
        <w:t>, who reported a l</w:t>
      </w:r>
      <w:r w:rsidRPr="00E77237">
        <w:t xml:space="preserve">ack of information </w:t>
      </w:r>
      <w:r w:rsidR="001D0C08" w:rsidRPr="00E77237">
        <w:t>being available to them, e</w:t>
      </w:r>
      <w:r w:rsidRPr="00E77237">
        <w:t xml:space="preserve">ven where </w:t>
      </w:r>
      <w:r w:rsidR="001D0C08" w:rsidRPr="00E77237">
        <w:t xml:space="preserve">their </w:t>
      </w:r>
      <w:r w:rsidRPr="00E77237">
        <w:t>sibling ha</w:t>
      </w:r>
      <w:r w:rsidR="001D0C08" w:rsidRPr="00E77237">
        <w:t>d</w:t>
      </w:r>
      <w:r w:rsidRPr="00E77237">
        <w:t xml:space="preserve"> Down Syndrome</w:t>
      </w:r>
      <w:r w:rsidR="00E77237" w:rsidRPr="00E77237">
        <w:t>.</w:t>
      </w:r>
      <w:r w:rsidRPr="00E77237">
        <w:t xml:space="preserve"> </w:t>
      </w:r>
      <w:r w:rsidR="00E77237" w:rsidRPr="00E77237">
        <w:t>Indeed, some</w:t>
      </w:r>
      <w:r w:rsidRPr="00E77237">
        <w:t xml:space="preserve"> families felt unsupported by </w:t>
      </w:r>
      <w:r w:rsidR="00E77237" w:rsidRPr="00E77237">
        <w:t xml:space="preserve">both intellectual disability </w:t>
      </w:r>
      <w:r w:rsidRPr="00E77237">
        <w:t xml:space="preserve">and by </w:t>
      </w:r>
      <w:r w:rsidR="00E77237" w:rsidRPr="00E77237">
        <w:t xml:space="preserve">generic </w:t>
      </w:r>
      <w:r w:rsidRPr="00E77237">
        <w:t>health service</w:t>
      </w:r>
      <w:r w:rsidR="32A3AA24" w:rsidRPr="00E77237">
        <w:t>,</w:t>
      </w:r>
      <w:r w:rsidR="00E77237" w:rsidRPr="00E77237">
        <w:t xml:space="preserve"> something which is likely amplified by the</w:t>
      </w:r>
      <w:r w:rsidRPr="00E77237">
        <w:t xml:space="preserve"> disjuncture between disability and geriatric services</w:t>
      </w:r>
      <w:r w:rsidR="00E77237" w:rsidRPr="00E77237">
        <w:t>.</w:t>
      </w:r>
      <w:r w:rsidR="00A62F98">
        <w:t xml:space="preserve"> </w:t>
      </w:r>
      <w:r w:rsidR="1AACB8AF">
        <w:t>The gr</w:t>
      </w:r>
      <w:r w:rsidR="2BD6E3B1">
        <w:t>o</w:t>
      </w:r>
      <w:r w:rsidR="1AACB8AF">
        <w:t xml:space="preserve">wing reality </w:t>
      </w:r>
      <w:r w:rsidR="00643DDA">
        <w:t xml:space="preserve">is </w:t>
      </w:r>
      <w:r w:rsidR="1AACB8AF">
        <w:t>that there are people with intellectual disabilities and dementia who have always lived with family</w:t>
      </w:r>
      <w:r w:rsidR="000D6258">
        <w:t xml:space="preserve"> and</w:t>
      </w:r>
      <w:r w:rsidR="00F14921">
        <w:t xml:space="preserve"> who</w:t>
      </w:r>
      <w:r w:rsidR="1AACB8AF">
        <w:t xml:space="preserve"> </w:t>
      </w:r>
      <w:r w:rsidR="348FD8C1">
        <w:t>would particularly benefit from a more joined up approach between disability and geriatric services.</w:t>
      </w:r>
      <w:r w:rsidR="1AACB8AF">
        <w:t xml:space="preserve"> </w:t>
      </w:r>
      <w:r w:rsidR="00696A5D">
        <w:t xml:space="preserve">The literature </w:t>
      </w:r>
      <w:r w:rsidR="00640BE3">
        <w:t>identifies f</w:t>
      </w:r>
      <w:r w:rsidR="00195C81">
        <w:t xml:space="preserve">amily involvement </w:t>
      </w:r>
      <w:r w:rsidR="00640BE3">
        <w:t>a</w:t>
      </w:r>
      <w:r w:rsidR="00195C81">
        <w:t>s a</w:t>
      </w:r>
      <w:r w:rsidR="00640BE3">
        <w:t xml:space="preserve">n important aspect of </w:t>
      </w:r>
      <w:r w:rsidR="00084023">
        <w:t xml:space="preserve">specialist </w:t>
      </w:r>
      <w:r w:rsidR="002928D2">
        <w:t xml:space="preserve">dementia </w:t>
      </w:r>
      <w:r w:rsidR="00641707">
        <w:t>services</w:t>
      </w:r>
      <w:r w:rsidR="006C57C1">
        <w:t xml:space="preserve"> </w:t>
      </w:r>
      <w:r w:rsidR="00206980">
        <w:t xml:space="preserve">particularly </w:t>
      </w:r>
      <w:r w:rsidR="003D5A97">
        <w:t>as</w:t>
      </w:r>
      <w:r w:rsidR="00D36453">
        <w:t xml:space="preserve"> part of a palliative care approach </w:t>
      </w:r>
      <w:r w:rsidR="0066602F">
        <w:fldChar w:fldCharType="begin">
          <w:fldData xml:space="preserve">PEVuZE5vdGU+PENpdGU+PEF1dGhvcj5Wb3NzPC9BdXRob3I+PFllYXI+MjAyMDwvWWVhcj48UmVj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</w:fldData>
        </w:fldChar>
      </w:r>
      <w:r w:rsidR="0066602F">
        <w:instrText xml:space="preserve"> ADDIN EN.CITE </w:instrText>
      </w:r>
      <w:r w:rsidR="0066602F">
        <w:fldChar w:fldCharType="begin">
          <w:fldData xml:space="preserve">PEVuZE5vdGU+PENpdGU+PEF1dGhvcj5Wb3NzPC9BdXRob3I+PFllYXI+MjAyMDwvWWVhcj48UmVj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</w:fldData>
        </w:fldChar>
      </w:r>
      <w:r w:rsidR="0066602F">
        <w:instrText xml:space="preserve"> ADDIN EN.CITE.DATA </w:instrText>
      </w:r>
      <w:r w:rsidR="0066602F">
        <w:fldChar w:fldCharType="end"/>
      </w:r>
      <w:r w:rsidR="0066602F">
        <w:fldChar w:fldCharType="separate"/>
      </w:r>
      <w:r w:rsidR="0066602F">
        <w:rPr>
          <w:noProof/>
        </w:rPr>
        <w:t>(Voss et al., 2020; Wiese et al., 2014)</w:t>
      </w:r>
      <w:r w:rsidR="0066602F">
        <w:fldChar w:fldCharType="end"/>
      </w:r>
      <w:r w:rsidR="0066602F">
        <w:t>.</w:t>
      </w:r>
      <w:r w:rsidR="00D36453">
        <w:t xml:space="preserve"> </w:t>
      </w:r>
      <w:r w:rsidR="00CB3D47">
        <w:t xml:space="preserve">Any shortcoming in this respect may relate to the </w:t>
      </w:r>
      <w:r w:rsidR="00295D5B">
        <w:t xml:space="preserve">absence of a structured </w:t>
      </w:r>
      <w:r w:rsidR="00362D9A">
        <w:t>dementia pathway</w:t>
      </w:r>
      <w:r w:rsidR="5973C9AC">
        <w:t>,</w:t>
      </w:r>
      <w:r w:rsidR="00B44EBD">
        <w:t xml:space="preserve"> </w:t>
      </w:r>
      <w:r w:rsidR="29FDCC47">
        <w:t xml:space="preserve">noted by the </w:t>
      </w:r>
      <w:r w:rsidR="08D634F0">
        <w:t>survey</w:t>
      </w:r>
      <w:r w:rsidR="29FDCC47">
        <w:t xml:space="preserve"> respondents,</w:t>
      </w:r>
      <w:r w:rsidR="00B44EBD">
        <w:t xml:space="preserve"> </w:t>
      </w:r>
      <w:r w:rsidR="00157457">
        <w:t xml:space="preserve">in </w:t>
      </w:r>
      <w:r w:rsidR="00A65A4C">
        <w:t>genera</w:t>
      </w:r>
      <w:r w:rsidR="00A501A4">
        <w:t>l</w:t>
      </w:r>
      <w:r w:rsidR="0039488C">
        <w:t xml:space="preserve"> </w:t>
      </w:r>
      <w:r w:rsidR="00B44EBD">
        <w:t>(</w:t>
      </w:r>
      <w:r w:rsidR="00CD5668">
        <w:t>33.3</w:t>
      </w:r>
      <w:r w:rsidR="00B44EBD">
        <w:t>%</w:t>
      </w:r>
      <w:r w:rsidR="0039488C">
        <w:t xml:space="preserve">) and </w:t>
      </w:r>
      <w:r w:rsidR="00A501A4">
        <w:t>specialised</w:t>
      </w:r>
      <w:r w:rsidR="00345238">
        <w:t xml:space="preserve"> </w:t>
      </w:r>
      <w:r w:rsidR="00A501A4">
        <w:t>services</w:t>
      </w:r>
      <w:r w:rsidR="005A6073">
        <w:t xml:space="preserve"> (60%)</w:t>
      </w:r>
      <w:r w:rsidR="00345238">
        <w:t>.</w:t>
      </w:r>
    </w:p>
    <w:p w14:paraId="4ADF498D" w14:textId="5980BD29" w:rsidR="00281E3C" w:rsidRDefault="001774A8" w:rsidP="00281E3C">
      <w:r w:rsidRPr="006E338B">
        <w:t xml:space="preserve">Similar issues were raised by participants </w:t>
      </w:r>
      <w:r w:rsidR="0097233F" w:rsidRPr="006E338B">
        <w:t xml:space="preserve">and respondents </w:t>
      </w:r>
      <w:r w:rsidRPr="006E338B">
        <w:t>in respect of end</w:t>
      </w:r>
      <w:r w:rsidR="009965C8" w:rsidRPr="006E338B">
        <w:t xml:space="preserve"> </w:t>
      </w:r>
      <w:r w:rsidR="00C526EF" w:rsidRPr="006E338B">
        <w:t>of</w:t>
      </w:r>
      <w:r w:rsidR="009965C8" w:rsidRPr="006E338B">
        <w:t xml:space="preserve"> </w:t>
      </w:r>
      <w:r w:rsidR="00C526EF" w:rsidRPr="006E338B">
        <w:t xml:space="preserve">life care. </w:t>
      </w:r>
      <w:r w:rsidR="00E91EE3" w:rsidRPr="006E338B">
        <w:t xml:space="preserve">There was unanimity in the view that </w:t>
      </w:r>
      <w:r w:rsidR="00FC21A2" w:rsidRPr="006E338B">
        <w:t>older people should be supported to die at home whenever possible, but that this could only be achieved</w:t>
      </w:r>
      <w:r w:rsidR="00DC2340" w:rsidRPr="006E338B">
        <w:t xml:space="preserve"> </w:t>
      </w:r>
      <w:r w:rsidR="000A406E" w:rsidRPr="006E338B">
        <w:t xml:space="preserve">with </w:t>
      </w:r>
      <w:r w:rsidR="001E776C" w:rsidRPr="006E338B">
        <w:t xml:space="preserve">proper planning and </w:t>
      </w:r>
      <w:r w:rsidR="00517423" w:rsidRPr="006E338B">
        <w:t>flexible resources</w:t>
      </w:r>
      <w:r w:rsidR="00260602" w:rsidRPr="006E338B">
        <w:t xml:space="preserve"> </w:t>
      </w:r>
      <w:r w:rsidR="00260602" w:rsidRPr="006E338B">
        <w:fldChar w:fldCharType="begin"/>
      </w:r>
      <w:r w:rsidR="005F4080">
        <w:instrText xml:space="preserve"> ADDIN EN.CITE &lt;EndNote&gt;&lt;Cite&gt;&lt;Author&gt;Todd&lt;/Author&gt;&lt;Year&gt;2020&lt;/Year&gt;&lt;RecNum&gt;726&lt;/RecNum&gt;&lt;DisplayText&gt;(Todd et al., 2020)&lt;/DisplayText&gt;&lt;record&gt;&lt;rec-number&gt;726&lt;/rec-number&gt;&lt;foreign-keys&gt;&lt;key app="EN" db-id="xtwfdzde5ttr0zevxrh5sf0c2wfzw5zf2vra" timestamp="1667386694" guid="a5cdb226-3275-4b13-8556-01f94426c08b"&gt;726&lt;/key&gt;&lt;/foreign-keys&gt;&lt;ref-type name="Journal Article"&gt;17&lt;/ref-type&gt;&lt;contributors&gt;&lt;authors&gt;&lt;author&gt;Todd, Stuart&lt;/author&gt;&lt;author&gt;Bernal, Jane&lt;/author&gt;&lt;author&gt;Shearn, Julia&lt;/author&gt;&lt;author&gt;Worth, Rhian&lt;/author&gt;&lt;author&gt;Jones, Edwin&lt;/author&gt;&lt;author&gt;Lowe, Kathy&lt;/author&gt;&lt;author&gt;Madden, Phil&lt;/author&gt;&lt;author&gt;Barr, Owen&lt;/author&gt;&lt;author&gt;Forrester Jones, Rachel&lt;/author&gt;&lt;author&gt;Jarvis, Paul&lt;/author&gt;&lt;/authors&gt;&lt;/contributors&gt;&lt;titles&gt;&lt;title&gt;Last months of life of people with intellectual disabilities: A UK population</w:instrText>
      </w:r>
      <w:r w:rsidR="005F4080">
        <w:rPr>
          <w:rFonts w:ascii="Cambria Math" w:hAnsi="Cambria Math" w:cs="Cambria Math"/>
        </w:rPr>
        <w:instrText>‐</w:instrText>
      </w:r>
      <w:r w:rsidR="005F4080">
        <w:instrText>based study of death and dying in intellectual disability community services&lt;/title&gt;&lt;secondary-title&gt;Journal of Applied Research in Intellectual Disabilities&lt;/secondary-title&gt;&lt;/titles&gt;&lt;periodical&gt;&lt;full-title&gt;Journal of Applied Research in Intellectual Disabilities&lt;/full-title&gt;&lt;/periodical&gt;&lt;pages&gt;1245-1258&lt;/pages&gt;&lt;volume&gt;33&lt;/volume&gt;&lt;number&gt;6&lt;/number&gt;&lt;dates&gt;&lt;year&gt;2020&lt;/year&gt;&lt;/dates&gt;&lt;isbn&gt;1360-2322&lt;/isbn&gt;&lt;urls&gt;&lt;/urls&gt;&lt;/record&gt;&lt;/Cite&gt;&lt;/EndNote&gt;</w:instrText>
      </w:r>
      <w:r w:rsidR="00260602" w:rsidRPr="006E338B">
        <w:fldChar w:fldCharType="separate"/>
      </w:r>
      <w:r w:rsidR="005F4080">
        <w:rPr>
          <w:noProof/>
        </w:rPr>
        <w:t>(Todd et al., 2020)</w:t>
      </w:r>
      <w:r w:rsidR="00260602" w:rsidRPr="006E338B">
        <w:fldChar w:fldCharType="end"/>
      </w:r>
      <w:r w:rsidR="00850C27" w:rsidRPr="006E338B">
        <w:t>. The</w:t>
      </w:r>
      <w:r w:rsidR="00940384" w:rsidRPr="006E338B">
        <w:t xml:space="preserve"> findings of this study</w:t>
      </w:r>
      <w:r w:rsidR="00D329AA" w:rsidRPr="006E338B">
        <w:t>, though,</w:t>
      </w:r>
      <w:r w:rsidR="00940384" w:rsidRPr="006E338B">
        <w:t xml:space="preserve"> provide</w:t>
      </w:r>
      <w:r w:rsidR="00850C27" w:rsidRPr="006E338B">
        <w:t xml:space="preserve"> examples</w:t>
      </w:r>
      <w:r w:rsidR="00940384" w:rsidRPr="006E338B">
        <w:t xml:space="preserve"> of extraordinary efforts </w:t>
      </w:r>
      <w:r w:rsidR="00D329AA" w:rsidRPr="006E338B">
        <w:t>on the part of</w:t>
      </w:r>
      <w:r w:rsidR="00940384" w:rsidRPr="006E338B">
        <w:t xml:space="preserve"> individual teams </w:t>
      </w:r>
      <w:r w:rsidR="00D329AA" w:rsidRPr="006E338B">
        <w:t>and</w:t>
      </w:r>
      <w:r w:rsidR="00940384" w:rsidRPr="006E338B">
        <w:t xml:space="preserve"> staff members</w:t>
      </w:r>
      <w:r w:rsidR="00D329AA" w:rsidRPr="006E338B">
        <w:t>,</w:t>
      </w:r>
      <w:r w:rsidR="00940384" w:rsidRPr="006E338B">
        <w:t xml:space="preserve"> to support </w:t>
      </w:r>
      <w:r w:rsidR="00D329AA" w:rsidRPr="006E338B">
        <w:t>those in their care</w:t>
      </w:r>
      <w:r w:rsidR="00940384" w:rsidRPr="006E338B">
        <w:t xml:space="preserve"> to die at home. </w:t>
      </w:r>
      <w:r w:rsidR="00D329AA" w:rsidRPr="006E338B">
        <w:t>There were also</w:t>
      </w:r>
      <w:r w:rsidR="00940384" w:rsidRPr="006E338B">
        <w:t xml:space="preserve"> </w:t>
      </w:r>
      <w:r w:rsidR="009965C8" w:rsidRPr="006E338B">
        <w:t>exemplars</w:t>
      </w:r>
      <w:r w:rsidR="00940384" w:rsidRPr="006E338B">
        <w:t xml:space="preserve"> of the individual being involved </w:t>
      </w:r>
      <w:r w:rsidR="009965C8" w:rsidRPr="006E338B">
        <w:t>in</w:t>
      </w:r>
      <w:r w:rsidR="00940384" w:rsidRPr="006E338B">
        <w:t xml:space="preserve"> end of life care decisions </w:t>
      </w:r>
      <w:r w:rsidR="009965C8" w:rsidRPr="006E338B">
        <w:t>and</w:t>
      </w:r>
      <w:r w:rsidR="00940384" w:rsidRPr="006E338B">
        <w:t xml:space="preserve"> planning. </w:t>
      </w:r>
      <w:r w:rsidR="008B79D4" w:rsidRPr="006E338B">
        <w:t>W</w:t>
      </w:r>
      <w:r w:rsidR="00F34F3C" w:rsidRPr="006E338B">
        <w:t xml:space="preserve">hilst </w:t>
      </w:r>
      <w:r w:rsidR="00492EEE" w:rsidRPr="006E338B">
        <w:t xml:space="preserve">it is noted that </w:t>
      </w:r>
      <w:r w:rsidR="00F34F3C" w:rsidRPr="006E338B">
        <w:t>family were involved and supported</w:t>
      </w:r>
      <w:r w:rsidR="008B79D4" w:rsidRPr="006E338B">
        <w:t xml:space="preserve">, </w:t>
      </w:r>
      <w:r w:rsidR="00355DF7" w:rsidRPr="006E338B">
        <w:t>a number of</w:t>
      </w:r>
      <w:r w:rsidR="00492EEE" w:rsidRPr="006E338B">
        <w:t xml:space="preserve"> family members did not feel supported </w:t>
      </w:r>
      <w:r w:rsidR="00355DF7" w:rsidRPr="006E338B">
        <w:t>during</w:t>
      </w:r>
      <w:r w:rsidR="00492EEE" w:rsidRPr="006E338B">
        <w:t xml:space="preserve"> times of bereavement</w:t>
      </w:r>
      <w:r w:rsidR="00355DF7" w:rsidRPr="006E338B">
        <w:t>.</w:t>
      </w:r>
    </w:p>
    <w:p w14:paraId="2DC22695" w14:textId="664E05B0" w:rsidR="00281E3C" w:rsidRDefault="00703FCB" w:rsidP="00281E3C">
      <w:pPr>
        <w:rPr>
          <w:rFonts w:eastAsia="Open Sans"/>
        </w:rPr>
      </w:pPr>
      <w:r>
        <w:t xml:space="preserve">Whilst end of life care needs may be considered to be </w:t>
      </w:r>
      <w:r w:rsidR="009B7972">
        <w:t xml:space="preserve">generic, there are </w:t>
      </w:r>
      <w:r w:rsidR="002B1D14">
        <w:t xml:space="preserve">specific needs that arise with </w:t>
      </w:r>
      <w:r w:rsidR="001C51F8">
        <w:t>differing illness processes. Th</w:t>
      </w:r>
      <w:r w:rsidR="002E6D7A">
        <w:t>e profile of diseases and conditions leading to death in older people with intellectual disabilit</w:t>
      </w:r>
      <w:r w:rsidR="00B032E8">
        <w:t>ies</w:t>
      </w:r>
      <w:r w:rsidR="00FF6CB1">
        <w:t xml:space="preserve"> </w:t>
      </w:r>
      <w:r w:rsidR="00BD3528">
        <w:t>may</w:t>
      </w:r>
      <w:r w:rsidR="00FF6CB1">
        <w:t xml:space="preserve"> diffe</w:t>
      </w:r>
      <w:r w:rsidR="00BD3528">
        <w:t>r</w:t>
      </w:r>
      <w:r w:rsidR="00FF6CB1">
        <w:t xml:space="preserve"> to that in the general older population</w:t>
      </w:r>
      <w:r w:rsidR="00BD3528">
        <w:t xml:space="preserve"> </w:t>
      </w:r>
      <w:r w:rsidR="001502F5">
        <w:fldChar w:fldCharType="begin"/>
      </w:r>
      <w:r w:rsidR="00F17727">
        <w:instrText xml:space="preserve"> ADDIN EN.CITE &lt;EndNote&gt;&lt;Cite&gt;&lt;Author&gt;Heslop&lt;/Author&gt;&lt;Year&gt;2015&lt;/Year&gt;&lt;RecNum&gt;782&lt;/RecNum&gt;&lt;DisplayText&gt;(Heslop &amp;amp; Glover, 2015)&lt;/DisplayText&gt;&lt;record&gt;&lt;rec-number&gt;782&lt;/rec-number&gt;&lt;foreign-keys&gt;&lt;key app="EN" db-id="xtwfdzde5ttr0zevxrh5sf0c2wfzw5zf2vra" timestamp="1669639293" guid="a17ad7cf-3c13-49f2-a060-f48a5cf945cf"&gt;782&lt;/key&gt;&lt;/foreign-keys&gt;&lt;ref-type name="Journal Article"&gt;17&lt;/ref-type&gt;&lt;contributors&gt;&lt;authors&gt;&lt;author&gt;Heslop, Pauline&lt;/author&gt;&lt;author&gt;Glover, Gyles&lt;/author&gt;&lt;/authors&gt;&lt;/contributors&gt;&lt;titles&gt;&lt;title&gt;Mortality of people with intellectual disabilities in England: a comparison of data from existing sources&lt;/title&gt;&lt;secondary-title&gt;Journal of Applied Research in Intellectual Disabilities&lt;/secondary-title&gt;&lt;/titles&gt;&lt;periodical&gt;&lt;full-title&gt;Journal of Applied Research in Intellectual Disabilities&lt;/full-title&gt;&lt;/periodical&gt;&lt;pages&gt;414-422&lt;/pages&gt;&lt;volume&gt;28&lt;/volume&gt;&lt;number&gt;5&lt;/number&gt;&lt;dates&gt;&lt;year&gt;2015&lt;/year&gt;&lt;/dates&gt;&lt;isbn&gt;1360-2322&lt;/isbn&gt;&lt;urls&gt;&lt;/urls&gt;&lt;/record&gt;&lt;/Cite&gt;&lt;/EndNote&gt;</w:instrText>
      </w:r>
      <w:r w:rsidR="001502F5">
        <w:fldChar w:fldCharType="separate"/>
      </w:r>
      <w:r w:rsidR="001502F5">
        <w:rPr>
          <w:noProof/>
        </w:rPr>
        <w:t>(Heslop &amp; Glover, 2015)</w:t>
      </w:r>
      <w:r w:rsidR="001502F5">
        <w:fldChar w:fldCharType="end"/>
      </w:r>
      <w:r w:rsidR="00D7500F">
        <w:t>,</w:t>
      </w:r>
      <w:r w:rsidR="00E7004E">
        <w:t xml:space="preserve"> leading to the suggestion</w:t>
      </w:r>
      <w:r w:rsidR="00B2601E">
        <w:t xml:space="preserve"> that there </w:t>
      </w:r>
      <w:r w:rsidR="00E7004E">
        <w:t>is</w:t>
      </w:r>
      <w:r w:rsidR="00B2601E" w:rsidRPr="5FC44C77">
        <w:rPr>
          <w:rFonts w:eastAsia="Open Sans"/>
          <w:color w:val="FF0000"/>
        </w:rPr>
        <w:t xml:space="preserve"> </w:t>
      </w:r>
      <w:r w:rsidR="00B2601E" w:rsidRPr="5FC44C77">
        <w:rPr>
          <w:rFonts w:eastAsia="Open Sans"/>
        </w:rPr>
        <w:t>less understanding of the end</w:t>
      </w:r>
      <w:r w:rsidR="00814537" w:rsidRPr="5FC44C77">
        <w:rPr>
          <w:rFonts w:eastAsia="Open Sans"/>
        </w:rPr>
        <w:t xml:space="preserve"> </w:t>
      </w:r>
      <w:r w:rsidR="00B2601E" w:rsidRPr="5FC44C77">
        <w:rPr>
          <w:rFonts w:eastAsia="Open Sans"/>
        </w:rPr>
        <w:t>of</w:t>
      </w:r>
      <w:r w:rsidR="00814537" w:rsidRPr="5FC44C77">
        <w:rPr>
          <w:rFonts w:eastAsia="Open Sans"/>
        </w:rPr>
        <w:t xml:space="preserve"> </w:t>
      </w:r>
      <w:r w:rsidR="00B2601E" w:rsidRPr="5FC44C77">
        <w:rPr>
          <w:rFonts w:eastAsia="Open Sans"/>
        </w:rPr>
        <w:t>life care needs of people with intellectual disabilit</w:t>
      </w:r>
      <w:r w:rsidR="00B032E8">
        <w:rPr>
          <w:rFonts w:eastAsia="Open Sans"/>
        </w:rPr>
        <w:t>ies</w:t>
      </w:r>
      <w:r w:rsidR="00B2601E" w:rsidRPr="5FC44C77">
        <w:rPr>
          <w:rFonts w:eastAsia="Open Sans"/>
        </w:rPr>
        <w:t>, than there is for other older adults</w:t>
      </w:r>
      <w:r w:rsidR="00E7004E">
        <w:rPr>
          <w:rFonts w:eastAsia="Open Sans"/>
        </w:rPr>
        <w:t>.</w:t>
      </w:r>
      <w:r w:rsidR="00BA1393" w:rsidRPr="5FC44C77">
        <w:rPr>
          <w:rFonts w:eastAsia="Open Sans"/>
        </w:rPr>
        <w:t xml:space="preserve"> </w:t>
      </w:r>
      <w:r w:rsidR="00B2601E" w:rsidRPr="5FC44C77">
        <w:rPr>
          <w:rFonts w:eastAsia="Open Sans"/>
        </w:rPr>
        <w:fldChar w:fldCharType="begin"/>
      </w:r>
      <w:r w:rsidR="00B2601E" w:rsidRPr="5FC44C77">
        <w:rPr>
          <w:rFonts w:eastAsia="Open Sans"/>
        </w:rPr>
        <w:instrText xml:space="preserve"> ADDIN EN.CITE &lt;EndNote&gt;&lt;Cite&gt;&lt;Author&gt;Todd&lt;/Author&gt;&lt;Year&gt;2020&lt;/Year&gt;&lt;RecNum&gt;726&lt;/RecNum&gt;&lt;DisplayText&gt;(Todd et al., 2020)&lt;/DisplayText&gt;&lt;record&gt;&lt;rec-number&gt;726&lt;/rec-number&gt;&lt;foreign-keys&gt;&lt;key app="EN" db-id="xtwfdzde5ttr0zevxrh5sf0c2wfzw5zf2vra" timestamp="1667386694" guid="a5cdb226-3275-4b13-8556-01f94426c08b"&gt;726&lt;/key&gt;&lt;/foreign-keys&gt;&lt;ref-type name="Journal Article"&gt;17&lt;/ref-type&gt;&lt;contributors&gt;&lt;authors&gt;&lt;author&gt;Todd, Stuart&lt;/author&gt;&lt;author&gt;Bernal, Jane&lt;/author&gt;&lt;author&gt;Shearn, Julia&lt;/author&gt;&lt;author&gt;Worth, Rhian&lt;/author&gt;&lt;author&gt;Jones, Edwin&lt;/author&gt;&lt;author&gt;Lowe, Kathy&lt;/author&gt;&lt;author&gt;Madden, Phil&lt;/author&gt;&lt;author&gt;Barr, Owen&lt;/author&gt;&lt;author&gt;Forrester Jones, Rachel&lt;/author&gt;&lt;author&gt;Jarvis, Paul&lt;/author&gt;&lt;/authors&gt;&lt;/contributors&gt;&lt;titles&gt;&lt;title&gt;Last months of life of people with intellectual disabilities: A UK population</w:instrText>
      </w:r>
      <w:r w:rsidR="00B2601E" w:rsidRPr="5FC44C77">
        <w:rPr>
          <w:rFonts w:ascii="Cambria Math" w:eastAsia="Open Sans" w:hAnsi="Cambria Math" w:cs="Cambria Math"/>
        </w:rPr>
        <w:instrText>‐</w:instrText>
      </w:r>
      <w:r w:rsidR="00B2601E" w:rsidRPr="5FC44C77">
        <w:rPr>
          <w:rFonts w:eastAsia="Open Sans"/>
        </w:rPr>
        <w:instrText>based study of death and dying in intellectual disability community services&lt;/title&gt;&lt;secondary-title&gt;Journal of Applied Research in Intellectual Disabilities&lt;/secondary-title&gt;&lt;/titles&gt;&lt;periodical&gt;&lt;full-title&gt;Journal of Applied Research in Intellectual Disabilities&lt;/full-title&gt;&lt;/periodical&gt;&lt;pages&gt;1245-1258&lt;/pages&gt;&lt;volume&gt;33&lt;/volume&gt;&lt;number&gt;6&lt;/number&gt;&lt;dates&gt;&lt;year&gt;2020&lt;/year&gt;&lt;/dates&gt;&lt;isbn&gt;1360-2322&lt;/isbn&gt;&lt;urls&gt;&lt;/urls&gt;&lt;/record&gt;&lt;/Cite&gt;&lt;/EndNote&gt;</w:instrText>
      </w:r>
      <w:r w:rsidR="00B2601E" w:rsidRPr="5FC44C77">
        <w:rPr>
          <w:rFonts w:eastAsia="Open Sans"/>
        </w:rPr>
        <w:fldChar w:fldCharType="separate"/>
      </w:r>
      <w:r w:rsidR="00B2601E" w:rsidRPr="5FC44C77">
        <w:rPr>
          <w:rFonts w:eastAsia="Open Sans"/>
          <w:noProof/>
        </w:rPr>
        <w:t>(Todd et al., 2020)</w:t>
      </w:r>
      <w:r w:rsidR="00B2601E" w:rsidRPr="5FC44C77">
        <w:rPr>
          <w:rFonts w:eastAsia="Open Sans"/>
        </w:rPr>
        <w:fldChar w:fldCharType="end"/>
      </w:r>
      <w:r w:rsidR="00BA1393" w:rsidRPr="5FC44C77">
        <w:rPr>
          <w:rFonts w:eastAsia="Open Sans"/>
        </w:rPr>
        <w:t xml:space="preserve">. </w:t>
      </w:r>
      <w:r w:rsidR="00BA1393" w:rsidRPr="008D38FF">
        <w:rPr>
          <w:rFonts w:eastAsia="Open Sans"/>
        </w:rPr>
        <w:t>T</w:t>
      </w:r>
      <w:r w:rsidR="009965C8" w:rsidRPr="008D38FF">
        <w:t>he</w:t>
      </w:r>
      <w:r w:rsidR="00D4044B" w:rsidRPr="008D38FF">
        <w:t xml:space="preserve">re </w:t>
      </w:r>
      <w:r w:rsidR="00D4044B" w:rsidRPr="006E338B">
        <w:t>is</w:t>
      </w:r>
      <w:r w:rsidR="009941A0" w:rsidRPr="006E338B">
        <w:t xml:space="preserve"> </w:t>
      </w:r>
      <w:r w:rsidR="00D4044B" w:rsidRPr="006E338B">
        <w:t xml:space="preserve">a </w:t>
      </w:r>
      <w:r w:rsidR="009965C8" w:rsidRPr="006E338B">
        <w:t>need for</w:t>
      </w:r>
      <w:r w:rsidR="00940384" w:rsidRPr="006E338B">
        <w:t xml:space="preserve"> </w:t>
      </w:r>
      <w:r w:rsidR="00D4044B" w:rsidRPr="006E338B">
        <w:t xml:space="preserve">staff training and education in </w:t>
      </w:r>
      <w:r w:rsidR="004C2596" w:rsidRPr="006E338B">
        <w:t>relation</w:t>
      </w:r>
      <w:r w:rsidR="00940384" w:rsidRPr="006E338B">
        <w:t xml:space="preserve"> to end of life planning </w:t>
      </w:r>
      <w:r w:rsidR="00386108" w:rsidRPr="006E338B">
        <w:t xml:space="preserve">and </w:t>
      </w:r>
      <w:r w:rsidR="00A72F13" w:rsidRPr="006E338B">
        <w:t xml:space="preserve">care, something that has </w:t>
      </w:r>
      <w:r w:rsidR="003F0819" w:rsidRPr="006E338B">
        <w:t>previously been highlighted in the literature</w:t>
      </w:r>
      <w:r w:rsidR="00940384" w:rsidRPr="006E338B">
        <w:t xml:space="preserve"> </w:t>
      </w:r>
      <w:r w:rsidR="00940384" w:rsidRPr="006E338B">
        <w:fldChar w:fldCharType="begin">
          <w:fldData xml:space="preserve">PEVuZE5vdGU+PENpdGU+PEF1dGhvcj5SeWFuPC9BdXRob3I+PFllYXI+MjAxMTwvWWVhcj48UmVj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</w:fldData>
        </w:fldChar>
      </w:r>
      <w:r w:rsidR="003F6D21">
        <w:instrText xml:space="preserve"> ADDIN EN.CITE </w:instrText>
      </w:r>
      <w:r w:rsidR="003F6D21">
        <w:fldChar w:fldCharType="begin">
          <w:fldData xml:space="preserve">PEVuZE5vdGU+PENpdGU+PEF1dGhvcj5SeWFuPC9BdXRob3I+PFllYXI+MjAxMTwvWWVhcj48UmVj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</w:fldData>
        </w:fldChar>
      </w:r>
      <w:r w:rsidR="003F6D21">
        <w:instrText xml:space="preserve"> ADDIN EN.CITE.DATA </w:instrText>
      </w:r>
      <w:r w:rsidR="003F6D21">
        <w:fldChar w:fldCharType="end"/>
      </w:r>
      <w:r w:rsidR="00940384" w:rsidRPr="006E338B">
        <w:fldChar w:fldCharType="separate"/>
      </w:r>
      <w:r w:rsidR="003F6D21">
        <w:rPr>
          <w:noProof/>
        </w:rPr>
        <w:t>(McCallion et al., 2017; Ryan et al., 2011; Ryan et al., 2010)</w:t>
      </w:r>
      <w:r w:rsidR="00940384" w:rsidRPr="006E338B">
        <w:fldChar w:fldCharType="end"/>
      </w:r>
      <w:r w:rsidR="00940384" w:rsidRPr="006E338B">
        <w:t>.</w:t>
      </w:r>
      <w:r w:rsidR="00CA420A">
        <w:t xml:space="preserve"> </w:t>
      </w:r>
      <w:r w:rsidR="007E6B43">
        <w:t xml:space="preserve">Some services reported </w:t>
      </w:r>
      <w:r w:rsidR="001C335D">
        <w:t>good engagement with palliative care teams</w:t>
      </w:r>
      <w:r w:rsidR="00D72C6A">
        <w:t>. I</w:t>
      </w:r>
      <w:r w:rsidR="001C335D">
        <w:t xml:space="preserve">n the context of increasing longevity and the complex needs that may be associated with this, </w:t>
      </w:r>
      <w:r w:rsidR="00E3137E">
        <w:t xml:space="preserve">timely </w:t>
      </w:r>
      <w:r w:rsidR="00C90BFF">
        <w:t xml:space="preserve">engagement with </w:t>
      </w:r>
      <w:r w:rsidR="00E3137E">
        <w:t xml:space="preserve">palliative care teams and </w:t>
      </w:r>
      <w:r w:rsidR="004908C9">
        <w:t xml:space="preserve">advanced planning, grounded in the </w:t>
      </w:r>
      <w:r w:rsidR="003250FF" w:rsidRPr="5FC44C77">
        <w:rPr>
          <w:lang w:eastAsia="en-IE"/>
        </w:rPr>
        <w:t xml:space="preserve">Irish Hospice Foundation’s </w:t>
      </w:r>
      <w:r w:rsidR="003250FF" w:rsidRPr="5FC44C77">
        <w:rPr>
          <w:i/>
          <w:iCs/>
          <w:lang w:eastAsia="en-IE"/>
        </w:rPr>
        <w:t>Think Ahead</w:t>
      </w:r>
      <w:r w:rsidR="003250FF" w:rsidRPr="5FC44C77">
        <w:rPr>
          <w:lang w:eastAsia="en-IE"/>
        </w:rPr>
        <w:t xml:space="preserve"> </w:t>
      </w:r>
      <w:r w:rsidR="00B2601E" w:rsidRPr="5FC44C77">
        <w:rPr>
          <w:lang w:eastAsia="en-IE"/>
        </w:rPr>
        <w:fldChar w:fldCharType="begin"/>
      </w:r>
      <w:r w:rsidR="00B2601E" w:rsidRPr="5FC44C77">
        <w:rPr>
          <w:lang w:eastAsia="en-IE"/>
        </w:rPr>
        <w:instrText xml:space="preserve"> ADDIN EN.CITE &lt;EndNote&gt;&lt;Cite&gt;&lt;Author&gt;Irish Hospice Foundation&lt;/Author&gt;&lt;Year&gt;2022&lt;/Year&gt;&lt;RecNum&gt;717&lt;/RecNum&gt;&lt;DisplayText&gt;(Irish Hospice Foundation, 2022)&lt;/DisplayText&gt;&lt;record&gt;&lt;rec-number&gt;717&lt;/rec-number&gt;&lt;foreign-keys&gt;&lt;key app="EN" db-id="xtwfdzde5ttr0zevxrh5sf0c2wfzw5zf2vra" timestamp="1666114189" guid="ce6fbbd8-52dd-4f3a-aa72-1555fbfe904a"&gt;717&lt;/key&gt;&lt;/foreign-keys&gt;&lt;ref-type name="Web Page"&gt;12&lt;/ref-type&gt;&lt;contributors&gt;&lt;authors&gt;&lt;author&gt;Irish Hospice Foundation, &lt;/author&gt;&lt;/authors&gt;&lt;/contributors&gt;&lt;titles&gt;&lt;title&gt;I want to Think Ahead&lt;/title&gt;&lt;/titles&gt;&lt;volume&gt;2022&lt;/volume&gt;&lt;number&gt;18/10/2022&lt;/number&gt;&lt;dates&gt;&lt;year&gt;2022&lt;/year&gt;&lt;/dates&gt;&lt;urls&gt;&lt;related-urls&gt;&lt;url&gt;https://hospicefoundation.ie/i-need-help/i-want-to-think-ahead/ &lt;/url&gt;&lt;/related-urls&gt;&lt;/urls&gt;&lt;/record&gt;&lt;/Cite&gt;&lt;/EndNote&gt;</w:instrText>
      </w:r>
      <w:r w:rsidR="00B2601E" w:rsidRPr="5FC44C77">
        <w:rPr>
          <w:lang w:eastAsia="en-IE"/>
        </w:rPr>
        <w:fldChar w:fldCharType="separate"/>
      </w:r>
      <w:r w:rsidR="003250FF" w:rsidRPr="5FC44C77">
        <w:rPr>
          <w:lang w:eastAsia="en-IE"/>
        </w:rPr>
        <w:t>(Irish Hospice Foundation, 2022)</w:t>
      </w:r>
      <w:r w:rsidR="00B2601E" w:rsidRPr="5FC44C77">
        <w:rPr>
          <w:lang w:eastAsia="en-IE"/>
        </w:rPr>
        <w:fldChar w:fldCharType="end"/>
      </w:r>
      <w:r w:rsidR="003A15D5" w:rsidRPr="5FC44C77">
        <w:rPr>
          <w:lang w:eastAsia="en-IE"/>
        </w:rPr>
        <w:t xml:space="preserve"> may provide a </w:t>
      </w:r>
      <w:r w:rsidR="00CD1149" w:rsidRPr="5FC44C77">
        <w:rPr>
          <w:lang w:eastAsia="en-IE"/>
        </w:rPr>
        <w:t xml:space="preserve">good basis for </w:t>
      </w:r>
      <w:r w:rsidR="006E338B" w:rsidRPr="5FC44C77">
        <w:rPr>
          <w:lang w:eastAsia="en-IE"/>
        </w:rPr>
        <w:t>an inclusive and respectful approach.</w:t>
      </w:r>
      <w:r w:rsidR="008D38FF" w:rsidRPr="5FC44C77">
        <w:rPr>
          <w:lang w:eastAsia="en-IE"/>
        </w:rPr>
        <w:t xml:space="preserve"> Planning is not always possible, however</w:t>
      </w:r>
      <w:r w:rsidR="00CA02B8" w:rsidRPr="5FC44C77">
        <w:rPr>
          <w:lang w:eastAsia="en-IE"/>
        </w:rPr>
        <w:t>. A</w:t>
      </w:r>
      <w:r w:rsidR="008D38FF" w:rsidRPr="5FC44C77">
        <w:rPr>
          <w:rFonts w:eastAsia="Open Sans"/>
        </w:rPr>
        <w:t xml:space="preserve"> recent UK study has reported that unexpected or less</w:t>
      </w:r>
      <w:r w:rsidR="00CA02B8" w:rsidRPr="5FC44C77">
        <w:rPr>
          <w:rFonts w:eastAsia="Open Sans"/>
        </w:rPr>
        <w:t>-</w:t>
      </w:r>
      <w:r w:rsidR="008D38FF" w:rsidRPr="5FC44C77">
        <w:rPr>
          <w:rFonts w:eastAsia="Open Sans"/>
        </w:rPr>
        <w:t>expected deaths are more commonly experienced by people with intellectual disabilit</w:t>
      </w:r>
      <w:r w:rsidR="00CA02B8" w:rsidRPr="5FC44C77">
        <w:rPr>
          <w:rFonts w:eastAsia="Open Sans"/>
        </w:rPr>
        <w:t>ies</w:t>
      </w:r>
      <w:r w:rsidR="008D38FF" w:rsidRPr="5FC44C77">
        <w:rPr>
          <w:rFonts w:eastAsia="Open Sans"/>
        </w:rPr>
        <w:t xml:space="preserve"> than </w:t>
      </w:r>
      <w:r w:rsidR="00CA02B8" w:rsidRPr="5FC44C77">
        <w:rPr>
          <w:rFonts w:eastAsia="Open Sans"/>
        </w:rPr>
        <w:t xml:space="preserve">in </w:t>
      </w:r>
      <w:r w:rsidR="008D38FF" w:rsidRPr="5FC44C77">
        <w:rPr>
          <w:rFonts w:eastAsia="Open Sans"/>
        </w:rPr>
        <w:t>the general population</w:t>
      </w:r>
      <w:r w:rsidR="004809C2" w:rsidRPr="5FC44C77">
        <w:rPr>
          <w:rFonts w:eastAsia="Open Sans"/>
        </w:rPr>
        <w:t>,</w:t>
      </w:r>
      <w:r w:rsidR="008D38FF" w:rsidRPr="5FC44C77">
        <w:rPr>
          <w:rFonts w:eastAsia="Open Sans"/>
        </w:rPr>
        <w:t xml:space="preserve"> making </w:t>
      </w:r>
      <w:r w:rsidR="65D7BE68" w:rsidRPr="5FC44C77">
        <w:rPr>
          <w:rFonts w:eastAsia="Open Sans"/>
        </w:rPr>
        <w:t>delivery of desired</w:t>
      </w:r>
      <w:r w:rsidR="008D38FF" w:rsidRPr="5FC44C77">
        <w:rPr>
          <w:rFonts w:eastAsia="Open Sans"/>
        </w:rPr>
        <w:t xml:space="preserve"> end</w:t>
      </w:r>
      <w:r w:rsidR="00814537" w:rsidRPr="5FC44C77">
        <w:rPr>
          <w:rFonts w:eastAsia="Open Sans"/>
        </w:rPr>
        <w:t xml:space="preserve"> </w:t>
      </w:r>
      <w:r w:rsidR="008D38FF" w:rsidRPr="5FC44C77">
        <w:rPr>
          <w:rFonts w:eastAsia="Open Sans"/>
        </w:rPr>
        <w:t>of</w:t>
      </w:r>
      <w:r w:rsidR="00814537" w:rsidRPr="5FC44C77">
        <w:rPr>
          <w:rFonts w:eastAsia="Open Sans"/>
        </w:rPr>
        <w:t xml:space="preserve"> </w:t>
      </w:r>
      <w:r w:rsidR="008D38FF" w:rsidRPr="5FC44C77">
        <w:rPr>
          <w:rFonts w:eastAsia="Open Sans"/>
        </w:rPr>
        <w:t xml:space="preserve">life </w:t>
      </w:r>
      <w:r w:rsidR="392EB6EA" w:rsidRPr="5FC44C77">
        <w:rPr>
          <w:rFonts w:eastAsia="Open Sans"/>
        </w:rPr>
        <w:t>care</w:t>
      </w:r>
      <w:r w:rsidR="008D38FF" w:rsidRPr="5FC44C77">
        <w:rPr>
          <w:rFonts w:eastAsia="Open Sans"/>
        </w:rPr>
        <w:t xml:space="preserve"> more difficult if it </w:t>
      </w:r>
      <w:r w:rsidR="004809C2" w:rsidRPr="5FC44C77">
        <w:rPr>
          <w:rFonts w:eastAsia="Open Sans"/>
        </w:rPr>
        <w:t xml:space="preserve">can </w:t>
      </w:r>
      <w:r w:rsidR="008D38FF" w:rsidRPr="5FC44C77">
        <w:rPr>
          <w:rFonts w:eastAsia="Open Sans"/>
        </w:rPr>
        <w:t xml:space="preserve">only </w:t>
      </w:r>
      <w:r w:rsidR="004809C2" w:rsidRPr="5FC44C77">
        <w:rPr>
          <w:rFonts w:eastAsia="Open Sans"/>
        </w:rPr>
        <w:t xml:space="preserve">be </w:t>
      </w:r>
      <w:r w:rsidR="008D38FF" w:rsidRPr="5FC44C77">
        <w:rPr>
          <w:rFonts w:eastAsia="Open Sans"/>
        </w:rPr>
        <w:t xml:space="preserve">instigated </w:t>
      </w:r>
      <w:r w:rsidR="29F9E481" w:rsidRPr="5FC44C77">
        <w:rPr>
          <w:rFonts w:eastAsia="Open Sans"/>
        </w:rPr>
        <w:t>late in</w:t>
      </w:r>
      <w:r w:rsidR="008D38FF" w:rsidRPr="5FC44C77">
        <w:rPr>
          <w:rFonts w:eastAsia="Open Sans"/>
        </w:rPr>
        <w:t xml:space="preserve"> a terminal diagnosis </w:t>
      </w:r>
      <w:r w:rsidR="00B2601E" w:rsidRPr="5FC44C77">
        <w:rPr>
          <w:rFonts w:eastAsia="Open Sans"/>
        </w:rPr>
        <w:fldChar w:fldCharType="begin"/>
      </w:r>
      <w:r w:rsidR="00B2601E" w:rsidRPr="5FC44C77">
        <w:rPr>
          <w:rFonts w:eastAsia="Open Sans"/>
          <w:color w:val="FF0000"/>
        </w:rPr>
        <w:instrText xml:space="preserve"> ADDIN EN.CITE &lt;EndNote&gt;&lt;Cite&gt;&lt;Author&gt;Bernal&lt;/Author&gt;&lt;Year&gt;2021&lt;/Year&gt;&lt;RecNum&gt;752&lt;/RecNum&gt;&lt;DisplayText&gt;(Bernal et al., 2021)&lt;/DisplayText&gt;&lt;record&gt;&lt;rec-number&gt;752&lt;/rec-number&gt;&lt;foreign-keys&gt;&lt;key app="EN" db-id="xtwfdzde5ttr0zevxrh5sf0c2wfzw5zf2vra" timestamp="1667507966" guid="3a6ce380-a3dd-487d-83d6-9294396fb49a"&gt;752&lt;/key&gt;&lt;/foreign-keys&gt;&lt;ref-type name="Journal Article"&gt;17&lt;/ref-type&gt;&lt;contributors&gt;&lt;authors&gt;&lt;author&gt;Bernal, Jane&lt;/author&gt;&lt;author&gt;Hunt, Katherine&lt;/author&gt;&lt;author&gt;Worth, Rhian&lt;/author&gt;&lt;author&gt;Shearn, Julia&lt;/author&gt;&lt;author&gt;Jones, Edwin&lt;/author&gt;&lt;author&gt;Lowe, Kathy&lt;/author&gt;&lt;author&gt;Todd, Stuart&lt;/author&gt;&lt;/authors&gt;&lt;/contributors&gt;&lt;titles&gt;&lt;title&gt;Expecting the unexpected: measures, outcomes and dying trajectories for expected and unexpected death in adults with intellectual disabilities in social care settings in the UK&lt;/title&gt;&lt;secondary-title&gt;Journal of Applied Research in Intellectual Disabilities&lt;/secondary-title&gt;&lt;/titles&gt;&lt;periodical&gt;&lt;full-title&gt;Journal of Applied Research in Intellectual Disabilities&lt;/full-title&gt;&lt;/periodical&gt;&lt;pages&gt;594-605&lt;/pages&gt;&lt;volume&gt;34&lt;/volume&gt;&lt;number&gt;2&lt;/number&gt;&lt;dates&gt;&lt;year&gt;2021&lt;/year&gt;&lt;/dates&gt;&lt;isbn&gt;1468-3148&lt;/isbn&gt;&lt;urls&gt;&lt;/urls&gt;&lt;/record&gt;&lt;/Cite&gt;&lt;/EndNote&gt;</w:instrText>
      </w:r>
      <w:r w:rsidR="00B2601E" w:rsidRPr="5FC44C77">
        <w:rPr>
          <w:rFonts w:eastAsia="Open Sans"/>
        </w:rPr>
        <w:fldChar w:fldCharType="separate"/>
      </w:r>
      <w:r w:rsidR="008D38FF" w:rsidRPr="5FC44C77">
        <w:rPr>
          <w:rFonts w:eastAsia="Open Sans"/>
          <w:noProof/>
        </w:rPr>
        <w:t>(Bernal et al., 2021)</w:t>
      </w:r>
      <w:r w:rsidR="00B2601E" w:rsidRPr="5FC44C77">
        <w:rPr>
          <w:rFonts w:eastAsia="Open Sans"/>
        </w:rPr>
        <w:fldChar w:fldCharType="end"/>
      </w:r>
      <w:r w:rsidR="008D38FF" w:rsidRPr="5FC44C77">
        <w:rPr>
          <w:rFonts w:eastAsia="Open Sans"/>
        </w:rPr>
        <w:t>.</w:t>
      </w:r>
    </w:p>
    <w:p w14:paraId="7ACF8FB3" w14:textId="1DF2BAA2" w:rsidR="007B5A85" w:rsidRPr="006E68AF" w:rsidRDefault="00911296" w:rsidP="11C55A92">
      <w:pPr>
        <w:rPr>
          <w:rFonts w:eastAsiaTheme="minorEastAsia"/>
        </w:rPr>
      </w:pPr>
      <w:r>
        <w:t>Another</w:t>
      </w:r>
      <w:r w:rsidR="00814537">
        <w:t xml:space="preserve"> area of </w:t>
      </w:r>
      <w:r w:rsidR="00116CA6">
        <w:t xml:space="preserve">need that was </w:t>
      </w:r>
      <w:r w:rsidR="005316AD">
        <w:t>raised</w:t>
      </w:r>
      <w:r w:rsidR="00814537">
        <w:t xml:space="preserve"> in this study</w:t>
      </w:r>
      <w:r w:rsidR="00CD7FAD">
        <w:t xml:space="preserve"> was not one related to health </w:t>
      </w:r>
      <w:r w:rsidR="00EE1691">
        <w:t xml:space="preserve">or illness, but </w:t>
      </w:r>
      <w:r w:rsidR="005370C4">
        <w:t>focused instead on the pattern</w:t>
      </w:r>
      <w:r w:rsidR="00E667A6">
        <w:t>s</w:t>
      </w:r>
      <w:r w:rsidR="005370C4">
        <w:t xml:space="preserve"> of life</w:t>
      </w:r>
      <w:r w:rsidR="00E667A6">
        <w:t xml:space="preserve"> for older people with intellectual disabilities, particularly thei</w:t>
      </w:r>
      <w:r w:rsidR="002D3171">
        <w:t xml:space="preserve">r need or desire to step back from </w:t>
      </w:r>
      <w:r w:rsidR="0083735B">
        <w:t>day services or intensive activities.</w:t>
      </w:r>
      <w:r w:rsidR="00801C12">
        <w:t xml:space="preserve"> IDS-TILDA </w:t>
      </w:r>
      <w:r>
        <w:fldChar w:fldCharType="begin"/>
      </w:r>
      <w:r>
        <w:instrText xml:space="preserve"> ADDIN EN.CITE &lt;EndNote&gt;&lt;Cite&gt;&lt;Author&gt;McCarron&lt;/Author&gt;&lt;Year&gt;2014&lt;/Year&gt;&lt;RecNum&gt;708&lt;/RecNum&gt;&lt;DisplayText&gt;(McCarron et al., 2014)&lt;/DisplayText&gt;&lt;record&gt;&lt;rec-number&gt;708&lt;/rec-number&gt;&lt;foreign-keys&gt;&lt;key app="EN" db-id="xtwfdzde5ttr0zevxrh5sf0c2wfzw5zf2vra" timestamp="1665138146" guid="6e569aaa-e680-41a4-bb76-243e50ca0312"&gt;708&lt;/key&gt;&lt;/foreign-keys&gt;&lt;ref-type name="Report"&gt;27&lt;/ref-type&gt;&lt;contributors&gt;&lt;authors&gt;&lt;author&gt;McCarron, Mary&lt;/author&gt;&lt;author&gt;McCallion, Philip&lt;/author&gt;&lt;author&gt;Carroll, Rachael&lt;/author&gt;&lt;author&gt;Burke, Eilish&lt;/author&gt;&lt;author&gt;Cleary, Eimear&lt;/author&gt;&lt;author&gt;McCausland, Darren&lt;/author&gt;&lt;author&gt;McGlinchy, Eimear&lt;/author&gt;&lt;author&gt;O’Donovan, May-Ann&lt;/author&gt;&lt;author&gt;Mulryan, Niamh&lt;/author&gt;&lt;author&gt;Shivers, Carolyn&lt;/author&gt;&lt;/authors&gt;&lt;/contributors&gt;&lt;titles&gt;&lt;title&gt;Advancing years, Different challenges: Wave 2 IDS-TILDA: Findings on the ageing of people with an Intellectual Disability&lt;/title&gt;&lt;/titles&gt;&lt;dates&gt;&lt;year&gt;2014&lt;/year&gt;&lt;/dates&gt;&lt;pub-location&gt;Dublin&lt;/pub-location&gt;&lt;publisher&gt;Trinity College Dublin&lt;/publisher&gt;&lt;urls&gt;&lt;/urls&gt;&lt;/record&gt;&lt;/Cite&gt;&lt;/EndNote&gt;</w:instrText>
      </w:r>
      <w:r>
        <w:fldChar w:fldCharType="separate"/>
      </w:r>
      <w:r w:rsidR="00B84314" w:rsidRPr="11C55A92">
        <w:rPr>
          <w:noProof/>
        </w:rPr>
        <w:t>(McCarron et al., 2014)</w:t>
      </w:r>
      <w:r>
        <w:fldChar w:fldCharType="end"/>
      </w:r>
      <w:r w:rsidR="005D6229">
        <w:t xml:space="preserve"> </w:t>
      </w:r>
      <w:r w:rsidR="00F2681B">
        <w:t xml:space="preserve">reported </w:t>
      </w:r>
      <w:r w:rsidR="00FB251C">
        <w:t>that</w:t>
      </w:r>
      <w:r w:rsidR="00064F56">
        <w:t xml:space="preserve"> more than 70% of respondents were still attending a day service </w:t>
      </w:r>
      <w:r w:rsidR="001808AD">
        <w:t xml:space="preserve">in older age with only </w:t>
      </w:r>
      <w:r w:rsidR="00F85E4E">
        <w:t xml:space="preserve">6.7% being </w:t>
      </w:r>
      <w:r w:rsidR="00762E0C">
        <w:t>retired</w:t>
      </w:r>
      <w:r w:rsidR="00061896">
        <w:t>, c</w:t>
      </w:r>
      <w:r w:rsidR="008466C8">
        <w:t xml:space="preserve">ompared to </w:t>
      </w:r>
      <w:r w:rsidR="008950F1">
        <w:t xml:space="preserve">40% in the </w:t>
      </w:r>
      <w:r w:rsidR="2E1B82E3">
        <w:t xml:space="preserve">same age groups </w:t>
      </w:r>
      <w:r w:rsidR="008950F1">
        <w:t xml:space="preserve">in the </w:t>
      </w:r>
      <w:r w:rsidR="00FB770C">
        <w:t xml:space="preserve">general population </w:t>
      </w:r>
      <w:r>
        <w:fldChar w:fldCharType="begin"/>
      </w:r>
      <w:r w:rsidR="00D00607">
        <w:instrText xml:space="preserve"> ADDIN EN.CITE &lt;EndNote&gt;&lt;Cite&gt;&lt;Author&gt;Hudson&lt;/Author&gt;&lt;Year&gt;2014&lt;/Year&gt;&lt;RecNum&gt;760&lt;/RecNum&gt;&lt;DisplayText&gt;(Hudson et al., 2014)&lt;/DisplayText&gt;&lt;record&gt;&lt;rec-number&gt;760&lt;/rec-number&gt;&lt;foreign-keys&gt;&lt;key app="EN" db-id="xtwfdzde5ttr0zevxrh5sf0c2wfzw5zf2vra" timestamp="1667577390" guid="f829fa1a-ba69-4f37-9cb5-d4dfbf23e952"&gt;760&lt;/key&gt;&lt;/foreign-keys&gt;&lt;ref-type name="Report"&gt;27&lt;/ref-type&gt;&lt;contributors&gt;&lt;authors&gt;&lt;author&gt;Hudson, E&lt;/author&gt;&lt;author&gt;Mosca, I&lt;/author&gt;&lt;author&gt;O’Sullivan, V&lt;/author&gt;&lt;/authors&gt;&lt;/contributors&gt;&lt;titles&gt;&lt;title&gt;The Economic Wellbeing of Over 50’s and their Children&lt;/title&gt;&lt;/titles&gt;&lt;pages&gt;p25-50&lt;/pages&gt;&lt;dates&gt;&lt;year&gt;2014&lt;/year&gt;&lt;/dates&gt;&lt;pub-location&gt;Dublin&lt;/pub-location&gt;&lt;publisher&gt;The Irish Longitudinal Study of Ageing&lt;/publisher&gt;&lt;urls&gt;&lt;/urls&gt;&lt;/record&gt;&lt;/Cite&gt;&lt;/EndNote&gt;</w:instrText>
      </w:r>
      <w:r>
        <w:fldChar w:fldCharType="separate"/>
      </w:r>
      <w:r w:rsidR="00B84314" w:rsidRPr="11C55A92">
        <w:rPr>
          <w:noProof/>
        </w:rPr>
        <w:t>(Hudson et al., 2014)</w:t>
      </w:r>
      <w:r>
        <w:fldChar w:fldCharType="end"/>
      </w:r>
      <w:r w:rsidR="00B84314">
        <w:t xml:space="preserve">. </w:t>
      </w:r>
      <w:r>
        <w:fldChar w:fldCharType="begin"/>
      </w:r>
      <w:r>
        <w:instrText xml:space="preserve"> ADDIN EN.CITE &lt;EndNote&gt;&lt;Cite AuthorYear="1"&gt;&lt;Author&gt;McCallion&lt;/Author&gt;&lt;Year&gt;2013&lt;/Year&gt;&lt;RecNum&gt;761&lt;/RecNum&gt;&lt;DisplayText&gt;McCallion et al. (2013a)&lt;/DisplayText&gt;&lt;record&gt;&lt;rec-number&gt;761&lt;/rec-number&gt;&lt;foreign-keys&gt;&lt;key app="EN" db-id="xtwfdzde5ttr0zevxrh5sf0c2wfzw5zf2vra" timestamp="1667577700" guid="3790dcc1-9a0e-43a7-88c8-9133658b1250"&gt;761&lt;/key&gt;&lt;/foreign-keys&gt;&lt;ref-type name="Book Section"&gt;5&lt;/ref-type&gt;&lt;contributors&gt;&lt;authors&gt;&lt;author&gt;McCallion, Phillip&lt;/author&gt;&lt;author&gt;Ferretti, L&lt;/author&gt;&lt;author&gt;Park, Jihyun&lt;/author&gt;&lt;/authors&gt;&lt;secondary-authors&gt;&lt;author&gt;Birkenmaier, J&lt;/author&gt;&lt;author&gt;Curley, J&lt;/author&gt;&lt;author&gt;Sherraden, M&lt;/author&gt;&lt;/secondary-authors&gt;&lt;/contributors&gt;&lt;titles&gt;&lt;title&gt;Financial issues and an aging population: Responding to an increased potential for financial abuse and exploitation&lt;/title&gt;&lt;secondary-title&gt;Financial education &amp;amp; capability: Research, education, policy and practice&lt;/secondary-title&gt;&lt;/titles&gt;&lt;periodical&gt;&lt;full-title&gt;Financial education &amp;amp; capability: Research, education, policy and practice&lt;/full-title&gt;&lt;/periodical&gt;&lt;pages&gt;129-155&lt;/pages&gt;&lt;dates&gt;&lt;year&gt;2013&lt;/year&gt;&lt;/dates&gt;&lt;pub-location&gt;Oxford&lt;/pub-location&gt;&lt;publisher&gt;University Press&lt;/publisher&gt;&lt;urls&gt;&lt;/urls&gt;&lt;/record&gt;&lt;/Cite&gt;&lt;/EndNote&gt;</w:instrText>
      </w:r>
      <w:r>
        <w:fldChar w:fldCharType="separate"/>
      </w:r>
      <w:r w:rsidR="00B84314" w:rsidRPr="11C55A92">
        <w:rPr>
          <w:noProof/>
        </w:rPr>
        <w:t>McCallion et al. (2013a)</w:t>
      </w:r>
      <w:r>
        <w:fldChar w:fldCharType="end"/>
      </w:r>
      <w:r w:rsidR="00254BB4">
        <w:t xml:space="preserve"> notes that </w:t>
      </w:r>
      <w:r w:rsidR="009F01DD">
        <w:t xml:space="preserve">retirement in </w:t>
      </w:r>
      <w:r w:rsidR="00BB1FC5">
        <w:t xml:space="preserve">the general population </w:t>
      </w:r>
      <w:r w:rsidR="00096F4F">
        <w:t>is supported by</w:t>
      </w:r>
      <w:r w:rsidR="009D1AAC">
        <w:t xml:space="preserve"> a number of factors, including financial resource</w:t>
      </w:r>
      <w:r w:rsidR="74D36A4D">
        <w:t>s</w:t>
      </w:r>
      <w:r w:rsidR="00BC24D8">
        <w:t>.</w:t>
      </w:r>
      <w:r w:rsidR="00683CEE">
        <w:t xml:space="preserve"> </w:t>
      </w:r>
      <w:r w:rsidR="005A2186" w:rsidRPr="11C55A92">
        <w:rPr>
          <w:rFonts w:eastAsiaTheme="minorEastAsia"/>
        </w:rPr>
        <w:t>There was widespread consensus that quality of life outcomes change as people with intellectual disabilit</w:t>
      </w:r>
      <w:r w:rsidR="00B032E8">
        <w:rPr>
          <w:rFonts w:eastAsiaTheme="minorEastAsia"/>
        </w:rPr>
        <w:t>ies</w:t>
      </w:r>
      <w:r w:rsidR="005A2186" w:rsidRPr="11C55A92">
        <w:rPr>
          <w:rFonts w:eastAsiaTheme="minorEastAsia"/>
        </w:rPr>
        <w:t xml:space="preserve"> age just as is the case with general population</w:t>
      </w:r>
      <w:r w:rsidR="004D170E" w:rsidRPr="11C55A92">
        <w:rPr>
          <w:rFonts w:eastAsiaTheme="minorEastAsia"/>
        </w:rPr>
        <w:t xml:space="preserve"> and that older</w:t>
      </w:r>
      <w:r w:rsidR="005A2186" w:rsidRPr="11C55A92">
        <w:rPr>
          <w:rFonts w:eastAsiaTheme="minorEastAsia"/>
        </w:rPr>
        <w:t xml:space="preserve"> people may require or desire a slower pace of life </w:t>
      </w:r>
      <w:r w:rsidR="00D44C7D" w:rsidRPr="11C55A92">
        <w:rPr>
          <w:rFonts w:eastAsiaTheme="minorEastAsia"/>
        </w:rPr>
        <w:t xml:space="preserve">than that which they </w:t>
      </w:r>
      <w:r w:rsidR="007D706A" w:rsidRPr="11C55A92">
        <w:rPr>
          <w:rFonts w:eastAsiaTheme="minorEastAsia"/>
        </w:rPr>
        <w:t xml:space="preserve">had in earlier years. </w:t>
      </w:r>
      <w:r w:rsidR="5933B7E6" w:rsidRPr="11C55A92">
        <w:rPr>
          <w:rFonts w:eastAsiaTheme="minorEastAsia"/>
        </w:rPr>
        <w:t xml:space="preserve">However, supporting individuals to withdraw from day centres may have prohibitive </w:t>
      </w:r>
      <w:r w:rsidR="3801F85D" w:rsidRPr="11C55A92">
        <w:rPr>
          <w:rFonts w:eastAsiaTheme="minorEastAsia"/>
        </w:rPr>
        <w:t>financial</w:t>
      </w:r>
      <w:r w:rsidR="5933B7E6" w:rsidRPr="11C55A92">
        <w:rPr>
          <w:rFonts w:eastAsiaTheme="minorEastAsia"/>
        </w:rPr>
        <w:t xml:space="preserve"> </w:t>
      </w:r>
      <w:r w:rsidR="51423426" w:rsidRPr="11C55A92">
        <w:rPr>
          <w:rFonts w:eastAsiaTheme="minorEastAsia"/>
        </w:rPr>
        <w:t xml:space="preserve">implications for services </w:t>
      </w:r>
      <w:r w:rsidR="6731B443" w:rsidRPr="11C55A92">
        <w:rPr>
          <w:rFonts w:eastAsiaTheme="minorEastAsia"/>
        </w:rPr>
        <w:t xml:space="preserve">if they have to staff houses which were previously unoccupied during day service hours. </w:t>
      </w:r>
    </w:p>
    <w:p w14:paraId="6715055D" w14:textId="438CA323" w:rsidR="005A2186" w:rsidRPr="00163B7A" w:rsidRDefault="00163B7A" w:rsidP="00163B7A">
      <w:pPr>
        <w:pStyle w:val="Heading2"/>
      </w:pPr>
      <w:bookmarkStart w:id="275" w:name="_Toc118555222"/>
      <w:bookmarkStart w:id="276" w:name="_Toc118558309"/>
      <w:bookmarkStart w:id="277" w:name="_Toc118558380"/>
      <w:bookmarkStart w:id="278" w:name="_Toc121830637"/>
      <w:r w:rsidRPr="00163B7A">
        <w:t>Meeting future need</w:t>
      </w:r>
      <w:bookmarkEnd w:id="275"/>
      <w:bookmarkEnd w:id="276"/>
      <w:bookmarkEnd w:id="277"/>
      <w:bookmarkEnd w:id="278"/>
    </w:p>
    <w:p w14:paraId="23C21BB8" w14:textId="588417C4" w:rsidR="00DC53DE" w:rsidRDefault="007442FB" w:rsidP="00163B7A">
      <w:pPr>
        <w:rPr>
          <w:rFonts w:eastAsia="Gill Sans MT" w:cs="Gill Sans MT"/>
        </w:rPr>
      </w:pPr>
      <w:r w:rsidRPr="005237E8">
        <w:rPr>
          <w:bCs/>
        </w:rPr>
        <w:t xml:space="preserve">The </w:t>
      </w:r>
      <w:r w:rsidR="000D56A6" w:rsidRPr="005237E8">
        <w:rPr>
          <w:bCs/>
        </w:rPr>
        <w:t>issue of resources</w:t>
      </w:r>
      <w:r w:rsidR="007D1B72" w:rsidRPr="005237E8">
        <w:rPr>
          <w:bCs/>
        </w:rPr>
        <w:t xml:space="preserve"> is a repeating theme in the </w:t>
      </w:r>
      <w:r w:rsidR="0065179E" w:rsidRPr="005237E8">
        <w:rPr>
          <w:bCs/>
        </w:rPr>
        <w:t xml:space="preserve">findings and underpins </w:t>
      </w:r>
      <w:r w:rsidR="00CC702E" w:rsidRPr="005237E8">
        <w:rPr>
          <w:bCs/>
        </w:rPr>
        <w:t xml:space="preserve">so many </w:t>
      </w:r>
      <w:r w:rsidR="00DF3252" w:rsidRPr="005237E8">
        <w:rPr>
          <w:bCs/>
        </w:rPr>
        <w:t>aspects of service provision</w:t>
      </w:r>
      <w:r w:rsidR="00E72730" w:rsidRPr="005237E8">
        <w:rPr>
          <w:bCs/>
        </w:rPr>
        <w:t xml:space="preserve">, with </w:t>
      </w:r>
      <w:r w:rsidR="002E3A72" w:rsidRPr="005237E8">
        <w:rPr>
          <w:bCs/>
        </w:rPr>
        <w:t xml:space="preserve">key </w:t>
      </w:r>
      <w:r w:rsidR="00C43A66" w:rsidRPr="005237E8">
        <w:rPr>
          <w:bCs/>
        </w:rPr>
        <w:t xml:space="preserve">healthy ageing </w:t>
      </w:r>
      <w:r w:rsidR="002E3A72" w:rsidRPr="005237E8">
        <w:rPr>
          <w:bCs/>
        </w:rPr>
        <w:t>principles</w:t>
      </w:r>
      <w:r w:rsidR="00C43A66" w:rsidRPr="005237E8">
        <w:rPr>
          <w:bCs/>
        </w:rPr>
        <w:t xml:space="preserve"> </w:t>
      </w:r>
      <w:r w:rsidR="009B3191" w:rsidRPr="005237E8">
        <w:rPr>
          <w:bCs/>
        </w:rPr>
        <w:t xml:space="preserve">largely unachievable in the absence of </w:t>
      </w:r>
      <w:r w:rsidR="00FF2448" w:rsidRPr="005237E8">
        <w:rPr>
          <w:bCs/>
        </w:rPr>
        <w:t>responsive</w:t>
      </w:r>
      <w:r w:rsidR="009B3191" w:rsidRPr="005237E8">
        <w:rPr>
          <w:bCs/>
        </w:rPr>
        <w:t xml:space="preserve"> funding,</w:t>
      </w:r>
      <w:r w:rsidR="003D1BEE" w:rsidRPr="005237E8">
        <w:rPr>
          <w:bCs/>
        </w:rPr>
        <w:t xml:space="preserve"> </w:t>
      </w:r>
      <w:r w:rsidR="00FF2448" w:rsidRPr="005237E8">
        <w:rPr>
          <w:bCs/>
        </w:rPr>
        <w:t xml:space="preserve">flexible </w:t>
      </w:r>
      <w:r w:rsidR="003D1BEE" w:rsidRPr="005237E8">
        <w:rPr>
          <w:bCs/>
        </w:rPr>
        <w:t>staffing</w:t>
      </w:r>
      <w:r w:rsidR="00FF2448" w:rsidRPr="005237E8">
        <w:rPr>
          <w:bCs/>
        </w:rPr>
        <w:t xml:space="preserve"> models</w:t>
      </w:r>
      <w:r w:rsidR="003D1BEE" w:rsidRPr="005237E8">
        <w:rPr>
          <w:bCs/>
        </w:rPr>
        <w:t xml:space="preserve">, </w:t>
      </w:r>
      <w:r w:rsidR="003D42E9" w:rsidRPr="005237E8">
        <w:rPr>
          <w:bCs/>
        </w:rPr>
        <w:t xml:space="preserve">suitable </w:t>
      </w:r>
      <w:r w:rsidR="003D1BEE" w:rsidRPr="005237E8">
        <w:rPr>
          <w:bCs/>
        </w:rPr>
        <w:t>accom</w:t>
      </w:r>
      <w:r w:rsidR="003A2B31" w:rsidRPr="005237E8">
        <w:rPr>
          <w:bCs/>
        </w:rPr>
        <w:t>modation</w:t>
      </w:r>
      <w:r w:rsidR="003D42E9" w:rsidRPr="005237E8">
        <w:rPr>
          <w:bCs/>
        </w:rPr>
        <w:t xml:space="preserve"> and access to </w:t>
      </w:r>
      <w:r w:rsidR="003A2B31" w:rsidRPr="005237E8">
        <w:rPr>
          <w:bCs/>
        </w:rPr>
        <w:t>equipment</w:t>
      </w:r>
      <w:r w:rsidR="0084178B" w:rsidRPr="005237E8">
        <w:rPr>
          <w:bCs/>
        </w:rPr>
        <w:t xml:space="preserve"> and other resources.</w:t>
      </w:r>
      <w:r w:rsidR="003E328C" w:rsidRPr="65C249F8">
        <w:rPr>
          <w:rFonts w:eastAsia="Gill Sans MT" w:cs="Gill Sans MT"/>
        </w:rPr>
        <w:t xml:space="preserve"> The findings reflect</w:t>
      </w:r>
      <w:r w:rsidR="003E328C" w:rsidRPr="65C249F8" w:rsidDel="001615B3">
        <w:rPr>
          <w:rFonts w:eastAsia="Gill Sans MT" w:cs="Gill Sans MT"/>
        </w:rPr>
        <w:t xml:space="preserve"> </w:t>
      </w:r>
      <w:r w:rsidR="001615B3" w:rsidRPr="65C249F8">
        <w:rPr>
          <w:rFonts w:eastAsia="Gill Sans MT" w:cs="Gill Sans MT"/>
        </w:rPr>
        <w:fldChar w:fldCharType="begin"/>
      </w:r>
      <w:r w:rsidR="001615B3" w:rsidRPr="65C249F8">
        <w:rPr>
          <w:rFonts w:eastAsia="Gill Sans MT" w:cs="Gill Sans MT"/>
        </w:rPr>
        <w:instrText xml:space="preserve"> ADDIN EN.CITE &lt;EndNote&gt;&lt;Cite AuthorYear="1"&gt;&lt;Author&gt;Northway&lt;/Author&gt;&lt;Year&gt;2017&lt;/Year&gt;&lt;RecNum&gt;405&lt;/RecNum&gt;&lt;DisplayText&gt;Northway et al. (2017)&lt;/DisplayText&gt;&lt;record&gt;&lt;rec-number&gt;405&lt;/rec-number&gt;&lt;foreign-keys&gt;&lt;key app="EN" db-id="xtwfdzde5ttr0zevxrh5sf0c2wfzw5zf2vra" timestamp="1643290955" guid="ad64addc-7afe-4377-a604-e51fddd84f0b"&gt;405&lt;/key&gt;&lt;/foreign-keys&gt;&lt;ref-type name="Journal Article"&gt;17&lt;/ref-type&gt;&lt;contributors&gt;&lt;authors&gt;&lt;author&gt;Northway, Ruth&lt;/author&gt;&lt;author&gt;Holland-Hart, Daniella&lt;/author&gt;&lt;author&gt;Jenkins, Robert&lt;/author&gt;&lt;/authors&gt;&lt;/contributors&gt;&lt;titles&gt;&lt;title&gt;Meeting the health needs of older people with intellectual disabilities: exploring the experiences of residential social care staff&lt;/title&gt;&lt;secondary-title&gt;Health and Social Care in the Community&lt;/secondary-title&gt;&lt;short-title&gt;Meeting the health needs of older people with intellectual disabilities: exploring the experiences of residential social care staff&lt;/short-title&gt;&lt;/titles&gt;&lt;periodical&gt;&lt;full-title&gt;Health and Social Care in the Community&lt;/full-title&gt;&lt;/periodical&gt;&lt;pages&gt;923-931&lt;/pages&gt;&lt;volume&gt;25&lt;/volume&gt;&lt;number&gt;3&lt;/number&gt;&lt;dates&gt;&lt;year&gt;2017&lt;/year&gt;&lt;/dates&gt;&lt;urls&gt;&lt;related-urls&gt;&lt;url&gt;https://onlinelibrary.wiley.com/doi/10.1111/hsc.12380&lt;/url&gt;&lt;/related-urls&gt;&lt;/urls&gt;&lt;electronic-resource-num&gt;10.1111/hsc.12380&lt;/electronic-resource-num&gt;&lt;/record&gt;&lt;/Cite&gt;&lt;/EndNote&gt;</w:instrText>
      </w:r>
      <w:r w:rsidR="001615B3" w:rsidRPr="65C249F8">
        <w:rPr>
          <w:rFonts w:eastAsia="Gill Sans MT" w:cs="Gill Sans MT"/>
        </w:rPr>
        <w:fldChar w:fldCharType="separate"/>
      </w:r>
      <w:r w:rsidR="001615B3" w:rsidRPr="65C249F8">
        <w:rPr>
          <w:rFonts w:eastAsia="Gill Sans MT" w:cs="Gill Sans MT"/>
        </w:rPr>
        <w:t>Northway et al. (2017)</w:t>
      </w:r>
      <w:r w:rsidR="001615B3" w:rsidRPr="65C249F8">
        <w:rPr>
          <w:rFonts w:eastAsia="Gill Sans MT" w:cs="Gill Sans MT"/>
        </w:rPr>
        <w:fldChar w:fldCharType="end"/>
      </w:r>
      <w:r w:rsidR="003E328C" w:rsidRPr="65C249F8">
        <w:rPr>
          <w:rFonts w:eastAsia="Gill Sans MT" w:cs="Gill Sans MT"/>
        </w:rPr>
        <w:t>’s assertion that a strong body of evidence exists to indicate that the key determinants of whether people with intellectual disabilities can age in place are environmental issues and staff training.</w:t>
      </w:r>
      <w:r w:rsidR="005237E8" w:rsidRPr="65C249F8">
        <w:rPr>
          <w:rFonts w:eastAsia="Gill Sans MT" w:cs="Gill Sans MT"/>
        </w:rPr>
        <w:t xml:space="preserve"> </w:t>
      </w:r>
      <w:r w:rsidR="003E328C" w:rsidRPr="65C249F8">
        <w:rPr>
          <w:rFonts w:eastAsia="Gill Sans MT" w:cs="Gill Sans MT"/>
        </w:rPr>
        <w:t>The policy on decongregation has enabled many people to live in their own homes in the community. However, a sizeable proportion of these homes are proving to be unsuitable for individuals with complex needs as they lack downstairs bathrooms, space required for healthcare equipment and/or the extra staff that might be required. Managers and direct care</w:t>
      </w:r>
      <w:r w:rsidR="003C17CA" w:rsidRPr="65C249F8">
        <w:rPr>
          <w:rFonts w:eastAsia="Gill Sans MT" w:cs="Gill Sans MT"/>
        </w:rPr>
        <w:t xml:space="preserve"> staff</w:t>
      </w:r>
      <w:r w:rsidR="003E328C" w:rsidRPr="65C249F8">
        <w:rPr>
          <w:rFonts w:eastAsia="Gill Sans MT" w:cs="Gill Sans MT"/>
        </w:rPr>
        <w:t xml:space="preserve"> participants </w:t>
      </w:r>
      <w:r w:rsidR="00A84670" w:rsidRPr="65C249F8">
        <w:rPr>
          <w:rFonts w:eastAsia="Gill Sans MT" w:cs="Gill Sans MT"/>
        </w:rPr>
        <w:t xml:space="preserve">suggested that this was due to </w:t>
      </w:r>
      <w:r w:rsidR="003E328C" w:rsidRPr="65C249F8">
        <w:rPr>
          <w:rFonts w:eastAsia="Gill Sans MT" w:cs="Gill Sans MT"/>
        </w:rPr>
        <w:t>a lack</w:t>
      </w:r>
      <w:r w:rsidR="003E328C" w:rsidRPr="65C249F8">
        <w:rPr>
          <w:rFonts w:eastAsia="Gill Sans MT" w:cs="Gill Sans MT"/>
          <w:u w:val="single"/>
        </w:rPr>
        <w:t xml:space="preserve"> </w:t>
      </w:r>
      <w:r w:rsidR="003E328C" w:rsidRPr="65C249F8">
        <w:rPr>
          <w:rFonts w:eastAsia="Gill Sans MT" w:cs="Gill Sans MT"/>
        </w:rPr>
        <w:t xml:space="preserve">of investment in purchasing or modifying accommodation in recent years and reported the difficulty of competing in the housing market. </w:t>
      </w:r>
      <w:r w:rsidR="002C594E" w:rsidRPr="65C249F8">
        <w:rPr>
          <w:rFonts w:eastAsia="Gill Sans MT" w:cs="Gill Sans MT"/>
        </w:rPr>
        <w:t>Whilst a</w:t>
      </w:r>
      <w:r w:rsidR="003E328C" w:rsidRPr="65C249F8">
        <w:rPr>
          <w:rFonts w:eastAsia="Gill Sans MT" w:cs="Gill Sans MT"/>
        </w:rPr>
        <w:t>geing in place is presented as the optimal option for most older people with intellectual disabilit</w:t>
      </w:r>
      <w:r w:rsidR="00B032E8">
        <w:rPr>
          <w:rFonts w:eastAsia="Gill Sans MT" w:cs="Gill Sans MT"/>
        </w:rPr>
        <w:t>ies</w:t>
      </w:r>
      <w:r w:rsidR="002C594E" w:rsidRPr="65C249F8">
        <w:rPr>
          <w:rFonts w:eastAsia="Gill Sans MT" w:cs="Gill Sans MT"/>
        </w:rPr>
        <w:t>,</w:t>
      </w:r>
      <w:r w:rsidR="003E328C" w:rsidRPr="65C249F8">
        <w:rPr>
          <w:rFonts w:eastAsia="Gill Sans MT" w:cs="Gill Sans MT"/>
        </w:rPr>
        <w:t xml:space="preserve"> and some successful examples of such were described in the focus groups</w:t>
      </w:r>
      <w:r w:rsidR="002C594E" w:rsidRPr="65C249F8">
        <w:rPr>
          <w:rFonts w:eastAsia="Gill Sans MT" w:cs="Gill Sans MT"/>
        </w:rPr>
        <w:t>,</w:t>
      </w:r>
      <w:r w:rsidR="003E328C" w:rsidRPr="65C249F8">
        <w:rPr>
          <w:rFonts w:eastAsia="Gill Sans MT" w:cs="Gill Sans MT"/>
        </w:rPr>
        <w:t xml:space="preserve"> unsuitable accommodation, increased support or medical needs, as well as an inadequate staff mix, present insurmountable obstacles</w:t>
      </w:r>
      <w:r w:rsidR="002C594E" w:rsidRPr="65C249F8">
        <w:rPr>
          <w:rFonts w:eastAsia="Gill Sans MT" w:cs="Gill Sans MT"/>
        </w:rPr>
        <w:t>,</w:t>
      </w:r>
      <w:r w:rsidR="003E328C" w:rsidRPr="65C249F8">
        <w:rPr>
          <w:rFonts w:eastAsia="Gill Sans MT" w:cs="Gill Sans MT"/>
        </w:rPr>
        <w:t xml:space="preserve"> in some instances leading to </w:t>
      </w:r>
      <w:r w:rsidR="3D90AC2E" w:rsidRPr="17E4298A">
        <w:rPr>
          <w:rFonts w:eastAsia="Gill Sans MT" w:cs="Gill Sans MT"/>
        </w:rPr>
        <w:t xml:space="preserve">movement to </w:t>
      </w:r>
      <w:r w:rsidR="003E328C" w:rsidRPr="17E4298A">
        <w:rPr>
          <w:rFonts w:eastAsia="Gill Sans MT" w:cs="Gill Sans MT"/>
        </w:rPr>
        <w:t>alternative</w:t>
      </w:r>
      <w:r w:rsidR="003E328C" w:rsidRPr="65C249F8">
        <w:rPr>
          <w:rFonts w:eastAsia="Gill Sans MT" w:cs="Gill Sans MT"/>
        </w:rPr>
        <w:t xml:space="preserve"> settings including community nursing homes.</w:t>
      </w:r>
      <w:r w:rsidR="004C12F1" w:rsidRPr="65C249F8">
        <w:rPr>
          <w:rFonts w:eastAsia="Gill Sans MT" w:cs="Gill Sans MT"/>
        </w:rPr>
        <w:t xml:space="preserve"> </w:t>
      </w:r>
      <w:r w:rsidR="003E328C" w:rsidRPr="65C249F8">
        <w:rPr>
          <w:rFonts w:eastAsia="Gill Sans MT" w:cs="Gill Sans MT"/>
        </w:rPr>
        <w:t>Although some examples of positive collaborations between nursing homes and intellectual disability services were described, nursing homes were unanimously considered a setting of last resort for the family member participants in this study</w:t>
      </w:r>
      <w:r w:rsidR="00582CD7" w:rsidRPr="65C249F8">
        <w:rPr>
          <w:rFonts w:eastAsia="Gill Sans MT" w:cs="Gill Sans MT"/>
        </w:rPr>
        <w:t xml:space="preserve">, and </w:t>
      </w:r>
      <w:r w:rsidR="0037744C" w:rsidRPr="65C249F8">
        <w:rPr>
          <w:rFonts w:eastAsia="Gill Sans MT" w:cs="Gill Sans MT"/>
        </w:rPr>
        <w:t xml:space="preserve">one </w:t>
      </w:r>
      <w:r w:rsidR="00582CD7" w:rsidRPr="65C249F8">
        <w:rPr>
          <w:rFonts w:eastAsia="Gill Sans MT" w:cs="Gill Sans MT"/>
        </w:rPr>
        <w:t>which was not</w:t>
      </w:r>
      <w:r w:rsidR="004F7268" w:rsidRPr="65C249F8">
        <w:rPr>
          <w:rFonts w:eastAsia="Gill Sans MT" w:cs="Gill Sans MT"/>
        </w:rPr>
        <w:t xml:space="preserve"> </w:t>
      </w:r>
      <w:r w:rsidR="17D62253" w:rsidRPr="65C249F8">
        <w:rPr>
          <w:rFonts w:eastAsia="Gill Sans MT" w:cs="Gill Sans MT"/>
        </w:rPr>
        <w:t>adjudged</w:t>
      </w:r>
      <w:r w:rsidR="004F7268" w:rsidRPr="65C249F8">
        <w:rPr>
          <w:rFonts w:eastAsia="Gill Sans MT" w:cs="Gill Sans MT"/>
        </w:rPr>
        <w:t xml:space="preserve"> to be </w:t>
      </w:r>
      <w:r w:rsidR="0037744C" w:rsidRPr="65C249F8">
        <w:rPr>
          <w:rFonts w:eastAsia="Gill Sans MT" w:cs="Gill Sans MT"/>
        </w:rPr>
        <w:t xml:space="preserve">optimal </w:t>
      </w:r>
      <w:r w:rsidR="0080440B" w:rsidRPr="65C249F8">
        <w:rPr>
          <w:rFonts w:eastAsia="Gill Sans MT" w:cs="Gill Sans MT"/>
        </w:rPr>
        <w:t>due to</w:t>
      </w:r>
      <w:r w:rsidR="0026393F" w:rsidRPr="65C249F8">
        <w:rPr>
          <w:rFonts w:eastAsia="Gill Sans MT" w:cs="Gill Sans MT"/>
        </w:rPr>
        <w:t xml:space="preserve"> the negative impacts of relocation </w:t>
      </w:r>
      <w:r w:rsidR="00516BA1" w:rsidRPr="00010949">
        <w:fldChar w:fldCharType="begin"/>
      </w:r>
      <w:r w:rsidR="00516BA1" w:rsidRPr="00010949">
        <w:instrText xml:space="preserve"> ADDIN EN.CITE &lt;EndNote&gt;&lt;Cite&gt;&lt;Author&gt;Egan&lt;/Author&gt;&lt;Year&gt;2022&lt;/Year&gt;&lt;RecNum&gt;339&lt;/RecNum&gt;&lt;DisplayText&gt;(Egan et al., 2022)&lt;/DisplayText&gt;&lt;record&gt;&lt;rec-number&gt;339&lt;/rec-number&gt;&lt;foreign-keys&gt;&lt;key app="EN" db-id="xtwfdzde5ttr0zevxrh5sf0c2wfzw5zf2vra" timestamp="1643290955" guid="478640a9-ada5-4ce8-8d71-5570ffce4a90"&gt;339&lt;/key&gt;&lt;/foreign-keys&gt;&lt;ref-type name="Journal Article"&gt;17&lt;/ref-type&gt;&lt;contributors&gt;&lt;authors&gt;&lt;author&gt;Egan, Caroline&lt;/author&gt;&lt;author&gt;Mulcahy, Helen&lt;/author&gt;&lt;author&gt;Naughton, Corina&lt;/author&gt;&lt;/authors&gt;&lt;/contributors&gt;&lt;titles&gt;&lt;title&gt;Transitioning to long-term care for older adults with intellectual disabilities: A concept analysis&lt;/title&gt;&lt;secondary-title&gt;Journal of Intellectual Disabilities&lt;/secondary-title&gt;&lt;short-title&gt;Transitioning to long-term care for older adults with intellectual disabilities: A concept analysis&lt;/short-title&gt;&lt;/titles&gt;&lt;periodical&gt;&lt;full-title&gt;Journal of Intellectual Disabilities&lt;/full-title&gt;&lt;/periodical&gt;&lt;pages&gt;1015-1032&lt;/pages&gt;&lt;volume&gt;26&lt;/volume&gt;&lt;number&gt;4&lt;/number&gt;&lt;dates&gt;&lt;year&gt;2022&lt;/year&gt;&lt;/dates&gt;&lt;urls&gt;&lt;/urls&gt;&lt;electronic-resource-num&gt;10.1177/17446295211041839&lt;/electronic-resource-num&gt;&lt;/record&gt;&lt;/Cite&gt;&lt;/EndNote&gt;</w:instrText>
      </w:r>
      <w:r w:rsidR="00516BA1" w:rsidRPr="00010949">
        <w:fldChar w:fldCharType="separate"/>
      </w:r>
      <w:r w:rsidR="00516BA1" w:rsidRPr="00010949">
        <w:rPr>
          <w:noProof/>
        </w:rPr>
        <w:t>(Egan et al., 2022)</w:t>
      </w:r>
      <w:r w:rsidR="00516BA1" w:rsidRPr="00010949">
        <w:fldChar w:fldCharType="end"/>
      </w:r>
      <w:r w:rsidR="0026393F" w:rsidRPr="00010949">
        <w:t xml:space="preserve">, </w:t>
      </w:r>
      <w:r w:rsidR="0073350C" w:rsidRPr="00010949">
        <w:t>potential lack of acceptance</w:t>
      </w:r>
      <w:r w:rsidR="00DD7C6E" w:rsidRPr="00010949">
        <w:t xml:space="preserve"> </w:t>
      </w:r>
      <w:r w:rsidR="00F81849" w:rsidRPr="00F81849">
        <w:fldChar w:fldCharType="begin"/>
      </w:r>
      <w:r w:rsidR="00F81849" w:rsidRPr="00F81849">
        <w:instrText xml:space="preserve"> ADDIN EN.CITE &lt;EndNote&gt;&lt;Cite&gt;&lt;Author&gt;Webber&lt;/Author&gt;&lt;Year&gt;2014&lt;/Year&gt;&lt;RecNum&gt;757&lt;/RecNum&gt;&lt;DisplayText&gt;(Webber et al., 2014)&lt;/DisplayText&gt;&lt;record&gt;&lt;rec-number&gt;757&lt;/rec-number&gt;&lt;foreign-keys&gt;&lt;key app="EN" db-id="xtwfdzde5ttr0zevxrh5sf0c2wfzw5zf2vra" timestamp="1667576843" guid="dd06f3c6-93a3-4725-9780-3223b001f3fb"&gt;757&lt;/key&gt;&lt;/foreign-keys&gt;&lt;ref-type name="Journal Article"&gt;17&lt;/ref-type&gt;&lt;contributors&gt;&lt;authors&gt;&lt;author&gt;Webber, Ruth&lt;/author&gt;&lt;author&gt;Bowers, Barbara&lt;/author&gt;&lt;author&gt;Bigby, Chris&lt;/author&gt;&lt;/authors&gt;&lt;/contributors&gt;&lt;titles&gt;&lt;title&gt;Residential aged care for people with intellectual disability: A matter of perspective&lt;/title&gt;&lt;secondary-title&gt;Australasian Journal on Ageing&lt;/secondary-title&gt;&lt;/titles&gt;&lt;periodical&gt;&lt;full-title&gt;Australasian Journal on Ageing&lt;/full-title&gt;&lt;/periodical&gt;&lt;pages&gt;E36-E40&lt;/pages&gt;&lt;volume&gt;33&lt;/volume&gt;&lt;number&gt;4&lt;/number&gt;&lt;dates&gt;&lt;year&gt;2014&lt;/year&gt;&lt;/dates&gt;&lt;isbn&gt;1440-6381&lt;/isbn&gt;&lt;urls&gt;&lt;/urls&gt;&lt;/record&gt;&lt;/Cite&gt;&lt;/EndNote&gt;</w:instrText>
      </w:r>
      <w:r w:rsidR="00F81849" w:rsidRPr="00F81849">
        <w:fldChar w:fldCharType="separate"/>
      </w:r>
      <w:r w:rsidR="00F81849" w:rsidRPr="00F81849">
        <w:t>(Webber et al., 2014)</w:t>
      </w:r>
      <w:r w:rsidR="00F81849" w:rsidRPr="00F81849">
        <w:fldChar w:fldCharType="end"/>
      </w:r>
      <w:r w:rsidR="00F81849" w:rsidRPr="00F81849">
        <w:t>,</w:t>
      </w:r>
      <w:r w:rsidR="0056284F">
        <w:t xml:space="preserve"> </w:t>
      </w:r>
      <w:r w:rsidR="00A11F76">
        <w:t xml:space="preserve">social exclusion </w:t>
      </w:r>
      <w:r w:rsidR="00A11F76">
        <w:fldChar w:fldCharType="begin"/>
      </w:r>
      <w:r w:rsidR="00A11F76">
        <w:instrText xml:space="preserve"> ADDIN EN.CITE &lt;EndNote&gt;&lt;Cite&gt;&lt;Author&gt;Egan&lt;/Author&gt;&lt;Year&gt;2022&lt;/Year&gt;&lt;RecNum&gt;339&lt;/RecNum&gt;&lt;DisplayText&gt;(Egan et al., 2022)&lt;/DisplayText&gt;&lt;record&gt;&lt;rec-number&gt;339&lt;/rec-number&gt;&lt;foreign-keys&gt;&lt;key app="EN" db-id="xtwfdzde5ttr0zevxrh5sf0c2wfzw5zf2vra" timestamp="1643290955" guid="478640a9-ada5-4ce8-8d71-5570ffce4a90"&gt;339&lt;/key&gt;&lt;/foreign-keys&gt;&lt;ref-type name="Journal Article"&gt;17&lt;/ref-type&gt;&lt;contributors&gt;&lt;authors&gt;&lt;author&gt;Egan, Caroline&lt;/author&gt;&lt;author&gt;Mulcahy, Helen&lt;/author&gt;&lt;author&gt;Naughton, Corina&lt;/author&gt;&lt;/authors&gt;&lt;/contributors&gt;&lt;titles&gt;&lt;title&gt;Transitioning to long-term care for older adults with intellectual disabilities: A concept analysis&lt;/title&gt;&lt;secondary-title&gt;Journal of Intellectual Disabilities&lt;/secondary-title&gt;&lt;short-title&gt;Transitioning to long-term care for older adults with intellectual disabilities: A concept analysis&lt;/short-title&gt;&lt;/titles&gt;&lt;periodical&gt;&lt;full-title&gt;Journal of Intellectual Disabilities&lt;/full-title&gt;&lt;/periodical&gt;&lt;pages&gt;1015-1032&lt;/pages&gt;&lt;volume&gt;26&lt;/volume&gt;&lt;number&gt;4&lt;/number&gt;&lt;dates&gt;&lt;year&gt;2022&lt;/year&gt;&lt;/dates&gt;&lt;urls&gt;&lt;/urls&gt;&lt;electronic-resource-num&gt;10.1177/17446295211041839&lt;/electronic-resource-num&gt;&lt;/record&gt;&lt;/Cite&gt;&lt;/EndNote&gt;</w:instrText>
      </w:r>
      <w:r w:rsidR="00A11F76">
        <w:fldChar w:fldCharType="separate"/>
      </w:r>
      <w:r w:rsidR="00A11F76" w:rsidRPr="1E1E7F10">
        <w:rPr>
          <w:noProof/>
        </w:rPr>
        <w:t>(Egan et al., 2022)</w:t>
      </w:r>
      <w:r w:rsidR="00A11F76">
        <w:fldChar w:fldCharType="end"/>
      </w:r>
      <w:r w:rsidR="00DD7C6E" w:rsidRPr="00010949">
        <w:t xml:space="preserve"> and a</w:t>
      </w:r>
      <w:r w:rsidR="00433570" w:rsidRPr="00010949">
        <w:t xml:space="preserve">n inadequate </w:t>
      </w:r>
      <w:r w:rsidR="00A821C0" w:rsidRPr="00010949">
        <w:t xml:space="preserve">understanding of the </w:t>
      </w:r>
      <w:r w:rsidR="00010949" w:rsidRPr="00010949">
        <w:t xml:space="preserve">social and other needs of older people with intellectual disabilities </w:t>
      </w:r>
      <w:r w:rsidR="009B4245">
        <w:fldChar w:fldCharType="begin"/>
      </w:r>
      <w:r w:rsidR="009B4245">
        <w:instrText xml:space="preserve"> ADDIN EN.CITE &lt;EndNote&gt;&lt;Cite&gt;&lt;Author&gt;Buys&lt;/Author&gt;&lt;Year&gt;2012&lt;/Year&gt;&lt;RecNum&gt;319&lt;/RecNum&gt;&lt;DisplayText&gt;(Buys et al., 2012)&lt;/DisplayText&gt;&lt;record&gt;&lt;rec-number&gt;319&lt;/rec-number&gt;&lt;foreign-keys&gt;&lt;key app="EN" db-id="xtwfdzde5ttr0zevxrh5sf0c2wfzw5zf2vra" timestamp="1643290955" guid="9f9acc8b-b4aa-431d-82b0-23a36d2720ea"&gt;319&lt;/key&gt;&lt;/foreign-keys&gt;&lt;ref-type name="Journal Article"&gt;17&lt;/ref-type&gt;&lt;contributors&gt;&lt;authors&gt;&lt;author&gt;Buys, L.&lt;/author&gt;&lt;author&gt;Aird, R.&lt;/author&gt;&lt;author&gt;Miller, E.&lt;/author&gt;&lt;/authors&gt;&lt;/contributors&gt;&lt;titles&gt;&lt;title&gt;Service providers&amp;apos; perceptions of active ageing among older adults with lifelong intellectual disabilities&lt;/title&gt;&lt;secondary-title&gt;Journal of Intellectual Disability Research&lt;/secondary-title&gt;&lt;short-title&gt;Service providers&amp;apos; perceptions of active ageing among older adults with lifelong intellectual disabilities&lt;/short-title&gt;&lt;/titles&gt;&lt;periodical&gt;&lt;full-title&gt;Journal of Intellectual Disability Research&lt;/full-title&gt;&lt;/periodical&gt;&lt;volume&gt;56&lt;/volume&gt;&lt;number&gt;12&lt;/number&gt;&lt;dates&gt;&lt;year&gt;2012&lt;/year&gt;&lt;/dates&gt;&lt;urls&gt;&lt;/urls&gt;&lt;electronic-resource-num&gt;10.1111/j.1365-2788.2011.01500.x&lt;/electronic-resource-num&gt;&lt;/record&gt;&lt;/Cite&gt;&lt;/EndNote&gt;</w:instrText>
      </w:r>
      <w:r w:rsidR="009B4245">
        <w:fldChar w:fldCharType="separate"/>
      </w:r>
      <w:r w:rsidR="009B4245">
        <w:rPr>
          <w:noProof/>
        </w:rPr>
        <w:t>(Buys et al., 2012)</w:t>
      </w:r>
      <w:r w:rsidR="009B4245">
        <w:fldChar w:fldCharType="end"/>
      </w:r>
      <w:r w:rsidR="00010949" w:rsidRPr="00010949">
        <w:t>.</w:t>
      </w:r>
      <w:r w:rsidR="00BD2C5E">
        <w:t xml:space="preserve"> Furthermore, p</w:t>
      </w:r>
      <w:r w:rsidR="003E328C" w:rsidRPr="005237E8">
        <w:t>eople with intellectual disabilit</w:t>
      </w:r>
      <w:r w:rsidR="00BD2C5E">
        <w:t>ies</w:t>
      </w:r>
      <w:r w:rsidR="003E328C" w:rsidRPr="005237E8">
        <w:t xml:space="preserve"> may enter generic long-term care settings at a younger </w:t>
      </w:r>
      <w:r w:rsidR="003E328C" w:rsidRPr="00151D2F">
        <w:t>age than the general population</w:t>
      </w:r>
      <w:r w:rsidR="10F7C107">
        <w:t>.</w:t>
      </w:r>
      <w:r w:rsidR="003E328C" w:rsidRPr="00151D2F">
        <w:t xml:space="preserve"> </w:t>
      </w:r>
      <w:r w:rsidR="6AABAA9D">
        <w:t>Nursing homes</w:t>
      </w:r>
      <w:r w:rsidR="003E328C" w:rsidRPr="65C249F8">
        <w:rPr>
          <w:rFonts w:eastAsia="Gill Sans MT" w:cs="Gill Sans MT"/>
        </w:rPr>
        <w:t xml:space="preserve"> were </w:t>
      </w:r>
      <w:r w:rsidR="0037744C" w:rsidRPr="65C249F8">
        <w:rPr>
          <w:rFonts w:eastAsia="Gill Sans MT" w:cs="Gill Sans MT"/>
        </w:rPr>
        <w:t xml:space="preserve">also </w:t>
      </w:r>
      <w:r w:rsidR="006F666D" w:rsidRPr="65C249F8">
        <w:rPr>
          <w:rFonts w:eastAsia="Gill Sans MT" w:cs="Gill Sans MT"/>
        </w:rPr>
        <w:t xml:space="preserve">considered </w:t>
      </w:r>
      <w:r w:rsidR="003E328C" w:rsidRPr="65C249F8">
        <w:rPr>
          <w:rFonts w:eastAsia="Gill Sans MT" w:cs="Gill Sans MT"/>
        </w:rPr>
        <w:t xml:space="preserve">to be unsuitable placements for </w:t>
      </w:r>
      <w:r w:rsidR="006F666D" w:rsidRPr="65C249F8">
        <w:rPr>
          <w:rFonts w:eastAsia="Gill Sans MT" w:cs="Gill Sans MT"/>
        </w:rPr>
        <w:t>the older person due to</w:t>
      </w:r>
      <w:r w:rsidR="003E328C" w:rsidRPr="65C249F8">
        <w:rPr>
          <w:rFonts w:eastAsia="Gill Sans MT" w:cs="Gill Sans MT"/>
        </w:rPr>
        <w:t xml:space="preserve"> perceived inadequate staffing levels</w:t>
      </w:r>
      <w:r w:rsidR="006F666D" w:rsidRPr="65C249F8">
        <w:rPr>
          <w:rFonts w:eastAsia="Gill Sans MT" w:cs="Gill Sans MT"/>
        </w:rPr>
        <w:t xml:space="preserve">, </w:t>
      </w:r>
      <w:r w:rsidR="003E328C" w:rsidRPr="65C249F8">
        <w:rPr>
          <w:rFonts w:eastAsia="Gill Sans MT" w:cs="Gill Sans MT"/>
        </w:rPr>
        <w:t>lack of training to work with people with intellectual disabilit</w:t>
      </w:r>
      <w:r w:rsidR="005E67C3" w:rsidRPr="65C249F8">
        <w:rPr>
          <w:rFonts w:eastAsia="Gill Sans MT" w:cs="Gill Sans MT"/>
        </w:rPr>
        <w:t>ies</w:t>
      </w:r>
      <w:r w:rsidR="003E328C" w:rsidRPr="65C249F8">
        <w:rPr>
          <w:rFonts w:eastAsia="Gill Sans MT" w:cs="Gill Sans MT"/>
        </w:rPr>
        <w:t xml:space="preserve"> </w:t>
      </w:r>
      <w:r w:rsidR="006F666D" w:rsidRPr="65C249F8">
        <w:rPr>
          <w:rFonts w:eastAsia="Gill Sans MT" w:cs="Gill Sans MT"/>
        </w:rPr>
        <w:t xml:space="preserve">and </w:t>
      </w:r>
      <w:r w:rsidR="003E328C" w:rsidRPr="65C249F8">
        <w:rPr>
          <w:rFonts w:eastAsia="Gill Sans MT" w:cs="Gill Sans MT"/>
        </w:rPr>
        <w:t xml:space="preserve">also because the depth of caring relationships between staff and the older person, so highly valued by family members, was often absent. </w:t>
      </w:r>
      <w:r w:rsidR="79355F91" w:rsidRPr="13FC8DD4">
        <w:rPr>
          <w:rFonts w:eastAsia="Gill Sans MT" w:cs="Gill Sans MT"/>
        </w:rPr>
        <w:t>It is to be established if these represent fears as opposed to experiences</w:t>
      </w:r>
      <w:r w:rsidR="79355F91" w:rsidRPr="4624EB81">
        <w:rPr>
          <w:rFonts w:eastAsia="Gill Sans MT" w:cs="Gill Sans MT"/>
        </w:rPr>
        <w:t xml:space="preserve">, if those fears are justified and whether there </w:t>
      </w:r>
      <w:r w:rsidR="117DAA8C" w:rsidRPr="7F45FF05">
        <w:rPr>
          <w:rFonts w:eastAsia="Gill Sans MT" w:cs="Gill Sans MT"/>
        </w:rPr>
        <w:t xml:space="preserve">are </w:t>
      </w:r>
      <w:r w:rsidR="79355F91" w:rsidRPr="4624EB81">
        <w:rPr>
          <w:rFonts w:eastAsia="Gill Sans MT" w:cs="Gill Sans MT"/>
        </w:rPr>
        <w:t xml:space="preserve">steps to be </w:t>
      </w:r>
      <w:r w:rsidR="79355F91" w:rsidRPr="3BFCD231">
        <w:rPr>
          <w:rFonts w:eastAsia="Gill Sans MT" w:cs="Gill Sans MT"/>
        </w:rPr>
        <w:t>taken and supporte</w:t>
      </w:r>
      <w:r w:rsidR="105FEE30" w:rsidRPr="3BFCD231">
        <w:rPr>
          <w:rFonts w:eastAsia="Gill Sans MT" w:cs="Gill Sans MT"/>
        </w:rPr>
        <w:t xml:space="preserve">d </w:t>
      </w:r>
      <w:r w:rsidR="79355F91" w:rsidRPr="3BFCD231">
        <w:rPr>
          <w:rFonts w:eastAsia="Gill Sans MT" w:cs="Gill Sans MT"/>
        </w:rPr>
        <w:t>to alleviate such concerns</w:t>
      </w:r>
      <w:r w:rsidR="003E328C" w:rsidRPr="3BFCD231">
        <w:rPr>
          <w:rFonts w:eastAsia="Gill Sans MT" w:cs="Gill Sans MT"/>
        </w:rPr>
        <w:t xml:space="preserve"> </w:t>
      </w:r>
    </w:p>
    <w:p w14:paraId="2C7BA5A4" w14:textId="5B0A7265" w:rsidR="005A2186" w:rsidRPr="00DC53DE" w:rsidRDefault="00DC53DE" w:rsidP="00DC53DE">
      <w:pPr>
        <w:spacing w:line="257" w:lineRule="auto"/>
        <w:rPr>
          <w:bCs/>
        </w:rPr>
      </w:pPr>
      <w:r w:rsidRPr="00DC53DE">
        <w:rPr>
          <w:bCs/>
        </w:rPr>
        <w:t>Availability and management of resources</w:t>
      </w:r>
      <w:r w:rsidR="001B0D84" w:rsidRPr="00DC53DE">
        <w:rPr>
          <w:bCs/>
        </w:rPr>
        <w:t xml:space="preserve"> are </w:t>
      </w:r>
      <w:r w:rsidRPr="00DC53DE">
        <w:rPr>
          <w:bCs/>
        </w:rPr>
        <w:t xml:space="preserve">of central importance to the provision of a quality ageing service. </w:t>
      </w:r>
      <w:r w:rsidR="00D74E30" w:rsidRPr="00DC53DE">
        <w:rPr>
          <w:bCs/>
        </w:rPr>
        <w:t>If de</w:t>
      </w:r>
      <w:r w:rsidR="00B76D0B" w:rsidRPr="00DC53DE">
        <w:rPr>
          <w:bCs/>
        </w:rPr>
        <w:t xml:space="preserve">cisions regarding </w:t>
      </w:r>
      <w:r w:rsidR="00175517" w:rsidRPr="00DC53DE">
        <w:rPr>
          <w:bCs/>
        </w:rPr>
        <w:t xml:space="preserve">support for </w:t>
      </w:r>
      <w:r w:rsidR="005E67C3" w:rsidRPr="00DC53DE">
        <w:rPr>
          <w:bCs/>
        </w:rPr>
        <w:t>people</w:t>
      </w:r>
      <w:r w:rsidR="00175517" w:rsidRPr="00DC53DE">
        <w:rPr>
          <w:bCs/>
        </w:rPr>
        <w:t xml:space="preserve"> with intellectual disabilities</w:t>
      </w:r>
      <w:r w:rsidR="005E67C3" w:rsidRPr="00DC53DE">
        <w:rPr>
          <w:bCs/>
        </w:rPr>
        <w:t xml:space="preserve"> </w:t>
      </w:r>
      <w:r w:rsidR="00AB6F6C" w:rsidRPr="00DC53DE">
        <w:rPr>
          <w:bCs/>
        </w:rPr>
        <w:t>are to be person</w:t>
      </w:r>
      <w:r w:rsidR="005710C3">
        <w:rPr>
          <w:bCs/>
        </w:rPr>
        <w:t>-</w:t>
      </w:r>
      <w:r w:rsidR="00AB6F6C" w:rsidRPr="00DC53DE">
        <w:rPr>
          <w:bCs/>
        </w:rPr>
        <w:t xml:space="preserve">centred, then they </w:t>
      </w:r>
      <w:r w:rsidRPr="00DC53DE">
        <w:rPr>
          <w:bCs/>
        </w:rPr>
        <w:t>must</w:t>
      </w:r>
      <w:r w:rsidR="005E67C3" w:rsidRPr="00DC53DE">
        <w:rPr>
          <w:bCs/>
        </w:rPr>
        <w:t xml:space="preserve"> be guided by </w:t>
      </w:r>
      <w:r w:rsidR="00AB6F6C" w:rsidRPr="00DC53DE">
        <w:rPr>
          <w:bCs/>
        </w:rPr>
        <w:t xml:space="preserve">the </w:t>
      </w:r>
      <w:r w:rsidR="00E35B4A" w:rsidRPr="00DC53DE">
        <w:rPr>
          <w:bCs/>
        </w:rPr>
        <w:t>person’s</w:t>
      </w:r>
      <w:r w:rsidR="00563EEB" w:rsidRPr="00DC53DE">
        <w:rPr>
          <w:bCs/>
        </w:rPr>
        <w:t xml:space="preserve"> </w:t>
      </w:r>
      <w:r w:rsidR="000814B8" w:rsidRPr="00DC53DE">
        <w:rPr>
          <w:bCs/>
        </w:rPr>
        <w:t>needs and wishes</w:t>
      </w:r>
      <w:r w:rsidR="17E440F0">
        <w:t xml:space="preserve"> and framed within the rights conferred by the UNCRPD</w:t>
      </w:r>
      <w:r>
        <w:t>.</w:t>
      </w:r>
      <w:r w:rsidR="000814B8" w:rsidRPr="00DC53DE">
        <w:rPr>
          <w:bCs/>
        </w:rPr>
        <w:t xml:space="preserve"> </w:t>
      </w:r>
      <w:r w:rsidR="00E35B4A" w:rsidRPr="00DC53DE">
        <w:rPr>
          <w:bCs/>
        </w:rPr>
        <w:t>Such decisions</w:t>
      </w:r>
      <w:r w:rsidR="000814B8" w:rsidRPr="00DC53DE">
        <w:rPr>
          <w:bCs/>
        </w:rPr>
        <w:t xml:space="preserve"> </w:t>
      </w:r>
      <w:r w:rsidRPr="00DC53DE">
        <w:rPr>
          <w:bCs/>
        </w:rPr>
        <w:t>must</w:t>
      </w:r>
      <w:r w:rsidR="000814B8" w:rsidRPr="00DC53DE">
        <w:rPr>
          <w:bCs/>
        </w:rPr>
        <w:t xml:space="preserve"> also take into account the </w:t>
      </w:r>
      <w:r w:rsidR="009D523D" w:rsidRPr="00DC53DE">
        <w:rPr>
          <w:bCs/>
        </w:rPr>
        <w:t xml:space="preserve">fact that </w:t>
      </w:r>
      <w:r w:rsidR="00824940" w:rsidRPr="00DC53DE">
        <w:rPr>
          <w:bCs/>
        </w:rPr>
        <w:t xml:space="preserve">needs will change over time and </w:t>
      </w:r>
      <w:r w:rsidR="5E8D9D61">
        <w:t>not always</w:t>
      </w:r>
      <w:r w:rsidR="00824940" w:rsidRPr="00DC53DE">
        <w:rPr>
          <w:bCs/>
        </w:rPr>
        <w:t xml:space="preserve"> in </w:t>
      </w:r>
      <w:r w:rsidR="00824940">
        <w:t>accord</w:t>
      </w:r>
      <w:r w:rsidR="1A81F02E">
        <w:t>ance</w:t>
      </w:r>
      <w:r w:rsidR="00824940" w:rsidRPr="00DC53DE">
        <w:rPr>
          <w:bCs/>
        </w:rPr>
        <w:t xml:space="preserve"> to a predictable pattern. Forward planning is therefore </w:t>
      </w:r>
      <w:r w:rsidR="008459D1" w:rsidRPr="00DC53DE">
        <w:rPr>
          <w:bCs/>
        </w:rPr>
        <w:t>vital</w:t>
      </w:r>
      <w:r w:rsidR="00B1561C" w:rsidRPr="00DC53DE">
        <w:rPr>
          <w:bCs/>
        </w:rPr>
        <w:t xml:space="preserve"> if the person is to experience consistency, responsivity and seamlessness in the service they receive</w:t>
      </w:r>
      <w:r w:rsidR="00005E47" w:rsidRPr="00DC53DE">
        <w:rPr>
          <w:bCs/>
        </w:rPr>
        <w:t xml:space="preserve"> and is best achieved through the </w:t>
      </w:r>
      <w:r w:rsidR="001B2945" w:rsidRPr="00DC53DE">
        <w:rPr>
          <w:bCs/>
        </w:rPr>
        <w:t xml:space="preserve">use of a </w:t>
      </w:r>
      <w:r w:rsidR="004C694D" w:rsidRPr="00DC53DE">
        <w:rPr>
          <w:bCs/>
        </w:rPr>
        <w:t xml:space="preserve">structured </w:t>
      </w:r>
      <w:r w:rsidR="0036362E" w:rsidRPr="00DC53DE">
        <w:rPr>
          <w:bCs/>
        </w:rPr>
        <w:t xml:space="preserve">service </w:t>
      </w:r>
      <w:r w:rsidR="002C3269" w:rsidRPr="00DC53DE">
        <w:rPr>
          <w:bCs/>
        </w:rPr>
        <w:t xml:space="preserve">model </w:t>
      </w:r>
      <w:r w:rsidR="0036362E" w:rsidRPr="00DC53DE">
        <w:rPr>
          <w:bCs/>
        </w:rPr>
        <w:t xml:space="preserve">which </w:t>
      </w:r>
      <w:r w:rsidR="00250412" w:rsidRPr="00DC53DE">
        <w:rPr>
          <w:bCs/>
        </w:rPr>
        <w:t xml:space="preserve">can facilitate </w:t>
      </w:r>
      <w:r w:rsidR="00EE43C1" w:rsidRPr="00DC53DE">
        <w:rPr>
          <w:bCs/>
        </w:rPr>
        <w:t xml:space="preserve">timely </w:t>
      </w:r>
      <w:r w:rsidR="00250412" w:rsidRPr="00DC53DE">
        <w:rPr>
          <w:bCs/>
        </w:rPr>
        <w:t>funding and resource</w:t>
      </w:r>
      <w:r w:rsidR="00EE43C1" w:rsidRPr="00DC53DE">
        <w:rPr>
          <w:bCs/>
        </w:rPr>
        <w:t xml:space="preserve"> responses.</w:t>
      </w:r>
      <w:r w:rsidR="00D6333F" w:rsidRPr="00DC53DE">
        <w:rPr>
          <w:bCs/>
        </w:rPr>
        <w:t xml:space="preserve"> The </w:t>
      </w:r>
      <w:r w:rsidR="000A0DA1" w:rsidRPr="00DC53DE">
        <w:rPr>
          <w:bCs/>
        </w:rPr>
        <w:t xml:space="preserve">service </w:t>
      </w:r>
      <w:r w:rsidR="00D6333F" w:rsidRPr="00DC53DE">
        <w:rPr>
          <w:bCs/>
        </w:rPr>
        <w:t xml:space="preserve">approaches described by </w:t>
      </w:r>
      <w:r w:rsidR="000A0DA1" w:rsidRPr="00DC53DE">
        <w:rPr>
          <w:bCs/>
        </w:rPr>
        <w:t xml:space="preserve">participants in this study </w:t>
      </w:r>
      <w:r w:rsidR="00D63F9C" w:rsidRPr="00DC53DE">
        <w:rPr>
          <w:bCs/>
        </w:rPr>
        <w:t xml:space="preserve">clearly sought to achieve positive outcomes but could </w:t>
      </w:r>
      <w:r w:rsidR="001E51B7" w:rsidRPr="00DC53DE">
        <w:rPr>
          <w:bCs/>
        </w:rPr>
        <w:t xml:space="preserve">often </w:t>
      </w:r>
      <w:r w:rsidR="00D63F9C" w:rsidRPr="00DC53DE">
        <w:rPr>
          <w:bCs/>
        </w:rPr>
        <w:t xml:space="preserve">not </w:t>
      </w:r>
      <w:r w:rsidR="001E51B7" w:rsidRPr="00DC53DE">
        <w:rPr>
          <w:bCs/>
        </w:rPr>
        <w:t>respond to the older person’s needs</w:t>
      </w:r>
      <w:r w:rsidR="003754D9" w:rsidRPr="00DC53DE">
        <w:rPr>
          <w:bCs/>
        </w:rPr>
        <w:t xml:space="preserve">. Some </w:t>
      </w:r>
      <w:r w:rsidR="00A70CC8" w:rsidRPr="00DC53DE">
        <w:rPr>
          <w:bCs/>
        </w:rPr>
        <w:t xml:space="preserve">accounts </w:t>
      </w:r>
      <w:r w:rsidR="003D48A1" w:rsidRPr="00DC53DE">
        <w:rPr>
          <w:bCs/>
        </w:rPr>
        <w:t xml:space="preserve">clearly did </w:t>
      </w:r>
      <w:r w:rsidR="001C28EC" w:rsidRPr="00DC53DE">
        <w:rPr>
          <w:bCs/>
        </w:rPr>
        <w:t xml:space="preserve">represent quality support and care but </w:t>
      </w:r>
      <w:r w:rsidR="004B5413" w:rsidRPr="00DC53DE">
        <w:rPr>
          <w:bCs/>
        </w:rPr>
        <w:t xml:space="preserve">these </w:t>
      </w:r>
      <w:r w:rsidR="00292626" w:rsidRPr="00DC53DE">
        <w:rPr>
          <w:bCs/>
        </w:rPr>
        <w:t xml:space="preserve">were successful due to the </w:t>
      </w:r>
      <w:r w:rsidR="00BA0734" w:rsidRPr="00DC53DE">
        <w:rPr>
          <w:bCs/>
        </w:rPr>
        <w:t xml:space="preserve">innovation and determination of </w:t>
      </w:r>
      <w:r w:rsidR="009F77E3" w:rsidRPr="00DC53DE">
        <w:rPr>
          <w:bCs/>
        </w:rPr>
        <w:t xml:space="preserve">managers, </w:t>
      </w:r>
      <w:r w:rsidR="008E3184" w:rsidRPr="00DC53DE">
        <w:rPr>
          <w:bCs/>
        </w:rPr>
        <w:t xml:space="preserve">staff and family carers, </w:t>
      </w:r>
      <w:r w:rsidR="00381764" w:rsidRPr="00DC53DE">
        <w:rPr>
          <w:bCs/>
        </w:rPr>
        <w:t>but</w:t>
      </w:r>
      <w:r w:rsidR="008E3184" w:rsidRPr="00DC53DE">
        <w:rPr>
          <w:bCs/>
        </w:rPr>
        <w:t xml:space="preserve"> </w:t>
      </w:r>
      <w:r w:rsidR="00381764" w:rsidRPr="00DC53DE">
        <w:rPr>
          <w:bCs/>
        </w:rPr>
        <w:t xml:space="preserve">such outcomes were </w:t>
      </w:r>
      <w:r w:rsidR="005A4476" w:rsidRPr="00DC53DE">
        <w:rPr>
          <w:bCs/>
        </w:rPr>
        <w:t xml:space="preserve">‘case-specific’ and </w:t>
      </w:r>
      <w:r w:rsidR="00DF0737" w:rsidRPr="00DC53DE">
        <w:rPr>
          <w:bCs/>
        </w:rPr>
        <w:t xml:space="preserve">were </w:t>
      </w:r>
      <w:r w:rsidR="005A4476" w:rsidRPr="00DC53DE">
        <w:rPr>
          <w:bCs/>
        </w:rPr>
        <w:t xml:space="preserve">not necessarily </w:t>
      </w:r>
      <w:r w:rsidR="00DF0737" w:rsidRPr="00DC53DE">
        <w:rPr>
          <w:bCs/>
        </w:rPr>
        <w:t xml:space="preserve">achieved in all </w:t>
      </w:r>
      <w:r w:rsidR="00EF3766" w:rsidRPr="00DC53DE">
        <w:rPr>
          <w:bCs/>
        </w:rPr>
        <w:t>cases.</w:t>
      </w:r>
      <w:r w:rsidR="0011298B" w:rsidRPr="00DC53DE">
        <w:rPr>
          <w:bCs/>
        </w:rPr>
        <w:t xml:space="preserve"> </w:t>
      </w:r>
      <w:r w:rsidR="00356174" w:rsidRPr="00DC53DE">
        <w:rPr>
          <w:bCs/>
        </w:rPr>
        <w:t>S</w:t>
      </w:r>
      <w:r w:rsidR="001957DB" w:rsidRPr="00DC53DE">
        <w:rPr>
          <w:bCs/>
        </w:rPr>
        <w:t>imilarly, s</w:t>
      </w:r>
      <w:r w:rsidR="00356174" w:rsidRPr="00DC53DE">
        <w:rPr>
          <w:bCs/>
        </w:rPr>
        <w:t xml:space="preserve">ome services </w:t>
      </w:r>
      <w:r w:rsidR="001957DB" w:rsidRPr="00DC53DE">
        <w:rPr>
          <w:bCs/>
        </w:rPr>
        <w:t xml:space="preserve">with </w:t>
      </w:r>
      <w:r w:rsidR="00F269C3" w:rsidRPr="00DC53DE">
        <w:rPr>
          <w:bCs/>
        </w:rPr>
        <w:t>age</w:t>
      </w:r>
      <w:r w:rsidR="00F30F67" w:rsidRPr="00DC53DE">
        <w:rPr>
          <w:bCs/>
        </w:rPr>
        <w:t>-related pat</w:t>
      </w:r>
      <w:r w:rsidR="003B1493" w:rsidRPr="00DC53DE">
        <w:rPr>
          <w:bCs/>
        </w:rPr>
        <w:t>hways or</w:t>
      </w:r>
      <w:r w:rsidR="00840D02" w:rsidRPr="00DC53DE">
        <w:rPr>
          <w:bCs/>
        </w:rPr>
        <w:t xml:space="preserve">, for example, </w:t>
      </w:r>
      <w:r w:rsidR="008E125B" w:rsidRPr="00DC53DE">
        <w:rPr>
          <w:bCs/>
        </w:rPr>
        <w:t xml:space="preserve">specialised </w:t>
      </w:r>
      <w:r w:rsidR="00840D02" w:rsidRPr="00DC53DE">
        <w:rPr>
          <w:bCs/>
        </w:rPr>
        <w:t>dementia-</w:t>
      </w:r>
      <w:r w:rsidR="008E125B" w:rsidRPr="00DC53DE">
        <w:rPr>
          <w:bCs/>
        </w:rPr>
        <w:t>friendly</w:t>
      </w:r>
      <w:r w:rsidR="00840D02" w:rsidRPr="00DC53DE">
        <w:rPr>
          <w:bCs/>
        </w:rPr>
        <w:t xml:space="preserve"> </w:t>
      </w:r>
      <w:r w:rsidR="008E125B" w:rsidRPr="00DC53DE">
        <w:rPr>
          <w:bCs/>
        </w:rPr>
        <w:t xml:space="preserve">accommodation, could not </w:t>
      </w:r>
      <w:r w:rsidR="00953AB4" w:rsidRPr="00DC53DE">
        <w:rPr>
          <w:bCs/>
        </w:rPr>
        <w:t xml:space="preserve">offer this to all </w:t>
      </w:r>
      <w:r w:rsidR="00377292" w:rsidRPr="00DC53DE">
        <w:rPr>
          <w:bCs/>
        </w:rPr>
        <w:t>older people</w:t>
      </w:r>
      <w:r w:rsidR="00737F47" w:rsidRPr="00DC53DE">
        <w:rPr>
          <w:bCs/>
        </w:rPr>
        <w:t xml:space="preserve"> in the service</w:t>
      </w:r>
      <w:r w:rsidR="00E179FB" w:rsidRPr="00DC53DE">
        <w:rPr>
          <w:bCs/>
        </w:rPr>
        <w:t>, due to limited availability</w:t>
      </w:r>
      <w:r w:rsidR="00737F47" w:rsidRPr="00DC53DE">
        <w:rPr>
          <w:bCs/>
        </w:rPr>
        <w:t xml:space="preserve">. </w:t>
      </w:r>
      <w:r w:rsidR="0011298B" w:rsidRPr="00DC53DE">
        <w:rPr>
          <w:bCs/>
        </w:rPr>
        <w:t>The</w:t>
      </w:r>
      <w:r w:rsidR="00F36D68" w:rsidRPr="00DC53DE">
        <w:rPr>
          <w:bCs/>
        </w:rPr>
        <w:t xml:space="preserve"> lack of </w:t>
      </w:r>
      <w:r w:rsidR="00A72A5B" w:rsidRPr="00DC53DE">
        <w:rPr>
          <w:bCs/>
        </w:rPr>
        <w:t xml:space="preserve">consistency in </w:t>
      </w:r>
      <w:r w:rsidR="549CE55B">
        <w:t>provision</w:t>
      </w:r>
      <w:r w:rsidR="00356174" w:rsidRPr="00DC53DE">
        <w:rPr>
          <w:bCs/>
        </w:rPr>
        <w:t xml:space="preserve"> for older persons</w:t>
      </w:r>
      <w:r w:rsidR="0011298B" w:rsidRPr="00DC53DE">
        <w:rPr>
          <w:bCs/>
        </w:rPr>
        <w:t xml:space="preserve"> </w:t>
      </w:r>
      <w:r w:rsidR="00737F47" w:rsidRPr="00DC53DE">
        <w:rPr>
          <w:bCs/>
        </w:rPr>
        <w:t xml:space="preserve">has </w:t>
      </w:r>
      <w:r w:rsidR="0011298B" w:rsidRPr="00DC53DE">
        <w:rPr>
          <w:bCs/>
        </w:rPr>
        <w:t xml:space="preserve">implications </w:t>
      </w:r>
      <w:r w:rsidR="00737F47" w:rsidRPr="00DC53DE">
        <w:rPr>
          <w:bCs/>
        </w:rPr>
        <w:t xml:space="preserve">for services’ ability to </w:t>
      </w:r>
      <w:r w:rsidR="00C85510" w:rsidRPr="00DC53DE">
        <w:rPr>
          <w:bCs/>
        </w:rPr>
        <w:t xml:space="preserve">meet </w:t>
      </w:r>
      <w:r w:rsidR="00A52B06" w:rsidRPr="00DC53DE">
        <w:rPr>
          <w:bCs/>
        </w:rPr>
        <w:t>age</w:t>
      </w:r>
      <w:r w:rsidR="00B749BF" w:rsidRPr="00DC53DE">
        <w:rPr>
          <w:bCs/>
        </w:rPr>
        <w:t xml:space="preserve">-related needs, whether </w:t>
      </w:r>
      <w:r w:rsidR="00C4709D" w:rsidRPr="00DC53DE">
        <w:rPr>
          <w:bCs/>
        </w:rPr>
        <w:t>complex</w:t>
      </w:r>
      <w:r w:rsidR="00B749BF" w:rsidRPr="00DC53DE">
        <w:rPr>
          <w:bCs/>
        </w:rPr>
        <w:t xml:space="preserve"> or not</w:t>
      </w:r>
      <w:r w:rsidR="004C12F1" w:rsidRPr="00DC53DE">
        <w:rPr>
          <w:bCs/>
        </w:rPr>
        <w:t>.</w:t>
      </w:r>
    </w:p>
    <w:p w14:paraId="2A386951" w14:textId="5DC0082C" w:rsidR="00D02C58" w:rsidRDefault="005902A6" w:rsidP="00D02C58">
      <w:pPr>
        <w:rPr>
          <w:rFonts w:cs="Calibri"/>
          <w:color w:val="FF0000"/>
          <w:lang w:eastAsia="en-IE"/>
        </w:rPr>
      </w:pPr>
      <w:r>
        <w:rPr>
          <w:rFonts w:eastAsia="Gill Sans" w:cs="Gill Sans"/>
        </w:rPr>
        <w:t xml:space="preserve">The findings of this study </w:t>
      </w:r>
      <w:r w:rsidR="00927F0B">
        <w:rPr>
          <w:rFonts w:eastAsia="Gill Sans" w:cs="Gill Sans"/>
        </w:rPr>
        <w:t xml:space="preserve">identified </w:t>
      </w:r>
      <w:r w:rsidR="00D02C58">
        <w:rPr>
          <w:rFonts w:eastAsia="Gill Sans" w:cs="Gill Sans"/>
        </w:rPr>
        <w:t xml:space="preserve">particular shortcomings regarding staffing and accommodation. </w:t>
      </w:r>
      <w:r w:rsidR="00526FFB">
        <w:rPr>
          <w:rFonts w:eastAsia="Gill Sans" w:cs="Gill Sans"/>
        </w:rPr>
        <w:t>Staffing levels</w:t>
      </w:r>
      <w:r w:rsidR="00832BD5">
        <w:rPr>
          <w:rFonts w:eastAsia="Gill Sans" w:cs="Gill Sans"/>
        </w:rPr>
        <w:t>, skill mix</w:t>
      </w:r>
      <w:r w:rsidR="00526FFB">
        <w:rPr>
          <w:rFonts w:eastAsia="Gill Sans" w:cs="Gill Sans"/>
        </w:rPr>
        <w:t xml:space="preserve"> and </w:t>
      </w:r>
      <w:r w:rsidR="00832BD5">
        <w:rPr>
          <w:rFonts w:eastAsia="Gill Sans" w:cs="Gill Sans"/>
        </w:rPr>
        <w:t xml:space="preserve">staff </w:t>
      </w:r>
      <w:r w:rsidR="00526FFB">
        <w:rPr>
          <w:rFonts w:eastAsia="Gill Sans" w:cs="Gill Sans"/>
        </w:rPr>
        <w:t xml:space="preserve">willingness </w:t>
      </w:r>
      <w:r w:rsidR="00980F00">
        <w:rPr>
          <w:rFonts w:eastAsia="Gill Sans" w:cs="Gill Sans"/>
        </w:rPr>
        <w:t xml:space="preserve">(or otherwise) </w:t>
      </w:r>
      <w:r w:rsidR="00526FFB">
        <w:rPr>
          <w:rFonts w:eastAsia="Gill Sans" w:cs="Gill Sans"/>
        </w:rPr>
        <w:t xml:space="preserve">to take on </w:t>
      </w:r>
      <w:r w:rsidR="00980F00">
        <w:rPr>
          <w:rFonts w:eastAsia="Gill Sans" w:cs="Gill Sans"/>
        </w:rPr>
        <w:t>roles that are traditional</w:t>
      </w:r>
      <w:r w:rsidR="00260ACD">
        <w:rPr>
          <w:rFonts w:eastAsia="Gill Sans" w:cs="Gill Sans"/>
        </w:rPr>
        <w:t>ly</w:t>
      </w:r>
      <w:r w:rsidR="00980F00">
        <w:rPr>
          <w:rFonts w:eastAsia="Gill Sans" w:cs="Gill Sans"/>
        </w:rPr>
        <w:t xml:space="preserve"> beyond one’s boundaries </w:t>
      </w:r>
      <w:r w:rsidR="00832BD5">
        <w:rPr>
          <w:rFonts w:eastAsia="Gill Sans" w:cs="Gill Sans"/>
        </w:rPr>
        <w:t>may</w:t>
      </w:r>
      <w:r w:rsidR="00D02C58" w:rsidRPr="2D553D8C">
        <w:rPr>
          <w:rFonts w:cs="Calibri"/>
          <w:color w:val="FF0000"/>
          <w:lang w:eastAsia="en-IE"/>
        </w:rPr>
        <w:t xml:space="preserve"> </w:t>
      </w:r>
      <w:r w:rsidR="00D02C58" w:rsidRPr="0097064A">
        <w:rPr>
          <w:rFonts w:cs="Calibri"/>
          <w:lang w:eastAsia="en-IE"/>
        </w:rPr>
        <w:t xml:space="preserve">be a significant barrier to meeting </w:t>
      </w:r>
      <w:r w:rsidR="004D1F65" w:rsidRPr="0097064A">
        <w:rPr>
          <w:rFonts w:cs="Calibri"/>
          <w:lang w:eastAsia="en-IE"/>
        </w:rPr>
        <w:t xml:space="preserve">older persons’ </w:t>
      </w:r>
      <w:r w:rsidR="00D02C58" w:rsidRPr="0097064A">
        <w:rPr>
          <w:rFonts w:cs="Calibri"/>
          <w:lang w:eastAsia="en-IE"/>
        </w:rPr>
        <w:t>need</w:t>
      </w:r>
      <w:r w:rsidR="004D1F65" w:rsidRPr="0097064A">
        <w:rPr>
          <w:rFonts w:cs="Calibri"/>
          <w:lang w:eastAsia="en-IE"/>
        </w:rPr>
        <w:t>s</w:t>
      </w:r>
      <w:r w:rsidR="00D02C58" w:rsidRPr="0097064A">
        <w:rPr>
          <w:rFonts w:cs="Calibri"/>
          <w:lang w:eastAsia="en-IE"/>
        </w:rPr>
        <w:t>.</w:t>
      </w:r>
      <w:r w:rsidR="004D1F65" w:rsidRPr="0097064A">
        <w:rPr>
          <w:rFonts w:cs="Calibri"/>
          <w:lang w:eastAsia="en-IE"/>
        </w:rPr>
        <w:t xml:space="preserve"> Challenges </w:t>
      </w:r>
      <w:r w:rsidR="003072BF" w:rsidRPr="0097064A">
        <w:rPr>
          <w:rFonts w:cs="Calibri"/>
          <w:lang w:eastAsia="en-IE"/>
        </w:rPr>
        <w:t xml:space="preserve">in </w:t>
      </w:r>
      <w:r w:rsidR="0097064A">
        <w:rPr>
          <w:rFonts w:cs="Calibri"/>
          <w:lang w:eastAsia="en-IE"/>
        </w:rPr>
        <w:t>these respects</w:t>
      </w:r>
      <w:r w:rsidR="0097064A" w:rsidRPr="0097064A">
        <w:rPr>
          <w:rFonts w:cs="Calibri"/>
          <w:lang w:eastAsia="en-IE"/>
        </w:rPr>
        <w:t xml:space="preserve"> </w:t>
      </w:r>
      <w:r w:rsidR="003072BF" w:rsidRPr="0097064A">
        <w:rPr>
          <w:rFonts w:cs="Calibri"/>
          <w:lang w:eastAsia="en-IE"/>
        </w:rPr>
        <w:t>were identified by survey respondents, with t</w:t>
      </w:r>
      <w:r w:rsidR="00D02C58" w:rsidRPr="0097064A">
        <w:rPr>
          <w:rFonts w:cs="Calibri"/>
          <w:lang w:eastAsia="en-IE"/>
        </w:rPr>
        <w:t>hree quarters (75%</w:t>
      </w:r>
      <w:r w:rsidR="004D1F65" w:rsidRPr="0097064A">
        <w:rPr>
          <w:rFonts w:cs="Calibri"/>
          <w:lang w:eastAsia="en-IE"/>
        </w:rPr>
        <w:t>;</w:t>
      </w:r>
      <w:r w:rsidR="00D02C58" w:rsidRPr="0097064A">
        <w:rPr>
          <w:rFonts w:cs="Calibri"/>
          <w:lang w:eastAsia="en-IE"/>
        </w:rPr>
        <w:t xml:space="preserve"> n=21) report</w:t>
      </w:r>
      <w:r w:rsidR="003072BF" w:rsidRPr="0097064A">
        <w:rPr>
          <w:rFonts w:cs="Calibri"/>
          <w:lang w:eastAsia="en-IE"/>
        </w:rPr>
        <w:t>ing</w:t>
      </w:r>
      <w:r w:rsidR="00D02C58" w:rsidRPr="0097064A">
        <w:rPr>
          <w:rFonts w:cs="Calibri"/>
          <w:lang w:eastAsia="en-IE"/>
        </w:rPr>
        <w:t xml:space="preserve"> that they had experience</w:t>
      </w:r>
      <w:r w:rsidR="003072BF" w:rsidRPr="0097064A">
        <w:rPr>
          <w:rFonts w:cs="Calibri"/>
          <w:lang w:eastAsia="en-IE"/>
        </w:rPr>
        <w:t>d</w:t>
      </w:r>
      <w:r w:rsidR="00D02C58" w:rsidRPr="0097064A">
        <w:rPr>
          <w:rFonts w:cs="Calibri"/>
          <w:lang w:eastAsia="en-IE"/>
        </w:rPr>
        <w:t xml:space="preserve"> staffing levels being insufficient to meet need and 70.4%</w:t>
      </w:r>
      <w:r w:rsidR="0097064A">
        <w:rPr>
          <w:rFonts w:cs="Calibri"/>
          <w:lang w:eastAsia="en-IE"/>
        </w:rPr>
        <w:t xml:space="preserve"> (</w:t>
      </w:r>
      <w:r w:rsidR="004E1EA0">
        <w:rPr>
          <w:rFonts w:cs="Calibri"/>
          <w:lang w:eastAsia="en-IE"/>
        </w:rPr>
        <w:t>n=</w:t>
      </w:r>
      <w:r w:rsidR="009B4F4A">
        <w:rPr>
          <w:rFonts w:cs="Calibri"/>
          <w:lang w:eastAsia="en-IE"/>
        </w:rPr>
        <w:t>19</w:t>
      </w:r>
      <w:r w:rsidR="004E1EA0">
        <w:rPr>
          <w:rFonts w:cs="Calibri"/>
          <w:lang w:eastAsia="en-IE"/>
        </w:rPr>
        <w:t>)</w:t>
      </w:r>
      <w:r w:rsidR="003072BF" w:rsidRPr="0097064A">
        <w:rPr>
          <w:rFonts w:cs="Calibri"/>
          <w:lang w:eastAsia="en-IE"/>
        </w:rPr>
        <w:t>,</w:t>
      </w:r>
      <w:r w:rsidR="00D02C58" w:rsidRPr="0097064A">
        <w:rPr>
          <w:rFonts w:cs="Calibri"/>
          <w:lang w:eastAsia="en-IE"/>
        </w:rPr>
        <w:t xml:space="preserve"> </w:t>
      </w:r>
      <w:r w:rsidR="004E1EA0">
        <w:rPr>
          <w:rFonts w:cs="Calibri"/>
          <w:lang w:eastAsia="en-IE"/>
        </w:rPr>
        <w:t xml:space="preserve">reporting </w:t>
      </w:r>
      <w:r w:rsidR="00D02C58" w:rsidRPr="0097064A">
        <w:rPr>
          <w:rFonts w:cs="Calibri"/>
          <w:lang w:eastAsia="en-IE"/>
        </w:rPr>
        <w:t>examples of not having the staffing skill mix in place appropriate to meet a person’s need</w:t>
      </w:r>
      <w:r w:rsidR="004E1EA0">
        <w:rPr>
          <w:rFonts w:cs="Calibri"/>
          <w:lang w:eastAsia="en-IE"/>
        </w:rPr>
        <w:t>.</w:t>
      </w:r>
      <w:r w:rsidR="00D02C58" w:rsidRPr="0097064A">
        <w:rPr>
          <w:rFonts w:cs="Calibri"/>
          <w:lang w:eastAsia="en-IE"/>
        </w:rPr>
        <w:t xml:space="preserve"> </w:t>
      </w:r>
      <w:r w:rsidR="004E1EA0" w:rsidRPr="00DF7682">
        <w:rPr>
          <w:rFonts w:eastAsia="Calibri" w:cs="Calibri"/>
        </w:rPr>
        <w:t>Some of the problem may relate to a shortage of and difficulty in recruiting</w:t>
      </w:r>
      <w:r w:rsidR="009F4C56" w:rsidRPr="00DF7682">
        <w:rPr>
          <w:rFonts w:eastAsia="Calibri" w:cs="Calibri"/>
        </w:rPr>
        <w:t xml:space="preserve"> experienced</w:t>
      </w:r>
      <w:r w:rsidR="004E1EA0" w:rsidRPr="00DF7682">
        <w:rPr>
          <w:rFonts w:eastAsia="Calibri" w:cs="Calibri"/>
        </w:rPr>
        <w:t xml:space="preserve"> RNIDs.</w:t>
      </w:r>
      <w:r w:rsidR="009C37BB" w:rsidRPr="00DF7682">
        <w:rPr>
          <w:rFonts w:eastAsia="Calibri" w:cs="Calibri"/>
        </w:rPr>
        <w:t xml:space="preserve"> </w:t>
      </w:r>
      <w:r w:rsidR="006A5BF5">
        <w:rPr>
          <w:rFonts w:eastAsia="Calibri" w:cs="Calibri"/>
        </w:rPr>
        <w:t xml:space="preserve">Indeed, registration figures indicate that over the period 2016 to 2022 the number of </w:t>
      </w:r>
      <w:r w:rsidR="0000272F">
        <w:rPr>
          <w:rFonts w:eastAsia="Calibri" w:cs="Calibri"/>
        </w:rPr>
        <w:t xml:space="preserve">RNIDs has fallen by nearly 1000. </w:t>
      </w:r>
      <w:r w:rsidR="00683B70">
        <w:rPr>
          <w:rFonts w:eastAsia="Calibri" w:cs="Calibri"/>
        </w:rPr>
        <w:t xml:space="preserve">Current </w:t>
      </w:r>
      <w:r w:rsidR="00720D3C">
        <w:rPr>
          <w:rFonts w:eastAsia="Calibri" w:cs="Calibri"/>
        </w:rPr>
        <w:t xml:space="preserve">attempts to meet acute hospital and SláinteCare </w:t>
      </w:r>
      <w:r w:rsidR="00683B70">
        <w:rPr>
          <w:rFonts w:eastAsia="Calibri" w:cs="Calibri"/>
        </w:rPr>
        <w:t xml:space="preserve">workforce </w:t>
      </w:r>
      <w:r w:rsidR="00720D3C">
        <w:rPr>
          <w:rFonts w:eastAsia="Calibri" w:cs="Calibri"/>
        </w:rPr>
        <w:t xml:space="preserve">needs, </w:t>
      </w:r>
      <w:r w:rsidR="00AF2765">
        <w:rPr>
          <w:rFonts w:eastAsia="Calibri" w:cs="Calibri"/>
        </w:rPr>
        <w:t xml:space="preserve">through the planned commencement of post-registration general nurse programmes targeting intellectual disability and mental health nurses, will </w:t>
      </w:r>
      <w:r w:rsidR="00876B59">
        <w:rPr>
          <w:rFonts w:eastAsia="Calibri" w:cs="Calibri"/>
        </w:rPr>
        <w:t xml:space="preserve">result in further difficulties in accessing RNIDs. </w:t>
      </w:r>
      <w:r w:rsidR="009C37BB" w:rsidRPr="00DF7682">
        <w:rPr>
          <w:rFonts w:eastAsia="Calibri" w:cs="Calibri"/>
        </w:rPr>
        <w:t xml:space="preserve">Participants suggested that RNIDs were an important </w:t>
      </w:r>
      <w:r w:rsidR="52248052" w:rsidRPr="2FFECF68">
        <w:rPr>
          <w:rFonts w:eastAsia="Calibri" w:cs="Calibri"/>
        </w:rPr>
        <w:t>part</w:t>
      </w:r>
      <w:r w:rsidR="00324C2D" w:rsidRPr="00DF7682">
        <w:rPr>
          <w:rFonts w:eastAsia="Calibri" w:cs="Calibri"/>
        </w:rPr>
        <w:t xml:space="preserve"> of the service response, particularly in the health domain. The role of the RNID has been an ambiguous one for some decades. It was developed during the institutional period of service provision</w:t>
      </w:r>
      <w:r w:rsidR="007269B8" w:rsidRPr="00DF7682">
        <w:rPr>
          <w:rFonts w:eastAsia="Calibri" w:cs="Calibri"/>
        </w:rPr>
        <w:t xml:space="preserve"> and was strongly located in the medical model.</w:t>
      </w:r>
      <w:r w:rsidR="004E1EA0" w:rsidRPr="00DF7682">
        <w:rPr>
          <w:rFonts w:eastAsia="Calibri" w:cs="Calibri"/>
        </w:rPr>
        <w:t xml:space="preserve"> </w:t>
      </w:r>
      <w:r w:rsidR="007269B8" w:rsidRPr="00DF7682">
        <w:rPr>
          <w:rFonts w:eastAsia="Calibri" w:cs="Calibri"/>
        </w:rPr>
        <w:t xml:space="preserve">As paradigms changed, the RNID </w:t>
      </w:r>
      <w:r w:rsidR="00D339F9" w:rsidRPr="00DF7682">
        <w:rPr>
          <w:rFonts w:eastAsia="Calibri" w:cs="Calibri"/>
        </w:rPr>
        <w:t>bridged medical and social realms. The role be</w:t>
      </w:r>
      <w:r w:rsidR="008A2B97" w:rsidRPr="00DF7682">
        <w:rPr>
          <w:rFonts w:eastAsia="Calibri" w:cs="Calibri"/>
        </w:rPr>
        <w:t>came less definitive</w:t>
      </w:r>
      <w:r w:rsidR="00C55F94" w:rsidRPr="00DF7682">
        <w:rPr>
          <w:rFonts w:eastAsia="Calibri" w:cs="Calibri"/>
        </w:rPr>
        <w:t>, leading participants in</w:t>
      </w:r>
      <w:r w:rsidR="00695562" w:rsidRPr="00DF7682">
        <w:rPr>
          <w:rFonts w:eastAsia="Calibri" w:cs="Calibri"/>
        </w:rPr>
        <w:t xml:space="preserve"> the report,</w:t>
      </w:r>
      <w:r w:rsidR="00C55F94" w:rsidRPr="00DF7682">
        <w:rPr>
          <w:rFonts w:eastAsia="Calibri" w:cs="Calibri"/>
        </w:rPr>
        <w:t xml:space="preserve"> </w:t>
      </w:r>
      <w:r w:rsidR="00C55F94" w:rsidRPr="00DF7682">
        <w:rPr>
          <w:rFonts w:eastAsia="Calibri" w:cs="Calibri"/>
          <w:i/>
          <w:iCs/>
        </w:rPr>
        <w:t>Shaping the Future of Intellectual Disability Nursing</w:t>
      </w:r>
      <w:r w:rsidR="00695562" w:rsidRPr="00DF7682">
        <w:rPr>
          <w:rFonts w:eastAsia="Calibri" w:cs="Calibri"/>
          <w:i/>
          <w:iCs/>
        </w:rPr>
        <w:t xml:space="preserve"> in Ireland, </w:t>
      </w:r>
      <w:r w:rsidR="00695562" w:rsidRPr="00DF7682">
        <w:rPr>
          <w:rFonts w:eastAsia="Calibri" w:cs="Calibri"/>
        </w:rPr>
        <w:t>to suggest that</w:t>
      </w:r>
      <w:r w:rsidR="004E1EA0" w:rsidRPr="00DF7682">
        <w:rPr>
          <w:rFonts w:eastAsia="Calibri" w:cs="Calibri"/>
        </w:rPr>
        <w:t xml:space="preserve"> </w:t>
      </w:r>
      <w:r w:rsidR="004E1EA0" w:rsidRPr="2FFECF68">
        <w:rPr>
          <w:rFonts w:eastAsia="Gill Sans MT" w:cs="Gill Sans MT"/>
        </w:rPr>
        <w:t xml:space="preserve">the role </w:t>
      </w:r>
      <w:r w:rsidR="00E90116" w:rsidRPr="2FFECF68">
        <w:rPr>
          <w:rFonts w:eastAsia="Gill Sans MT" w:cs="Gill Sans MT"/>
        </w:rPr>
        <w:t>was</w:t>
      </w:r>
      <w:r w:rsidR="004E1EA0" w:rsidRPr="2FFECF68">
        <w:rPr>
          <w:rFonts w:eastAsia="Gill Sans MT" w:cs="Gill Sans MT"/>
        </w:rPr>
        <w:t xml:space="preserve"> difficult to differentiate from </w:t>
      </w:r>
      <w:r w:rsidR="00E90116" w:rsidRPr="2FFECF68">
        <w:rPr>
          <w:rFonts w:eastAsia="Gill Sans MT" w:cs="Gill Sans MT"/>
        </w:rPr>
        <w:t>that</w:t>
      </w:r>
      <w:r w:rsidR="004E1EA0" w:rsidRPr="2FFECF68">
        <w:rPr>
          <w:rFonts w:eastAsia="Gill Sans MT" w:cs="Gill Sans MT"/>
        </w:rPr>
        <w:t xml:space="preserve"> of the social care assistant or of general nurses working in intellectual disability services</w:t>
      </w:r>
      <w:r w:rsidR="009B4F4A" w:rsidRPr="2FFECF68">
        <w:rPr>
          <w:rFonts w:eastAsia="Gill Sans MT" w:cs="Gill Sans MT"/>
        </w:rPr>
        <w:t xml:space="preserve"> </w:t>
      </w:r>
      <w:r w:rsidR="009B4F4A" w:rsidRPr="2FFECF68">
        <w:rPr>
          <w:rFonts w:eastAsia="Gill Sans MT" w:cs="Gill Sans MT"/>
        </w:rPr>
        <w:fldChar w:fldCharType="begin"/>
      </w:r>
      <w:r w:rsidR="009B4F4A" w:rsidRPr="2FFECF68">
        <w:rPr>
          <w:rFonts w:eastAsia="Gill Sans MT" w:cs="Gill Sans MT"/>
        </w:rPr>
        <w:instrText xml:space="preserve"> ADDIN EN.CITE &lt;EndNote&gt;&lt;Cite&gt;&lt;Author&gt;McCarron&lt;/Author&gt;&lt;Year&gt;2018&lt;/Year&gt;&lt;RecNum&gt;490&lt;/RecNum&gt;&lt;DisplayText&gt;(McCarron et al., 2018b)&lt;/DisplayText&gt;&lt;record&gt;&lt;rec-number&gt;490&lt;/rec-number&gt;&lt;foreign-keys&gt;&lt;key app="EN" db-id="xtwfdzde5ttr0zevxrh5sf0c2wfzw5zf2vra" timestamp="1648035385" guid="47072b47-6233-437d-8023-5ef093dd12ba"&gt;490&lt;/key&gt;&lt;/foreign-keys&gt;&lt;ref-type name="Report"&gt;27&lt;/ref-type&gt;&lt;contributors&gt;&lt;authors&gt;&lt;author&gt;McCarron, M&lt;/author&gt;&lt;author&gt;Sheerin, F&lt;/author&gt;&lt;author&gt;Roche, L&lt;/author&gt;&lt;author&gt;Ryan, AM&lt;/author&gt;&lt;author&gt;Griffiths, C&lt;/author&gt;&lt;author&gt;Keenan, P&lt;/author&gt;&lt;author&gt;Doody, O&lt;/author&gt;&lt;author&gt;D&amp;apos;Eath, M&lt;/author&gt;&lt;author&gt;Burke, E&lt;/author&gt;&lt;author&gt;McCallion, P&lt;/author&gt;&lt;/authors&gt;&lt;/contributors&gt;&lt;titles&gt;&lt;title&gt;Shaping the future of intellectual disability nursing in Ireland: Supporting people with an intellectual disability to live ordinary lives in ordinary places&lt;/title&gt;&lt;/titles&gt;&lt;pages&gt;5&lt;/pages&gt;&lt;dates&gt;&lt;year&gt;2018&lt;/year&gt;&lt;/dates&gt;&lt;pub-location&gt;Ireland&lt;/pub-location&gt;&lt;publisher&gt;Health Services Executive&lt;/publisher&gt;&lt;urls&gt;&lt;/urls&gt;&lt;/record&gt;&lt;/Cite&gt;&lt;/EndNote&gt;</w:instrText>
      </w:r>
      <w:r w:rsidR="009B4F4A" w:rsidRPr="2FFECF68">
        <w:rPr>
          <w:rFonts w:eastAsia="Gill Sans MT" w:cs="Gill Sans MT"/>
        </w:rPr>
        <w:fldChar w:fldCharType="separate"/>
      </w:r>
      <w:r w:rsidR="009B4F4A" w:rsidRPr="2FFECF68">
        <w:rPr>
          <w:rFonts w:eastAsia="Gill Sans MT" w:cs="Gill Sans MT"/>
        </w:rPr>
        <w:t>(McCarron et al., 2018b)</w:t>
      </w:r>
      <w:r w:rsidR="009B4F4A" w:rsidRPr="2FFECF68">
        <w:rPr>
          <w:rFonts w:eastAsia="Gill Sans MT" w:cs="Gill Sans MT"/>
        </w:rPr>
        <w:fldChar w:fldCharType="end"/>
      </w:r>
      <w:r w:rsidR="00921297">
        <w:rPr>
          <w:rFonts w:eastAsia="Calibri" w:cs="Calibri"/>
        </w:rPr>
        <w:t>.</w:t>
      </w:r>
      <w:r w:rsidR="00FB4A4E">
        <w:rPr>
          <w:rFonts w:eastAsia="Calibri" w:cs="Calibri"/>
        </w:rPr>
        <w:t xml:space="preserve"> That strategy report, however, proposed a refocusing of intellectual disability nursing on </w:t>
      </w:r>
      <w:r w:rsidR="00D91F4F">
        <w:rPr>
          <w:rFonts w:eastAsia="Calibri" w:cs="Calibri"/>
        </w:rPr>
        <w:t>roles pertaining to health, including nurse specialist, advanced practitioner and liaison ones. The</w:t>
      </w:r>
      <w:r w:rsidR="00340CD5">
        <w:rPr>
          <w:rFonts w:eastAsia="Calibri" w:cs="Calibri"/>
        </w:rPr>
        <w:t xml:space="preserve"> enactment of recommendations from McCarron et al.</w:t>
      </w:r>
      <w:r w:rsidR="00990E01">
        <w:rPr>
          <w:rFonts w:eastAsia="Calibri" w:cs="Calibri"/>
        </w:rPr>
        <w:t xml:space="preserve">’s report may explain participants’ assertion that RNIDs </w:t>
      </w:r>
      <w:r w:rsidR="004E1EA0" w:rsidRPr="2FFECF68">
        <w:rPr>
          <w:rFonts w:eastAsia="Gill Sans MT" w:cs="Gill Sans MT"/>
        </w:rPr>
        <w:t xml:space="preserve">may play an essential role in supporting older people to age in place and </w:t>
      </w:r>
      <w:r w:rsidR="00990E01" w:rsidRPr="2FFECF68">
        <w:rPr>
          <w:rFonts w:eastAsia="Gill Sans MT" w:cs="Gill Sans MT"/>
        </w:rPr>
        <w:t>that lack of th</w:t>
      </w:r>
      <w:r w:rsidR="00915C44" w:rsidRPr="2FFECF68">
        <w:rPr>
          <w:rFonts w:eastAsia="Gill Sans MT" w:cs="Gill Sans MT"/>
        </w:rPr>
        <w:t>eir</w:t>
      </w:r>
      <w:r w:rsidR="00990E01" w:rsidRPr="2FFECF68">
        <w:rPr>
          <w:rFonts w:eastAsia="Gill Sans MT" w:cs="Gill Sans MT"/>
        </w:rPr>
        <w:t xml:space="preserve"> health-focussed </w:t>
      </w:r>
      <w:r w:rsidR="00915C44" w:rsidRPr="2FFECF68">
        <w:rPr>
          <w:rFonts w:eastAsia="Gill Sans MT" w:cs="Gill Sans MT"/>
        </w:rPr>
        <w:t>skillset may</w:t>
      </w:r>
      <w:r w:rsidR="004E1EA0" w:rsidRPr="2FFECF68">
        <w:rPr>
          <w:rFonts w:eastAsia="Gill Sans MT" w:cs="Gill Sans MT"/>
        </w:rPr>
        <w:t xml:space="preserve"> precipitate </w:t>
      </w:r>
      <w:r w:rsidR="00932103" w:rsidRPr="2FFECF68">
        <w:rPr>
          <w:rFonts w:eastAsia="Gill Sans MT" w:cs="Gill Sans MT"/>
        </w:rPr>
        <w:t>the</w:t>
      </w:r>
      <w:r w:rsidR="00915C44" w:rsidRPr="2FFECF68">
        <w:rPr>
          <w:rFonts w:eastAsia="Gill Sans MT" w:cs="Gill Sans MT"/>
        </w:rPr>
        <w:t xml:space="preserve"> </w:t>
      </w:r>
      <w:r w:rsidR="00932103" w:rsidRPr="2FFECF68">
        <w:rPr>
          <w:rFonts w:eastAsia="Gill Sans MT" w:cs="Gill Sans MT"/>
        </w:rPr>
        <w:t xml:space="preserve">transfer of older people to </w:t>
      </w:r>
      <w:r w:rsidR="00B54613" w:rsidRPr="2FFECF68">
        <w:rPr>
          <w:rFonts w:eastAsia="Gill Sans MT" w:cs="Gill Sans MT"/>
        </w:rPr>
        <w:t>settings other than their own homes</w:t>
      </w:r>
      <w:r w:rsidR="00915C44" w:rsidRPr="2FFECF68">
        <w:rPr>
          <w:rFonts w:eastAsia="Gill Sans MT" w:cs="Gill Sans MT"/>
        </w:rPr>
        <w:t>.</w:t>
      </w:r>
      <w:r w:rsidR="00B54613" w:rsidRPr="2FFECF68">
        <w:rPr>
          <w:rFonts w:eastAsia="Gill Sans MT" w:cs="Gill Sans MT"/>
        </w:rPr>
        <w:t xml:space="preserve"> This may also be contributed to by </w:t>
      </w:r>
      <w:r w:rsidR="009C339C">
        <w:rPr>
          <w:rFonts w:eastAsia="Gill Sans MT" w:cs="Gill Sans MT"/>
        </w:rPr>
        <w:t xml:space="preserve">the difficulties in </w:t>
      </w:r>
      <w:r w:rsidR="004626C6">
        <w:rPr>
          <w:rFonts w:eastAsia="Gill Sans MT" w:cs="Gill Sans MT"/>
        </w:rPr>
        <w:t>funding</w:t>
      </w:r>
      <w:r w:rsidR="009C339C">
        <w:rPr>
          <w:rFonts w:eastAsia="Gill Sans MT" w:cs="Gill Sans MT"/>
        </w:rPr>
        <w:t xml:space="preserve"> </w:t>
      </w:r>
      <w:r w:rsidR="004626C6">
        <w:rPr>
          <w:rFonts w:eastAsia="Gill Sans MT" w:cs="Gill Sans MT"/>
        </w:rPr>
        <w:t xml:space="preserve">‘twilight’ staff to </w:t>
      </w:r>
      <w:r w:rsidR="00DC505E" w:rsidRPr="2FFECF68">
        <w:rPr>
          <w:rFonts w:eastAsia="Gill Sans MT" w:cs="Gill Sans MT"/>
        </w:rPr>
        <w:t>accommodat</w:t>
      </w:r>
      <w:r w:rsidR="004626C6">
        <w:rPr>
          <w:rFonts w:eastAsia="Gill Sans MT" w:cs="Gill Sans MT"/>
        </w:rPr>
        <w:t>e</w:t>
      </w:r>
      <w:r w:rsidR="00DC505E" w:rsidRPr="2FFECF68">
        <w:rPr>
          <w:rFonts w:eastAsia="Gill Sans MT" w:cs="Gill Sans MT"/>
        </w:rPr>
        <w:t xml:space="preserve"> ‘waking nights’ (</w:t>
      </w:r>
      <w:r w:rsidR="004E4D7C" w:rsidRPr="2FFECF68">
        <w:rPr>
          <w:rFonts w:eastAsia="Gill Sans MT" w:cs="Gill Sans MT"/>
        </w:rPr>
        <w:t xml:space="preserve">staff on active night duty), something that is often required in </w:t>
      </w:r>
      <w:r w:rsidR="00DD56B1" w:rsidRPr="2FFECF68">
        <w:rPr>
          <w:rFonts w:eastAsia="Gill Sans MT" w:cs="Gill Sans MT"/>
        </w:rPr>
        <w:t>situations of acute and chronic illness</w:t>
      </w:r>
      <w:r w:rsidR="3F86BE1D" w:rsidRPr="48F7E132">
        <w:rPr>
          <w:rFonts w:eastAsia="Gill Sans MT" w:cs="Gill Sans MT"/>
        </w:rPr>
        <w:t xml:space="preserve"> </w:t>
      </w:r>
      <w:r w:rsidR="3F86BE1D" w:rsidRPr="251BDD4D">
        <w:rPr>
          <w:rFonts w:eastAsia="Gill Sans MT" w:cs="Gill Sans MT"/>
        </w:rPr>
        <w:t>including dementia</w:t>
      </w:r>
      <w:r w:rsidR="00DD56B1" w:rsidRPr="251BDD4D">
        <w:rPr>
          <w:rFonts w:eastAsia="Gill Sans MT" w:cs="Gill Sans MT"/>
        </w:rPr>
        <w:t>.</w:t>
      </w:r>
      <w:r w:rsidR="00DD56B1" w:rsidRPr="2FFECF68">
        <w:rPr>
          <w:rFonts w:eastAsia="Gill Sans MT" w:cs="Gill Sans MT"/>
        </w:rPr>
        <w:t xml:space="preserve"> </w:t>
      </w:r>
      <w:r w:rsidR="00DD56B1" w:rsidRPr="00DD56B1">
        <w:rPr>
          <w:rFonts w:cs="Calibri"/>
          <w:lang w:eastAsia="en-IE"/>
        </w:rPr>
        <w:t>Such staffing models are more expensive and t</w:t>
      </w:r>
      <w:r w:rsidR="00D02C58" w:rsidRPr="00DD56B1">
        <w:rPr>
          <w:rFonts w:cs="Calibri"/>
          <w:lang w:eastAsia="en-IE"/>
        </w:rPr>
        <w:t xml:space="preserve">he process of getting funding </w:t>
      </w:r>
      <w:r w:rsidR="00DD56B1" w:rsidRPr="00DD56B1">
        <w:rPr>
          <w:rFonts w:cs="Calibri"/>
          <w:lang w:eastAsia="en-IE"/>
        </w:rPr>
        <w:t>was reported by participants to be</w:t>
      </w:r>
      <w:r w:rsidR="00D02C58" w:rsidRPr="00DD56B1">
        <w:rPr>
          <w:rFonts w:cs="Calibri"/>
          <w:lang w:eastAsia="en-IE"/>
        </w:rPr>
        <w:t xml:space="preserve"> slow and not responsive to immediate need.</w:t>
      </w:r>
    </w:p>
    <w:p w14:paraId="78E3DB81" w14:textId="3D4C8022" w:rsidR="00D02C58" w:rsidRDefault="007A2AEC" w:rsidP="00D02C58">
      <w:pPr>
        <w:rPr>
          <w:rFonts w:eastAsia="Calibri" w:cs="Calibri"/>
          <w:color w:val="FF0000"/>
        </w:rPr>
      </w:pPr>
      <w:r w:rsidRPr="00794A50">
        <w:rPr>
          <w:rFonts w:cs="Calibri"/>
          <w:lang w:eastAsia="en-IE"/>
        </w:rPr>
        <w:t xml:space="preserve">One solution to recruitment challenges is the upskilling of other staff, such that they will be able to undertake some health-related activities. This </w:t>
      </w:r>
      <w:r w:rsidR="00F63BA6" w:rsidRPr="00794A50">
        <w:rPr>
          <w:rFonts w:cs="Calibri"/>
          <w:lang w:eastAsia="en-IE"/>
        </w:rPr>
        <w:t>recommendation</w:t>
      </w:r>
      <w:r w:rsidR="00AA4982" w:rsidRPr="00794A50">
        <w:rPr>
          <w:rFonts w:cs="Calibri"/>
          <w:lang w:eastAsia="en-IE"/>
        </w:rPr>
        <w:t xml:space="preserve"> is frequently aired in the literature </w:t>
      </w:r>
      <w:r w:rsidR="00B61343">
        <w:rPr>
          <w:rFonts w:cs="Calibri"/>
          <w:lang w:eastAsia="en-IE"/>
        </w:rPr>
        <w:fldChar w:fldCharType="begin">
          <w:fldData xml:space="preserve">PEVuZE5vdGU+PENpdGU+PEF1dGhvcj5KYW5pY2tpPC9BdXRob3I+PFllYXI+MjAwNTwvWWVhcj48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</w:fldData>
        </w:fldChar>
      </w:r>
      <w:r w:rsidR="00B26CBF">
        <w:rPr>
          <w:rFonts w:cs="Calibri"/>
          <w:lang w:eastAsia="en-IE"/>
        </w:rPr>
        <w:instrText xml:space="preserve"> ADDIN EN.CITE </w:instrText>
      </w:r>
      <w:r w:rsidR="00B26CBF">
        <w:rPr>
          <w:rFonts w:cs="Calibri"/>
          <w:lang w:eastAsia="en-IE"/>
        </w:rPr>
        <w:fldChar w:fldCharType="begin">
          <w:fldData xml:space="preserve">PEVuZE5vdGU+PENpdGU+PEF1dGhvcj5KYW5pY2tpPC9BdXRob3I+PFllYXI+MjAwNTwvWWVhcj48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</w:fldData>
        </w:fldChar>
      </w:r>
      <w:r w:rsidR="00B26CBF">
        <w:rPr>
          <w:rFonts w:cs="Calibri"/>
          <w:lang w:eastAsia="en-IE"/>
        </w:rPr>
        <w:instrText xml:space="preserve"> ADDIN EN.CITE.DATA </w:instrText>
      </w:r>
      <w:r w:rsidR="00B26CBF">
        <w:rPr>
          <w:rFonts w:cs="Calibri"/>
          <w:lang w:eastAsia="en-IE"/>
        </w:rPr>
      </w:r>
      <w:r w:rsidR="00B26CBF">
        <w:rPr>
          <w:rFonts w:cs="Calibri"/>
          <w:lang w:eastAsia="en-IE"/>
        </w:rPr>
        <w:fldChar w:fldCharType="end"/>
      </w:r>
      <w:r w:rsidR="00B61343">
        <w:rPr>
          <w:rFonts w:cs="Calibri"/>
          <w:lang w:eastAsia="en-IE"/>
        </w:rPr>
      </w:r>
      <w:r w:rsidR="00B61343">
        <w:rPr>
          <w:rFonts w:cs="Calibri"/>
          <w:lang w:eastAsia="en-IE"/>
        </w:rPr>
        <w:fldChar w:fldCharType="separate"/>
      </w:r>
      <w:r w:rsidR="00B26CBF">
        <w:rPr>
          <w:rFonts w:cs="Calibri"/>
          <w:noProof/>
          <w:lang w:eastAsia="en-IE"/>
        </w:rPr>
        <w:t>(Johansson et al., 2017; Tuffrey</w:t>
      </w:r>
      <w:r w:rsidR="00B26CBF">
        <w:rPr>
          <w:rFonts w:ascii="Cambria Math" w:hAnsi="Cambria Math" w:cs="Cambria Math"/>
          <w:noProof/>
          <w:lang w:eastAsia="en-IE"/>
        </w:rPr>
        <w:t>‐</w:t>
      </w:r>
      <w:r w:rsidR="00B26CBF">
        <w:rPr>
          <w:rFonts w:cs="Calibri"/>
          <w:noProof/>
          <w:lang w:eastAsia="en-IE"/>
        </w:rPr>
        <w:t>Wijne et al., 2007; Janicki et al., 2005)</w:t>
      </w:r>
      <w:r w:rsidR="00B61343">
        <w:rPr>
          <w:rFonts w:cs="Calibri"/>
          <w:lang w:eastAsia="en-IE"/>
        </w:rPr>
        <w:fldChar w:fldCharType="end"/>
      </w:r>
      <w:r w:rsidR="00794A50">
        <w:rPr>
          <w:rFonts w:cs="Calibri"/>
          <w:lang w:eastAsia="en-IE"/>
        </w:rPr>
        <w:t xml:space="preserve"> and is an important aspect of age-related </w:t>
      </w:r>
      <w:r w:rsidR="00741ABE">
        <w:rPr>
          <w:rFonts w:cs="Calibri"/>
          <w:lang w:eastAsia="en-IE"/>
        </w:rPr>
        <w:t xml:space="preserve">care as it supports the consistency of relationships, something that family members noted to be important </w:t>
      </w:r>
      <w:r w:rsidR="028EFE17">
        <w:rPr>
          <w:rFonts w:cs="Calibri"/>
          <w:lang w:eastAsia="en-IE"/>
        </w:rPr>
        <w:t>i</w:t>
      </w:r>
      <w:r w:rsidR="00741ABE">
        <w:rPr>
          <w:rFonts w:cs="Calibri"/>
          <w:lang w:eastAsia="en-IE"/>
        </w:rPr>
        <w:t xml:space="preserve">n the lives of their loved ones. </w:t>
      </w:r>
      <w:r w:rsidR="00293340">
        <w:rPr>
          <w:rFonts w:cs="Calibri"/>
          <w:lang w:eastAsia="en-IE"/>
        </w:rPr>
        <w:t xml:space="preserve">There appears, however, to be a reluctance among some staff </w:t>
      </w:r>
      <w:r w:rsidR="00D02C58" w:rsidRPr="00E073CC">
        <w:rPr>
          <w:rFonts w:cs="Calibri"/>
          <w:lang w:eastAsia="en-IE"/>
        </w:rPr>
        <w:t xml:space="preserve">to upskill or take positions of responsibility. </w:t>
      </w:r>
      <w:r w:rsidR="00F963DD" w:rsidRPr="00E073CC">
        <w:rPr>
          <w:rFonts w:cs="Calibri"/>
          <w:lang w:eastAsia="en-IE"/>
        </w:rPr>
        <w:t xml:space="preserve">This is an interesting finding as previous </w:t>
      </w:r>
      <w:r w:rsidR="00A061C0" w:rsidRPr="00E073CC">
        <w:rPr>
          <w:rFonts w:cs="Calibri"/>
          <w:lang w:eastAsia="en-IE"/>
        </w:rPr>
        <w:t>studies</w:t>
      </w:r>
      <w:r w:rsidR="00301DF9">
        <w:rPr>
          <w:rFonts w:cs="Calibri"/>
          <w:lang w:eastAsia="en-IE"/>
        </w:rPr>
        <w:t xml:space="preserve"> </w:t>
      </w:r>
      <w:r w:rsidR="00301DF9">
        <w:rPr>
          <w:rFonts w:cs="Calibri"/>
          <w:lang w:eastAsia="en-IE"/>
        </w:rPr>
        <w:fldChar w:fldCharType="begin"/>
      </w:r>
      <w:r w:rsidR="00C2464C">
        <w:rPr>
          <w:rFonts w:cs="Calibri"/>
          <w:lang w:eastAsia="en-IE"/>
        </w:rPr>
        <w:instrText xml:space="preserve"> ADDIN EN.CITE &lt;EndNote&gt;&lt;Cite&gt;&lt;Author&gt;Olsson&lt;/Author&gt;&lt;Year&gt;2020&lt;/Year&gt;&lt;RecNum&gt;767&lt;/RecNum&gt;&lt;Prefix&gt;for example`, &lt;/Prefix&gt;&lt;DisplayText&gt;(for example, Olsson &amp;amp; Gustafsson, 2020)&lt;/DisplayText&gt;&lt;record&gt;&lt;rec-number&gt;767&lt;/rec-number&gt;&lt;foreign-keys&gt;&lt;key app="EN" db-id="xtwfdzde5ttr0zevxrh5sf0c2wfzw5zf2vra" timestamp="1667647653" guid="612f5ce4-bd37-4775-b4a8-cb365160ad21"&gt;767&lt;/key&gt;&lt;/foreign-keys&gt;&lt;ref-type name="Journal Article"&gt;17&lt;/ref-type&gt;&lt;contributors&gt;&lt;authors&gt;&lt;author&gt;Olsson, Sylvia&lt;/author&gt;&lt;author&gt;Gustafsson, Christine&lt;/author&gt;&lt;/authors&gt;&lt;/contributors&gt;&lt;titles&gt;&lt;title&gt;Employees&amp;apos; experiences of education and knowledge in intellectual disability practice&lt;/title&gt;&lt;secondary-title&gt;Journal of policy and practice in intellectual disabilities&lt;/secondary-title&gt;&lt;/titles&gt;&lt;periodical&gt;&lt;full-title&gt;Journal of Policy and Practice in Intellectual Disabilities&lt;/full-title&gt;&lt;/periodical&gt;&lt;pages&gt;219-231&lt;/pages&gt;&lt;volume&gt;17&lt;/volume&gt;&lt;number&gt;3&lt;/number&gt;&lt;dates&gt;&lt;year&gt;2020&lt;/year&gt;&lt;/dates&gt;&lt;isbn&gt;1741-1122&lt;/isbn&gt;&lt;urls&gt;&lt;/urls&gt;&lt;/record&gt;&lt;/Cite&gt;&lt;/EndNote&gt;</w:instrText>
      </w:r>
      <w:r w:rsidR="00301DF9">
        <w:rPr>
          <w:rFonts w:cs="Calibri"/>
          <w:lang w:eastAsia="en-IE"/>
        </w:rPr>
        <w:fldChar w:fldCharType="separate"/>
      </w:r>
      <w:r w:rsidR="00CD5B46">
        <w:rPr>
          <w:rFonts w:cs="Calibri"/>
          <w:noProof/>
          <w:lang w:eastAsia="en-IE"/>
        </w:rPr>
        <w:t>(for example, Olsson &amp; Gustafsson, 2020)</w:t>
      </w:r>
      <w:r w:rsidR="00301DF9">
        <w:rPr>
          <w:rFonts w:cs="Calibri"/>
          <w:lang w:eastAsia="en-IE"/>
        </w:rPr>
        <w:fldChar w:fldCharType="end"/>
      </w:r>
      <w:r w:rsidR="00A061C0" w:rsidRPr="00E073CC">
        <w:rPr>
          <w:rFonts w:cs="Calibri"/>
          <w:lang w:eastAsia="en-IE"/>
        </w:rPr>
        <w:t xml:space="preserve"> hav</w:t>
      </w:r>
      <w:r w:rsidR="00CD5B46">
        <w:rPr>
          <w:rFonts w:cs="Calibri"/>
          <w:lang w:eastAsia="en-IE"/>
        </w:rPr>
        <w:t>e</w:t>
      </w:r>
      <w:r w:rsidR="00A061C0" w:rsidRPr="00E073CC">
        <w:rPr>
          <w:rFonts w:cs="Calibri"/>
          <w:lang w:eastAsia="en-IE"/>
        </w:rPr>
        <w:t xml:space="preserve"> reported staff to be positively disposed to such education and training. </w:t>
      </w:r>
      <w:r w:rsidR="00A553C3" w:rsidRPr="00E073CC">
        <w:rPr>
          <w:rFonts w:cs="Calibri"/>
          <w:lang w:eastAsia="en-IE"/>
        </w:rPr>
        <w:t>The reason for such reticence is unclear but may be rooted in</w:t>
      </w:r>
      <w:r w:rsidR="008B14B5" w:rsidRPr="00E073CC">
        <w:rPr>
          <w:rFonts w:cs="Calibri"/>
          <w:lang w:eastAsia="en-IE"/>
        </w:rPr>
        <w:t xml:space="preserve"> social care</w:t>
      </w:r>
      <w:r w:rsidR="00977631" w:rsidRPr="00E073CC">
        <w:rPr>
          <w:rFonts w:cs="Calibri"/>
          <w:lang w:eastAsia="en-IE"/>
        </w:rPr>
        <w:t xml:space="preserve"> staff</w:t>
      </w:r>
      <w:r w:rsidR="008B14B5" w:rsidRPr="00E073CC">
        <w:rPr>
          <w:rFonts w:cs="Calibri"/>
          <w:lang w:eastAsia="en-IE"/>
        </w:rPr>
        <w:t xml:space="preserve"> </w:t>
      </w:r>
      <w:r w:rsidR="00977631" w:rsidRPr="00E073CC">
        <w:rPr>
          <w:rFonts w:cs="Calibri"/>
          <w:lang w:eastAsia="en-IE"/>
        </w:rPr>
        <w:t xml:space="preserve">seeking to </w:t>
      </w:r>
      <w:r w:rsidR="008B14B5" w:rsidRPr="00E073CC">
        <w:rPr>
          <w:rFonts w:cs="Calibri"/>
          <w:lang w:eastAsia="en-IE"/>
        </w:rPr>
        <w:t>adher</w:t>
      </w:r>
      <w:r w:rsidR="00977631" w:rsidRPr="00E073CC">
        <w:rPr>
          <w:rFonts w:cs="Calibri"/>
          <w:lang w:eastAsia="en-IE"/>
        </w:rPr>
        <w:t>e</w:t>
      </w:r>
      <w:r w:rsidR="008B14B5" w:rsidRPr="00E073CC">
        <w:rPr>
          <w:rFonts w:cs="Calibri"/>
          <w:lang w:eastAsia="en-IE"/>
        </w:rPr>
        <w:t xml:space="preserve"> to a social </w:t>
      </w:r>
      <w:r w:rsidR="00977631" w:rsidRPr="00E073CC">
        <w:rPr>
          <w:rFonts w:cs="Calibri"/>
          <w:lang w:eastAsia="en-IE"/>
        </w:rPr>
        <w:t xml:space="preserve">(not medical) </w:t>
      </w:r>
      <w:r w:rsidR="008B14B5" w:rsidRPr="00E073CC">
        <w:rPr>
          <w:rFonts w:cs="Calibri"/>
          <w:lang w:eastAsia="en-IE"/>
        </w:rPr>
        <w:t xml:space="preserve">model and nursing </w:t>
      </w:r>
      <w:r w:rsidR="00977631" w:rsidRPr="00E073CC">
        <w:rPr>
          <w:rFonts w:cs="Calibri"/>
          <w:lang w:eastAsia="en-IE"/>
        </w:rPr>
        <w:t xml:space="preserve">seeking to </w:t>
      </w:r>
      <w:r w:rsidR="00BD610D" w:rsidRPr="00E073CC">
        <w:rPr>
          <w:rFonts w:cs="Calibri"/>
          <w:lang w:eastAsia="en-IE"/>
        </w:rPr>
        <w:t xml:space="preserve">protect its role in the health domain. </w:t>
      </w:r>
      <w:r w:rsidR="008E1053">
        <w:rPr>
          <w:rFonts w:cs="Calibri"/>
          <w:lang w:eastAsia="en-IE"/>
        </w:rPr>
        <w:t>Related findings, though not in respect of medical tasks, were found in a recent</w:t>
      </w:r>
      <w:r w:rsidR="00760F40">
        <w:rPr>
          <w:rFonts w:cs="Calibri"/>
          <w:lang w:eastAsia="en-IE"/>
        </w:rPr>
        <w:t xml:space="preserve"> </w:t>
      </w:r>
      <w:r w:rsidR="00760F40">
        <w:rPr>
          <w:rFonts w:cs="Calibri"/>
          <w:lang w:eastAsia="en-IE"/>
        </w:rPr>
        <w:fldChar w:fldCharType="begin"/>
      </w:r>
      <w:r w:rsidR="00614E03">
        <w:rPr>
          <w:rFonts w:cs="Calibri"/>
          <w:lang w:eastAsia="en-IE"/>
        </w:rPr>
        <w:instrText xml:space="preserve"> ADDIN EN.CITE &lt;EndNote&gt;&lt;Cite AuthorYear="1"&gt;&lt;Author&gt;NDA&lt;/Author&gt;&lt;Year&gt;2021&lt;/Year&gt;&lt;RecNum&gt;788&lt;/RecNum&gt;&lt;DisplayText&gt;NDA (2021b)&lt;/DisplayText&gt;&lt;record&gt;&lt;rec-number&gt;788&lt;/rec-number&gt;&lt;foreign-keys&gt;&lt;key app="EN" db-id="xtwfdzde5ttr0zevxrh5sf0c2wfzw5zf2vra" timestamp="1669643265" guid="da9bfa11-3570-4293-903a-06a5fdadcff2"&gt;788&lt;/key&gt;&lt;/foreign-keys&gt;&lt;ref-type name="Report"&gt;27&lt;/ref-type&gt;&lt;contributors&gt;&lt;authors&gt;&lt;author&gt;NDA,&lt;/author&gt;&lt;/authors&gt;&lt;/contributors&gt;&lt;titles&gt;&lt;title&gt;Staff and Change Management: Good Practice in the Transition to Community Residential Disability Services. &lt;/title&gt;&lt;/titles&gt;&lt;dates&gt;&lt;year&gt;2021&lt;/year&gt;&lt;/dates&gt;&lt;pub-location&gt;Dublin&lt;/pub-location&gt;&lt;publisher&gt;National Disability Authority&lt;/publisher&gt;&lt;urls&gt;&lt;/urls&gt;&lt;/record&gt;&lt;/Cite&gt;&lt;/EndNote&gt;</w:instrText>
      </w:r>
      <w:r w:rsidR="00760F40">
        <w:rPr>
          <w:rFonts w:cs="Calibri"/>
          <w:lang w:eastAsia="en-IE"/>
        </w:rPr>
        <w:fldChar w:fldCharType="separate"/>
      </w:r>
      <w:r w:rsidR="00760F40">
        <w:rPr>
          <w:rFonts w:cs="Calibri"/>
          <w:noProof/>
          <w:lang w:eastAsia="en-IE"/>
        </w:rPr>
        <w:t>NDA (2021b)</w:t>
      </w:r>
      <w:r w:rsidR="00760F40">
        <w:rPr>
          <w:rFonts w:cs="Calibri"/>
          <w:lang w:eastAsia="en-IE"/>
        </w:rPr>
        <w:fldChar w:fldCharType="end"/>
      </w:r>
      <w:r w:rsidR="008E1053">
        <w:rPr>
          <w:rFonts w:cs="Calibri"/>
          <w:lang w:eastAsia="en-IE"/>
        </w:rPr>
        <w:t xml:space="preserve"> </w:t>
      </w:r>
      <w:r w:rsidR="006B5F11">
        <w:rPr>
          <w:rFonts w:cs="Calibri"/>
          <w:lang w:eastAsia="en-IE"/>
        </w:rPr>
        <w:t xml:space="preserve">study. </w:t>
      </w:r>
      <w:r w:rsidR="00BD610D" w:rsidRPr="00E073CC">
        <w:rPr>
          <w:rFonts w:cs="Calibri"/>
          <w:lang w:eastAsia="en-IE"/>
        </w:rPr>
        <w:t>It is recognised, though, that u</w:t>
      </w:r>
      <w:r w:rsidR="00D02C58" w:rsidRPr="00E073CC">
        <w:rPr>
          <w:rFonts w:cs="Calibri"/>
          <w:lang w:eastAsia="en-IE"/>
        </w:rPr>
        <w:t>pskilling</w:t>
      </w:r>
      <w:r w:rsidR="00BD610D" w:rsidRPr="00E073CC">
        <w:rPr>
          <w:rFonts w:cs="Calibri"/>
          <w:lang w:eastAsia="en-IE"/>
        </w:rPr>
        <w:t xml:space="preserve"> of</w:t>
      </w:r>
      <w:r w:rsidR="00D02C58" w:rsidRPr="00E073CC">
        <w:rPr>
          <w:rFonts w:cs="Calibri"/>
          <w:lang w:eastAsia="en-IE"/>
        </w:rPr>
        <w:t xml:space="preserve"> staff increase</w:t>
      </w:r>
      <w:r w:rsidR="00254D1E" w:rsidRPr="00E073CC">
        <w:rPr>
          <w:rFonts w:cs="Calibri"/>
          <w:lang w:eastAsia="en-IE"/>
        </w:rPr>
        <w:t>s</w:t>
      </w:r>
      <w:r w:rsidR="00D02C58" w:rsidRPr="00E073CC">
        <w:rPr>
          <w:rFonts w:cs="Calibri"/>
          <w:lang w:eastAsia="en-IE"/>
        </w:rPr>
        <w:t xml:space="preserve"> the confidence of staff to support people with intellectual disabilit</w:t>
      </w:r>
      <w:r w:rsidR="00B032E8">
        <w:rPr>
          <w:rFonts w:cs="Calibri"/>
          <w:lang w:eastAsia="en-IE"/>
        </w:rPr>
        <w:t>ies</w:t>
      </w:r>
      <w:r w:rsidR="00D02C58" w:rsidRPr="00E073CC">
        <w:rPr>
          <w:rFonts w:cs="Calibri"/>
          <w:lang w:eastAsia="en-IE"/>
        </w:rPr>
        <w:t xml:space="preserve"> with complex needs to age in place </w:t>
      </w:r>
      <w:r w:rsidR="00D02C58" w:rsidRPr="00E073CC">
        <w:rPr>
          <w:rFonts w:cs="Calibri"/>
          <w:lang w:eastAsia="en-IE"/>
        </w:rPr>
        <w:fldChar w:fldCharType="begin"/>
      </w:r>
      <w:r w:rsidR="00D02C58" w:rsidRPr="00E073CC">
        <w:rPr>
          <w:rFonts w:cs="Calibri"/>
          <w:lang w:eastAsia="en-IE"/>
        </w:rPr>
        <w:instrText xml:space="preserve"> ADDIN EN.CITE &lt;EndNote&gt;&lt;Cite&gt;&lt;Author&gt;Bigby&lt;/Author&gt;&lt;Year&gt;2010&lt;/Year&gt;&lt;RecNum&gt;755&lt;/RecNum&gt;&lt;DisplayText&gt;(Webber et al., 2016; Bigby, 2010)&lt;/DisplayText&gt;&lt;record&gt;&lt;rec-number&gt;755&lt;/rec-number&gt;&lt;foreign-keys&gt;&lt;key app="EN" db-id="xtwfdzde5ttr0zevxrh5sf0c2wfzw5zf2vra" timestamp="1667508726" guid="078a5a69-2582-4620-a1b7-4f10afd8dad1"&gt;755&lt;/key&gt;&lt;/foreign-keys&gt;&lt;ref-type name="Journal Article"&gt;17&lt;/ref-type&gt;&lt;contributors&gt;&lt;authors&gt;&lt;author&gt;Bigby, Christine&lt;/author&gt;&lt;/authors&gt;&lt;/contributors&gt;&lt;titles&gt;&lt;title&gt;A five</w:instrText>
      </w:r>
      <w:r w:rsidR="00D02C58" w:rsidRPr="00E073CC">
        <w:rPr>
          <w:rFonts w:ascii="Cambria Math" w:hAnsi="Cambria Math" w:cs="Cambria Math"/>
          <w:lang w:eastAsia="en-IE"/>
        </w:rPr>
        <w:instrText>‐</w:instrText>
      </w:r>
      <w:r w:rsidR="00D02C58" w:rsidRPr="00E073CC">
        <w:rPr>
          <w:rFonts w:cs="Calibri"/>
          <w:lang w:eastAsia="en-IE"/>
        </w:rPr>
        <w:instrText>country comparative review of accommodation support policies for older people with intellectual disability&lt;/title&gt;&lt;secondary-title&gt;Journal of Policy and Practice in Intellectual Disabilities&lt;/secondary-title&gt;&lt;/titles&gt;&lt;periodical&gt;&lt;full-title&gt;Journal of Policy and Practice in Intellectual Disabilities&lt;/full-title&gt;&lt;/periodical&gt;&lt;pages&gt;3-15&lt;/pages&gt;&lt;volume&gt;7&lt;/volume&gt;&lt;number&gt;1&lt;/number&gt;&lt;dates&gt;&lt;year&gt;2010&lt;/year&gt;&lt;/dates&gt;&lt;isbn&gt;1741-1122&lt;/isbn&gt;&lt;urls&gt;&lt;/urls&gt;&lt;/record&gt;&lt;/Cite&gt;&lt;Cite&gt;&lt;Author&gt;Webber&lt;/Author&gt;&lt;Year&gt;2016&lt;/Year&gt;&lt;RecNum&gt;754&lt;/RecNum&gt;&lt;record&gt;&lt;rec-number&gt;754&lt;/rec-number&gt;&lt;foreign-keys&gt;&lt;key app="EN" db-id="xtwfdzde5ttr0zevxrh5sf0c2wfzw5zf2vra" timestamp="1667508708" guid="65d6a823-364a-4606-a28c-b436eabbfe37"&gt;754&lt;/key&gt;&lt;/foreign-keys&gt;&lt;ref-type name="Journal Article"&gt;17&lt;/ref-type&gt;&lt;contributors&gt;&lt;authors&gt;&lt;author&gt;Webber, Ruth&lt;/author&gt;&lt;author&gt;Bowers, Barbara&lt;/author&gt;&lt;author&gt;Bigby, Christine&lt;/author&gt;&lt;/authors&gt;&lt;/contributors&gt;&lt;titles&gt;&lt;title&gt;Confidence of group home staff in supporting the health needs of older residents with intellectual disability&lt;/title&gt;&lt;secondary-title&gt;Journal of Intellectual and Developmental Disability&lt;/secondary-title&gt;&lt;/titles&gt;&lt;periodical&gt;&lt;full-title&gt;Journal of Intellectual and Developmental Disability&lt;/full-title&gt;&lt;/periodical&gt;&lt;pages&gt;107-114&lt;/pages&gt;&lt;volume&gt;41&lt;/volume&gt;&lt;number&gt;2&lt;/number&gt;&lt;dates&gt;&lt;year&gt;2016&lt;/year&gt;&lt;/dates&gt;&lt;isbn&gt;1366-8250&lt;/isbn&gt;&lt;urls&gt;&lt;/urls&gt;&lt;/record&gt;&lt;/Cite&gt;&lt;/EndNote&gt;</w:instrText>
      </w:r>
      <w:r w:rsidR="00D02C58" w:rsidRPr="00E073CC">
        <w:rPr>
          <w:rFonts w:cs="Calibri"/>
          <w:lang w:eastAsia="en-IE"/>
        </w:rPr>
        <w:fldChar w:fldCharType="separate"/>
      </w:r>
      <w:r w:rsidR="00D02C58" w:rsidRPr="00E073CC">
        <w:rPr>
          <w:rFonts w:cs="Calibri"/>
          <w:noProof/>
          <w:lang w:eastAsia="en-IE"/>
        </w:rPr>
        <w:t>(Webber et al., 2016; Bigby, 2010)</w:t>
      </w:r>
      <w:r w:rsidR="00D02C58" w:rsidRPr="00E073CC">
        <w:rPr>
          <w:rFonts w:cs="Calibri"/>
          <w:lang w:eastAsia="en-IE"/>
        </w:rPr>
        <w:fldChar w:fldCharType="end"/>
      </w:r>
      <w:r w:rsidR="00254D1E" w:rsidRPr="00E073CC">
        <w:rPr>
          <w:rFonts w:cs="Calibri"/>
          <w:lang w:eastAsia="en-IE"/>
        </w:rPr>
        <w:t>.</w:t>
      </w:r>
      <w:r w:rsidR="00D02C58" w:rsidRPr="00E073CC">
        <w:rPr>
          <w:rFonts w:cs="Calibri"/>
          <w:lang w:eastAsia="en-IE"/>
        </w:rPr>
        <w:t xml:space="preserve"> </w:t>
      </w:r>
      <w:r w:rsidR="009A04F6">
        <w:rPr>
          <w:rFonts w:cs="Calibri"/>
          <w:lang w:eastAsia="en-IE"/>
        </w:rPr>
        <w:t xml:space="preserve">The inability to fill posts and </w:t>
      </w:r>
      <w:r w:rsidR="006E67A1">
        <w:rPr>
          <w:rFonts w:cs="Calibri"/>
          <w:lang w:eastAsia="en-IE"/>
        </w:rPr>
        <w:t xml:space="preserve">the adherence of staff groups to bounded roles may contribute to </w:t>
      </w:r>
      <w:r w:rsidR="006E67A1" w:rsidRPr="007A4F6C">
        <w:rPr>
          <w:rFonts w:cs="Calibri"/>
          <w:lang w:eastAsia="en-IE"/>
        </w:rPr>
        <w:t>de</w:t>
      </w:r>
      <w:r w:rsidR="00D02C58" w:rsidRPr="007A4F6C">
        <w:rPr>
          <w:rFonts w:eastAsia="Calibri" w:cs="Calibri"/>
        </w:rPr>
        <w:t>pendency of some services on agency staff</w:t>
      </w:r>
      <w:r w:rsidR="007A6041" w:rsidRPr="007A4F6C">
        <w:rPr>
          <w:rFonts w:eastAsia="Calibri" w:cs="Calibri"/>
        </w:rPr>
        <w:t xml:space="preserve"> who do not know the person</w:t>
      </w:r>
      <w:r w:rsidR="006E67A1" w:rsidRPr="007A4F6C">
        <w:rPr>
          <w:rFonts w:eastAsia="Calibri" w:cs="Calibri"/>
        </w:rPr>
        <w:t>, something that makes it</w:t>
      </w:r>
      <w:r w:rsidR="00D02C58" w:rsidRPr="007A4F6C">
        <w:rPr>
          <w:rFonts w:eastAsia="Calibri" w:cs="Calibri"/>
        </w:rPr>
        <w:t xml:space="preserve"> difficult to achieve person</w:t>
      </w:r>
      <w:r w:rsidR="009D7EEE">
        <w:rPr>
          <w:rFonts w:eastAsia="Calibri" w:cs="Calibri"/>
        </w:rPr>
        <w:t>-</w:t>
      </w:r>
      <w:r w:rsidR="00D02C58" w:rsidRPr="007A4F6C">
        <w:rPr>
          <w:rFonts w:eastAsia="Calibri" w:cs="Calibri"/>
        </w:rPr>
        <w:t xml:space="preserve">centred </w:t>
      </w:r>
      <w:r w:rsidR="007A6041" w:rsidRPr="007A4F6C">
        <w:rPr>
          <w:rFonts w:eastAsia="Calibri" w:cs="Calibri"/>
        </w:rPr>
        <w:t xml:space="preserve">support </w:t>
      </w:r>
      <w:r w:rsidR="003814B4">
        <w:rPr>
          <w:rFonts w:eastAsia="Calibri" w:cs="Calibri"/>
        </w:rPr>
        <w:fldChar w:fldCharType="begin"/>
      </w:r>
      <w:r w:rsidR="003814B4">
        <w:rPr>
          <w:rFonts w:eastAsia="Calibri" w:cs="Calibri"/>
        </w:rPr>
        <w:instrText xml:space="preserve"> ADDIN EN.CITE &lt;EndNote&gt;&lt;Cite&gt;&lt;Author&gt;Edvardsson&lt;/Author&gt;&lt;Year&gt;2010&lt;/Year&gt;&lt;RecNum&gt;542&lt;/RecNum&gt;&lt;DisplayText&gt;(Edvardsson et al., 2010)&lt;/DisplayText&gt;&lt;record&gt;&lt;rec-number&gt;542&lt;/rec-number&gt;&lt;foreign-keys&gt;&lt;key app="EN" db-id="xtwfdzde5ttr0zevxrh5sf0c2wfzw5zf2vra" timestamp="1649675466" guid="8749ca9e-be51-41be-8512-4f696529862b"&gt;542&lt;/key&gt;&lt;/foreign-keys&gt;&lt;ref-type name="Journal Article"&gt;17&lt;/ref-type&gt;&lt;contributors&gt;&lt;authors&gt;&lt;author&gt;Edvardsson, David&lt;/author&gt;&lt;author&gt;Fetherstonhaugh, Deirdre&lt;/author&gt;&lt;author&gt;Nay, Rhonda&lt;/author&gt;&lt;/authors&gt;&lt;/contributors&gt;&lt;titles&gt;&lt;title&gt;Promoting a continuation of self and normality: person-centred care as described by people with dementia, their family members and aged care staff&lt;/title&gt;&lt;secondary-title&gt;Journal of Clinical Nursing&lt;/secondary-title&gt;&lt;/titles&gt;&lt;periodical&gt;&lt;full-title&gt;Journal of Clinical Nursing&lt;/full-title&gt;&lt;/periodical&gt;&lt;pages&gt;2611-2618&lt;/pages&gt;&lt;volume&gt;19&lt;/volume&gt;&lt;number&gt;17-18&lt;/number&gt;&lt;dates&gt;&lt;year&gt;2010&lt;/year&gt;&lt;/dates&gt;&lt;publisher&gt;Wiley&lt;/publisher&gt;&lt;isbn&gt;0962-1067&lt;/isbn&gt;&lt;urls&gt;&lt;related-urls&gt;&lt;url&gt;https://dx.doi.org/10.1111/j.1365-2702.2009.03143.x&lt;/url&gt;&lt;/related-urls&gt;&lt;/urls&gt;&lt;electronic-resource-num&gt;10.1111/j.1365-2702.2009.03143.x&lt;/electronic-resource-num&gt;&lt;/record&gt;&lt;/Cite&gt;&lt;/EndNote&gt;</w:instrText>
      </w:r>
      <w:r w:rsidR="003814B4">
        <w:rPr>
          <w:rFonts w:eastAsia="Calibri" w:cs="Calibri"/>
        </w:rPr>
        <w:fldChar w:fldCharType="separate"/>
      </w:r>
      <w:r w:rsidR="003814B4">
        <w:rPr>
          <w:rFonts w:eastAsia="Calibri" w:cs="Calibri"/>
          <w:noProof/>
        </w:rPr>
        <w:t>(Edvardsson et al., 2010)</w:t>
      </w:r>
      <w:r w:rsidR="003814B4">
        <w:rPr>
          <w:rFonts w:eastAsia="Calibri" w:cs="Calibri"/>
        </w:rPr>
        <w:fldChar w:fldCharType="end"/>
      </w:r>
      <w:r w:rsidR="00DF1B9A">
        <w:rPr>
          <w:rFonts w:eastAsia="Calibri" w:cs="Calibri"/>
        </w:rPr>
        <w:t>.</w:t>
      </w:r>
    </w:p>
    <w:p w14:paraId="483CAC34" w14:textId="471BDADD" w:rsidR="604D2710" w:rsidRDefault="00167CA8" w:rsidP="1E1E7F10">
      <w:pPr>
        <w:spacing w:line="257" w:lineRule="auto"/>
        <w:rPr>
          <w:rFonts w:eastAsia="Gill Sans" w:cs="Gill Sans"/>
        </w:rPr>
      </w:pPr>
      <w:r w:rsidRPr="11C55A92">
        <w:rPr>
          <w:rFonts w:eastAsia="Gill Sans" w:cs="Gill Sans"/>
        </w:rPr>
        <w:t>A variety of service approaches have been reported in this study</w:t>
      </w:r>
      <w:r w:rsidR="007A4F6C" w:rsidRPr="11C55A92">
        <w:rPr>
          <w:rFonts w:eastAsia="Gill Sans" w:cs="Gill Sans"/>
        </w:rPr>
        <w:t>, spanning the health-social continuum.</w:t>
      </w:r>
      <w:r w:rsidR="00764E1F" w:rsidRPr="11C55A92">
        <w:rPr>
          <w:rFonts w:eastAsia="Gill Sans" w:cs="Gill Sans"/>
        </w:rPr>
        <w:t xml:space="preserve"> The absence of any consistent approach to supporting healthy ageing across or within services suggests that </w:t>
      </w:r>
      <w:r w:rsidR="00C00E5D" w:rsidRPr="11C55A92">
        <w:rPr>
          <w:rFonts w:eastAsia="Gill Sans" w:cs="Gill Sans"/>
        </w:rPr>
        <w:t xml:space="preserve">the experience of the older person with intellectual disabilities is predicated, with a certain level of chance, upon </w:t>
      </w:r>
      <w:r w:rsidR="00347D9A" w:rsidRPr="11C55A92">
        <w:rPr>
          <w:rFonts w:eastAsia="Gill Sans" w:cs="Gill Sans"/>
        </w:rPr>
        <w:t xml:space="preserve">the region in which they are located and, consequently, on the service </w:t>
      </w:r>
      <w:r w:rsidR="006D73D4" w:rsidRPr="11C55A92">
        <w:rPr>
          <w:rFonts w:eastAsia="Gill Sans" w:cs="Gill Sans"/>
        </w:rPr>
        <w:t>with which they are registered. There is clearly no national model</w:t>
      </w:r>
      <w:r w:rsidR="00715C49" w:rsidRPr="11C55A92">
        <w:rPr>
          <w:rFonts w:eastAsia="Gill Sans" w:cs="Gill Sans"/>
        </w:rPr>
        <w:t xml:space="preserve"> or strategic </w:t>
      </w:r>
      <w:r w:rsidR="006D73D4" w:rsidRPr="11C55A92">
        <w:rPr>
          <w:rFonts w:eastAsia="Gill Sans" w:cs="Gill Sans"/>
        </w:rPr>
        <w:t>approach</w:t>
      </w:r>
      <w:r w:rsidR="00715C49" w:rsidRPr="11C55A92">
        <w:rPr>
          <w:rFonts w:eastAsia="Gill Sans" w:cs="Gill Sans"/>
        </w:rPr>
        <w:t xml:space="preserve"> </w:t>
      </w:r>
      <w:r w:rsidR="006D73D4" w:rsidRPr="11C55A92">
        <w:rPr>
          <w:rFonts w:eastAsia="Gill Sans" w:cs="Gill Sans"/>
        </w:rPr>
        <w:t xml:space="preserve">to </w:t>
      </w:r>
      <w:r w:rsidR="00715C49" w:rsidRPr="11C55A92">
        <w:rPr>
          <w:rFonts w:eastAsia="Gill Sans" w:cs="Gill Sans"/>
        </w:rPr>
        <w:t xml:space="preserve">providing </w:t>
      </w:r>
      <w:r w:rsidR="00C673A5" w:rsidRPr="11C55A92">
        <w:rPr>
          <w:rFonts w:eastAsia="Gill Sans" w:cs="Gill Sans"/>
        </w:rPr>
        <w:t xml:space="preserve">older age </w:t>
      </w:r>
      <w:r w:rsidR="006D73D4" w:rsidRPr="11C55A92">
        <w:rPr>
          <w:rFonts w:eastAsia="Gill Sans" w:cs="Gill Sans"/>
        </w:rPr>
        <w:t>intellectual disability service</w:t>
      </w:r>
      <w:r w:rsidR="00557561" w:rsidRPr="11C55A92">
        <w:rPr>
          <w:rFonts w:eastAsia="Gill Sans" w:cs="Gill Sans"/>
        </w:rPr>
        <w:t xml:space="preserve"> </w:t>
      </w:r>
      <w:r w:rsidR="00715C49" w:rsidRPr="11C55A92">
        <w:rPr>
          <w:rFonts w:eastAsia="Gill Sans" w:cs="Gill Sans"/>
        </w:rPr>
        <w:t xml:space="preserve">to </w:t>
      </w:r>
      <w:r w:rsidR="00C23275" w:rsidRPr="11C55A92">
        <w:rPr>
          <w:rFonts w:eastAsia="Gill Sans" w:cs="Gill Sans"/>
        </w:rPr>
        <w:t xml:space="preserve">those who receive service. </w:t>
      </w:r>
      <w:r w:rsidR="000C7FB4" w:rsidRPr="11C55A92">
        <w:rPr>
          <w:rFonts w:eastAsia="Gill Sans" w:cs="Gill Sans"/>
        </w:rPr>
        <w:t xml:space="preserve">Service providers in the state came into being, initially through </w:t>
      </w:r>
      <w:r w:rsidR="00660F73" w:rsidRPr="11C55A92">
        <w:rPr>
          <w:rFonts w:eastAsia="Gill Sans" w:cs="Gill Sans"/>
        </w:rPr>
        <w:t xml:space="preserve">the activities of </w:t>
      </w:r>
      <w:r w:rsidR="000C7FB4" w:rsidRPr="11C55A92">
        <w:rPr>
          <w:rFonts w:eastAsia="Gill Sans" w:cs="Gill Sans"/>
        </w:rPr>
        <w:t xml:space="preserve">religious </w:t>
      </w:r>
      <w:r w:rsidR="00660F73" w:rsidRPr="11C55A92">
        <w:rPr>
          <w:rFonts w:eastAsia="Gill Sans" w:cs="Gill Sans"/>
        </w:rPr>
        <w:t xml:space="preserve">congregations, then of </w:t>
      </w:r>
      <w:r w:rsidR="00F15AD5" w:rsidRPr="11C55A92">
        <w:rPr>
          <w:rFonts w:eastAsia="Gill Sans" w:cs="Gill Sans"/>
        </w:rPr>
        <w:t xml:space="preserve">parent and family groups and finally private </w:t>
      </w:r>
      <w:r w:rsidR="00967580" w:rsidRPr="11C55A92">
        <w:rPr>
          <w:rFonts w:eastAsia="Gill Sans" w:cs="Gill Sans"/>
        </w:rPr>
        <w:t>agencies. Whilst the Irish state funded the work of many of these organisations, the</w:t>
      </w:r>
      <w:r w:rsidR="7EF6F971" w:rsidRPr="11C55A92">
        <w:rPr>
          <w:rFonts w:eastAsia="Gill Sans" w:cs="Gill Sans"/>
        </w:rPr>
        <w:t xml:space="preserve"> state</w:t>
      </w:r>
      <w:r w:rsidR="00967580" w:rsidRPr="11C55A92">
        <w:rPr>
          <w:rFonts w:eastAsia="Gill Sans" w:cs="Gill Sans"/>
        </w:rPr>
        <w:t xml:space="preserve"> only became active providers </w:t>
      </w:r>
      <w:r w:rsidR="00444D1A" w:rsidRPr="11C55A92">
        <w:rPr>
          <w:rFonts w:eastAsia="Gill Sans" w:cs="Gill Sans"/>
        </w:rPr>
        <w:t>of intellectual disability services in the later 20</w:t>
      </w:r>
      <w:r w:rsidR="00444D1A" w:rsidRPr="11C55A92">
        <w:rPr>
          <w:rFonts w:eastAsia="Gill Sans" w:cs="Gill Sans"/>
          <w:vertAlign w:val="superscript"/>
        </w:rPr>
        <w:t>th</w:t>
      </w:r>
      <w:r w:rsidR="00444D1A" w:rsidRPr="11C55A92">
        <w:rPr>
          <w:rFonts w:eastAsia="Gill Sans" w:cs="Gill Sans"/>
        </w:rPr>
        <w:t xml:space="preserve"> century. The </w:t>
      </w:r>
      <w:r w:rsidR="00BC5FA6" w:rsidRPr="11C55A92">
        <w:rPr>
          <w:rFonts w:eastAsia="Gill Sans" w:cs="Gill Sans"/>
        </w:rPr>
        <w:t xml:space="preserve">work of </w:t>
      </w:r>
      <w:r w:rsidR="00444D1A" w:rsidRPr="11C55A92">
        <w:rPr>
          <w:rFonts w:eastAsia="Gill Sans" w:cs="Gill Sans"/>
        </w:rPr>
        <w:t xml:space="preserve">voluntary agencies </w:t>
      </w:r>
      <w:r w:rsidR="00BC5FA6" w:rsidRPr="11C55A92">
        <w:rPr>
          <w:rFonts w:eastAsia="Gill Sans" w:cs="Gill Sans"/>
        </w:rPr>
        <w:t>cannot be underestimated and they have responded to the needs of people with intellectual disabilities of all ages</w:t>
      </w:r>
      <w:r w:rsidR="00DE1766" w:rsidRPr="11C55A92">
        <w:rPr>
          <w:rFonts w:eastAsia="Gill Sans" w:cs="Gill Sans"/>
        </w:rPr>
        <w:t xml:space="preserve"> and supported families. They have also sought to </w:t>
      </w:r>
      <w:r w:rsidR="00DD13F9" w:rsidRPr="11C55A92">
        <w:rPr>
          <w:rFonts w:eastAsia="Gill Sans" w:cs="Gill Sans"/>
        </w:rPr>
        <w:t>enact service changes in line with international best practice</w:t>
      </w:r>
      <w:r w:rsidR="002B6478" w:rsidRPr="11C55A92">
        <w:rPr>
          <w:rFonts w:eastAsia="Gill Sans" w:cs="Gill Sans"/>
        </w:rPr>
        <w:t xml:space="preserve">. They have done this, however, in the absence of </w:t>
      </w:r>
      <w:r w:rsidR="00735F47" w:rsidRPr="11C55A92">
        <w:rPr>
          <w:rFonts w:eastAsia="Gill Sans" w:cs="Gill Sans"/>
        </w:rPr>
        <w:t xml:space="preserve">any national plan and in the context of an inflexible </w:t>
      </w:r>
      <w:r w:rsidR="00EF0033" w:rsidRPr="11C55A92">
        <w:rPr>
          <w:rFonts w:eastAsia="Gill Sans" w:cs="Gill Sans"/>
        </w:rPr>
        <w:t>funding model</w:t>
      </w:r>
      <w:r w:rsidR="008C7DB2" w:rsidRPr="11C55A92">
        <w:rPr>
          <w:rFonts w:eastAsia="Gill Sans" w:cs="Gill Sans"/>
        </w:rPr>
        <w:t>, mediated largely via the Health Service Executive,</w:t>
      </w:r>
      <w:r w:rsidR="00EF0033" w:rsidRPr="11C55A92">
        <w:rPr>
          <w:rFonts w:eastAsia="Gill Sans" w:cs="Gill Sans"/>
        </w:rPr>
        <w:t xml:space="preserve"> that </w:t>
      </w:r>
      <w:r w:rsidR="1F63D9E0" w:rsidRPr="11C55A92">
        <w:rPr>
          <w:rFonts w:eastAsia="Gill Sans" w:cs="Gill Sans"/>
        </w:rPr>
        <w:t>wa</w:t>
      </w:r>
      <w:r w:rsidR="00EF0033" w:rsidRPr="11C55A92">
        <w:rPr>
          <w:rFonts w:eastAsia="Gill Sans" w:cs="Gill Sans"/>
        </w:rPr>
        <w:t xml:space="preserve">s not </w:t>
      </w:r>
      <w:r w:rsidR="69113E5C" w:rsidRPr="11C55A92">
        <w:rPr>
          <w:rFonts w:eastAsia="Gill Sans" w:cs="Gill Sans"/>
        </w:rPr>
        <w:t xml:space="preserve">created or </w:t>
      </w:r>
      <w:r w:rsidR="00EF0033" w:rsidRPr="11C55A92">
        <w:rPr>
          <w:rFonts w:eastAsia="Gill Sans" w:cs="Gill Sans"/>
        </w:rPr>
        <w:t>grounded in person-centeredness.</w:t>
      </w:r>
      <w:r w:rsidR="008C7DB2" w:rsidRPr="11C55A92">
        <w:rPr>
          <w:rFonts w:eastAsia="Gill Sans" w:cs="Gill Sans"/>
        </w:rPr>
        <w:t xml:space="preserve"> </w:t>
      </w:r>
      <w:r w:rsidR="00101B84" w:rsidRPr="11C55A92">
        <w:rPr>
          <w:rFonts w:eastAsia="Gill Sans" w:cs="Gill Sans"/>
        </w:rPr>
        <w:t xml:space="preserve">The HSE has also set in train policies that have sought to fundamentally alter aspects of the service agencies’ approaches, most notably </w:t>
      </w:r>
      <w:r w:rsidR="001D74CF" w:rsidRPr="11C55A92">
        <w:rPr>
          <w:rFonts w:eastAsia="Gill Sans" w:cs="Gill Sans"/>
          <w:i/>
          <w:iCs/>
        </w:rPr>
        <w:t>Time to M</w:t>
      </w:r>
      <w:r w:rsidR="00101B84" w:rsidRPr="11C55A92">
        <w:rPr>
          <w:rFonts w:eastAsia="Gill Sans" w:cs="Gill Sans"/>
          <w:i/>
          <w:iCs/>
        </w:rPr>
        <w:t>ov</w:t>
      </w:r>
      <w:r w:rsidR="001D74CF" w:rsidRPr="11C55A92">
        <w:rPr>
          <w:rFonts w:eastAsia="Gill Sans" w:cs="Gill Sans"/>
          <w:i/>
          <w:iCs/>
        </w:rPr>
        <w:t>e</w:t>
      </w:r>
      <w:r w:rsidR="00101B84" w:rsidRPr="11C55A92">
        <w:rPr>
          <w:rFonts w:eastAsia="Gill Sans" w:cs="Gill Sans"/>
          <w:i/>
          <w:iCs/>
        </w:rPr>
        <w:t xml:space="preserve"> on from Congregated Settings</w:t>
      </w:r>
      <w:r w:rsidR="002B6478" w:rsidRPr="11C55A92">
        <w:rPr>
          <w:rFonts w:eastAsia="Gill Sans" w:cs="Gill Sans"/>
        </w:rPr>
        <w:t xml:space="preserve"> </w:t>
      </w:r>
      <w:r w:rsidRPr="11C55A92">
        <w:rPr>
          <w:rFonts w:eastAsia="Gill Sans" w:cs="Gill Sans"/>
        </w:rPr>
        <w:fldChar w:fldCharType="begin"/>
      </w:r>
      <w:r w:rsidR="00AD24C0">
        <w:rPr>
          <w:rFonts w:eastAsia="Gill Sans" w:cs="Gill Sans"/>
        </w:rPr>
        <w:instrText xml:space="preserve"> ADDIN EN.CITE &lt;EndNote&gt;&lt;Cite&gt;&lt;Author&gt;HSE&lt;/Author&gt;&lt;Year&gt;2011&lt;/Year&gt;&lt;RecNum&gt;482&lt;/RecNum&gt;&lt;DisplayText&gt;(HSE, 2011)&lt;/DisplayText&gt;&lt;record&gt;&lt;rec-number&gt;482&lt;/rec-number&gt;&lt;foreign-keys&gt;&lt;key app="EN" db-id="xtwfdzde5ttr0zevxrh5sf0c2wfzw5zf2vra" timestamp="1646829731" guid="5c1be10c-e081-4c41-989a-cd8997c335da"&gt;482&lt;/key&gt;&lt;/foreign-keys&gt;&lt;ref-type name="Report"&gt;27&lt;/ref-type&gt;&lt;contributors&gt;&lt;authors&gt;&lt;author&gt;HSE, &lt;/author&gt;&lt;/authors&gt;&lt;/contributors&gt;&lt;titles&gt;&lt;title&gt;Time to Move on from Congregated Settings, A strategy for Community Inclusion&lt;/title&gt;&lt;/titles&gt;&lt;dates&gt;&lt;year&gt;2011&lt;/year&gt;&lt;pub-dates&gt;&lt;date&gt;June&lt;/date&gt;&lt;/pub-dates&gt;&lt;/dates&gt;&lt;pub-location&gt;Dublin&lt;/pub-location&gt;&lt;publisher&gt;Health Service Executive&lt;/publisher&gt;&lt;urls&gt;&lt;/urls&gt;&lt;/record&gt;&lt;/Cite&gt;&lt;/EndNote&gt;</w:instrText>
      </w:r>
      <w:r w:rsidRPr="11C55A92">
        <w:rPr>
          <w:rFonts w:eastAsia="Gill Sans" w:cs="Gill Sans"/>
        </w:rPr>
        <w:fldChar w:fldCharType="separate"/>
      </w:r>
      <w:r w:rsidR="007011CE" w:rsidRPr="11C55A92">
        <w:rPr>
          <w:rFonts w:eastAsia="Gill Sans" w:cs="Gill Sans"/>
          <w:noProof/>
        </w:rPr>
        <w:t>(HSE, 2011)</w:t>
      </w:r>
      <w:r w:rsidRPr="11C55A92">
        <w:rPr>
          <w:rFonts w:eastAsia="Gill Sans" w:cs="Gill Sans"/>
        </w:rPr>
        <w:fldChar w:fldCharType="end"/>
      </w:r>
      <w:r w:rsidR="001D74CF" w:rsidRPr="11C55A92">
        <w:rPr>
          <w:rFonts w:eastAsia="Gill Sans" w:cs="Gill Sans"/>
        </w:rPr>
        <w:t>.</w:t>
      </w:r>
      <w:r w:rsidR="00FA679F" w:rsidRPr="11C55A92">
        <w:rPr>
          <w:rFonts w:eastAsia="Gill Sans" w:cs="Gill Sans"/>
        </w:rPr>
        <w:t xml:space="preserve"> This rightly progressed decongregation and community living but the staffing </w:t>
      </w:r>
      <w:r w:rsidR="0093287D" w:rsidRPr="11C55A92">
        <w:rPr>
          <w:rFonts w:eastAsia="Gill Sans" w:cs="Gill Sans"/>
        </w:rPr>
        <w:t>profile</w:t>
      </w:r>
      <w:r w:rsidR="00FA679F" w:rsidRPr="11C55A92">
        <w:rPr>
          <w:rFonts w:eastAsia="Gill Sans" w:cs="Gill Sans"/>
        </w:rPr>
        <w:t xml:space="preserve"> for new living </w:t>
      </w:r>
      <w:r w:rsidR="0093287D" w:rsidRPr="11C55A92">
        <w:rPr>
          <w:rFonts w:eastAsia="Gill Sans" w:cs="Gill Sans"/>
        </w:rPr>
        <w:t>units was, to a certain degree, influenced by that which had been in the congregated model: some new units became social care led while others maintained a nurs</w:t>
      </w:r>
      <w:r w:rsidR="003014FF" w:rsidRPr="11C55A92">
        <w:rPr>
          <w:rFonts w:eastAsia="Gill Sans" w:cs="Gill Sans"/>
        </w:rPr>
        <w:t>e-led approach, with health-related complexity more likely to be met in the latter rather than in the former. This</w:t>
      </w:r>
      <w:r w:rsidR="0045090C" w:rsidRPr="11C55A92">
        <w:rPr>
          <w:rFonts w:eastAsia="Gill Sans" w:cs="Gill Sans"/>
        </w:rPr>
        <w:t xml:space="preserve"> is borne out by the findings of this study. The </w:t>
      </w:r>
      <w:r w:rsidR="72CAEEB8" w:rsidRPr="11C55A92">
        <w:rPr>
          <w:rFonts w:eastAsia="Gill Sans" w:cs="Gill Sans"/>
        </w:rPr>
        <w:t xml:space="preserve">continuing </w:t>
      </w:r>
      <w:r w:rsidR="0045090C" w:rsidRPr="11C55A92">
        <w:rPr>
          <w:rFonts w:eastAsia="Gill Sans" w:cs="Gill Sans"/>
        </w:rPr>
        <w:t xml:space="preserve">lack of </w:t>
      </w:r>
      <w:r w:rsidR="00FE6794">
        <w:rPr>
          <w:rFonts w:eastAsia="Gill Sans" w:cs="Gill Sans"/>
        </w:rPr>
        <w:t>consistency in terms of a service model</w:t>
      </w:r>
      <w:r w:rsidR="0093287D" w:rsidRPr="11C55A92">
        <w:rPr>
          <w:rFonts w:eastAsia="Gill Sans" w:cs="Gill Sans"/>
        </w:rPr>
        <w:t xml:space="preserve"> </w:t>
      </w:r>
      <w:r w:rsidR="00AE3315" w:rsidRPr="11C55A92">
        <w:rPr>
          <w:rFonts w:eastAsia="Gill Sans" w:cs="Gill Sans"/>
        </w:rPr>
        <w:t xml:space="preserve">is problematic and is contributing to </w:t>
      </w:r>
      <w:r w:rsidR="00EF0441" w:rsidRPr="11C55A92">
        <w:rPr>
          <w:rFonts w:eastAsia="Gill Sans" w:cs="Gill Sans"/>
        </w:rPr>
        <w:t xml:space="preserve">a situation whereby the </w:t>
      </w:r>
      <w:r w:rsidR="007D5452" w:rsidRPr="11C55A92">
        <w:rPr>
          <w:rFonts w:eastAsia="Gill Sans" w:cs="Gill Sans"/>
        </w:rPr>
        <w:t xml:space="preserve">care and support of </w:t>
      </w:r>
      <w:r w:rsidR="00EF0441" w:rsidRPr="11C55A92">
        <w:rPr>
          <w:rFonts w:eastAsia="Gill Sans" w:cs="Gill Sans"/>
        </w:rPr>
        <w:t>older people with intellectual disabilities</w:t>
      </w:r>
      <w:r w:rsidR="007D5452" w:rsidRPr="11C55A92">
        <w:rPr>
          <w:rFonts w:eastAsia="Gill Sans" w:cs="Gill Sans"/>
        </w:rPr>
        <w:t>,</w:t>
      </w:r>
      <w:r w:rsidR="00EF0441" w:rsidRPr="11C55A92">
        <w:rPr>
          <w:rFonts w:eastAsia="Gill Sans" w:cs="Gill Sans"/>
        </w:rPr>
        <w:t xml:space="preserve"> </w:t>
      </w:r>
      <w:r w:rsidR="007D5452" w:rsidRPr="11C55A92">
        <w:rPr>
          <w:rFonts w:eastAsia="Gill Sans" w:cs="Gill Sans"/>
        </w:rPr>
        <w:t xml:space="preserve">in Ireland, cannot be guaranteed to </w:t>
      </w:r>
      <w:r w:rsidR="00C321B7" w:rsidRPr="11C55A92">
        <w:rPr>
          <w:rFonts w:eastAsia="Gill Sans" w:cs="Gill Sans"/>
        </w:rPr>
        <w:t>be able to respond to their needs.</w:t>
      </w:r>
      <w:r w:rsidR="00BC5FA6" w:rsidRPr="11C55A92">
        <w:rPr>
          <w:rFonts w:eastAsia="Gill Sans" w:cs="Gill Sans"/>
        </w:rPr>
        <w:t xml:space="preserve"> </w:t>
      </w:r>
    </w:p>
    <w:p w14:paraId="1179B632" w14:textId="2967C4F3" w:rsidR="009F2319" w:rsidRDefault="00D365F0" w:rsidP="009F2319">
      <w:pPr>
        <w:pStyle w:val="Heading2"/>
        <w:rPr>
          <w:rFonts w:eastAsia="Gill Sans"/>
        </w:rPr>
      </w:pPr>
      <w:bookmarkStart w:id="279" w:name="_Toc121830638"/>
      <w:r>
        <w:rPr>
          <w:rFonts w:eastAsia="Gill Sans"/>
        </w:rPr>
        <w:t>Conclusions</w:t>
      </w:r>
      <w:bookmarkEnd w:id="279"/>
    </w:p>
    <w:p w14:paraId="2075A4EC" w14:textId="72447622" w:rsidR="003D3179" w:rsidRPr="00D910FC" w:rsidRDefault="32FEC78F" w:rsidP="003D3179">
      <w:r>
        <w:t>The services systems, the workforce and the funding mechanisms currently available for people who are ag</w:t>
      </w:r>
      <w:r w:rsidR="752ABACC">
        <w:t>e</w:t>
      </w:r>
      <w:r>
        <w:t>ing with intellectual disabilities were all developed at a different time and to achieve different goals. It is important to remember that living to old age for people with intellectual disabilities is still a relatively new phenomenon, and that when community</w:t>
      </w:r>
      <w:r w:rsidR="52AE0EC6">
        <w:t>-</w:t>
      </w:r>
      <w:r>
        <w:t xml:space="preserve">based options were developed, </w:t>
      </w:r>
      <w:r w:rsidR="5970174E">
        <w:t>they were</w:t>
      </w:r>
      <w:r>
        <w:t xml:space="preserve"> largely focused on moving young adults out of institutions and campuses and into jobs, community engagement and use of public transportation</w:t>
      </w:r>
      <w:r w:rsidR="5970174E">
        <w:t>. The</w:t>
      </w:r>
      <w:r>
        <w:t xml:space="preserve"> view of health and healthcare was </w:t>
      </w:r>
      <w:r w:rsidR="5970174E">
        <w:t xml:space="preserve">grounded in </w:t>
      </w:r>
      <w:r>
        <w:t xml:space="preserve">a desire to break away from medical models and </w:t>
      </w:r>
      <w:r w:rsidR="5970174E">
        <w:t xml:space="preserve">to </w:t>
      </w:r>
      <w:r>
        <w:t xml:space="preserve">celebrate opportunities to be healthy rather than focused on illness and health needs. Much of this is still true as people age but plans </w:t>
      </w:r>
      <w:r w:rsidR="5970174E">
        <w:t xml:space="preserve">are not in place </w:t>
      </w:r>
      <w:r>
        <w:t>to resource ag</w:t>
      </w:r>
      <w:r w:rsidR="5970174E">
        <w:t>e</w:t>
      </w:r>
      <w:r>
        <w:t xml:space="preserve">ing needs, work and day programming options </w:t>
      </w:r>
      <w:r w:rsidR="4D663787">
        <w:t>have not been</w:t>
      </w:r>
      <w:r>
        <w:t xml:space="preserve"> preparing for retirement and there </w:t>
      </w:r>
      <w:r w:rsidR="4D663787">
        <w:t>is</w:t>
      </w:r>
      <w:r>
        <w:t xml:space="preserve"> little reali</w:t>
      </w:r>
      <w:r w:rsidR="1B997672">
        <w:t>s</w:t>
      </w:r>
      <w:r>
        <w:t>ation that older age is often associated with increasing chronic conditions</w:t>
      </w:r>
      <w:r w:rsidR="4D663787">
        <w:t>, some of which</w:t>
      </w:r>
      <w:r>
        <w:t xml:space="preserve"> may be more varied for people with intellectual disabilities and needing at least some speciali</w:t>
      </w:r>
      <w:r w:rsidR="50A4E900">
        <w:t>s</w:t>
      </w:r>
      <w:r>
        <w:t xml:space="preserve">ed supports </w:t>
      </w:r>
      <w:r w:rsidR="003D3179">
        <w:fldChar w:fldCharType="begin"/>
      </w:r>
      <w:r w:rsidR="003D3179">
        <w:instrText xml:space="preserve"> ADDIN EN.CITE &lt;EndNote&gt;&lt;Cite&gt;&lt;Author&gt;Janicki&lt;/Author&gt;&lt;Year&gt;2005&lt;/Year&gt;&lt;RecNum&gt;607&lt;/RecNum&gt;&lt;DisplayText&gt;(McCallion &amp;amp; Jokinen, 2017; Janicki et al., 2005)&lt;/DisplayText&gt;&lt;record&gt;&lt;rec-number&gt;607&lt;/rec-number&gt;&lt;foreign-keys&gt;&lt;key app="EN" db-id="xtwfdzde5ttr0zevxrh5sf0c2wfzw5zf2vra" timestamp="1652802374" guid="aabad66b-d5ef-4a95-8620-87ab4f86e3b0"&gt;607&lt;/key&gt;&lt;/foreign-keys&gt;&lt;ref-type name="Journal Article"&gt;17&lt;/ref-type&gt;&lt;contributors&gt;&lt;authors&gt;&lt;author&gt;Janicki, Matthew P&lt;/author&gt;&lt;author&gt;Dalton, Arthur J&lt;/author&gt;&lt;author&gt;McCallion, Philip&lt;/author&gt;&lt;author&gt;Baxley, Diann Davies&lt;/author&gt;&lt;author&gt;Zendell, Anna&lt;/author&gt;&lt;/authors&gt;&lt;/contributors&gt;&lt;titles&gt;&lt;title&gt;Group home care for adults with intellectual disabilities and Alzheimer’s disease&lt;/title&gt;&lt;secondary-title&gt;Dementia&lt;/secondary-title&gt;&lt;/titles&gt;&lt;periodical&gt;&lt;full-title&gt;Dementia&lt;/full-title&gt;&lt;/periodical&gt;&lt;pages&gt;361-385&lt;/pages&gt;&lt;volume&gt;4&lt;/volume&gt;&lt;number&gt;3&lt;/number&gt;&lt;dates&gt;&lt;year&gt;2005&lt;/year&gt;&lt;/dates&gt;&lt;isbn&gt;1471-3012&lt;/isbn&gt;&lt;urls&gt;&lt;/urls&gt;&lt;/record&gt;&lt;/Cite&gt;&lt;Cite&gt;&lt;Author&gt;McCallion&lt;/Author&gt;&lt;Year&gt;2017&lt;/Year&gt;&lt;RecNum&gt;770&lt;/RecNum&gt;&lt;record&gt;&lt;rec-number&gt;770&lt;/rec-number&gt;&lt;foreign-keys&gt;&lt;key app="EN" db-id="xtwfdzde5ttr0zevxrh5sf0c2wfzw5zf2vra" timestamp="1667686286" guid="78f40c39-de20-4fcf-b157-a7cee3c3bc57"&gt;770&lt;/key&gt;&lt;/foreign-keys&gt;&lt;ref-type name="Book Section"&gt;5&lt;/ref-type&gt;&lt;contributors&gt;&lt;authors&gt;&lt;author&gt;McCallion, P&lt;/author&gt;&lt;author&gt;Jokinen, Nancy&lt;/author&gt;&lt;/authors&gt;&lt;secondary-authors&gt;&lt;author&gt;Wehmeyer, M.L&lt;/author&gt;&lt;author&gt;Brown, I&lt;/author&gt;&lt;author&gt;Percey, M&lt;/author&gt;&lt;author&gt;Shogren, KA&lt;/author&gt;&lt;author&gt;Fung, M.  &lt;/author&gt;&lt;/secondary-authors&gt;&lt;/contributors&gt;&lt;titles&gt;&lt;title&gt;Aging&lt;/title&gt;&lt;secondary-title&gt;A Comprehensive Guide to Intellectual and Developmental Disabilities&lt;/secondary-title&gt;&lt;/titles&gt;&lt;pages&gt;639-654&lt;/pages&gt;&lt;dates&gt;&lt;year&gt;2017&lt;/year&gt;&lt;/dates&gt;&lt;pub-location&gt;Baltimore, MD&lt;/pub-location&gt;&lt;publisher&gt;Paul Brookes Press&lt;/publisher&gt;&lt;urls&gt;&lt;/urls&gt;&lt;/record&gt;&lt;/Cite&gt;&lt;/EndNote&gt;</w:instrText>
      </w:r>
      <w:r w:rsidR="003D3179">
        <w:fldChar w:fldCharType="separate"/>
      </w:r>
      <w:r w:rsidR="724C108C" w:rsidRPr="68A51868">
        <w:rPr>
          <w:noProof/>
        </w:rPr>
        <w:t>(McCallion &amp; Jokinen, 2017; Janicki et al., 2005)</w:t>
      </w:r>
      <w:r w:rsidR="003D3179">
        <w:fldChar w:fldCharType="end"/>
      </w:r>
      <w:r>
        <w:t xml:space="preserve">. </w:t>
      </w:r>
    </w:p>
    <w:p w14:paraId="5C44BC83" w14:textId="5B0046E8" w:rsidR="003D3179" w:rsidRPr="00D910FC" w:rsidRDefault="003D3179" w:rsidP="003D3179">
      <w:r w:rsidRPr="00D910FC">
        <w:t xml:space="preserve">Contrasts in the experiences and needs of people with intellectual disabilities when growing older (as compared to </w:t>
      </w:r>
      <w:r w:rsidR="009C7B26">
        <w:t xml:space="preserve">in the </w:t>
      </w:r>
      <w:r w:rsidRPr="00D910FC">
        <w:t>younger years) were substantiated in the findings here as well as an absence of needed dedicated resources and preparedness</w:t>
      </w:r>
      <w:r w:rsidR="009C7B26">
        <w:t>,</w:t>
      </w:r>
      <w:r w:rsidRPr="00D910FC">
        <w:t xml:space="preserve"> particularly in the healthcare sector and the intellectual disabilities workforce generally. There were also exemplar models identified in the findings that should be considered further and more widely resourced. One example is the work initiated by the HSE as a result of the report </w:t>
      </w:r>
      <w:r w:rsidRPr="00D910FC">
        <w:rPr>
          <w:i/>
          <w:iCs/>
        </w:rPr>
        <w:t>Shaping the Future of Intellectual Disability Nursing in Ireland</w:t>
      </w:r>
      <w:r w:rsidRPr="00D910FC">
        <w:t xml:space="preserve"> </w:t>
      </w:r>
      <w:r w:rsidR="00C22B30">
        <w:fldChar w:fldCharType="begin"/>
      </w:r>
      <w:r w:rsidR="00C22B30">
        <w:instrText xml:space="preserve"> ADDIN EN.CITE &lt;EndNote&gt;&lt;Cite&gt;&lt;Author&gt;McCarron&lt;/Author&gt;&lt;Year&gt;2018&lt;/Year&gt;&lt;RecNum&gt;490&lt;/RecNum&gt;&lt;DisplayText&gt;(McCarron et al., 2018b)&lt;/DisplayText&gt;&lt;record&gt;&lt;rec-number&gt;490&lt;/rec-number&gt;&lt;foreign-keys&gt;&lt;key app="EN" db-id="xtwfdzde5ttr0zevxrh5sf0c2wfzw5zf2vra" timestamp="1648035385" guid="47072b47-6233-437d-8023-5ef093dd12ba"&gt;490&lt;/key&gt;&lt;/foreign-keys&gt;&lt;ref-type name="Report"&gt;27&lt;/ref-type&gt;&lt;contributors&gt;&lt;authors&gt;&lt;author&gt;McCarron, M&lt;/author&gt;&lt;author&gt;Sheerin, F&lt;/author&gt;&lt;author&gt;Roche, L&lt;/author&gt;&lt;author&gt;Ryan, AM&lt;/author&gt;&lt;author&gt;Griffiths, C&lt;/author&gt;&lt;author&gt;Keenan, P&lt;/author&gt;&lt;author&gt;Doody, O&lt;/author&gt;&lt;author&gt;D&amp;apos;Eath, M&lt;/author&gt;&lt;author&gt;Burke, E&lt;/author&gt;&lt;author&gt;McCallion, P&lt;/author&gt;&lt;/authors&gt;&lt;/contributors&gt;&lt;titles&gt;&lt;title&gt;Shaping the future of intellectual disability nursing in Ireland: Supporting people with an intellectual disability to live ordinary lives in ordinary places&lt;/title&gt;&lt;/titles&gt;&lt;pages&gt;5&lt;/pages&gt;&lt;dates&gt;&lt;year&gt;2018&lt;/year&gt;&lt;/dates&gt;&lt;pub-location&gt;Ireland&lt;/pub-location&gt;&lt;publisher&gt;Health Services Executive&lt;/publisher&gt;&lt;urls&gt;&lt;/urls&gt;&lt;/record&gt;&lt;/Cite&gt;&lt;/EndNote&gt;</w:instrText>
      </w:r>
      <w:r w:rsidR="00C22B30">
        <w:fldChar w:fldCharType="separate"/>
      </w:r>
      <w:r w:rsidR="00C22B30">
        <w:rPr>
          <w:noProof/>
        </w:rPr>
        <w:t>(McCarron et al., 2018b)</w:t>
      </w:r>
      <w:r w:rsidR="00C22B30">
        <w:fldChar w:fldCharType="end"/>
      </w:r>
      <w:r w:rsidRPr="00D910FC">
        <w:t xml:space="preserve"> which has resulted in new roles for nurses as intellectual disability liaisons in general hospitals and a re-vamp of intellectual disability nursing curricula. There are also calls for a similar workforce redesign for other workforce groups</w:t>
      </w:r>
      <w:r w:rsidR="00E03FFB">
        <w:t xml:space="preserve"> </w:t>
      </w:r>
      <w:r w:rsidR="00E03FFB">
        <w:fldChar w:fldCharType="begin"/>
      </w:r>
      <w:r w:rsidR="00C472AE">
        <w:instrText xml:space="preserve"> ADDIN EN.CITE &lt;EndNote&gt;&lt;Cite&gt;&lt;Author&gt;Sheerin&lt;/Author&gt;&lt;Year&gt;2021&lt;/Year&gt;&lt;RecNum&gt;771&lt;/RecNum&gt;&lt;DisplayText&gt;(Sheerin et al., 2021b)&lt;/DisplayText&gt;&lt;record&gt;&lt;rec-number&gt;771&lt;/rec-number&gt;&lt;foreign-keys&gt;&lt;key app="EN" db-id="xtwfdzde5ttr0zevxrh5sf0c2wfzw5zf2vra" timestamp="1667686463" guid="07242cd8-73f7-4ca0-b3a3-768f11acd0c9"&gt;771&lt;/key&gt;&lt;/foreign-keys&gt;&lt;ref-type name="Book Section"&gt;5&lt;/ref-type&gt;&lt;contributors&gt;&lt;authors&gt;&lt;author&gt;Sheerin, Fintan&lt;/author&gt;&lt;author&gt;McCallion, Philip&lt;/author&gt;&lt;author&gt;McCarron, Mary&lt;/author&gt;&lt;/authors&gt;&lt;secondary-authors&gt;&lt;author&gt;Putman, Michelle&lt;/author&gt;&lt;author&gt;Bigby, C.&lt;/author&gt;&lt;/secondary-authors&gt;&lt;/contributors&gt;&lt;titles&gt;&lt;title&gt;Responding to Changing Workforce Realities: One Profession&amp;apos;s Experience&lt;/title&gt;&lt;secondary-title&gt;Handbook on Ageing with Disability&lt;/secondary-title&gt;&lt;/titles&gt;&lt;pages&gt;323-336&lt;/pages&gt;&lt;dates&gt;&lt;year&gt;2021&lt;/year&gt;&lt;/dates&gt;&lt;publisher&gt;Routledge&lt;/publisher&gt;&lt;isbn&gt;0429465351&lt;/isbn&gt;&lt;urls&gt;&lt;/urls&gt;&lt;/record&gt;&lt;/Cite&gt;&lt;/EndNote&gt;</w:instrText>
      </w:r>
      <w:r w:rsidR="00E03FFB">
        <w:fldChar w:fldCharType="separate"/>
      </w:r>
      <w:r w:rsidR="00E03FFB">
        <w:rPr>
          <w:noProof/>
        </w:rPr>
        <w:t>(Sheerin et al., 2021b)</w:t>
      </w:r>
      <w:r w:rsidR="00E03FFB">
        <w:fldChar w:fldCharType="end"/>
      </w:r>
      <w:r w:rsidRPr="00D910FC">
        <w:t xml:space="preserve">. The establishment and tracking of indicators of positive ageing for people with intellectual disabilities </w:t>
      </w:r>
      <w:r w:rsidR="000B2FC2">
        <w:fldChar w:fldCharType="begin"/>
      </w:r>
      <w:r w:rsidR="00C472AE">
        <w:instrText xml:space="preserve"> ADDIN EN.CITE &lt;EndNote&gt;&lt;Cite&gt;&lt;Author&gt;McGlinchey&lt;/Author&gt;&lt;Year&gt;2018&lt;/Year&gt;&lt;RecNum&gt;772&lt;/RecNum&gt;&lt;DisplayText&gt;(McGlinchey et al., 2018)&lt;/DisplayText&gt;&lt;record&gt;&lt;rec-number&gt;772&lt;/rec-number&gt;&lt;foreign-keys&gt;&lt;key app="EN" db-id="xtwfdzde5ttr0zevxrh5sf0c2wfzw5zf2vra" timestamp="1667686659" guid="5536a4af-426b-4c1b-9f95-17313aa36ca0"&gt;772&lt;/key&gt;&lt;/foreign-keys&gt;&lt;ref-type name="Report"&gt;27&lt;/ref-type&gt;&lt;contributors&gt;&lt;authors&gt;&lt;author&gt;McGlinchey, E., &lt;/author&gt;&lt;author&gt;McCallion, P., &lt;/author&gt;&lt;author&gt;McDermott, S., &lt;/author&gt;&lt;author&gt;Foley, M., &lt;/author&gt;&lt;author&gt;Burke, E.A., &lt;/author&gt;&lt;author&gt;O&amp;apos;Donovan, M-A., &lt;/author&gt;&lt;author&gt;McCausland, D., &lt;/author&gt;&lt;author&gt;Gibney, S., &lt;/author&gt;&lt;author&gt;McCarron, M. &lt;/author&gt;&lt;/authors&gt;&lt;/contributors&gt;&lt;titles&gt;&lt;title&gt;Positive Ageing Indicators for People with an Intellectual Disability&lt;/title&gt;&lt;/titles&gt;&lt;dates&gt;&lt;year&gt;2018&lt;/year&gt;&lt;/dates&gt;&lt;pub-location&gt;Dublin&lt;/pub-location&gt;&lt;publisher&gt;Trinity Centre for Ageing and Intellectual Disability&lt;/publisher&gt;&lt;urls&gt;&lt;/urls&gt;&lt;/record&gt;&lt;/Cite&gt;&lt;/EndNote&gt;</w:instrText>
      </w:r>
      <w:r w:rsidR="000B2FC2">
        <w:fldChar w:fldCharType="separate"/>
      </w:r>
      <w:r w:rsidR="000B2FC2">
        <w:rPr>
          <w:noProof/>
        </w:rPr>
        <w:t>(McGlinchey et al., 2018)</w:t>
      </w:r>
      <w:r w:rsidR="000B2FC2">
        <w:fldChar w:fldCharType="end"/>
      </w:r>
      <w:r w:rsidRPr="00D910FC">
        <w:t xml:space="preserve"> is another important step. Needs assessments, evaluation, and redesigned training and roles will</w:t>
      </w:r>
      <w:r w:rsidR="009C7B26">
        <w:t>, however,</w:t>
      </w:r>
      <w:r w:rsidRPr="00D910FC">
        <w:t xml:space="preserve"> only achieve so much. </w:t>
      </w:r>
    </w:p>
    <w:p w14:paraId="1F429A37" w14:textId="597674FD" w:rsidR="001D1A70" w:rsidRDefault="003D3179" w:rsidP="001D1A70">
      <w:r>
        <w:t>Finally, many of the respondents raised concerns about placements in nursing homes occurring. There are models for challenging such placements by objectively assessing whether such a level of care is optimal and whether there are alternatives that may be provided at similar or less cost that preserve ag</w:t>
      </w:r>
      <w:r w:rsidR="388B7BE3">
        <w:t>e</w:t>
      </w:r>
      <w:r>
        <w:t>ing in place</w:t>
      </w:r>
      <w:r w:rsidR="00CB319A">
        <w:t xml:space="preserve"> </w:t>
      </w:r>
      <w:r>
        <w:fldChar w:fldCharType="begin"/>
      </w:r>
      <w:r>
        <w:instrText xml:space="preserve"> ADDIN EN.CITE &lt;EndNote&gt;&lt;Cite&gt;&lt;Author&gt;New York State Area Agencies on Aging&lt;/Author&gt;&lt;Year&gt;2013&lt;/Year&gt;&lt;RecNum&gt;776&lt;/RecNum&gt;&lt;DisplayText&gt;(New York State Area Agencies on Aging, 2013)&lt;/DisplayText&gt;&lt;record&gt;&lt;rec-number&gt;776&lt;/rec-number&gt;&lt;foreign-keys&gt;&lt;key app="EN" db-id="xtwfdzde5ttr0zevxrh5sf0c2wfzw5zf2vra" timestamp="1667693783" guid="fc1e5b76-6c51-4209-9b36-bb816f0181e4"&gt;776&lt;/key&gt;&lt;/foreign-keys&gt;&lt;ref-type name="Web Page"&gt;12&lt;/ref-type&gt;&lt;contributors&gt;&lt;authors&gt;&lt;author&gt;New York State Area Agencies on Aging,&lt;/author&gt;&lt;/authors&gt;&lt;/contributors&gt;&lt;titles&gt;&lt;title&gt;Older New Yorkers and the NYS Olmstead Plan&lt;/title&gt;&lt;/titles&gt;&lt;volume&gt;2022&lt;/volume&gt;&lt;number&gt;05/11/2022&lt;/number&gt;&lt;dates&gt;&lt;year&gt;2013&lt;/year&gt;&lt;/dates&gt;&lt;urls&gt;&lt;related-urls&gt;&lt;url&gt;https://www.agingny.org/uploads/1/2/3/0/123049588/older_new_yorkers_and_the_nys_olmstead_plan_final_3_oct_2013.pdf&lt;/url&gt;&lt;/related-urls&gt;&lt;/urls&gt;&lt;/record&gt;&lt;/Cite&gt;&lt;/EndNote&gt;</w:instrText>
      </w:r>
      <w:r>
        <w:fldChar w:fldCharType="separate"/>
      </w:r>
      <w:r w:rsidR="00DB2178" w:rsidRPr="11C55A92">
        <w:rPr>
          <w:noProof/>
        </w:rPr>
        <w:t>(New York State Area Agencies on Aging, 2013)</w:t>
      </w:r>
      <w:r>
        <w:fldChar w:fldCharType="end"/>
      </w:r>
      <w:r w:rsidR="00DB2178">
        <w:t xml:space="preserve">. </w:t>
      </w:r>
      <w:r>
        <w:t>However, if nursing homes are to be used there is also a need to resource new models of collaboration between nursing homes, intellectual disability service providers and families to preserve the lives desired by people with intellectual disabilities as they age.</w:t>
      </w:r>
      <w:r w:rsidR="001D1A70">
        <w:t xml:space="preserve"> </w:t>
      </w:r>
    </w:p>
    <w:p w14:paraId="2FA65118" w14:textId="013D0581" w:rsidR="00CF0C9A" w:rsidRPr="00C97C88" w:rsidRDefault="3FB68ADF" w:rsidP="1E1E7F10">
      <w:pPr>
        <w:spacing w:line="257" w:lineRule="auto"/>
        <w:rPr>
          <w:rFonts w:eastAsia="Gill Sans MT" w:cs="Gill Sans MT"/>
        </w:rPr>
      </w:pPr>
      <w:r w:rsidRPr="68A51868">
        <w:rPr>
          <w:rFonts w:eastAsia="Gill Sans MT" w:cs="Gill Sans MT"/>
        </w:rPr>
        <w:t xml:space="preserve">This study set out to </w:t>
      </w:r>
      <w:r w:rsidR="174B39F9">
        <w:t>examine the care</w:t>
      </w:r>
      <w:r w:rsidR="5CA885A3">
        <w:t xml:space="preserve"> and</w:t>
      </w:r>
      <w:r w:rsidR="00E32442">
        <w:t xml:space="preserve"> </w:t>
      </w:r>
      <w:r w:rsidR="174B39F9">
        <w:t>service options for older adults with intellectual disabilities and complex age-related needs</w:t>
      </w:r>
      <w:r w:rsidR="7FF818B8" w:rsidRPr="68A51868">
        <w:rPr>
          <w:rFonts w:eastAsia="Gill Sans MT" w:cs="Gill Sans MT"/>
        </w:rPr>
        <w:t>.</w:t>
      </w:r>
      <w:r w:rsidR="7EE63967" w:rsidRPr="68A51868">
        <w:rPr>
          <w:rFonts w:eastAsia="Gill Sans MT" w:cs="Gill Sans MT"/>
        </w:rPr>
        <w:t xml:space="preserve"> A variety of approaches to providing service were identified</w:t>
      </w:r>
      <w:r w:rsidR="3FB497AA" w:rsidRPr="68A51868">
        <w:rPr>
          <w:rFonts w:eastAsia="Gill Sans MT" w:cs="Gill Sans MT"/>
        </w:rPr>
        <w:t>,</w:t>
      </w:r>
      <w:r w:rsidR="7EE63967" w:rsidRPr="68A51868">
        <w:rPr>
          <w:rFonts w:eastAsia="Gill Sans MT" w:cs="Gill Sans MT"/>
        </w:rPr>
        <w:t xml:space="preserve"> but </w:t>
      </w:r>
      <w:r w:rsidR="36AFFEDF" w:rsidRPr="68A51868">
        <w:rPr>
          <w:rFonts w:eastAsia="Gill Sans MT" w:cs="Gill Sans MT"/>
        </w:rPr>
        <w:t>few</w:t>
      </w:r>
      <w:r w:rsidR="3EBCD756" w:rsidRPr="68A51868">
        <w:rPr>
          <w:rFonts w:eastAsia="Gill Sans MT" w:cs="Gill Sans MT"/>
        </w:rPr>
        <w:t xml:space="preserve"> of these </w:t>
      </w:r>
      <w:r w:rsidR="1B4EC597" w:rsidRPr="68A51868">
        <w:rPr>
          <w:rFonts w:eastAsia="Gill Sans MT" w:cs="Gill Sans MT"/>
        </w:rPr>
        <w:t xml:space="preserve">could be considered </w:t>
      </w:r>
      <w:r w:rsidR="36AFFEDF" w:rsidRPr="68A51868">
        <w:rPr>
          <w:rFonts w:eastAsia="Gill Sans MT" w:cs="Gill Sans MT"/>
        </w:rPr>
        <w:t xml:space="preserve">to be </w:t>
      </w:r>
      <w:r w:rsidR="3FB497AA" w:rsidRPr="68A51868">
        <w:rPr>
          <w:rFonts w:eastAsia="Gill Sans MT" w:cs="Gill Sans MT"/>
        </w:rPr>
        <w:t xml:space="preserve">structured or </w:t>
      </w:r>
      <w:r w:rsidR="36AFFEDF" w:rsidRPr="68A51868">
        <w:rPr>
          <w:rFonts w:eastAsia="Gill Sans MT" w:cs="Gill Sans MT"/>
        </w:rPr>
        <w:t>planned approaches</w:t>
      </w:r>
      <w:r w:rsidR="31640A05" w:rsidRPr="68A51868">
        <w:rPr>
          <w:rFonts w:eastAsia="Gill Sans MT" w:cs="Gill Sans MT"/>
        </w:rPr>
        <w:t>. Moreover,</w:t>
      </w:r>
      <w:r w:rsidR="36AFFEDF" w:rsidRPr="68A51868">
        <w:rPr>
          <w:rFonts w:eastAsia="Gill Sans MT" w:cs="Gill Sans MT"/>
        </w:rPr>
        <w:t xml:space="preserve"> none were </w:t>
      </w:r>
      <w:r w:rsidR="3EBCD756" w:rsidRPr="68A51868">
        <w:rPr>
          <w:rFonts w:eastAsia="Gill Sans MT" w:cs="Gill Sans MT"/>
        </w:rPr>
        <w:t>underpinned by</w:t>
      </w:r>
      <w:r w:rsidR="4A66BEF8" w:rsidRPr="68A51868">
        <w:rPr>
          <w:rFonts w:eastAsia="Gill Sans MT" w:cs="Gill Sans MT"/>
        </w:rPr>
        <w:t xml:space="preserve"> a</w:t>
      </w:r>
      <w:r w:rsidR="3FB497AA" w:rsidRPr="68A51868">
        <w:rPr>
          <w:rFonts w:eastAsia="Gill Sans MT" w:cs="Gill Sans MT"/>
        </w:rPr>
        <w:t xml:space="preserve">n </w:t>
      </w:r>
      <w:r w:rsidR="71FC7F02" w:rsidRPr="68A51868">
        <w:rPr>
          <w:rFonts w:eastAsia="Gill Sans MT" w:cs="Gill Sans MT"/>
        </w:rPr>
        <w:t>ageing</w:t>
      </w:r>
      <w:r w:rsidR="4A66BEF8" w:rsidRPr="68A51868">
        <w:rPr>
          <w:rFonts w:eastAsia="Gill Sans MT" w:cs="Gill Sans MT"/>
        </w:rPr>
        <w:t xml:space="preserve"> ‘service model’ </w:t>
      </w:r>
      <w:r w:rsidR="31640A05" w:rsidRPr="68A51868">
        <w:rPr>
          <w:rFonts w:eastAsia="Gill Sans MT" w:cs="Gill Sans MT"/>
        </w:rPr>
        <w:t>but, rather,</w:t>
      </w:r>
      <w:r w:rsidR="4A66BEF8" w:rsidRPr="68A51868">
        <w:rPr>
          <w:rFonts w:eastAsia="Gill Sans MT" w:cs="Gill Sans MT"/>
        </w:rPr>
        <w:t xml:space="preserve"> </w:t>
      </w:r>
      <w:r w:rsidR="36AFFEDF" w:rsidRPr="68A51868">
        <w:rPr>
          <w:rFonts w:eastAsia="Gill Sans MT" w:cs="Gill Sans MT"/>
        </w:rPr>
        <w:t>represent</w:t>
      </w:r>
      <w:r w:rsidR="31640A05" w:rsidRPr="68A51868">
        <w:rPr>
          <w:rFonts w:eastAsia="Gill Sans MT" w:cs="Gill Sans MT"/>
        </w:rPr>
        <w:t>ed</w:t>
      </w:r>
      <w:r w:rsidR="4A66BEF8" w:rsidRPr="68A51868">
        <w:rPr>
          <w:rFonts w:eastAsia="Gill Sans MT" w:cs="Gill Sans MT"/>
        </w:rPr>
        <w:t xml:space="preserve"> </w:t>
      </w:r>
      <w:r w:rsidR="023EEE22" w:rsidRPr="68A51868">
        <w:rPr>
          <w:rFonts w:eastAsia="Gill Sans MT" w:cs="Gill Sans MT"/>
        </w:rPr>
        <w:t xml:space="preserve">modifications </w:t>
      </w:r>
      <w:r w:rsidR="36AFFEDF" w:rsidRPr="68A51868">
        <w:rPr>
          <w:rFonts w:eastAsia="Gill Sans MT" w:cs="Gill Sans MT"/>
        </w:rPr>
        <w:t>of</w:t>
      </w:r>
      <w:r w:rsidR="023EEE22" w:rsidRPr="68A51868">
        <w:rPr>
          <w:rFonts w:eastAsia="Gill Sans MT" w:cs="Gill Sans MT"/>
        </w:rPr>
        <w:t xml:space="preserve"> </w:t>
      </w:r>
      <w:r w:rsidR="2EBC7C8D" w:rsidRPr="68A51868">
        <w:rPr>
          <w:rFonts w:eastAsia="Gill Sans MT" w:cs="Gill Sans MT"/>
        </w:rPr>
        <w:t xml:space="preserve">individual intellectual disability </w:t>
      </w:r>
      <w:r w:rsidR="2B1F52D9" w:rsidRPr="68A51868">
        <w:rPr>
          <w:rFonts w:eastAsia="Gill Sans MT" w:cs="Gill Sans MT"/>
        </w:rPr>
        <w:t>providers’</w:t>
      </w:r>
      <w:r w:rsidR="101A1FFC" w:rsidRPr="68A51868">
        <w:rPr>
          <w:rFonts w:eastAsia="Gill Sans MT" w:cs="Gill Sans MT"/>
        </w:rPr>
        <w:t xml:space="preserve"> </w:t>
      </w:r>
      <w:r w:rsidR="2EEC0CDF" w:rsidRPr="68A51868">
        <w:rPr>
          <w:rFonts w:eastAsia="Gill Sans MT" w:cs="Gill Sans MT"/>
        </w:rPr>
        <w:t>service</w:t>
      </w:r>
      <w:r w:rsidR="31640A05" w:rsidRPr="68A51868">
        <w:rPr>
          <w:rFonts w:eastAsia="Gill Sans MT" w:cs="Gill Sans MT"/>
        </w:rPr>
        <w:t>s</w:t>
      </w:r>
      <w:r w:rsidR="4D99259C" w:rsidRPr="68A51868">
        <w:rPr>
          <w:rFonts w:eastAsia="Gill Sans MT" w:cs="Gill Sans MT"/>
        </w:rPr>
        <w:t xml:space="preserve">, drawing on </w:t>
      </w:r>
      <w:r w:rsidR="32B3B347" w:rsidRPr="68A51868">
        <w:rPr>
          <w:rFonts w:eastAsia="Gill Sans MT" w:cs="Gill Sans MT"/>
        </w:rPr>
        <w:t xml:space="preserve">the </w:t>
      </w:r>
      <w:r w:rsidR="1D62F90F" w:rsidRPr="68A51868">
        <w:rPr>
          <w:rFonts w:eastAsia="Gill Sans MT" w:cs="Gill Sans MT"/>
        </w:rPr>
        <w:t>standard</w:t>
      </w:r>
      <w:r w:rsidR="4D99259C" w:rsidRPr="68A51868">
        <w:rPr>
          <w:rFonts w:eastAsia="Gill Sans MT" w:cs="Gill Sans MT"/>
        </w:rPr>
        <w:t xml:space="preserve"> </w:t>
      </w:r>
      <w:r w:rsidR="6812079C" w:rsidRPr="68A51868">
        <w:rPr>
          <w:rFonts w:eastAsia="Gill Sans MT" w:cs="Gill Sans MT"/>
        </w:rPr>
        <w:t>funding</w:t>
      </w:r>
      <w:r w:rsidR="28DEAD6A" w:rsidRPr="68A51868">
        <w:rPr>
          <w:rFonts w:eastAsia="Gill Sans MT" w:cs="Gill Sans MT"/>
        </w:rPr>
        <w:t xml:space="preserve"> allocation</w:t>
      </w:r>
      <w:r w:rsidR="6812079C" w:rsidRPr="68A51868">
        <w:rPr>
          <w:rFonts w:eastAsia="Gill Sans MT" w:cs="Gill Sans MT"/>
        </w:rPr>
        <w:t xml:space="preserve"> received from the HSE</w:t>
      </w:r>
      <w:r w:rsidR="4D99259C" w:rsidRPr="68A51868">
        <w:rPr>
          <w:rFonts w:eastAsia="Gill Sans MT" w:cs="Gill Sans MT"/>
        </w:rPr>
        <w:t xml:space="preserve">. </w:t>
      </w:r>
      <w:r w:rsidR="37689B87" w:rsidRPr="68A51868">
        <w:rPr>
          <w:rFonts w:eastAsia="Gill Sans MT" w:cs="Gill Sans MT"/>
        </w:rPr>
        <w:t xml:space="preserve">There was, </w:t>
      </w:r>
      <w:r w:rsidR="6812079C" w:rsidRPr="68A51868">
        <w:rPr>
          <w:rFonts w:eastAsia="Gill Sans MT" w:cs="Gill Sans MT"/>
        </w:rPr>
        <w:t>however</w:t>
      </w:r>
      <w:r w:rsidR="37689B87" w:rsidRPr="68A51868">
        <w:rPr>
          <w:rFonts w:eastAsia="Gill Sans MT" w:cs="Gill Sans MT"/>
        </w:rPr>
        <w:t>, no</w:t>
      </w:r>
      <w:r w:rsidR="6B87038E" w:rsidRPr="68A51868">
        <w:rPr>
          <w:rFonts w:eastAsia="Gill Sans MT" w:cs="Gill Sans MT"/>
        </w:rPr>
        <w:t xml:space="preserve"> </w:t>
      </w:r>
      <w:r w:rsidR="18F2AA32" w:rsidRPr="68A51868">
        <w:rPr>
          <w:rFonts w:eastAsia="Gill Sans MT" w:cs="Gill Sans MT"/>
        </w:rPr>
        <w:t xml:space="preserve">dedicated </w:t>
      </w:r>
      <w:r w:rsidR="1E957C94" w:rsidRPr="68A51868">
        <w:rPr>
          <w:rFonts w:eastAsia="Gill Sans MT" w:cs="Gill Sans MT"/>
        </w:rPr>
        <w:t>funding</w:t>
      </w:r>
      <w:r w:rsidR="37689B87" w:rsidRPr="68A51868">
        <w:rPr>
          <w:rFonts w:eastAsia="Gill Sans MT" w:cs="Gill Sans MT"/>
        </w:rPr>
        <w:t xml:space="preserve"> to support services’ responses to </w:t>
      </w:r>
      <w:r w:rsidR="22B9ED15" w:rsidRPr="68A51868">
        <w:rPr>
          <w:rFonts w:eastAsia="Gill Sans MT" w:cs="Gill Sans MT"/>
        </w:rPr>
        <w:t xml:space="preserve">the </w:t>
      </w:r>
      <w:r w:rsidR="6812079C" w:rsidRPr="68A51868">
        <w:rPr>
          <w:rFonts w:eastAsia="Gill Sans MT" w:cs="Gill Sans MT"/>
        </w:rPr>
        <w:t xml:space="preserve">changing </w:t>
      </w:r>
      <w:r w:rsidR="22B9ED15" w:rsidRPr="68A51868">
        <w:rPr>
          <w:rFonts w:eastAsia="Gill Sans MT" w:cs="Gill Sans MT"/>
        </w:rPr>
        <w:t>needs of their older service recipients</w:t>
      </w:r>
      <w:r w:rsidR="585AA3D9" w:rsidRPr="68A51868">
        <w:rPr>
          <w:rFonts w:eastAsia="Gill Sans MT" w:cs="Gill Sans MT"/>
        </w:rPr>
        <w:t xml:space="preserve">. </w:t>
      </w:r>
      <w:r w:rsidR="57E4C3E5" w:rsidRPr="68A51868">
        <w:rPr>
          <w:rFonts w:eastAsia="Gill Sans MT" w:cs="Gill Sans MT"/>
        </w:rPr>
        <w:t>Th</w:t>
      </w:r>
      <w:r w:rsidR="28DEAD6A" w:rsidRPr="68A51868">
        <w:rPr>
          <w:rFonts w:eastAsia="Gill Sans MT" w:cs="Gill Sans MT"/>
        </w:rPr>
        <w:t>ese changing needs</w:t>
      </w:r>
      <w:r w:rsidR="789C4817" w:rsidRPr="68A51868">
        <w:rPr>
          <w:rFonts w:eastAsia="Gill Sans MT" w:cs="Gill Sans MT"/>
        </w:rPr>
        <w:t xml:space="preserve">, which </w:t>
      </w:r>
      <w:r w:rsidR="595DBA84" w:rsidRPr="68A51868">
        <w:rPr>
          <w:rFonts w:eastAsia="Gill Sans MT" w:cs="Gill Sans MT"/>
        </w:rPr>
        <w:t>relate to people with intellectual disabilities living into older age</w:t>
      </w:r>
      <w:r w:rsidR="00C4955A" w:rsidRPr="68A51868">
        <w:rPr>
          <w:rFonts w:eastAsia="Gill Sans MT" w:cs="Gill Sans MT"/>
        </w:rPr>
        <w:t>, and the anticipated costs of providing service to meet these</w:t>
      </w:r>
      <w:r w:rsidR="595DBA84" w:rsidRPr="68A51868">
        <w:rPr>
          <w:rFonts w:eastAsia="Gill Sans MT" w:cs="Gill Sans MT"/>
        </w:rPr>
        <w:t xml:space="preserve"> were </w:t>
      </w:r>
      <w:r w:rsidR="16BAC6E6" w:rsidRPr="68A51868">
        <w:rPr>
          <w:rFonts w:eastAsia="Gill Sans MT" w:cs="Gill Sans MT"/>
        </w:rPr>
        <w:t xml:space="preserve">identified by the Irish </w:t>
      </w:r>
      <w:r w:rsidR="4A495EC5" w:rsidRPr="68A51868">
        <w:rPr>
          <w:rFonts w:eastAsia="Gill Sans MT" w:cs="Gill Sans MT"/>
        </w:rPr>
        <w:t>State</w:t>
      </w:r>
      <w:r w:rsidR="16BAC6E6" w:rsidRPr="68A51868">
        <w:rPr>
          <w:rFonts w:eastAsia="Gill Sans MT" w:cs="Gill Sans MT"/>
        </w:rPr>
        <w:t xml:space="preserve"> as far back as 2012 in the</w:t>
      </w:r>
      <w:r w:rsidR="46706F12" w:rsidRPr="68A51868">
        <w:rPr>
          <w:rFonts w:eastAsia="Gill Sans MT" w:cs="Gill Sans MT"/>
        </w:rPr>
        <w:t xml:space="preserve"> </w:t>
      </w:r>
      <w:r w:rsidR="16BAC6E6" w:rsidRPr="68A51868">
        <w:rPr>
          <w:rFonts w:eastAsia="Gill Sans MT" w:cs="Gill Sans MT"/>
        </w:rPr>
        <w:t>Value for Money and Policy Review of Disability Services</w:t>
      </w:r>
      <w:r w:rsidR="52A43ECD" w:rsidRPr="68A51868">
        <w:rPr>
          <w:rFonts w:eastAsia="Gill Sans MT" w:cs="Gill Sans MT"/>
        </w:rPr>
        <w:t xml:space="preserve"> </w:t>
      </w:r>
      <w:r w:rsidR="00F23A28" w:rsidRPr="68A51868">
        <w:rPr>
          <w:rFonts w:eastAsia="Gill Sans MT" w:cs="Gill Sans MT"/>
        </w:rPr>
        <w:fldChar w:fldCharType="begin"/>
      </w:r>
      <w:r w:rsidR="00F23A28" w:rsidRPr="68A51868">
        <w:rPr>
          <w:rFonts w:eastAsia="Gill Sans MT" w:cs="Gill Sans MT"/>
        </w:rPr>
        <w:instrText xml:space="preserve"> ADDIN EN.CITE &lt;EndNote&gt;&lt;Cite&gt;&lt;Author&gt;Department of Health&lt;/Author&gt;&lt;Year&gt;2012&lt;/Year&gt;&lt;RecNum&gt;730&lt;/RecNum&gt;&lt;DisplayText&gt;(Department of Health, 2012)&lt;/DisplayText&gt;&lt;record&gt;&lt;rec-number&gt;730&lt;/rec-number&gt;&lt;foreign-keys&gt;&lt;key app="EN" db-id="xtwfdzde5ttr0zevxrh5sf0c2wfzw5zf2vra" timestamp="1667404918" guid="17cb0503-84eb-4e2a-a91d-39cad9c72726"&gt;730&lt;/key&gt;&lt;/foreign-keys&gt;&lt;ref-type name="Report"&gt;27&lt;/ref-type&gt;&lt;contributors&gt;&lt;authors&gt;&lt;author&gt;Department of Health, &lt;/author&gt;&lt;/authors&gt;&lt;/contributors&gt;&lt;titles&gt;&lt;title&gt;Value for Money and Policy Review of Disability Services in Ireland &lt;/title&gt;&lt;/titles&gt;&lt;dates&gt;&lt;year&gt;2012&lt;/year&gt;&lt;/dates&gt;&lt;pub-location&gt;Dublin&lt;/pub-location&gt;&lt;publisher&gt;Department of Health&lt;/publisher&gt;&lt;urls&gt;&lt;/urls&gt;&lt;/record&gt;&lt;/Cite&gt;&lt;/EndNote&gt;</w:instrText>
      </w:r>
      <w:r w:rsidR="00F23A28" w:rsidRPr="68A51868">
        <w:rPr>
          <w:rFonts w:eastAsia="Gill Sans MT" w:cs="Gill Sans MT"/>
        </w:rPr>
        <w:fldChar w:fldCharType="separate"/>
      </w:r>
      <w:r w:rsidR="52A43ECD" w:rsidRPr="68A51868">
        <w:rPr>
          <w:rFonts w:eastAsia="Gill Sans MT" w:cs="Gill Sans MT"/>
          <w:noProof/>
        </w:rPr>
        <w:t>(Department of Health, 2012)</w:t>
      </w:r>
      <w:r w:rsidR="00F23A28" w:rsidRPr="68A51868">
        <w:rPr>
          <w:rFonts w:eastAsia="Gill Sans MT" w:cs="Gill Sans MT"/>
        </w:rPr>
        <w:fldChar w:fldCharType="end"/>
      </w:r>
      <w:r w:rsidR="5CB6DF7F" w:rsidRPr="68A51868">
        <w:rPr>
          <w:rFonts w:eastAsia="Gill Sans MT" w:cs="Gill Sans MT"/>
        </w:rPr>
        <w:t>,</w:t>
      </w:r>
      <w:r w:rsidR="16BAC6E6" w:rsidRPr="68A51868">
        <w:rPr>
          <w:rFonts w:eastAsia="Gill Sans MT" w:cs="Gill Sans MT"/>
        </w:rPr>
        <w:t xml:space="preserve"> but </w:t>
      </w:r>
      <w:r w:rsidR="46706F12" w:rsidRPr="68A51868">
        <w:rPr>
          <w:rFonts w:eastAsia="Gill Sans MT" w:cs="Gill Sans MT"/>
        </w:rPr>
        <w:t xml:space="preserve">this does not appear to have resulted in </w:t>
      </w:r>
      <w:r w:rsidR="4E57B17A" w:rsidRPr="68A51868">
        <w:rPr>
          <w:rFonts w:eastAsia="Gill Sans MT" w:cs="Gill Sans MT"/>
        </w:rPr>
        <w:t>significant change</w:t>
      </w:r>
      <w:r w:rsidR="005C9F03" w:rsidRPr="68A51868">
        <w:rPr>
          <w:rFonts w:eastAsia="Gill Sans MT" w:cs="Gill Sans MT"/>
        </w:rPr>
        <w:t>,</w:t>
      </w:r>
      <w:r w:rsidR="4E57B17A" w:rsidRPr="68A51868">
        <w:rPr>
          <w:rFonts w:eastAsia="Gill Sans MT" w:cs="Gill Sans MT"/>
        </w:rPr>
        <w:t xml:space="preserve"> with t</w:t>
      </w:r>
      <w:r w:rsidR="28DEAD6A" w:rsidRPr="68A51868">
        <w:rPr>
          <w:rFonts w:eastAsia="Gill Sans MT" w:cs="Gill Sans MT"/>
        </w:rPr>
        <w:t xml:space="preserve">he </w:t>
      </w:r>
      <w:r w:rsidR="32B3B347" w:rsidRPr="68A51868">
        <w:rPr>
          <w:rFonts w:eastAsia="Gill Sans MT" w:cs="Gill Sans MT"/>
        </w:rPr>
        <w:t xml:space="preserve">inadequacy of the current funding model </w:t>
      </w:r>
      <w:r w:rsidR="4E57B17A" w:rsidRPr="68A51868">
        <w:rPr>
          <w:rFonts w:eastAsia="Gill Sans MT" w:cs="Gill Sans MT"/>
        </w:rPr>
        <w:t>strongly criticised</w:t>
      </w:r>
      <w:r w:rsidR="32B3B347" w:rsidRPr="68A51868">
        <w:rPr>
          <w:rFonts w:eastAsia="Gill Sans MT" w:cs="Gill Sans MT"/>
        </w:rPr>
        <w:t xml:space="preserve"> </w:t>
      </w:r>
      <w:r w:rsidR="10D3EBA3" w:rsidRPr="68A51868">
        <w:rPr>
          <w:rFonts w:eastAsia="Gill Sans MT" w:cs="Gill Sans MT"/>
        </w:rPr>
        <w:t>by the National Federation of Voluntary Bodies</w:t>
      </w:r>
      <w:r w:rsidR="005C9F03" w:rsidRPr="68A51868">
        <w:rPr>
          <w:rFonts w:eastAsia="Gill Sans MT" w:cs="Gill Sans MT"/>
        </w:rPr>
        <w:t xml:space="preserve"> </w:t>
      </w:r>
      <w:r w:rsidR="0B5D2DBF" w:rsidRPr="68A51868">
        <w:rPr>
          <w:rFonts w:eastAsia="Gill Sans MT" w:cs="Gill Sans MT"/>
        </w:rPr>
        <w:t xml:space="preserve">(NFVB) </w:t>
      </w:r>
      <w:r w:rsidR="005C9F03" w:rsidRPr="68A51868">
        <w:rPr>
          <w:rFonts w:eastAsia="Gill Sans MT" w:cs="Gill Sans MT"/>
        </w:rPr>
        <w:t>seven years later</w:t>
      </w:r>
      <w:r w:rsidR="10D3EBA3" w:rsidRPr="68A51868">
        <w:rPr>
          <w:rFonts w:eastAsia="Gill Sans MT" w:cs="Gill Sans MT"/>
        </w:rPr>
        <w:t xml:space="preserve"> </w:t>
      </w:r>
      <w:r w:rsidR="00F23A28" w:rsidRPr="68A51868">
        <w:rPr>
          <w:rFonts w:eastAsia="Gill Sans MT" w:cs="Gill Sans MT"/>
        </w:rPr>
        <w:fldChar w:fldCharType="begin"/>
      </w:r>
      <w:r w:rsidR="00F23A28" w:rsidRPr="68A51868">
        <w:rPr>
          <w:rFonts w:eastAsia="Gill Sans MT" w:cs="Gill Sans MT"/>
        </w:rPr>
        <w:instrText xml:space="preserve"> ADDIN EN.CITE &lt;EndNote&gt;&lt;Cite ExcludeAuth="1"&gt;&lt;Author&gt;National Federation of Voluntary Bodies&lt;/Author&gt;&lt;Year&gt;2019&lt;/Year&gt;&lt;RecNum&gt;775&lt;/RecNum&gt;&lt;Prefix&gt;NFVB`, &lt;/Prefix&gt;&lt;DisplayText&gt;(NFVB, 2019)&lt;/DisplayText&gt;&lt;record&gt;&lt;rec-number&gt;775&lt;/rec-number&gt;&lt;foreign-keys&gt;&lt;key app="EN" db-id="xtwfdzde5ttr0zevxrh5sf0c2wfzw5zf2vra" timestamp="1667690708" guid="82be3de9-6734-47aa-a3a8-8ccafa065c9f"&gt;775&lt;/key&gt;&lt;/foreign-keys&gt;&lt;ref-type name="Web Page"&gt;12&lt;/ref-type&gt;&lt;contributors&gt;&lt;authors&gt;&lt;author&gt;National Federation of Voluntary Bodies,&lt;/author&gt;&lt;/authors&gt;&lt;/contributors&gt;&lt;titles&gt;&lt;title&gt;Funding Crisis in Disability Services&lt;/title&gt;&lt;/titles&gt;&lt;volume&gt;2022&lt;/volume&gt;&lt;number&gt;04/11/2022&lt;/number&gt;&lt;dates&gt;&lt;year&gt;2019&lt;/year&gt;&lt;/dates&gt;&lt;urls&gt;&lt;related-urls&gt;&lt;url&gt;http://www.fedvol.ie/_fileupload/Publications/NFVSP%20Drivers%20and%20Deficits%20in%20ID%20Services%20June_2019.pdf&lt;/url&gt;&lt;/related-urls&gt;&lt;/urls&gt;&lt;/record&gt;&lt;/Cite&gt;&lt;/EndNote&gt;</w:instrText>
      </w:r>
      <w:r w:rsidR="00F23A28" w:rsidRPr="68A51868">
        <w:rPr>
          <w:rFonts w:eastAsia="Gill Sans MT" w:cs="Gill Sans MT"/>
        </w:rPr>
        <w:fldChar w:fldCharType="separate"/>
      </w:r>
      <w:r w:rsidR="48C208A8" w:rsidRPr="68A51868">
        <w:rPr>
          <w:rFonts w:eastAsia="Gill Sans MT" w:cs="Gill Sans MT"/>
          <w:noProof/>
        </w:rPr>
        <w:t>(NFVB, 2019)</w:t>
      </w:r>
      <w:r w:rsidR="00F23A28" w:rsidRPr="68A51868">
        <w:rPr>
          <w:rFonts w:eastAsia="Gill Sans MT" w:cs="Gill Sans MT"/>
        </w:rPr>
        <w:fldChar w:fldCharType="end"/>
      </w:r>
      <w:r w:rsidR="10D3EBA3" w:rsidRPr="68A51868">
        <w:rPr>
          <w:rFonts w:eastAsia="Gill Sans MT" w:cs="Gill Sans MT"/>
        </w:rPr>
        <w:t>.</w:t>
      </w:r>
      <w:r w:rsidR="0B5D2DBF" w:rsidRPr="68A51868">
        <w:rPr>
          <w:rFonts w:eastAsia="Gill Sans MT" w:cs="Gill Sans MT"/>
        </w:rPr>
        <w:t xml:space="preserve"> Th</w:t>
      </w:r>
      <w:r w:rsidR="6122FD79" w:rsidRPr="68A51868">
        <w:rPr>
          <w:rFonts w:eastAsia="Gill Sans MT" w:cs="Gill Sans MT"/>
        </w:rPr>
        <w:t>e</w:t>
      </w:r>
      <w:r w:rsidR="0B5D2DBF" w:rsidRPr="68A51868">
        <w:rPr>
          <w:rFonts w:eastAsia="Gill Sans MT" w:cs="Gill Sans MT"/>
        </w:rPr>
        <w:t xml:space="preserve"> outcomes of this study </w:t>
      </w:r>
      <w:r w:rsidR="7A5921D6" w:rsidRPr="68A51868">
        <w:rPr>
          <w:rFonts w:eastAsia="Gill Sans MT" w:cs="Gill Sans MT"/>
        </w:rPr>
        <w:t xml:space="preserve">support </w:t>
      </w:r>
      <w:r w:rsidR="0004F610" w:rsidRPr="68A51868">
        <w:rPr>
          <w:rFonts w:eastAsia="Gill Sans MT" w:cs="Gill Sans MT"/>
        </w:rPr>
        <w:t>these concerns</w:t>
      </w:r>
      <w:r w:rsidR="3E1EA62C" w:rsidRPr="68A51868">
        <w:rPr>
          <w:rFonts w:eastAsia="Gill Sans MT" w:cs="Gill Sans MT"/>
        </w:rPr>
        <w:t xml:space="preserve">. </w:t>
      </w:r>
      <w:r w:rsidR="585AA3D9" w:rsidRPr="68A51868">
        <w:rPr>
          <w:rFonts w:eastAsia="Gill Sans MT" w:cs="Gill Sans MT"/>
        </w:rPr>
        <w:t xml:space="preserve">That </w:t>
      </w:r>
      <w:r w:rsidR="04457127" w:rsidRPr="68A51868">
        <w:rPr>
          <w:rFonts w:eastAsia="Gill Sans MT" w:cs="Gill Sans MT"/>
        </w:rPr>
        <w:t>so many positive outcomes are being achieved</w:t>
      </w:r>
      <w:r w:rsidR="334D6BF4" w:rsidRPr="68A51868">
        <w:rPr>
          <w:rFonts w:eastAsia="Gill Sans MT" w:cs="Gill Sans MT"/>
        </w:rPr>
        <w:t xml:space="preserve"> for many older people is a </w:t>
      </w:r>
      <w:r w:rsidR="7AC4345D" w:rsidRPr="68A51868">
        <w:rPr>
          <w:rFonts w:eastAsia="Gill Sans MT" w:cs="Gill Sans MT"/>
        </w:rPr>
        <w:t xml:space="preserve">credit to the services, their staff and </w:t>
      </w:r>
      <w:r w:rsidR="37C29DF4" w:rsidRPr="68A51868">
        <w:rPr>
          <w:rFonts w:eastAsia="Gill Sans MT" w:cs="Gill Sans MT"/>
        </w:rPr>
        <w:t>family carers</w:t>
      </w:r>
      <w:r w:rsidR="3E1EA62C" w:rsidRPr="68A51868">
        <w:rPr>
          <w:rFonts w:eastAsia="Gill Sans MT" w:cs="Gill Sans MT"/>
        </w:rPr>
        <w:t xml:space="preserve">. This is, however, </w:t>
      </w:r>
      <w:r w:rsidR="03FF9F71" w:rsidRPr="68A51868">
        <w:rPr>
          <w:rFonts w:eastAsia="Gill Sans MT" w:cs="Gill Sans MT"/>
        </w:rPr>
        <w:t>a wholly un</w:t>
      </w:r>
      <w:r w:rsidR="3E1EA62C" w:rsidRPr="68A51868">
        <w:rPr>
          <w:rFonts w:eastAsia="Gill Sans MT" w:cs="Gill Sans MT"/>
        </w:rPr>
        <w:t>sustainable</w:t>
      </w:r>
      <w:r w:rsidR="03FF9F71" w:rsidRPr="68A51868">
        <w:rPr>
          <w:rFonts w:eastAsia="Gill Sans MT" w:cs="Gill Sans MT"/>
        </w:rPr>
        <w:t xml:space="preserve"> approach to meeting the needs of older Irish people with intellectual disabilities.</w:t>
      </w:r>
      <w:r w:rsidR="3E1EA62C" w:rsidRPr="68A51868">
        <w:rPr>
          <w:rFonts w:eastAsia="Gill Sans MT" w:cs="Gill Sans MT"/>
        </w:rPr>
        <w:t xml:space="preserve"> </w:t>
      </w:r>
    </w:p>
    <w:p w14:paraId="72A63010" w14:textId="5C41E14B" w:rsidR="00850DA2" w:rsidRPr="00361937" w:rsidRDefault="00850DA2" w:rsidP="00850DA2">
      <w:pPr>
        <w:pStyle w:val="Heading2"/>
        <w:rPr>
          <w:rFonts w:eastAsia="Calibri"/>
        </w:rPr>
      </w:pPr>
      <w:bookmarkStart w:id="280" w:name="_Toc118555224"/>
      <w:bookmarkStart w:id="281" w:name="_Toc118558311"/>
      <w:bookmarkStart w:id="282" w:name="_Toc118558382"/>
      <w:bookmarkStart w:id="283" w:name="_Toc121830639"/>
      <w:r w:rsidRPr="00361937">
        <w:rPr>
          <w:rFonts w:eastAsia="Calibri"/>
        </w:rPr>
        <w:t>Limitations</w:t>
      </w:r>
      <w:bookmarkEnd w:id="280"/>
      <w:bookmarkEnd w:id="281"/>
      <w:bookmarkEnd w:id="282"/>
      <w:bookmarkEnd w:id="283"/>
    </w:p>
    <w:p w14:paraId="57B8756B" w14:textId="0C32259E" w:rsidR="004663E7" w:rsidRDefault="00BE0729" w:rsidP="00850DA2">
      <w:pPr>
        <w:rPr>
          <w:rFonts w:eastAsia="Calibri" w:cs="Calibri"/>
        </w:rPr>
      </w:pPr>
      <w:r w:rsidRPr="0503C5E8">
        <w:rPr>
          <w:rFonts w:eastAsia="Calibri" w:cs="Calibri"/>
        </w:rPr>
        <w:t xml:space="preserve">At the outset of this </w:t>
      </w:r>
      <w:r w:rsidR="001B6ACB" w:rsidRPr="0503C5E8">
        <w:rPr>
          <w:rFonts w:eastAsia="Calibri" w:cs="Calibri"/>
        </w:rPr>
        <w:t>study</w:t>
      </w:r>
      <w:r w:rsidRPr="0503C5E8">
        <w:rPr>
          <w:rFonts w:eastAsia="Calibri" w:cs="Calibri"/>
        </w:rPr>
        <w:t xml:space="preserve">, it had been envisaged that </w:t>
      </w:r>
      <w:r w:rsidR="003D7396" w:rsidRPr="0503C5E8">
        <w:rPr>
          <w:rFonts w:eastAsia="Calibri" w:cs="Calibri"/>
        </w:rPr>
        <w:t xml:space="preserve">the </w:t>
      </w:r>
      <w:r w:rsidR="001B6ACB" w:rsidRPr="0503C5E8">
        <w:rPr>
          <w:rFonts w:eastAsia="Calibri" w:cs="Calibri"/>
        </w:rPr>
        <w:t>research</w:t>
      </w:r>
      <w:r w:rsidR="003D7396" w:rsidRPr="0503C5E8">
        <w:rPr>
          <w:rFonts w:eastAsia="Calibri" w:cs="Calibri"/>
        </w:rPr>
        <w:t xml:space="preserve"> would have been </w:t>
      </w:r>
      <w:r w:rsidR="001B6ACB" w:rsidRPr="0503C5E8">
        <w:rPr>
          <w:rFonts w:eastAsia="Calibri" w:cs="Calibri"/>
        </w:rPr>
        <w:t xml:space="preserve">completed and reported on in a twelve month period. The </w:t>
      </w:r>
      <w:r w:rsidR="000B2BC3" w:rsidRPr="0503C5E8">
        <w:rPr>
          <w:rFonts w:eastAsia="Calibri" w:cs="Calibri"/>
        </w:rPr>
        <w:t xml:space="preserve">arrival of COVID-19 </w:t>
      </w:r>
      <w:r w:rsidR="00FC45BD" w:rsidRPr="0503C5E8">
        <w:rPr>
          <w:rFonts w:eastAsia="Calibri" w:cs="Calibri"/>
        </w:rPr>
        <w:t xml:space="preserve">coincided with the initial </w:t>
      </w:r>
      <w:r w:rsidR="00FC45BD" w:rsidRPr="511B83FC">
        <w:rPr>
          <w:rFonts w:eastAsia="Calibri" w:cs="Calibri"/>
        </w:rPr>
        <w:t>approach</w:t>
      </w:r>
      <w:r w:rsidR="26DEB32B" w:rsidRPr="511B83FC">
        <w:rPr>
          <w:rFonts w:eastAsia="Calibri" w:cs="Calibri"/>
        </w:rPr>
        <w:t>es</w:t>
      </w:r>
      <w:r w:rsidR="00FC45BD" w:rsidRPr="0503C5E8">
        <w:rPr>
          <w:rFonts w:eastAsia="Calibri" w:cs="Calibri"/>
        </w:rPr>
        <w:t xml:space="preserve"> to service and nursing home gatekeepers. </w:t>
      </w:r>
      <w:r w:rsidR="006D45A2" w:rsidRPr="0503C5E8">
        <w:rPr>
          <w:rFonts w:eastAsia="Calibri" w:cs="Calibri"/>
        </w:rPr>
        <w:t>The project team, in collaboration with the NDA, made a decision to sta</w:t>
      </w:r>
      <w:r w:rsidR="003A4A7D" w:rsidRPr="0503C5E8">
        <w:rPr>
          <w:rFonts w:eastAsia="Calibri" w:cs="Calibri"/>
        </w:rPr>
        <w:t xml:space="preserve">ll the project, as it was clear that health and social care agencies had to prioritise the safety and wellbeing of their staff and service recipients at that time. </w:t>
      </w:r>
      <w:r w:rsidR="00697905" w:rsidRPr="0503C5E8">
        <w:rPr>
          <w:rFonts w:eastAsia="Calibri" w:cs="Calibri"/>
        </w:rPr>
        <w:t xml:space="preserve">Sampling of services and of participants was a very slow process and </w:t>
      </w:r>
      <w:r w:rsidR="00FA04B1" w:rsidRPr="0503C5E8">
        <w:rPr>
          <w:rFonts w:eastAsia="Calibri" w:cs="Calibri"/>
        </w:rPr>
        <w:t>there may have been a reticence among some about taking part, brought on by the ongoing effects of the pandemic</w:t>
      </w:r>
      <w:r w:rsidR="00CD6B1E" w:rsidRPr="0503C5E8">
        <w:rPr>
          <w:rFonts w:eastAsia="Calibri" w:cs="Calibri"/>
        </w:rPr>
        <w:t xml:space="preserve">. Thus, there may be a limitation as to the representativeness of services that took part in the focus groups and interviews. It is worth noting, though, that </w:t>
      </w:r>
      <w:r w:rsidR="00742BA2" w:rsidRPr="0503C5E8">
        <w:rPr>
          <w:rFonts w:eastAsia="Calibri" w:cs="Calibri"/>
        </w:rPr>
        <w:t>there was a consistency in the</w:t>
      </w:r>
      <w:r w:rsidR="00CD6B1E" w:rsidRPr="0503C5E8">
        <w:rPr>
          <w:rFonts w:eastAsia="Calibri" w:cs="Calibri"/>
        </w:rPr>
        <w:t xml:space="preserve"> issues </w:t>
      </w:r>
      <w:r w:rsidR="00742BA2" w:rsidRPr="0503C5E8">
        <w:rPr>
          <w:rFonts w:eastAsia="Calibri" w:cs="Calibri"/>
        </w:rPr>
        <w:t>that were raised in</w:t>
      </w:r>
      <w:r w:rsidR="00CD6B1E" w:rsidRPr="0503C5E8">
        <w:rPr>
          <w:rFonts w:eastAsia="Calibri" w:cs="Calibri"/>
        </w:rPr>
        <w:t xml:space="preserve"> </w:t>
      </w:r>
      <w:r w:rsidR="00742BA2" w:rsidRPr="0503C5E8">
        <w:rPr>
          <w:rFonts w:eastAsia="Calibri" w:cs="Calibri"/>
        </w:rPr>
        <w:t xml:space="preserve">both </w:t>
      </w:r>
      <w:r w:rsidR="00CD6B1E" w:rsidRPr="0503C5E8">
        <w:rPr>
          <w:rFonts w:eastAsia="Calibri" w:cs="Calibri"/>
        </w:rPr>
        <w:t xml:space="preserve">qualitative and quantitative </w:t>
      </w:r>
      <w:r w:rsidR="00742BA2" w:rsidRPr="0503C5E8">
        <w:rPr>
          <w:rFonts w:eastAsia="Calibri" w:cs="Calibri"/>
        </w:rPr>
        <w:t>data sets</w:t>
      </w:r>
      <w:r w:rsidR="00CD6B1E" w:rsidRPr="0503C5E8">
        <w:rPr>
          <w:rFonts w:eastAsia="Calibri" w:cs="Calibri"/>
        </w:rPr>
        <w:t>.</w:t>
      </w:r>
    </w:p>
    <w:p w14:paraId="35ED7B76" w14:textId="29C1A83E" w:rsidR="00850DA2" w:rsidRPr="00422459" w:rsidRDefault="00860BE6" w:rsidP="00422459">
      <w:pPr>
        <w:rPr>
          <w:rFonts w:eastAsia="Calibri" w:cs="Calibri"/>
        </w:rPr>
      </w:pPr>
      <w:r w:rsidRPr="4CB9D479">
        <w:rPr>
          <w:rFonts w:eastAsia="Calibri" w:cs="Calibri"/>
        </w:rPr>
        <w:t xml:space="preserve">The pandemic meant that no in-person data collection could be conducted, leading to </w:t>
      </w:r>
      <w:r w:rsidR="007615A3" w:rsidRPr="4CB9D479">
        <w:rPr>
          <w:rFonts w:eastAsia="Calibri" w:cs="Calibri"/>
        </w:rPr>
        <w:t xml:space="preserve">the use of secure online platforms. </w:t>
      </w:r>
      <w:r w:rsidR="00EA26B3" w:rsidRPr="4CB9D479">
        <w:rPr>
          <w:rFonts w:eastAsia="Calibri" w:cs="Calibri"/>
        </w:rPr>
        <w:t xml:space="preserve">This may have affected the ability to achieve the </w:t>
      </w:r>
      <w:r w:rsidR="004663E7" w:rsidRPr="4CB9D479">
        <w:rPr>
          <w:rFonts w:eastAsia="Calibri" w:cs="Calibri"/>
        </w:rPr>
        <w:t>depth</w:t>
      </w:r>
      <w:r w:rsidR="00EA26B3" w:rsidRPr="4CB9D479">
        <w:rPr>
          <w:rFonts w:eastAsia="Calibri" w:cs="Calibri"/>
        </w:rPr>
        <w:t xml:space="preserve"> of discussion that might otherwise have bee</w:t>
      </w:r>
      <w:r w:rsidR="00A114A8" w:rsidRPr="4CB9D479">
        <w:rPr>
          <w:rFonts w:eastAsia="Calibri" w:cs="Calibri"/>
        </w:rPr>
        <w:t>n</w:t>
      </w:r>
      <w:r w:rsidR="00EA26B3" w:rsidRPr="4CB9D479">
        <w:rPr>
          <w:rFonts w:eastAsia="Calibri" w:cs="Calibri"/>
        </w:rPr>
        <w:t xml:space="preserve"> possible in a</w:t>
      </w:r>
      <w:r w:rsidR="00A114A8" w:rsidRPr="4CB9D479">
        <w:rPr>
          <w:rFonts w:eastAsia="Calibri" w:cs="Calibri"/>
        </w:rPr>
        <w:t xml:space="preserve"> face-to-face meeting. The effect of COVID-19 on mainstream nursing homes</w:t>
      </w:r>
      <w:r w:rsidR="00742BA2" w:rsidRPr="4CB9D479">
        <w:rPr>
          <w:rFonts w:eastAsia="Calibri" w:cs="Calibri"/>
        </w:rPr>
        <w:t xml:space="preserve"> was very significant and many were managing </w:t>
      </w:r>
      <w:r w:rsidR="001E47F5" w:rsidRPr="4CB9D479">
        <w:rPr>
          <w:rFonts w:eastAsia="Calibri" w:cs="Calibri"/>
        </w:rPr>
        <w:t xml:space="preserve">difficult </w:t>
      </w:r>
      <w:r w:rsidR="7F89E266" w:rsidRPr="3A0E5BDF">
        <w:rPr>
          <w:rFonts w:eastAsia="Calibri" w:cs="Calibri"/>
        </w:rPr>
        <w:t xml:space="preserve">staffing and </w:t>
      </w:r>
      <w:r w:rsidR="001E47F5" w:rsidRPr="4CB9D479">
        <w:rPr>
          <w:rFonts w:eastAsia="Calibri" w:cs="Calibri"/>
        </w:rPr>
        <w:t xml:space="preserve">care realities. Despite repeated attempts, it was </w:t>
      </w:r>
      <w:r w:rsidR="003502AF" w:rsidRPr="4CB9D479">
        <w:rPr>
          <w:rFonts w:eastAsia="Calibri" w:cs="Calibri"/>
        </w:rPr>
        <w:t xml:space="preserve">concluded that it would not be possible for the input from this sector to be included in this study. Whilst understandable, </w:t>
      </w:r>
      <w:r w:rsidR="00A40C47" w:rsidRPr="4CB9D479">
        <w:rPr>
          <w:rFonts w:eastAsia="Calibri" w:cs="Calibri"/>
        </w:rPr>
        <w:t xml:space="preserve">it is unfortunate as </w:t>
      </w:r>
      <w:r w:rsidR="006C3AC6" w:rsidRPr="4CB9D479">
        <w:rPr>
          <w:rFonts w:eastAsia="Calibri" w:cs="Calibri"/>
        </w:rPr>
        <w:t>their perspectives would have</w:t>
      </w:r>
      <w:r w:rsidR="00AE0F73" w:rsidRPr="4CB9D479">
        <w:rPr>
          <w:rFonts w:eastAsia="Calibri" w:cs="Calibri"/>
        </w:rPr>
        <w:t xml:space="preserve"> added significantly </w:t>
      </w:r>
      <w:r w:rsidR="6D55ED9C" w:rsidRPr="24049DF5">
        <w:rPr>
          <w:rFonts w:eastAsia="Calibri" w:cs="Calibri"/>
        </w:rPr>
        <w:t xml:space="preserve">to </w:t>
      </w:r>
      <w:r w:rsidR="00AE0F73" w:rsidRPr="4CB9D479">
        <w:rPr>
          <w:rFonts w:eastAsia="Calibri" w:cs="Calibri"/>
        </w:rPr>
        <w:t>those of intellectual disability service participants and family members.</w:t>
      </w:r>
      <w:r w:rsidR="003502AF" w:rsidRPr="4CB9D479">
        <w:rPr>
          <w:rFonts w:eastAsia="Calibri" w:cs="Calibri"/>
        </w:rPr>
        <w:t xml:space="preserve"> </w:t>
      </w:r>
      <w:r w:rsidR="00AE0F73" w:rsidRPr="4CB9D479">
        <w:rPr>
          <w:rFonts w:eastAsia="Calibri" w:cs="Calibri"/>
        </w:rPr>
        <w:t xml:space="preserve">The main survey </w:t>
      </w:r>
      <w:r w:rsidR="006D6BF9" w:rsidRPr="4CB9D479">
        <w:rPr>
          <w:rFonts w:eastAsia="Calibri" w:cs="Calibri"/>
        </w:rPr>
        <w:t>achieved a very high res</w:t>
      </w:r>
      <w:r w:rsidR="00757A18" w:rsidRPr="4CB9D479">
        <w:rPr>
          <w:rFonts w:eastAsia="Calibri" w:cs="Calibri"/>
        </w:rPr>
        <w:t>ponse rate</w:t>
      </w:r>
      <w:r w:rsidR="006D6BF9" w:rsidRPr="4CB9D479">
        <w:rPr>
          <w:rFonts w:eastAsia="Calibri" w:cs="Calibri"/>
        </w:rPr>
        <w:t xml:space="preserve">, though very little could be gleaned in respect of costings as </w:t>
      </w:r>
      <w:r w:rsidR="00422459" w:rsidRPr="4CB9D479">
        <w:rPr>
          <w:rFonts w:eastAsia="Calibri" w:cs="Calibri"/>
        </w:rPr>
        <w:t>so</w:t>
      </w:r>
      <w:r w:rsidR="00850DA2" w:rsidRPr="4CB9D479">
        <w:rPr>
          <w:rFonts w:eastAsia="Calibri" w:cs="Calibri"/>
        </w:rPr>
        <w:t xml:space="preserve"> few services volunteered to participate in the follow-up survey. This very much reduced the extent to which it is possible to draw any conclusions </w:t>
      </w:r>
      <w:r w:rsidR="00422459" w:rsidRPr="4CB9D479">
        <w:rPr>
          <w:rFonts w:eastAsia="Calibri" w:cs="Calibri"/>
        </w:rPr>
        <w:t>in these regards</w:t>
      </w:r>
      <w:r w:rsidR="00850DA2" w:rsidRPr="4CB9D479">
        <w:rPr>
          <w:rFonts w:eastAsia="Calibri" w:cs="Calibri"/>
        </w:rPr>
        <w:t xml:space="preserve">.  </w:t>
      </w:r>
    </w:p>
    <w:p w14:paraId="257758D8" w14:textId="77777777" w:rsidR="00812844" w:rsidRDefault="00812844">
      <w:pPr>
        <w:spacing w:after="0"/>
        <w:rPr>
          <w:rFonts w:eastAsia="Gill Sans" w:cs="Arial Bold"/>
          <w:b/>
          <w:bCs/>
          <w:iCs/>
          <w:sz w:val="30"/>
          <w:szCs w:val="28"/>
        </w:rPr>
      </w:pPr>
      <w:r>
        <w:rPr>
          <w:rFonts w:eastAsia="Gill Sans"/>
        </w:rPr>
        <w:br w:type="page"/>
      </w:r>
    </w:p>
    <w:p w14:paraId="798C83C9" w14:textId="42943972" w:rsidR="00FC45BD" w:rsidRPr="007B7BCB" w:rsidRDefault="00B66EEF" w:rsidP="00C42FBC">
      <w:pPr>
        <w:pStyle w:val="Heading2"/>
        <w:rPr>
          <w:rFonts w:eastAsia="Gill Sans"/>
        </w:rPr>
      </w:pPr>
      <w:bookmarkStart w:id="284" w:name="_Toc118555225"/>
      <w:bookmarkStart w:id="285" w:name="_Toc118558312"/>
      <w:bookmarkStart w:id="286" w:name="_Toc118558383"/>
      <w:bookmarkStart w:id="287" w:name="_Toc121830640"/>
      <w:r w:rsidRPr="007B7BCB">
        <w:rPr>
          <w:rFonts w:eastAsia="Gill Sans"/>
        </w:rPr>
        <w:t>Recommendations</w:t>
      </w:r>
      <w:bookmarkEnd w:id="284"/>
      <w:bookmarkEnd w:id="285"/>
      <w:bookmarkEnd w:id="286"/>
      <w:bookmarkEnd w:id="287"/>
    </w:p>
    <w:p w14:paraId="3FC9FAC6" w14:textId="73E630EE" w:rsidR="00FC45BD" w:rsidRPr="00FC45BD" w:rsidRDefault="002432F5" w:rsidP="00FC45BD">
      <w:pPr>
        <w:rPr>
          <w:rFonts w:eastAsia="Gill Sans"/>
        </w:rPr>
      </w:pPr>
      <w:r w:rsidRPr="11C55A92">
        <w:rPr>
          <w:rFonts w:eastAsia="Gill Sans"/>
        </w:rPr>
        <w:t>Based on the findings of this research, and bearing in mind</w:t>
      </w:r>
      <w:r w:rsidR="005B0012" w:rsidRPr="11C55A92">
        <w:rPr>
          <w:rFonts w:eastAsia="Gill Sans"/>
        </w:rPr>
        <w:t xml:space="preserve"> recommendations made by participa</w:t>
      </w:r>
      <w:r w:rsidR="75F93631" w:rsidRPr="11C55A92">
        <w:rPr>
          <w:rFonts w:eastAsia="Gill Sans"/>
        </w:rPr>
        <w:t>nts</w:t>
      </w:r>
      <w:r w:rsidR="005B0012" w:rsidRPr="11C55A92">
        <w:rPr>
          <w:rFonts w:eastAsia="Gill Sans"/>
        </w:rPr>
        <w:t xml:space="preserve"> and the limitations ou</w:t>
      </w:r>
      <w:r w:rsidR="00D45D89" w:rsidRPr="11C55A92">
        <w:rPr>
          <w:rFonts w:eastAsia="Gill Sans"/>
        </w:rPr>
        <w:t xml:space="preserve">tlined above, </w:t>
      </w:r>
      <w:r w:rsidR="00402310" w:rsidRPr="11C55A92">
        <w:rPr>
          <w:rFonts w:eastAsia="Gill Sans"/>
        </w:rPr>
        <w:t xml:space="preserve">four main </w:t>
      </w:r>
      <w:r w:rsidR="005B12D8" w:rsidRPr="11C55A92">
        <w:rPr>
          <w:rFonts w:eastAsia="Gill Sans"/>
        </w:rPr>
        <w:t>strategi</w:t>
      </w:r>
      <w:r w:rsidR="006F2B3C" w:rsidRPr="11C55A92">
        <w:rPr>
          <w:rFonts w:eastAsia="Gill Sans"/>
        </w:rPr>
        <w:t>es are recommended for achieving positive outcomes for older people with intellectual disabilities</w:t>
      </w:r>
      <w:r w:rsidR="002E6DAD">
        <w:rPr>
          <w:rFonts w:eastAsia="Gill Sans"/>
        </w:rPr>
        <w:t xml:space="preserve">. These are </w:t>
      </w:r>
      <w:r w:rsidR="00042914">
        <w:rPr>
          <w:rFonts w:eastAsia="Gill Sans"/>
        </w:rPr>
        <w:t xml:space="preserve">underpinned by the </w:t>
      </w:r>
      <w:r w:rsidR="0020025C">
        <w:rPr>
          <w:rFonts w:eastAsia="Gill Sans"/>
        </w:rPr>
        <w:t xml:space="preserve">principles and articles of </w:t>
      </w:r>
      <w:r w:rsidR="00042914">
        <w:rPr>
          <w:rFonts w:eastAsia="Gill Sans"/>
        </w:rPr>
        <w:t xml:space="preserve">the </w:t>
      </w:r>
      <w:r w:rsidR="006E1B2E">
        <w:rPr>
          <w:rFonts w:eastAsia="Gill Sans"/>
        </w:rPr>
        <w:t>UNCRPD</w:t>
      </w:r>
      <w:r w:rsidR="0020025C">
        <w:rPr>
          <w:rFonts w:eastAsia="Gill Sans"/>
        </w:rPr>
        <w:t>.</w:t>
      </w:r>
      <w:r w:rsidR="00F806F2">
        <w:rPr>
          <w:rFonts w:eastAsia="Gill Sans"/>
        </w:rPr>
        <w:t xml:space="preserve"> When </w:t>
      </w:r>
      <w:r w:rsidR="00F806F2">
        <w:t>Ireland ratified the UNCRPD in 2018, the State undertook to ensure the full realisation of the human rights and fundamental freedoms of people with disabilities. This can only be achieved if service outcomes are closely aligned to the commitments made on ratification of the Convention.</w:t>
      </w:r>
    </w:p>
    <w:p w14:paraId="5346CF1A" w14:textId="57E21DF5" w:rsidR="00812844" w:rsidRPr="004F6EAB" w:rsidRDefault="00CE136D" w:rsidP="00733E34">
      <w:pPr>
        <w:pStyle w:val="Heading3"/>
        <w:rPr>
          <w:rFonts w:eastAsia="Gill Sans"/>
          <w:color w:val="auto"/>
        </w:rPr>
      </w:pPr>
      <w:r w:rsidRPr="004F6EAB">
        <w:rPr>
          <w:rFonts w:eastAsia="Gill Sans"/>
          <w:color w:val="auto"/>
        </w:rPr>
        <w:t xml:space="preserve">Develop a </w:t>
      </w:r>
      <w:r w:rsidR="00713D7C" w:rsidRPr="004F6EAB">
        <w:rPr>
          <w:rFonts w:eastAsia="Gill Sans"/>
          <w:color w:val="auto"/>
        </w:rPr>
        <w:t xml:space="preserve">national model of </w:t>
      </w:r>
      <w:r w:rsidR="008162D7" w:rsidRPr="004F6EAB">
        <w:rPr>
          <w:rFonts w:eastAsia="Gill Sans"/>
          <w:color w:val="auto"/>
        </w:rPr>
        <w:t xml:space="preserve">service for </w:t>
      </w:r>
      <w:r w:rsidRPr="004F6EAB">
        <w:rPr>
          <w:rFonts w:eastAsia="Gill Sans"/>
          <w:color w:val="auto"/>
        </w:rPr>
        <w:t xml:space="preserve">healthy ageing </w:t>
      </w:r>
      <w:r w:rsidR="006817D9" w:rsidRPr="004F6EAB">
        <w:rPr>
          <w:rFonts w:eastAsia="Gill Sans"/>
          <w:color w:val="auto"/>
        </w:rPr>
        <w:t>among people with intellectual disabilities</w:t>
      </w:r>
      <w:r w:rsidR="00C02118" w:rsidRPr="004F6EAB">
        <w:rPr>
          <w:rFonts w:eastAsia="Gill Sans"/>
          <w:color w:val="auto"/>
        </w:rPr>
        <w:t xml:space="preserve"> </w:t>
      </w:r>
      <w:r w:rsidR="00DB3AE6" w:rsidRPr="004F6EAB">
        <w:rPr>
          <w:rFonts w:eastAsia="Gill Sans"/>
          <w:color w:val="auto"/>
        </w:rPr>
        <w:t xml:space="preserve"> </w:t>
      </w:r>
    </w:p>
    <w:p w14:paraId="1D6B728E" w14:textId="5B7A924E" w:rsidR="000D349C" w:rsidRPr="000D349C" w:rsidRDefault="006040FF" w:rsidP="000D349C">
      <w:pPr>
        <w:rPr>
          <w:rFonts w:eastAsia="Gill Sans" w:cs="Gill Sans"/>
        </w:rPr>
      </w:pPr>
      <w:r>
        <w:rPr>
          <w:rFonts w:eastAsia="Gill Sans" w:cs="Gill Sans"/>
        </w:rPr>
        <w:t xml:space="preserve">Healthy </w:t>
      </w:r>
      <w:r w:rsidR="00EE6DF6">
        <w:rPr>
          <w:rFonts w:eastAsia="Gill Sans" w:cs="Gill Sans"/>
        </w:rPr>
        <w:t xml:space="preserve">and positive ageing </w:t>
      </w:r>
      <w:r w:rsidR="00A719FE">
        <w:rPr>
          <w:rFonts w:eastAsia="Gill Sans" w:cs="Gill Sans"/>
        </w:rPr>
        <w:t>ha</w:t>
      </w:r>
      <w:r>
        <w:rPr>
          <w:rFonts w:eastAsia="Gill Sans" w:cs="Gill Sans"/>
        </w:rPr>
        <w:t xml:space="preserve">s </w:t>
      </w:r>
      <w:r w:rsidR="00A719FE">
        <w:rPr>
          <w:rFonts w:eastAsia="Gill Sans" w:cs="Gill Sans"/>
        </w:rPr>
        <w:t xml:space="preserve">been </w:t>
      </w:r>
      <w:r>
        <w:rPr>
          <w:rFonts w:eastAsia="Gill Sans" w:cs="Gill Sans"/>
        </w:rPr>
        <w:t xml:space="preserve">a </w:t>
      </w:r>
      <w:r w:rsidR="00A719FE">
        <w:rPr>
          <w:rFonts w:eastAsia="Gill Sans" w:cs="Gill Sans"/>
        </w:rPr>
        <w:t>central principle of Irish government policy for the past decade</w:t>
      </w:r>
      <w:r w:rsidR="00DD741E">
        <w:rPr>
          <w:rFonts w:eastAsia="Gill Sans" w:cs="Gill Sans"/>
        </w:rPr>
        <w:t xml:space="preserve">, and </w:t>
      </w:r>
      <w:r w:rsidR="003228EE">
        <w:rPr>
          <w:rFonts w:eastAsia="Gill Sans" w:cs="Gill Sans"/>
        </w:rPr>
        <w:t>has been progressed in mainstream society through the Healthy Ireland initiative</w:t>
      </w:r>
      <w:r w:rsidR="007702CD">
        <w:rPr>
          <w:rFonts w:eastAsia="Gill Sans" w:cs="Gill Sans"/>
        </w:rPr>
        <w:t>. I</w:t>
      </w:r>
      <w:r w:rsidR="003B0F04">
        <w:rPr>
          <w:rFonts w:eastAsia="Gill Sans" w:cs="Gill Sans"/>
        </w:rPr>
        <w:t xml:space="preserve">ts realisation has not been seen on an equal basis among </w:t>
      </w:r>
      <w:r w:rsidR="003E7B71">
        <w:rPr>
          <w:rFonts w:eastAsia="Gill Sans" w:cs="Gill Sans"/>
        </w:rPr>
        <w:t>older people with intellectual disabilities</w:t>
      </w:r>
      <w:r w:rsidR="00203D10">
        <w:rPr>
          <w:rFonts w:eastAsia="Gill Sans" w:cs="Gill Sans"/>
        </w:rPr>
        <w:t>, as called for i</w:t>
      </w:r>
      <w:r w:rsidR="00890AEE">
        <w:rPr>
          <w:rFonts w:eastAsia="Gill Sans" w:cs="Gill Sans"/>
        </w:rPr>
        <w:t xml:space="preserve">n Article 25 of the </w:t>
      </w:r>
      <w:r w:rsidR="00F806F2">
        <w:rPr>
          <w:rFonts w:eastAsia="Gill Sans" w:cs="Gill Sans"/>
        </w:rPr>
        <w:t>Convention</w:t>
      </w:r>
      <w:r w:rsidR="00706B11">
        <w:rPr>
          <w:rFonts w:eastAsia="Gill Sans" w:cs="Gill Sans"/>
        </w:rPr>
        <w:t xml:space="preserve">, primarily due to the absence of </w:t>
      </w:r>
      <w:r w:rsidR="00D81120">
        <w:rPr>
          <w:rFonts w:eastAsia="Gill Sans" w:cs="Gill Sans"/>
        </w:rPr>
        <w:t>a</w:t>
      </w:r>
      <w:r w:rsidR="001E33D5">
        <w:rPr>
          <w:rFonts w:eastAsia="Gill Sans" w:cs="Gill Sans"/>
        </w:rPr>
        <w:t xml:space="preserve"> national model of </w:t>
      </w:r>
      <w:r w:rsidR="003260BF">
        <w:rPr>
          <w:rFonts w:eastAsia="Gill Sans" w:cs="Gill Sans"/>
        </w:rPr>
        <w:t>healthy ageing for this cohort of the population.</w:t>
      </w:r>
      <w:r w:rsidR="00F85BC9">
        <w:rPr>
          <w:rFonts w:eastAsia="Gill Sans" w:cs="Gill Sans"/>
        </w:rPr>
        <w:t xml:space="preserve"> </w:t>
      </w:r>
    </w:p>
    <w:p w14:paraId="0D4A9844" w14:textId="349D9BB6" w:rsidR="007B7BCB" w:rsidRDefault="002667BD" w:rsidP="002A24F0">
      <w:pPr>
        <w:pStyle w:val="ListParagraph"/>
        <w:numPr>
          <w:ilvl w:val="0"/>
          <w:numId w:val="39"/>
        </w:numPr>
        <w:contextualSpacing w:val="0"/>
        <w:rPr>
          <w:rFonts w:eastAsia="Gill Sans" w:cs="Gill Sans"/>
        </w:rPr>
      </w:pPr>
      <w:r w:rsidRPr="7F45FF05">
        <w:rPr>
          <w:rFonts w:eastAsia="Gill Sans" w:cs="Gill Sans"/>
        </w:rPr>
        <w:t xml:space="preserve">Intellectual disability </w:t>
      </w:r>
      <w:r w:rsidR="008F7292" w:rsidRPr="7F45FF05">
        <w:rPr>
          <w:rFonts w:eastAsia="Gill Sans" w:cs="Gill Sans"/>
        </w:rPr>
        <w:t xml:space="preserve">policy </w:t>
      </w:r>
      <w:r w:rsidR="0020025C">
        <w:rPr>
          <w:rFonts w:eastAsia="Gill Sans" w:cs="Gill Sans"/>
        </w:rPr>
        <w:t>should</w:t>
      </w:r>
      <w:r w:rsidR="009C3FCD" w:rsidRPr="7F45FF05">
        <w:rPr>
          <w:rFonts w:eastAsia="Gill Sans" w:cs="Gill Sans"/>
        </w:rPr>
        <w:t xml:space="preserve"> give full consideration to the </w:t>
      </w:r>
      <w:r w:rsidR="008D2F39" w:rsidRPr="7F45FF05">
        <w:rPr>
          <w:rFonts w:eastAsia="Gill Sans" w:cs="Gill Sans"/>
        </w:rPr>
        <w:t xml:space="preserve">needs </w:t>
      </w:r>
      <w:r w:rsidR="0020025C">
        <w:rPr>
          <w:rFonts w:eastAsia="Gill Sans" w:cs="Gill Sans"/>
        </w:rPr>
        <w:t xml:space="preserve">and desires </w:t>
      </w:r>
      <w:r w:rsidR="008D2F39" w:rsidRPr="7F45FF05">
        <w:rPr>
          <w:rFonts w:eastAsia="Gill Sans" w:cs="Gill Sans"/>
        </w:rPr>
        <w:t xml:space="preserve">of people with intellectual disabilities as they age. </w:t>
      </w:r>
      <w:r w:rsidR="00150167" w:rsidRPr="7F45FF05">
        <w:rPr>
          <w:rFonts w:eastAsia="Gill Sans" w:cs="Gill Sans"/>
        </w:rPr>
        <w:t>This is particularly perti</w:t>
      </w:r>
      <w:r w:rsidR="06B81E12" w:rsidRPr="7F45FF05">
        <w:rPr>
          <w:rFonts w:eastAsia="Gill Sans" w:cs="Gill Sans"/>
        </w:rPr>
        <w:t>n</w:t>
      </w:r>
      <w:r w:rsidR="00150167" w:rsidRPr="7F45FF05">
        <w:rPr>
          <w:rFonts w:eastAsia="Gill Sans" w:cs="Gill Sans"/>
        </w:rPr>
        <w:t xml:space="preserve">ent as </w:t>
      </w:r>
      <w:r w:rsidR="001B65F8" w:rsidRPr="7F45FF05">
        <w:rPr>
          <w:rFonts w:eastAsia="Gill Sans" w:cs="Gill Sans"/>
        </w:rPr>
        <w:t>we are likely to see increasing numbers of people living into old age and this will bring with</w:t>
      </w:r>
      <w:r w:rsidR="000B3080" w:rsidRPr="7F45FF05">
        <w:rPr>
          <w:rFonts w:eastAsia="Gill Sans" w:cs="Gill Sans"/>
        </w:rPr>
        <w:t xml:space="preserve"> it</w:t>
      </w:r>
      <w:r w:rsidR="001B65F8" w:rsidRPr="7F45FF05">
        <w:rPr>
          <w:rFonts w:eastAsia="Gill Sans" w:cs="Gill Sans"/>
        </w:rPr>
        <w:t xml:space="preserve"> </w:t>
      </w:r>
      <w:r w:rsidR="00BE37CD" w:rsidRPr="7F45FF05">
        <w:rPr>
          <w:rFonts w:eastAsia="Gill Sans" w:cs="Gill Sans"/>
        </w:rPr>
        <w:t xml:space="preserve">greater demands </w:t>
      </w:r>
      <w:r w:rsidR="000D349C">
        <w:rPr>
          <w:rFonts w:eastAsia="Gill Sans" w:cs="Gill Sans"/>
        </w:rPr>
        <w:t>on</w:t>
      </w:r>
      <w:r w:rsidR="004E688F" w:rsidRPr="7F45FF05">
        <w:rPr>
          <w:rFonts w:eastAsia="Gill Sans" w:cs="Gill Sans"/>
        </w:rPr>
        <w:t xml:space="preserve"> services that are </w:t>
      </w:r>
      <w:r w:rsidR="00A7052D" w:rsidRPr="7F45FF05">
        <w:rPr>
          <w:rFonts w:eastAsia="Gill Sans" w:cs="Gill Sans"/>
        </w:rPr>
        <w:t>unable to meet current need</w:t>
      </w:r>
      <w:r w:rsidR="00D03FAF" w:rsidRPr="7F45FF05">
        <w:rPr>
          <w:rFonts w:eastAsia="Gill Sans" w:cs="Gill Sans"/>
        </w:rPr>
        <w:t>.</w:t>
      </w:r>
    </w:p>
    <w:p w14:paraId="0716D0E5" w14:textId="685DDFDB" w:rsidR="00E9392F" w:rsidRDefault="005675D0" w:rsidP="002A24F0">
      <w:pPr>
        <w:pStyle w:val="ListParagraph"/>
        <w:numPr>
          <w:ilvl w:val="0"/>
          <w:numId w:val="39"/>
        </w:numPr>
        <w:contextualSpacing w:val="0"/>
        <w:rPr>
          <w:rFonts w:eastAsia="Gill Sans" w:cs="Gill Sans"/>
        </w:rPr>
      </w:pPr>
      <w:r w:rsidRPr="2B0B0D9B">
        <w:rPr>
          <w:rFonts w:eastAsia="Gill Sans" w:cs="Gill Sans"/>
        </w:rPr>
        <w:t>Any new</w:t>
      </w:r>
      <w:r w:rsidR="00151D9D" w:rsidRPr="2B0B0D9B">
        <w:rPr>
          <w:rFonts w:eastAsia="Gill Sans" w:cs="Gill Sans"/>
        </w:rPr>
        <w:t xml:space="preserve"> model of service should be</w:t>
      </w:r>
      <w:r w:rsidRPr="2B0B0D9B">
        <w:rPr>
          <w:rFonts w:eastAsia="Gill Sans" w:cs="Gill Sans"/>
        </w:rPr>
        <w:t xml:space="preserve"> </w:t>
      </w:r>
      <w:r w:rsidR="0003229B" w:rsidRPr="2B0B0D9B">
        <w:rPr>
          <w:rFonts w:eastAsia="Gill Sans" w:cs="Gill Sans"/>
        </w:rPr>
        <w:t xml:space="preserve">enacted consistently across </w:t>
      </w:r>
      <w:r w:rsidR="00A67821" w:rsidRPr="2B0B0D9B">
        <w:rPr>
          <w:rFonts w:eastAsia="Gill Sans" w:cs="Gill Sans"/>
        </w:rPr>
        <w:t xml:space="preserve">the Irish state such that </w:t>
      </w:r>
      <w:r w:rsidR="00DA79EC" w:rsidRPr="2B0B0D9B">
        <w:rPr>
          <w:rFonts w:eastAsia="Gill Sans" w:cs="Gill Sans"/>
        </w:rPr>
        <w:t xml:space="preserve">older people with intellectual disabilities will receive </w:t>
      </w:r>
      <w:r w:rsidR="002B3097" w:rsidRPr="2B0B0D9B">
        <w:rPr>
          <w:rFonts w:eastAsia="Gill Sans" w:cs="Gill Sans"/>
        </w:rPr>
        <w:t xml:space="preserve">quality services </w:t>
      </w:r>
      <w:r w:rsidR="00ED3818" w:rsidRPr="2B0B0D9B">
        <w:rPr>
          <w:rFonts w:eastAsia="Gill Sans" w:cs="Gill Sans"/>
        </w:rPr>
        <w:t xml:space="preserve">irrespective of location or affiliation to specific service agencies. </w:t>
      </w:r>
      <w:r w:rsidR="00E9392F" w:rsidRPr="2B0B0D9B">
        <w:rPr>
          <w:rFonts w:eastAsia="Gill Sans" w:cs="Gill Sans"/>
        </w:rPr>
        <w:t xml:space="preserve">To be effective, the model of service will require investment and </w:t>
      </w:r>
      <w:r w:rsidR="006F0C59" w:rsidRPr="008D6E5E">
        <w:rPr>
          <w:rFonts w:eastAsia="Gill Sans" w:cs="Gill Sans"/>
        </w:rPr>
        <w:t>defined funding lines, separate to those which currently are in place.</w:t>
      </w:r>
      <w:r w:rsidR="009C3E41" w:rsidRPr="7F45FF05">
        <w:rPr>
          <w:rFonts w:eastAsia="Gill Sans" w:cs="Gill Sans"/>
        </w:rPr>
        <w:t xml:space="preserve"> </w:t>
      </w:r>
      <w:r w:rsidR="0082225D">
        <w:rPr>
          <w:rFonts w:eastAsia="Gill Sans" w:cs="Gill Sans"/>
        </w:rPr>
        <w:t>It is</w:t>
      </w:r>
      <w:r w:rsidR="00C04362">
        <w:rPr>
          <w:rFonts w:eastAsia="Gill Sans" w:cs="Gill Sans"/>
        </w:rPr>
        <w:t xml:space="preserve"> recommend</w:t>
      </w:r>
      <w:r w:rsidR="0082225D">
        <w:rPr>
          <w:rFonts w:eastAsia="Gill Sans" w:cs="Gill Sans"/>
        </w:rPr>
        <w:t>ed that</w:t>
      </w:r>
      <w:r w:rsidR="00C04362">
        <w:rPr>
          <w:rFonts w:eastAsia="Gill Sans" w:cs="Gill Sans"/>
        </w:rPr>
        <w:t xml:space="preserve"> </w:t>
      </w:r>
      <w:r w:rsidR="00815F7C">
        <w:rPr>
          <w:rFonts w:eastAsia="Gill Sans" w:cs="Gill Sans"/>
        </w:rPr>
        <w:t xml:space="preserve">the HSE set up a </w:t>
      </w:r>
      <w:r w:rsidR="00667FB6">
        <w:rPr>
          <w:rFonts w:eastAsia="Gill Sans" w:cs="Gill Sans"/>
        </w:rPr>
        <w:t xml:space="preserve">national steering </w:t>
      </w:r>
      <w:r w:rsidR="00815F7C">
        <w:rPr>
          <w:rFonts w:eastAsia="Gill Sans" w:cs="Gill Sans"/>
        </w:rPr>
        <w:t xml:space="preserve">group to </w:t>
      </w:r>
      <w:r w:rsidR="0021764D">
        <w:rPr>
          <w:rFonts w:eastAsia="Gill Sans" w:cs="Gill Sans"/>
        </w:rPr>
        <w:t>oversee</w:t>
      </w:r>
      <w:r w:rsidR="00BB163E">
        <w:rPr>
          <w:rFonts w:eastAsia="Gill Sans" w:cs="Gill Sans"/>
        </w:rPr>
        <w:t xml:space="preserve"> the development of the new model</w:t>
      </w:r>
      <w:r w:rsidR="0082225D">
        <w:rPr>
          <w:rFonts w:eastAsia="Gill Sans" w:cs="Gill Sans"/>
        </w:rPr>
        <w:t xml:space="preserve"> </w:t>
      </w:r>
      <w:r w:rsidR="003306FE">
        <w:rPr>
          <w:rFonts w:eastAsia="Gill Sans" w:cs="Gill Sans"/>
        </w:rPr>
        <w:t>and enactment of this new model of service.</w:t>
      </w:r>
    </w:p>
    <w:p w14:paraId="2E432B62" w14:textId="473381BF" w:rsidR="007B7BCB" w:rsidRDefault="0034356F" w:rsidP="002A24F0">
      <w:pPr>
        <w:pStyle w:val="ListParagraph"/>
        <w:numPr>
          <w:ilvl w:val="0"/>
          <w:numId w:val="39"/>
        </w:numPr>
        <w:contextualSpacing w:val="0"/>
        <w:rPr>
          <w:rFonts w:eastAsia="Gill Sans" w:cs="Gill Sans"/>
          <w:szCs w:val="26"/>
        </w:rPr>
      </w:pPr>
      <w:r>
        <w:rPr>
          <w:rFonts w:eastAsia="Gill Sans" w:cs="Gill Sans"/>
          <w:szCs w:val="26"/>
        </w:rPr>
        <w:t xml:space="preserve">In keeping with the </w:t>
      </w:r>
      <w:r w:rsidR="00031D16">
        <w:rPr>
          <w:rFonts w:eastAsia="Gill Sans" w:cs="Gill Sans"/>
          <w:szCs w:val="26"/>
        </w:rPr>
        <w:t>HSE policy</w:t>
      </w:r>
      <w:r w:rsidR="00AB6901">
        <w:rPr>
          <w:rFonts w:eastAsia="Gill Sans" w:cs="Gill Sans"/>
          <w:szCs w:val="26"/>
        </w:rPr>
        <w:t xml:space="preserve"> of decongregation that </w:t>
      </w:r>
      <w:r w:rsidR="00031D16">
        <w:rPr>
          <w:rFonts w:eastAsia="Gill Sans" w:cs="Gill Sans"/>
          <w:szCs w:val="26"/>
        </w:rPr>
        <w:t>has</w:t>
      </w:r>
      <w:r w:rsidR="00AB6901">
        <w:rPr>
          <w:rFonts w:eastAsia="Gill Sans" w:cs="Gill Sans"/>
          <w:szCs w:val="26"/>
        </w:rPr>
        <w:t xml:space="preserve"> </w:t>
      </w:r>
      <w:r w:rsidR="001055EF">
        <w:rPr>
          <w:rFonts w:eastAsia="Gill Sans" w:cs="Gill Sans"/>
          <w:szCs w:val="26"/>
        </w:rPr>
        <w:t>seen many positive changes in the living situations of people with intellectual disabilities</w:t>
      </w:r>
      <w:r w:rsidR="00031D16">
        <w:rPr>
          <w:rFonts w:eastAsia="Gill Sans" w:cs="Gill Sans"/>
          <w:szCs w:val="26"/>
        </w:rPr>
        <w:t xml:space="preserve">, </w:t>
      </w:r>
      <w:r w:rsidR="00B919BD">
        <w:rPr>
          <w:rFonts w:eastAsia="Gill Sans" w:cs="Gill Sans"/>
          <w:szCs w:val="26"/>
        </w:rPr>
        <w:t>the new service model should</w:t>
      </w:r>
      <w:r w:rsidR="00BA7099">
        <w:rPr>
          <w:rFonts w:eastAsia="Gill Sans" w:cs="Gill Sans"/>
          <w:szCs w:val="26"/>
        </w:rPr>
        <w:t xml:space="preserve"> </w:t>
      </w:r>
      <w:r w:rsidR="008F6916" w:rsidRPr="00BA7099">
        <w:rPr>
          <w:rFonts w:eastAsia="Gill Sans" w:cs="Gill Sans"/>
          <w:szCs w:val="26"/>
        </w:rPr>
        <w:t xml:space="preserve">address the historical </w:t>
      </w:r>
      <w:r w:rsidR="00BA7099">
        <w:rPr>
          <w:rFonts w:eastAsia="Gill Sans" w:cs="Gill Sans"/>
          <w:szCs w:val="26"/>
        </w:rPr>
        <w:t>gap</w:t>
      </w:r>
      <w:r w:rsidR="008F6916" w:rsidRPr="00BA7099">
        <w:rPr>
          <w:rFonts w:eastAsia="Gill Sans" w:cs="Gill Sans"/>
          <w:szCs w:val="26"/>
        </w:rPr>
        <w:t xml:space="preserve"> that </w:t>
      </w:r>
      <w:r w:rsidR="00BA7099" w:rsidRPr="00BA7099">
        <w:rPr>
          <w:rFonts w:eastAsia="Gill Sans" w:cs="Gill Sans"/>
          <w:szCs w:val="26"/>
        </w:rPr>
        <w:t>has developed</w:t>
      </w:r>
      <w:r w:rsidR="008F6916" w:rsidRPr="00BA7099">
        <w:rPr>
          <w:rFonts w:eastAsia="Gill Sans" w:cs="Gill Sans"/>
          <w:szCs w:val="26"/>
        </w:rPr>
        <w:t xml:space="preserve"> between intellectual disability agencies and mainstream health</w:t>
      </w:r>
      <w:r w:rsidR="00BA7099">
        <w:rPr>
          <w:rFonts w:eastAsia="Gill Sans" w:cs="Gill Sans"/>
          <w:szCs w:val="26"/>
        </w:rPr>
        <w:t xml:space="preserve"> </w:t>
      </w:r>
      <w:r w:rsidR="000C64E6">
        <w:rPr>
          <w:rFonts w:eastAsia="Gill Sans" w:cs="Gill Sans"/>
          <w:szCs w:val="26"/>
        </w:rPr>
        <w:t xml:space="preserve">and </w:t>
      </w:r>
      <w:r w:rsidR="008F6916" w:rsidRPr="00BA7099">
        <w:rPr>
          <w:rFonts w:eastAsia="Gill Sans" w:cs="Gill Sans"/>
          <w:szCs w:val="26"/>
        </w:rPr>
        <w:t>social care providers</w:t>
      </w:r>
      <w:r w:rsidR="00BA7099" w:rsidRPr="00BA7099">
        <w:rPr>
          <w:rFonts w:eastAsia="Gill Sans" w:cs="Gill Sans"/>
          <w:szCs w:val="26"/>
        </w:rPr>
        <w:t xml:space="preserve">, </w:t>
      </w:r>
      <w:r w:rsidR="000C64E6">
        <w:rPr>
          <w:rFonts w:eastAsia="Gill Sans" w:cs="Gill Sans"/>
          <w:szCs w:val="26"/>
        </w:rPr>
        <w:t>to ensure</w:t>
      </w:r>
      <w:r w:rsidR="00BA7099" w:rsidRPr="00BA7099">
        <w:rPr>
          <w:rFonts w:eastAsia="Gill Sans" w:cs="Gill Sans"/>
          <w:szCs w:val="26"/>
        </w:rPr>
        <w:t xml:space="preserve"> that m</w:t>
      </w:r>
      <w:r w:rsidR="008F6916" w:rsidRPr="00BA7099">
        <w:rPr>
          <w:rFonts w:eastAsia="Gill Sans" w:cs="Gill Sans"/>
          <w:szCs w:val="26"/>
        </w:rPr>
        <w:t xml:space="preserve">ainstream services </w:t>
      </w:r>
      <w:r w:rsidR="000C64E6">
        <w:rPr>
          <w:rFonts w:eastAsia="Gill Sans" w:cs="Gill Sans"/>
          <w:szCs w:val="26"/>
        </w:rPr>
        <w:t>ar</w:t>
      </w:r>
      <w:r w:rsidR="008F6916" w:rsidRPr="00BA7099">
        <w:rPr>
          <w:rFonts w:eastAsia="Gill Sans" w:cs="Gill Sans"/>
          <w:szCs w:val="26"/>
        </w:rPr>
        <w:t>e accessible to older people with intellectual disabilit</w:t>
      </w:r>
      <w:r w:rsidR="00B032E8">
        <w:rPr>
          <w:rFonts w:eastAsia="Gill Sans" w:cs="Gill Sans"/>
          <w:szCs w:val="26"/>
        </w:rPr>
        <w:t>ies</w:t>
      </w:r>
      <w:r w:rsidR="008F6916" w:rsidRPr="00BA7099">
        <w:rPr>
          <w:rFonts w:eastAsia="Gill Sans" w:cs="Gill Sans"/>
          <w:szCs w:val="26"/>
        </w:rPr>
        <w:t xml:space="preserve"> on an equal basis to others in society.</w:t>
      </w:r>
      <w:r w:rsidR="008F6916">
        <w:rPr>
          <w:rFonts w:eastAsia="Gill Sans" w:cs="Gill Sans"/>
          <w:szCs w:val="26"/>
        </w:rPr>
        <w:t xml:space="preserve"> </w:t>
      </w:r>
    </w:p>
    <w:p w14:paraId="7C0B3861" w14:textId="47550D16" w:rsidR="007B7BCB" w:rsidRPr="004440FF" w:rsidRDefault="0FC5F1F5" w:rsidP="68A51868">
      <w:pPr>
        <w:pStyle w:val="ListParagraph"/>
        <w:numPr>
          <w:ilvl w:val="0"/>
          <w:numId w:val="39"/>
        </w:numPr>
        <w:rPr>
          <w:rFonts w:eastAsia="Gill Sans" w:cs="Gill Sans"/>
        </w:rPr>
      </w:pPr>
      <w:r w:rsidRPr="68A51868">
        <w:rPr>
          <w:rFonts w:eastAsia="Gill Sans" w:cs="Gill Sans"/>
        </w:rPr>
        <w:t>The South Australian model, referred to in text, notes the importance of intersectoral collaboration between mainstream ageing and intellectual disability sectors.</w:t>
      </w:r>
      <w:r w:rsidR="3A3014BE" w:rsidRPr="68A51868">
        <w:rPr>
          <w:rFonts w:eastAsia="Gill Sans" w:cs="Gill Sans"/>
        </w:rPr>
        <w:t xml:space="preserve"> The new model of service for older people with intellectual disabilities should </w:t>
      </w:r>
      <w:r w:rsidR="0E8765B1" w:rsidRPr="68A51868">
        <w:rPr>
          <w:rFonts w:eastAsia="Gill Sans" w:cs="Gill Sans"/>
        </w:rPr>
        <w:t>ensure that there are clear</w:t>
      </w:r>
      <w:r w:rsidR="304865A2" w:rsidRPr="68A51868">
        <w:rPr>
          <w:rFonts w:eastAsia="Gill Sans" w:cs="Gill Sans"/>
        </w:rPr>
        <w:t xml:space="preserve"> pathways of care and support for older people with intellectual disabilities,</w:t>
      </w:r>
      <w:r w:rsidR="2536E7CC" w:rsidRPr="68A51868">
        <w:rPr>
          <w:rFonts w:eastAsia="Gill Sans" w:cs="Gill Sans"/>
        </w:rPr>
        <w:t xml:space="preserve"> </w:t>
      </w:r>
      <w:r w:rsidR="0E8765B1" w:rsidRPr="68A51868">
        <w:rPr>
          <w:rFonts w:eastAsia="Gill Sans" w:cs="Gill Sans"/>
        </w:rPr>
        <w:t>with</w:t>
      </w:r>
      <w:r w:rsidR="2536E7CC" w:rsidRPr="68A51868">
        <w:rPr>
          <w:rFonts w:eastAsia="Gill Sans" w:cs="Gill Sans"/>
        </w:rPr>
        <w:t xml:space="preserve"> integration and networking </w:t>
      </w:r>
      <w:r w:rsidR="0E8765B1" w:rsidRPr="68A51868">
        <w:rPr>
          <w:rFonts w:eastAsia="Gill Sans" w:cs="Gill Sans"/>
        </w:rPr>
        <w:t>acro</w:t>
      </w:r>
      <w:r w:rsidR="0AE7BD92" w:rsidRPr="68A51868">
        <w:rPr>
          <w:rFonts w:eastAsia="Gill Sans" w:cs="Gill Sans"/>
        </w:rPr>
        <w:t>ss</w:t>
      </w:r>
      <w:r w:rsidR="2536E7CC" w:rsidRPr="68A51868">
        <w:rPr>
          <w:rFonts w:eastAsia="Gill Sans" w:cs="Gill Sans"/>
        </w:rPr>
        <w:t xml:space="preserve"> </w:t>
      </w:r>
      <w:r w:rsidR="586A2AA1" w:rsidRPr="68A51868">
        <w:rPr>
          <w:rFonts w:eastAsia="Gill Sans" w:cs="Gill Sans"/>
        </w:rPr>
        <w:t>all relevant sectors.</w:t>
      </w:r>
    </w:p>
    <w:p w14:paraId="59DEAD38" w14:textId="6E31374A" w:rsidR="004440FF" w:rsidRPr="007B7BCB" w:rsidRDefault="004440FF" w:rsidP="002A24F0">
      <w:pPr>
        <w:pStyle w:val="ListParagraph"/>
        <w:numPr>
          <w:ilvl w:val="0"/>
          <w:numId w:val="39"/>
        </w:numPr>
        <w:contextualSpacing w:val="0"/>
        <w:rPr>
          <w:rFonts w:eastAsia="Gill Sans" w:cs="Gill Sans"/>
          <w:szCs w:val="26"/>
        </w:rPr>
      </w:pPr>
      <w:r>
        <w:rPr>
          <w:rFonts w:eastAsia="Gill Sans" w:cs="Gill Sans"/>
        </w:rPr>
        <w:t>If a new national model of service for healthy ageing is to be developed, it is imperative that there be a rethinking and restructuring of the current funding model</w:t>
      </w:r>
      <w:r w:rsidR="00885BD3">
        <w:rPr>
          <w:rFonts w:eastAsia="Gill Sans" w:cs="Gill Sans"/>
        </w:rPr>
        <w:t>.</w:t>
      </w:r>
    </w:p>
    <w:p w14:paraId="088A6C68" w14:textId="6187847C" w:rsidR="00812844" w:rsidRPr="007B7BCB" w:rsidRDefault="00A15280" w:rsidP="00812844">
      <w:pPr>
        <w:pStyle w:val="Heading3"/>
        <w:rPr>
          <w:rFonts w:eastAsia="Gill Sans"/>
          <w:color w:val="auto"/>
        </w:rPr>
      </w:pPr>
      <w:r w:rsidRPr="007B7BCB">
        <w:rPr>
          <w:rFonts w:eastAsia="Gill Sans"/>
          <w:color w:val="auto"/>
        </w:rPr>
        <w:t xml:space="preserve">Reconfigure intellectual disability services </w:t>
      </w:r>
      <w:r w:rsidR="00A05266" w:rsidRPr="007B7BCB">
        <w:rPr>
          <w:rFonts w:eastAsia="Gill Sans"/>
          <w:color w:val="auto"/>
        </w:rPr>
        <w:t>to meet age-related needs</w:t>
      </w:r>
    </w:p>
    <w:p w14:paraId="07AD002C" w14:textId="24E3CCC7" w:rsidR="006A5943" w:rsidRPr="006A5943" w:rsidRDefault="125E2F17" w:rsidP="68A51868">
      <w:pPr>
        <w:rPr>
          <w:rFonts w:eastAsia="Gill Sans" w:cs="Gill Sans"/>
        </w:rPr>
      </w:pPr>
      <w:r w:rsidRPr="68A51868">
        <w:rPr>
          <w:rFonts w:eastAsia="Gill Sans" w:cs="Gill Sans"/>
        </w:rPr>
        <w:t>The development of s</w:t>
      </w:r>
      <w:r w:rsidR="3D3D77E6" w:rsidRPr="68A51868">
        <w:rPr>
          <w:rFonts w:eastAsia="Gill Sans" w:cs="Gill Sans"/>
        </w:rPr>
        <w:t>ervices</w:t>
      </w:r>
      <w:r w:rsidR="49E9F038" w:rsidRPr="68A51868">
        <w:rPr>
          <w:rFonts w:eastAsia="Gill Sans" w:cs="Gill Sans"/>
        </w:rPr>
        <w:t xml:space="preserve"> for people with intellectual disabilities </w:t>
      </w:r>
      <w:r w:rsidR="62A7AFC5" w:rsidRPr="68A51868">
        <w:rPr>
          <w:rFonts w:eastAsia="Gill Sans" w:cs="Gill Sans"/>
        </w:rPr>
        <w:t>in Ireland</w:t>
      </w:r>
      <w:r w:rsidR="2EAC9B59" w:rsidRPr="68A51868">
        <w:rPr>
          <w:rFonts w:eastAsia="Gill Sans" w:cs="Gill Sans"/>
        </w:rPr>
        <w:t xml:space="preserve"> </w:t>
      </w:r>
      <w:r w:rsidR="11761832" w:rsidRPr="68A51868">
        <w:rPr>
          <w:rFonts w:eastAsia="Gill Sans" w:cs="Gill Sans"/>
        </w:rPr>
        <w:t>h</w:t>
      </w:r>
      <w:r w:rsidRPr="68A51868">
        <w:rPr>
          <w:rFonts w:eastAsia="Gill Sans" w:cs="Gill Sans"/>
        </w:rPr>
        <w:t xml:space="preserve">as </w:t>
      </w:r>
      <w:r w:rsidR="11761832" w:rsidRPr="68A51868">
        <w:rPr>
          <w:rFonts w:eastAsia="Gill Sans" w:cs="Gill Sans"/>
        </w:rPr>
        <w:t xml:space="preserve">been somewhat fragmented, with the </w:t>
      </w:r>
      <w:r w:rsidR="22783CBA" w:rsidRPr="68A51868">
        <w:rPr>
          <w:rFonts w:eastAsia="Gill Sans" w:cs="Gill Sans"/>
        </w:rPr>
        <w:t>State only becoming directly involved in service provision at a late stage. Th</w:t>
      </w:r>
      <w:r w:rsidR="4E37D7F8" w:rsidRPr="68A51868">
        <w:rPr>
          <w:rFonts w:eastAsia="Gill Sans" w:cs="Gill Sans"/>
        </w:rPr>
        <w:t xml:space="preserve">us, </w:t>
      </w:r>
      <w:r w:rsidR="627A0DEB" w:rsidRPr="68A51868">
        <w:rPr>
          <w:rFonts w:eastAsia="Gill Sans" w:cs="Gill Sans"/>
        </w:rPr>
        <w:t xml:space="preserve">voluntary and other </w:t>
      </w:r>
      <w:r w:rsidR="4E37D7F8" w:rsidRPr="68A51868">
        <w:rPr>
          <w:rFonts w:eastAsia="Gill Sans" w:cs="Gill Sans"/>
        </w:rPr>
        <w:t xml:space="preserve">services </w:t>
      </w:r>
      <w:r w:rsidR="7144300D" w:rsidRPr="68A51868">
        <w:rPr>
          <w:rFonts w:eastAsia="Gill Sans" w:cs="Gill Sans"/>
        </w:rPr>
        <w:t xml:space="preserve">progressed along </w:t>
      </w:r>
      <w:r w:rsidR="1A2CDE85" w:rsidRPr="68A51868">
        <w:rPr>
          <w:rFonts w:eastAsia="Gill Sans" w:cs="Gill Sans"/>
        </w:rPr>
        <w:t xml:space="preserve">a </w:t>
      </w:r>
      <w:r w:rsidR="74012345" w:rsidRPr="68A51868">
        <w:rPr>
          <w:rFonts w:eastAsia="Gill Sans" w:cs="Gill Sans"/>
        </w:rPr>
        <w:t xml:space="preserve">generic </w:t>
      </w:r>
      <w:r w:rsidR="24137D8C" w:rsidRPr="68A51868">
        <w:rPr>
          <w:rFonts w:eastAsia="Gill Sans" w:cs="Gill Sans"/>
        </w:rPr>
        <w:t xml:space="preserve">structure which </w:t>
      </w:r>
      <w:r w:rsidR="054A94FC" w:rsidRPr="68A51868">
        <w:rPr>
          <w:rFonts w:eastAsia="Gill Sans" w:cs="Gill Sans"/>
        </w:rPr>
        <w:t xml:space="preserve">had </w:t>
      </w:r>
      <w:r w:rsidR="74012345" w:rsidRPr="68A51868">
        <w:rPr>
          <w:rFonts w:eastAsia="Gill Sans" w:cs="Gill Sans"/>
        </w:rPr>
        <w:t xml:space="preserve">residential, </w:t>
      </w:r>
      <w:r w:rsidR="1189C16F" w:rsidRPr="68A51868">
        <w:rPr>
          <w:rFonts w:eastAsia="Gill Sans" w:cs="Gill Sans"/>
        </w:rPr>
        <w:t>day service and some other activational components</w:t>
      </w:r>
      <w:r w:rsidR="4A41097E" w:rsidRPr="68A51868">
        <w:rPr>
          <w:rFonts w:eastAsia="Gill Sans" w:cs="Gill Sans"/>
        </w:rPr>
        <w:t>;</w:t>
      </w:r>
      <w:r w:rsidR="1189C16F" w:rsidRPr="68A51868">
        <w:rPr>
          <w:rFonts w:eastAsia="Gill Sans" w:cs="Gill Sans"/>
        </w:rPr>
        <w:t xml:space="preserve"> </w:t>
      </w:r>
      <w:r w:rsidR="74D06A4D" w:rsidRPr="68A51868">
        <w:rPr>
          <w:rFonts w:eastAsia="Gill Sans" w:cs="Gill Sans"/>
        </w:rPr>
        <w:t>HS</w:t>
      </w:r>
      <w:r w:rsidR="4A41097E" w:rsidRPr="68A51868">
        <w:rPr>
          <w:rFonts w:eastAsia="Gill Sans" w:cs="Gill Sans"/>
        </w:rPr>
        <w:t>E</w:t>
      </w:r>
      <w:r w:rsidR="7AE0CFC8" w:rsidRPr="68A51868">
        <w:rPr>
          <w:rFonts w:eastAsia="Gill Sans" w:cs="Gill Sans"/>
        </w:rPr>
        <w:t>-</w:t>
      </w:r>
      <w:r w:rsidR="4A41097E" w:rsidRPr="68A51868">
        <w:rPr>
          <w:rFonts w:eastAsia="Gill Sans" w:cs="Gill Sans"/>
        </w:rPr>
        <w:t xml:space="preserve">led intellectual disability </w:t>
      </w:r>
      <w:r w:rsidR="74D06A4D" w:rsidRPr="68A51868">
        <w:rPr>
          <w:rFonts w:eastAsia="Gill Sans" w:cs="Gill Sans"/>
        </w:rPr>
        <w:t>services</w:t>
      </w:r>
      <w:r w:rsidR="4A41097E" w:rsidRPr="68A51868">
        <w:rPr>
          <w:rFonts w:eastAsia="Gill Sans" w:cs="Gill Sans"/>
        </w:rPr>
        <w:t xml:space="preserve"> adopted this structure too.</w:t>
      </w:r>
      <w:r w:rsidR="74D06A4D" w:rsidRPr="68A51868">
        <w:rPr>
          <w:rFonts w:eastAsia="Gill Sans" w:cs="Gill Sans"/>
        </w:rPr>
        <w:t xml:space="preserve"> </w:t>
      </w:r>
      <w:r w:rsidR="70FBD69B" w:rsidRPr="68A51868">
        <w:rPr>
          <w:rFonts w:eastAsia="Gill Sans" w:cs="Gill Sans"/>
        </w:rPr>
        <w:t xml:space="preserve">The funding model that </w:t>
      </w:r>
      <w:r w:rsidR="102A8673" w:rsidRPr="68A51868">
        <w:rPr>
          <w:rFonts w:eastAsia="Gill Sans" w:cs="Gill Sans"/>
        </w:rPr>
        <w:t>underpinned these services reflected the</w:t>
      </w:r>
      <w:r w:rsidR="072AB933" w:rsidRPr="68A51868">
        <w:rPr>
          <w:rFonts w:eastAsia="Gill Sans" w:cs="Gill Sans"/>
        </w:rPr>
        <w:t>ir</w:t>
      </w:r>
      <w:r w:rsidR="102A8673" w:rsidRPr="68A51868">
        <w:rPr>
          <w:rFonts w:eastAsia="Gill Sans" w:cs="Gill Sans"/>
        </w:rPr>
        <w:t xml:space="preserve"> </w:t>
      </w:r>
      <w:r w:rsidR="072AB933" w:rsidRPr="68A51868">
        <w:rPr>
          <w:rFonts w:eastAsia="Gill Sans" w:cs="Gill Sans"/>
        </w:rPr>
        <w:t>congregated nature</w:t>
      </w:r>
      <w:r w:rsidR="4A41097E" w:rsidRPr="68A51868">
        <w:rPr>
          <w:rFonts w:eastAsia="Gill Sans" w:cs="Gill Sans"/>
        </w:rPr>
        <w:t xml:space="preserve"> and </w:t>
      </w:r>
      <w:r w:rsidR="590EDD87" w:rsidRPr="68A51868">
        <w:rPr>
          <w:rFonts w:eastAsia="Gill Sans" w:cs="Gill Sans"/>
        </w:rPr>
        <w:t xml:space="preserve">the fact that </w:t>
      </w:r>
      <w:r w:rsidR="328A47AB" w:rsidRPr="68A51868">
        <w:rPr>
          <w:rFonts w:eastAsia="Gill Sans" w:cs="Gill Sans"/>
        </w:rPr>
        <w:t xml:space="preserve">most </w:t>
      </w:r>
      <w:r w:rsidR="590EDD87" w:rsidRPr="68A51868">
        <w:rPr>
          <w:rFonts w:eastAsia="Gill Sans" w:cs="Gill Sans"/>
        </w:rPr>
        <w:t>people</w:t>
      </w:r>
      <w:r w:rsidR="328A47AB" w:rsidRPr="68A51868">
        <w:rPr>
          <w:rFonts w:eastAsia="Gill Sans" w:cs="Gill Sans"/>
        </w:rPr>
        <w:t xml:space="preserve"> with i</w:t>
      </w:r>
      <w:r w:rsidR="74D06A4D" w:rsidRPr="68A51868">
        <w:rPr>
          <w:rFonts w:eastAsia="Gill Sans" w:cs="Gill Sans"/>
        </w:rPr>
        <w:t>ntellectual disabilit</w:t>
      </w:r>
      <w:r w:rsidR="328A47AB" w:rsidRPr="68A51868">
        <w:rPr>
          <w:rFonts w:eastAsia="Gill Sans" w:cs="Gill Sans"/>
        </w:rPr>
        <w:t xml:space="preserve">ies were not expected to live into older age. </w:t>
      </w:r>
      <w:r w:rsidR="4B65B6C3" w:rsidRPr="68A51868">
        <w:rPr>
          <w:rFonts w:eastAsia="Gill Sans" w:cs="Gill Sans"/>
        </w:rPr>
        <w:t xml:space="preserve">Whilst </w:t>
      </w:r>
      <w:r w:rsidR="38F85903" w:rsidRPr="68A51868">
        <w:rPr>
          <w:rFonts w:eastAsia="Gill Sans" w:cs="Gill Sans"/>
        </w:rPr>
        <w:t>s</w:t>
      </w:r>
      <w:r w:rsidR="328A47AB" w:rsidRPr="68A51868">
        <w:rPr>
          <w:rFonts w:eastAsia="Gill Sans" w:cs="Gill Sans"/>
        </w:rPr>
        <w:t xml:space="preserve">ervices have </w:t>
      </w:r>
      <w:r w:rsidR="4B65B6C3" w:rsidRPr="68A51868">
        <w:rPr>
          <w:rFonts w:eastAsia="Gill Sans" w:cs="Gill Sans"/>
        </w:rPr>
        <w:t xml:space="preserve">responded to </w:t>
      </w:r>
      <w:r w:rsidR="38F85903" w:rsidRPr="68A51868">
        <w:rPr>
          <w:rFonts w:eastAsia="Gill Sans" w:cs="Gill Sans"/>
        </w:rPr>
        <w:t xml:space="preserve">the </w:t>
      </w:r>
      <w:r w:rsidR="6F57A638" w:rsidRPr="68A51868">
        <w:rPr>
          <w:rFonts w:eastAsia="Gill Sans" w:cs="Gill Sans"/>
        </w:rPr>
        <w:t xml:space="preserve">fact that </w:t>
      </w:r>
      <w:r w:rsidR="4918209E" w:rsidRPr="68A51868">
        <w:rPr>
          <w:rFonts w:eastAsia="Gill Sans" w:cs="Gill Sans"/>
        </w:rPr>
        <w:t>people are living longer lives</w:t>
      </w:r>
      <w:r w:rsidR="1515B7A9" w:rsidRPr="68A51868">
        <w:rPr>
          <w:rFonts w:eastAsia="Gill Sans" w:cs="Gill Sans"/>
        </w:rPr>
        <w:t xml:space="preserve"> and have been innovative in </w:t>
      </w:r>
      <w:r w:rsidR="443B6A2A" w:rsidRPr="68A51868">
        <w:rPr>
          <w:rFonts w:eastAsia="Gill Sans" w:cs="Gill Sans"/>
        </w:rPr>
        <w:t xml:space="preserve">trying to respond to </w:t>
      </w:r>
      <w:r w:rsidR="17629009" w:rsidRPr="68A51868">
        <w:rPr>
          <w:rFonts w:eastAsia="Gill Sans" w:cs="Gill Sans"/>
        </w:rPr>
        <w:t xml:space="preserve">the needs and desires of </w:t>
      </w:r>
      <w:r w:rsidR="07832C78" w:rsidRPr="68A51868">
        <w:rPr>
          <w:rFonts w:eastAsia="Gill Sans" w:cs="Gill Sans"/>
        </w:rPr>
        <w:t xml:space="preserve">older people with intellectual disabilities, </w:t>
      </w:r>
      <w:r w:rsidR="28937E87" w:rsidRPr="68A51868">
        <w:rPr>
          <w:rFonts w:eastAsia="Gill Sans" w:cs="Gill Sans"/>
        </w:rPr>
        <w:t xml:space="preserve">they have </w:t>
      </w:r>
      <w:r w:rsidR="42BB1734" w:rsidRPr="68A51868">
        <w:rPr>
          <w:rFonts w:eastAsia="Gill Sans" w:cs="Gill Sans"/>
        </w:rPr>
        <w:t xml:space="preserve">often </w:t>
      </w:r>
      <w:r w:rsidR="2DC51083" w:rsidRPr="68A51868">
        <w:rPr>
          <w:rFonts w:eastAsia="Gill Sans" w:cs="Gill Sans"/>
        </w:rPr>
        <w:t xml:space="preserve">been stymied by </w:t>
      </w:r>
      <w:r w:rsidR="4C241BCE" w:rsidRPr="68A51868">
        <w:rPr>
          <w:rFonts w:eastAsia="Gill Sans" w:cs="Gill Sans"/>
        </w:rPr>
        <w:t xml:space="preserve">the unavailability of </w:t>
      </w:r>
      <w:r w:rsidR="42BB1734" w:rsidRPr="68A51868">
        <w:rPr>
          <w:rFonts w:eastAsia="Gill Sans" w:cs="Gill Sans"/>
        </w:rPr>
        <w:t>resources.</w:t>
      </w:r>
      <w:r w:rsidR="2BBA21E1" w:rsidRPr="68A51868">
        <w:rPr>
          <w:rFonts w:eastAsia="Gill Sans" w:cs="Gill Sans"/>
        </w:rPr>
        <w:t xml:space="preserve"> </w:t>
      </w:r>
    </w:p>
    <w:p w14:paraId="5E4EEF2C" w14:textId="19C72396" w:rsidR="006F0C59" w:rsidRPr="00A05266" w:rsidRDefault="00773C73" w:rsidP="002A24F0">
      <w:pPr>
        <w:pStyle w:val="ListParagraph"/>
        <w:numPr>
          <w:ilvl w:val="0"/>
          <w:numId w:val="38"/>
        </w:numPr>
        <w:contextualSpacing w:val="0"/>
        <w:rPr>
          <w:rFonts w:eastAsia="Gill Sans" w:cs="Gill Sans"/>
          <w:iCs/>
          <w:szCs w:val="26"/>
        </w:rPr>
      </w:pPr>
      <w:r>
        <w:rPr>
          <w:rFonts w:eastAsia="Gill Sans" w:cs="Gill Sans"/>
          <w:iCs/>
          <w:szCs w:val="26"/>
        </w:rPr>
        <w:t>Given</w:t>
      </w:r>
      <w:r w:rsidR="003709AE">
        <w:rPr>
          <w:rFonts w:eastAsia="Gill Sans" w:cs="Gill Sans"/>
          <w:iCs/>
          <w:szCs w:val="26"/>
        </w:rPr>
        <w:t xml:space="preserve"> that </w:t>
      </w:r>
      <w:r w:rsidR="009E061E">
        <w:rPr>
          <w:rFonts w:eastAsia="Gill Sans" w:cs="Gill Sans"/>
          <w:iCs/>
          <w:szCs w:val="26"/>
        </w:rPr>
        <w:t xml:space="preserve">some </w:t>
      </w:r>
      <w:r w:rsidR="005458A1">
        <w:rPr>
          <w:rFonts w:eastAsia="Gill Sans" w:cs="Gill Sans"/>
          <w:iCs/>
          <w:szCs w:val="26"/>
        </w:rPr>
        <w:t xml:space="preserve">service </w:t>
      </w:r>
      <w:r w:rsidR="00FF76C5">
        <w:rPr>
          <w:rFonts w:eastAsia="Gill Sans" w:cs="Gill Sans"/>
          <w:iCs/>
          <w:szCs w:val="26"/>
        </w:rPr>
        <w:t>approaches</w:t>
      </w:r>
      <w:r w:rsidR="009E061E">
        <w:rPr>
          <w:rFonts w:eastAsia="Gill Sans" w:cs="Gill Sans"/>
          <w:iCs/>
          <w:szCs w:val="26"/>
        </w:rPr>
        <w:t xml:space="preserve"> to meeting older persons’ needs</w:t>
      </w:r>
      <w:r>
        <w:rPr>
          <w:rFonts w:eastAsia="Gill Sans" w:cs="Gill Sans"/>
          <w:iCs/>
          <w:szCs w:val="26"/>
        </w:rPr>
        <w:t xml:space="preserve"> have </w:t>
      </w:r>
      <w:r w:rsidR="009547CD">
        <w:rPr>
          <w:rFonts w:eastAsia="Gill Sans" w:cs="Gill Sans"/>
          <w:iCs/>
          <w:szCs w:val="26"/>
        </w:rPr>
        <w:t xml:space="preserve">evolved </w:t>
      </w:r>
      <w:r w:rsidR="007A7565">
        <w:rPr>
          <w:rFonts w:eastAsia="Gill Sans" w:cs="Gill Sans"/>
          <w:iCs/>
          <w:szCs w:val="26"/>
        </w:rPr>
        <w:t xml:space="preserve">in a piece-meal manner, with </w:t>
      </w:r>
      <w:r w:rsidR="0017290F">
        <w:rPr>
          <w:rFonts w:eastAsia="Gill Sans" w:cs="Gill Sans"/>
          <w:iCs/>
          <w:szCs w:val="26"/>
        </w:rPr>
        <w:t xml:space="preserve">no clearly planned approach, </w:t>
      </w:r>
      <w:r w:rsidR="00A90095">
        <w:rPr>
          <w:rFonts w:eastAsia="Gill Sans" w:cs="Gill Sans"/>
          <w:iCs/>
          <w:szCs w:val="26"/>
        </w:rPr>
        <w:t>efforts are needed to</w:t>
      </w:r>
      <w:r w:rsidR="009E061E">
        <w:rPr>
          <w:rFonts w:eastAsia="Gill Sans" w:cs="Gill Sans"/>
          <w:iCs/>
          <w:szCs w:val="26"/>
        </w:rPr>
        <w:t xml:space="preserve"> </w:t>
      </w:r>
      <w:r w:rsidR="00F75A27">
        <w:rPr>
          <w:rFonts w:eastAsia="Gill Sans" w:cs="Gill Sans"/>
          <w:iCs/>
          <w:szCs w:val="26"/>
        </w:rPr>
        <w:t xml:space="preserve">identify and enact </w:t>
      </w:r>
      <w:r w:rsidR="003F113C">
        <w:rPr>
          <w:rFonts w:eastAsia="Gill Sans" w:cs="Gill Sans"/>
          <w:iCs/>
          <w:szCs w:val="26"/>
        </w:rPr>
        <w:t xml:space="preserve">evidence-based </w:t>
      </w:r>
      <w:r w:rsidR="004B276B">
        <w:rPr>
          <w:rFonts w:eastAsia="Gill Sans" w:cs="Gill Sans"/>
          <w:iCs/>
          <w:szCs w:val="26"/>
        </w:rPr>
        <w:t xml:space="preserve">responses that </w:t>
      </w:r>
      <w:r w:rsidR="00E96A84">
        <w:rPr>
          <w:rFonts w:eastAsia="Gill Sans" w:cs="Gill Sans"/>
          <w:iCs/>
          <w:szCs w:val="26"/>
        </w:rPr>
        <w:t>can optimise positive outcomes.</w:t>
      </w:r>
    </w:p>
    <w:p w14:paraId="7EFE12A2" w14:textId="77777777" w:rsidR="000663AA" w:rsidRDefault="008A3C79" w:rsidP="000663AA">
      <w:pPr>
        <w:pStyle w:val="ListParagraph"/>
        <w:numPr>
          <w:ilvl w:val="0"/>
          <w:numId w:val="38"/>
        </w:numPr>
        <w:contextualSpacing w:val="0"/>
        <w:rPr>
          <w:rFonts w:cs="Calibri"/>
          <w:iCs/>
          <w:szCs w:val="26"/>
          <w:lang w:eastAsia="en-IE"/>
        </w:rPr>
      </w:pPr>
      <w:r>
        <w:rPr>
          <w:rFonts w:cs="Calibri"/>
          <w:iCs/>
          <w:szCs w:val="26"/>
          <w:lang w:eastAsia="en-IE"/>
        </w:rPr>
        <w:t xml:space="preserve">Specialist </w:t>
      </w:r>
      <w:r w:rsidR="00914C43">
        <w:rPr>
          <w:rFonts w:cs="Calibri"/>
          <w:iCs/>
          <w:szCs w:val="26"/>
          <w:lang w:eastAsia="en-IE"/>
        </w:rPr>
        <w:t xml:space="preserve">ageing </w:t>
      </w:r>
      <w:r w:rsidR="002C25BF">
        <w:rPr>
          <w:rFonts w:cs="Calibri"/>
          <w:iCs/>
          <w:szCs w:val="26"/>
          <w:lang w:eastAsia="en-IE"/>
        </w:rPr>
        <w:t>service</w:t>
      </w:r>
      <w:r w:rsidR="00914C43">
        <w:rPr>
          <w:rFonts w:cs="Calibri"/>
          <w:iCs/>
          <w:szCs w:val="26"/>
          <w:lang w:eastAsia="en-IE"/>
        </w:rPr>
        <w:t xml:space="preserve"> pathways </w:t>
      </w:r>
      <w:r w:rsidR="00087138">
        <w:rPr>
          <w:rFonts w:cs="Calibri"/>
          <w:iCs/>
          <w:szCs w:val="26"/>
          <w:lang w:eastAsia="en-IE"/>
        </w:rPr>
        <w:t xml:space="preserve">will need to be developed to support </w:t>
      </w:r>
      <w:r w:rsidR="005D05BD">
        <w:rPr>
          <w:rFonts w:cs="Calibri"/>
          <w:iCs/>
          <w:szCs w:val="26"/>
          <w:lang w:eastAsia="en-IE"/>
        </w:rPr>
        <w:t>the needs of older people whose complex needs cannot be met in</w:t>
      </w:r>
      <w:r w:rsidR="003E5C51">
        <w:rPr>
          <w:rFonts w:cs="Calibri"/>
          <w:iCs/>
          <w:szCs w:val="26"/>
          <w:lang w:eastAsia="en-IE"/>
        </w:rPr>
        <w:t xml:space="preserve"> their own home.</w:t>
      </w:r>
      <w:r w:rsidR="00EE75C6">
        <w:rPr>
          <w:rFonts w:cs="Calibri"/>
          <w:iCs/>
          <w:szCs w:val="26"/>
          <w:lang w:eastAsia="en-IE"/>
        </w:rPr>
        <w:t xml:space="preserve"> </w:t>
      </w:r>
      <w:r w:rsidR="000E173F">
        <w:rPr>
          <w:rFonts w:cs="Calibri"/>
          <w:iCs/>
          <w:szCs w:val="26"/>
          <w:lang w:eastAsia="en-IE"/>
        </w:rPr>
        <w:t xml:space="preserve">Pathways should </w:t>
      </w:r>
      <w:r w:rsidR="005774EF">
        <w:rPr>
          <w:rFonts w:cs="Calibri"/>
          <w:iCs/>
          <w:szCs w:val="26"/>
          <w:lang w:eastAsia="en-IE"/>
        </w:rPr>
        <w:t xml:space="preserve">be prospective to ensure that there is advanced planning. </w:t>
      </w:r>
      <w:r w:rsidR="00EE75C6">
        <w:rPr>
          <w:rFonts w:cs="Calibri"/>
          <w:iCs/>
          <w:szCs w:val="26"/>
          <w:lang w:eastAsia="en-IE"/>
        </w:rPr>
        <w:t xml:space="preserve">Examples of </w:t>
      </w:r>
      <w:r w:rsidR="00391A68">
        <w:rPr>
          <w:rFonts w:cs="Calibri"/>
          <w:iCs/>
          <w:szCs w:val="26"/>
          <w:lang w:eastAsia="en-IE"/>
        </w:rPr>
        <w:t>successful</w:t>
      </w:r>
      <w:r w:rsidR="00302EDC">
        <w:rPr>
          <w:rFonts w:cs="Calibri"/>
          <w:iCs/>
          <w:szCs w:val="26"/>
          <w:lang w:eastAsia="en-IE"/>
        </w:rPr>
        <w:t xml:space="preserve"> </w:t>
      </w:r>
      <w:r w:rsidR="00A77D50">
        <w:rPr>
          <w:rFonts w:cs="Calibri"/>
          <w:iCs/>
          <w:szCs w:val="26"/>
          <w:lang w:eastAsia="en-IE"/>
        </w:rPr>
        <w:t xml:space="preserve">pathways </w:t>
      </w:r>
      <w:r w:rsidR="001C1226">
        <w:rPr>
          <w:rFonts w:cs="Calibri"/>
          <w:iCs/>
          <w:szCs w:val="26"/>
          <w:lang w:eastAsia="en-IE"/>
        </w:rPr>
        <w:t>have been introduced</w:t>
      </w:r>
      <w:r w:rsidR="00391A68">
        <w:rPr>
          <w:rFonts w:cs="Calibri"/>
          <w:iCs/>
          <w:szCs w:val="26"/>
          <w:lang w:eastAsia="en-IE"/>
        </w:rPr>
        <w:t xml:space="preserve"> </w:t>
      </w:r>
      <w:r w:rsidR="001C1226">
        <w:rPr>
          <w:rFonts w:cs="Calibri"/>
          <w:iCs/>
          <w:szCs w:val="26"/>
          <w:lang w:eastAsia="en-IE"/>
        </w:rPr>
        <w:t xml:space="preserve">in some intellectual disability services </w:t>
      </w:r>
      <w:r w:rsidR="00EE5528">
        <w:rPr>
          <w:rFonts w:cs="Calibri"/>
          <w:iCs/>
          <w:szCs w:val="26"/>
          <w:lang w:eastAsia="en-IE"/>
        </w:rPr>
        <w:t>for</w:t>
      </w:r>
      <w:r w:rsidR="001C1226">
        <w:rPr>
          <w:rFonts w:cs="Calibri"/>
          <w:iCs/>
          <w:szCs w:val="26"/>
          <w:lang w:eastAsia="en-IE"/>
        </w:rPr>
        <w:t xml:space="preserve"> </w:t>
      </w:r>
      <w:r w:rsidR="00EE5528">
        <w:rPr>
          <w:rFonts w:cs="Calibri"/>
          <w:iCs/>
          <w:szCs w:val="26"/>
          <w:lang w:eastAsia="en-IE"/>
        </w:rPr>
        <w:t>people who</w:t>
      </w:r>
      <w:r w:rsidR="00391A68">
        <w:rPr>
          <w:rFonts w:cs="Calibri"/>
          <w:iCs/>
          <w:szCs w:val="26"/>
          <w:lang w:eastAsia="en-IE"/>
        </w:rPr>
        <w:t>, for example,</w:t>
      </w:r>
      <w:r w:rsidR="00EE5528">
        <w:rPr>
          <w:rFonts w:cs="Calibri"/>
          <w:iCs/>
          <w:szCs w:val="26"/>
          <w:lang w:eastAsia="en-IE"/>
        </w:rPr>
        <w:t xml:space="preserve"> need </w:t>
      </w:r>
      <w:r w:rsidR="00D346BB">
        <w:rPr>
          <w:rFonts w:cs="Calibri"/>
          <w:iCs/>
          <w:szCs w:val="26"/>
          <w:lang w:eastAsia="en-IE"/>
        </w:rPr>
        <w:t xml:space="preserve">palliative </w:t>
      </w:r>
      <w:r w:rsidR="00EE5528">
        <w:rPr>
          <w:rFonts w:cs="Calibri"/>
          <w:iCs/>
          <w:szCs w:val="26"/>
          <w:lang w:eastAsia="en-IE"/>
        </w:rPr>
        <w:t>support.</w:t>
      </w:r>
    </w:p>
    <w:p w14:paraId="1D55B0FC" w14:textId="741DD7CB" w:rsidR="00485E2D" w:rsidRPr="000663AA" w:rsidRDefault="586A2AA1" w:rsidP="000663AA">
      <w:pPr>
        <w:pStyle w:val="ListParagraph"/>
        <w:numPr>
          <w:ilvl w:val="0"/>
          <w:numId w:val="38"/>
        </w:numPr>
        <w:contextualSpacing w:val="0"/>
        <w:rPr>
          <w:rFonts w:cs="Calibri"/>
          <w:iCs/>
          <w:szCs w:val="26"/>
          <w:lang w:eastAsia="en-IE"/>
        </w:rPr>
      </w:pPr>
      <w:r>
        <w:t>Resources will need to be invested in supporting retirement opportunities, meeting more speciali</w:t>
      </w:r>
      <w:r w:rsidR="544D3B68">
        <w:t>s</w:t>
      </w:r>
      <w:r>
        <w:t xml:space="preserve">ed health needs, environmental modifications and new staffing patterns to sustain ageing in place opportunities to live </w:t>
      </w:r>
      <w:r w:rsidR="69CF9167">
        <w:t xml:space="preserve">one’s </w:t>
      </w:r>
      <w:r>
        <w:t xml:space="preserve">last days as one wishes </w:t>
      </w:r>
      <w:r w:rsidR="008A3C79">
        <w:fldChar w:fldCharType="begin"/>
      </w:r>
      <w:r w:rsidR="008A3C79">
        <w:instrText xml:space="preserve"> ADDIN EN.CITE &lt;EndNote&gt;&lt;Cite&gt;&lt;Author&gt;Ferretti&lt;/Author&gt;&lt;Year&gt;2022&lt;/Year&gt;&lt;RecNum&gt;774&lt;/RecNum&gt;&lt;DisplayText&gt;(Ferretti et al., 2022)&lt;/DisplayText&gt;&lt;record&gt;&lt;rec-number&gt;774&lt;/rec-number&gt;&lt;foreign-keys&gt;&lt;key app="EN" db-id="xtwfdzde5ttr0zevxrh5sf0c2wfzw5zf2vra" timestamp="1667689839" guid="6fbf559b-1236-4c39-89da-b0ce31f75056"&gt;774&lt;/key&gt;&lt;/foreign-keys&gt;&lt;ref-type name="Book Section"&gt;5&lt;/ref-type&gt;&lt;contributors&gt;&lt;authors&gt;&lt;author&gt;Ferretti, L&lt;/author&gt;&lt;author&gt;McCarron, M&lt;/author&gt;&lt;author&gt;McCallion, P&lt;/author&gt;&lt;/authors&gt;&lt;secondary-authors&gt;&lt;author&gt;Stancliffe, R. J.&lt;/author&gt;&lt;author&gt;Wiese, M.&lt;/author&gt;&lt;author&gt;McCallion, P&lt;/author&gt;&lt;author&gt;McCarron, M&lt;/author&gt;&lt;/secondary-authors&gt;&lt;/contributors&gt;&lt;titles&gt;&lt;title&gt;Building Shared End-of-Life Supports and Cross-Training for Hospice/Palliative and Intellectual Disability Services Providers&lt;/title&gt;&lt;secondary-title&gt;End of Life and People with Intellectual and Developmental Disability&lt;/secondary-title&gt;&lt;/titles&gt;&lt;pages&gt;211-233&lt;/pages&gt;&lt;dates&gt;&lt;year&gt;2022&lt;/year&gt;&lt;/dates&gt;&lt;pub-location&gt;Switzerland&lt;/pub-location&gt;&lt;publisher&gt;Springer&lt;/publisher&gt;&lt;urls&gt;&lt;/urls&gt;&lt;/record&gt;&lt;/Cite&gt;&lt;/EndNote&gt;</w:instrText>
      </w:r>
      <w:r w:rsidR="008A3C79">
        <w:fldChar w:fldCharType="separate"/>
      </w:r>
      <w:r w:rsidR="6E67FA51" w:rsidRPr="68A51868">
        <w:rPr>
          <w:noProof/>
        </w:rPr>
        <w:t>(Ferretti et al., 2022)</w:t>
      </w:r>
      <w:r w:rsidR="008A3C79">
        <w:fldChar w:fldCharType="end"/>
      </w:r>
      <w:r w:rsidR="03689AB0">
        <w:t>.</w:t>
      </w:r>
    </w:p>
    <w:p w14:paraId="7CB12E6A" w14:textId="751EB4E9" w:rsidR="00E15818" w:rsidRPr="007702E0" w:rsidRDefault="006E0969" w:rsidP="002A24F0">
      <w:pPr>
        <w:pStyle w:val="ListParagraph"/>
        <w:numPr>
          <w:ilvl w:val="0"/>
          <w:numId w:val="38"/>
        </w:numPr>
        <w:contextualSpacing w:val="0"/>
        <w:rPr>
          <w:rFonts w:cs="Calibri"/>
          <w:szCs w:val="26"/>
          <w:lang w:eastAsia="en-IE"/>
        </w:rPr>
      </w:pPr>
      <w:r>
        <w:rPr>
          <w:szCs w:val="26"/>
        </w:rPr>
        <w:t xml:space="preserve">Whilst the </w:t>
      </w:r>
      <w:r w:rsidR="00C36400">
        <w:rPr>
          <w:szCs w:val="26"/>
        </w:rPr>
        <w:t xml:space="preserve">policy of decongregation has been a positive one which has resulted in </w:t>
      </w:r>
      <w:r w:rsidR="008D7DAF">
        <w:rPr>
          <w:szCs w:val="26"/>
        </w:rPr>
        <w:t>quality outcomes for many people with intellectual disabilities</w:t>
      </w:r>
      <w:r w:rsidR="00591D84">
        <w:rPr>
          <w:szCs w:val="26"/>
        </w:rPr>
        <w:t xml:space="preserve">, </w:t>
      </w:r>
      <w:r w:rsidR="00F21943">
        <w:rPr>
          <w:szCs w:val="26"/>
        </w:rPr>
        <w:t xml:space="preserve">there is a need to consider </w:t>
      </w:r>
      <w:r w:rsidR="007651DD">
        <w:rPr>
          <w:szCs w:val="26"/>
        </w:rPr>
        <w:t xml:space="preserve">the </w:t>
      </w:r>
      <w:r w:rsidR="00304C32">
        <w:rPr>
          <w:szCs w:val="26"/>
        </w:rPr>
        <w:t xml:space="preserve">potential for </w:t>
      </w:r>
      <w:r w:rsidR="0043540F">
        <w:rPr>
          <w:szCs w:val="26"/>
        </w:rPr>
        <w:t xml:space="preserve">developing specialist services </w:t>
      </w:r>
      <w:r w:rsidR="00391887">
        <w:rPr>
          <w:szCs w:val="26"/>
        </w:rPr>
        <w:t xml:space="preserve">for </w:t>
      </w:r>
      <w:r w:rsidR="00AD7569">
        <w:rPr>
          <w:szCs w:val="26"/>
        </w:rPr>
        <w:t xml:space="preserve">people with complex age-related needs which cannot be met in </w:t>
      </w:r>
      <w:r w:rsidR="00831929">
        <w:rPr>
          <w:szCs w:val="26"/>
        </w:rPr>
        <w:t>the</w:t>
      </w:r>
      <w:r w:rsidR="00452F24">
        <w:rPr>
          <w:szCs w:val="26"/>
        </w:rPr>
        <w:t xml:space="preserve"> person’s own home. </w:t>
      </w:r>
      <w:r w:rsidR="00DE386C">
        <w:rPr>
          <w:szCs w:val="26"/>
        </w:rPr>
        <w:t xml:space="preserve">Thus, </w:t>
      </w:r>
      <w:r w:rsidR="00D326CE">
        <w:rPr>
          <w:szCs w:val="26"/>
        </w:rPr>
        <w:t xml:space="preserve">a forum </w:t>
      </w:r>
      <w:r w:rsidR="00A370E9">
        <w:rPr>
          <w:szCs w:val="26"/>
        </w:rPr>
        <w:t xml:space="preserve">should be </w:t>
      </w:r>
      <w:r w:rsidR="00D326CE">
        <w:rPr>
          <w:szCs w:val="26"/>
        </w:rPr>
        <w:t xml:space="preserve">set up to </w:t>
      </w:r>
      <w:r w:rsidR="005410BE">
        <w:rPr>
          <w:szCs w:val="26"/>
        </w:rPr>
        <w:t>explore how</w:t>
      </w:r>
      <w:r w:rsidR="005601C0">
        <w:rPr>
          <w:szCs w:val="26"/>
        </w:rPr>
        <w:t xml:space="preserve"> </w:t>
      </w:r>
      <w:r w:rsidR="00DB66E4">
        <w:rPr>
          <w:szCs w:val="26"/>
        </w:rPr>
        <w:t xml:space="preserve">the </w:t>
      </w:r>
      <w:r w:rsidR="004A08AB">
        <w:rPr>
          <w:szCs w:val="26"/>
        </w:rPr>
        <w:t>foundational</w:t>
      </w:r>
      <w:r w:rsidR="005601C0">
        <w:rPr>
          <w:szCs w:val="26"/>
        </w:rPr>
        <w:t xml:space="preserve"> principles </w:t>
      </w:r>
      <w:r w:rsidR="004A08AB">
        <w:rPr>
          <w:szCs w:val="26"/>
        </w:rPr>
        <w:t>of</w:t>
      </w:r>
      <w:r w:rsidR="00BE6344">
        <w:rPr>
          <w:szCs w:val="26"/>
        </w:rPr>
        <w:t xml:space="preserve"> Time to Move on from Congregated Settings</w:t>
      </w:r>
      <w:r w:rsidR="00E15818" w:rsidRPr="004B49A0">
        <w:rPr>
          <w:szCs w:val="26"/>
        </w:rPr>
        <w:t xml:space="preserve"> </w:t>
      </w:r>
      <w:r w:rsidR="004A08AB">
        <w:rPr>
          <w:szCs w:val="26"/>
        </w:rPr>
        <w:t xml:space="preserve">can be applied to </w:t>
      </w:r>
      <w:r w:rsidR="007702E0">
        <w:rPr>
          <w:szCs w:val="26"/>
        </w:rPr>
        <w:t xml:space="preserve">re-congregated service structures such as </w:t>
      </w:r>
      <w:r w:rsidR="00E15818" w:rsidRPr="004B49A0">
        <w:rPr>
          <w:szCs w:val="26"/>
        </w:rPr>
        <w:t xml:space="preserve">specialist dementia </w:t>
      </w:r>
      <w:r w:rsidR="00E15818" w:rsidRPr="00FC6F1A">
        <w:rPr>
          <w:szCs w:val="26"/>
        </w:rPr>
        <w:t>facilit</w:t>
      </w:r>
      <w:r w:rsidR="007702E0">
        <w:rPr>
          <w:szCs w:val="26"/>
        </w:rPr>
        <w:t>ies o</w:t>
      </w:r>
      <w:r w:rsidR="00A13604">
        <w:rPr>
          <w:szCs w:val="26"/>
        </w:rPr>
        <w:t>r</w:t>
      </w:r>
      <w:r w:rsidR="00E15818" w:rsidRPr="00FC6F1A">
        <w:rPr>
          <w:szCs w:val="26"/>
        </w:rPr>
        <w:t xml:space="preserve"> generic nursing home</w:t>
      </w:r>
      <w:r w:rsidR="007702E0">
        <w:rPr>
          <w:szCs w:val="26"/>
        </w:rPr>
        <w:t>s</w:t>
      </w:r>
      <w:r w:rsidR="00E15818" w:rsidRPr="00FC6F1A">
        <w:rPr>
          <w:szCs w:val="26"/>
        </w:rPr>
        <w:t>.</w:t>
      </w:r>
    </w:p>
    <w:p w14:paraId="49205168" w14:textId="57797451" w:rsidR="008C1FC6" w:rsidRPr="00485E2D" w:rsidRDefault="00EE5528" w:rsidP="002A24F0">
      <w:pPr>
        <w:pStyle w:val="ListParagraph"/>
        <w:numPr>
          <w:ilvl w:val="0"/>
          <w:numId w:val="38"/>
        </w:numPr>
        <w:contextualSpacing w:val="0"/>
        <w:rPr>
          <w:rFonts w:cs="Calibri"/>
          <w:iCs/>
          <w:szCs w:val="26"/>
          <w:lang w:eastAsia="en-IE"/>
        </w:rPr>
      </w:pPr>
      <w:r w:rsidRPr="00485E2D">
        <w:rPr>
          <w:lang w:val="en-US"/>
        </w:rPr>
        <w:t xml:space="preserve">Nursing homes were considered to be a </w:t>
      </w:r>
      <w:r w:rsidR="009F7CA3" w:rsidRPr="00485E2D">
        <w:rPr>
          <w:lang w:val="en-US"/>
        </w:rPr>
        <w:t xml:space="preserve">final option by </w:t>
      </w:r>
      <w:r w:rsidR="00B13EF1" w:rsidRPr="00485E2D">
        <w:rPr>
          <w:lang w:val="en-US"/>
        </w:rPr>
        <w:t xml:space="preserve">many </w:t>
      </w:r>
      <w:r w:rsidR="009F7CA3" w:rsidRPr="00485E2D">
        <w:rPr>
          <w:lang w:val="en-US"/>
        </w:rPr>
        <w:t>participants in this study</w:t>
      </w:r>
      <w:r w:rsidR="00B13EF1" w:rsidRPr="00485E2D">
        <w:rPr>
          <w:lang w:val="en-US"/>
        </w:rPr>
        <w:t>. If, h</w:t>
      </w:r>
      <w:r w:rsidR="008C1FC6" w:rsidRPr="00485E2D">
        <w:rPr>
          <w:lang w:val="en-US"/>
        </w:rPr>
        <w:t>owever, nursing homes are to be used</w:t>
      </w:r>
      <w:r w:rsidR="00B13EF1" w:rsidRPr="00485E2D">
        <w:rPr>
          <w:lang w:val="en-US"/>
        </w:rPr>
        <w:t>,</w:t>
      </w:r>
      <w:r w:rsidR="008C1FC6" w:rsidRPr="00485E2D">
        <w:rPr>
          <w:lang w:val="en-US"/>
        </w:rPr>
        <w:t xml:space="preserve"> there is a need to resource new models of collaboration between nursing homes, intellectual disability service providers and families to preserve the lives desired by people with intellectual disabilities as they age.</w:t>
      </w:r>
      <w:r w:rsidR="2CA62DA9" w:rsidRPr="00485E2D">
        <w:rPr>
          <w:lang w:val="en-US"/>
        </w:rPr>
        <w:t xml:space="preserve"> Such developments should be supported and informed by further research </w:t>
      </w:r>
      <w:r w:rsidR="722EAB02" w:rsidRPr="00485E2D">
        <w:rPr>
          <w:lang w:val="en-US"/>
        </w:rPr>
        <w:t xml:space="preserve">both </w:t>
      </w:r>
      <w:r w:rsidR="2CA62DA9" w:rsidRPr="00485E2D">
        <w:rPr>
          <w:lang w:val="en-US"/>
        </w:rPr>
        <w:t>on the experiences of nursing homes in caring for people with intellectual disabilit</w:t>
      </w:r>
      <w:r w:rsidR="00B032E8">
        <w:rPr>
          <w:lang w:val="en-US"/>
        </w:rPr>
        <w:t>ies</w:t>
      </w:r>
      <w:r w:rsidR="2CA62DA9" w:rsidRPr="00485E2D">
        <w:rPr>
          <w:lang w:val="en-US"/>
        </w:rPr>
        <w:t xml:space="preserve"> and </w:t>
      </w:r>
      <w:r w:rsidR="6DD6D425" w:rsidRPr="00485E2D">
        <w:rPr>
          <w:lang w:val="en-US"/>
        </w:rPr>
        <w:t>the experiences</w:t>
      </w:r>
      <w:r w:rsidR="3A1750E7" w:rsidRPr="00485E2D">
        <w:rPr>
          <w:lang w:val="en-US"/>
        </w:rPr>
        <w:t xml:space="preserve"> of older people with intellectual disabilit</w:t>
      </w:r>
      <w:r w:rsidR="00B032E8">
        <w:rPr>
          <w:lang w:val="en-US"/>
        </w:rPr>
        <w:t>ies</w:t>
      </w:r>
      <w:r w:rsidR="3A1750E7" w:rsidRPr="00485E2D">
        <w:rPr>
          <w:lang w:val="en-US"/>
        </w:rPr>
        <w:t xml:space="preserve"> and their family members</w:t>
      </w:r>
      <w:r w:rsidR="085DA8F3" w:rsidRPr="00485E2D">
        <w:rPr>
          <w:lang w:val="en-US"/>
        </w:rPr>
        <w:t xml:space="preserve"> of nursing home care.</w:t>
      </w:r>
    </w:p>
    <w:p w14:paraId="2DA34A84" w14:textId="394A9350" w:rsidR="05B046BF" w:rsidRPr="00B0537A" w:rsidRDefault="00130998" w:rsidP="00733E34">
      <w:pPr>
        <w:pStyle w:val="Heading3"/>
        <w:rPr>
          <w:rFonts w:eastAsia="Gill Sans" w:cs="Gill Sans"/>
          <w:i w:val="0"/>
          <w:color w:val="auto"/>
          <w:szCs w:val="26"/>
        </w:rPr>
      </w:pPr>
      <w:bookmarkStart w:id="288" w:name="_Toc118558315"/>
      <w:r w:rsidRPr="00B0537A">
        <w:rPr>
          <w:rFonts w:eastAsia="Gill Sans"/>
          <w:color w:val="auto"/>
        </w:rPr>
        <w:t xml:space="preserve">Develop </w:t>
      </w:r>
      <w:r w:rsidR="00CF1EC8" w:rsidRPr="00B0537A">
        <w:rPr>
          <w:rFonts w:eastAsia="Gill Sans"/>
          <w:color w:val="auto"/>
        </w:rPr>
        <w:t xml:space="preserve">clear </w:t>
      </w:r>
      <w:bookmarkEnd w:id="288"/>
      <w:r w:rsidR="00F62CC6" w:rsidRPr="00B0537A">
        <w:rPr>
          <w:rFonts w:eastAsia="Gill Sans"/>
          <w:color w:val="auto"/>
        </w:rPr>
        <w:t xml:space="preserve">resource models that can respond </w:t>
      </w:r>
      <w:r w:rsidR="000277E8" w:rsidRPr="00B0537A">
        <w:rPr>
          <w:rFonts w:eastAsia="Gill Sans"/>
          <w:color w:val="auto"/>
        </w:rPr>
        <w:t xml:space="preserve">in a </w:t>
      </w:r>
      <w:r w:rsidR="00EB085B" w:rsidRPr="00B0537A">
        <w:rPr>
          <w:rFonts w:eastAsia="Gill Sans"/>
          <w:color w:val="auto"/>
        </w:rPr>
        <w:t>timely manner to the changing needs of older people with intellectual disabilities</w:t>
      </w:r>
    </w:p>
    <w:p w14:paraId="1F30F226" w14:textId="79442338" w:rsidR="00B0537A" w:rsidRDefault="5AB3D1CC" w:rsidP="68A51868">
      <w:pPr>
        <w:rPr>
          <w:rFonts w:eastAsia="Gill Sans MT" w:cs="Gill Sans MT"/>
        </w:rPr>
      </w:pPr>
      <w:r w:rsidRPr="68A51868">
        <w:rPr>
          <w:rFonts w:eastAsia="Gill Sans MT" w:cs="Gill Sans MT"/>
        </w:rPr>
        <w:t>Partic</w:t>
      </w:r>
      <w:r w:rsidR="14CB6E6A" w:rsidRPr="68A51868">
        <w:rPr>
          <w:rFonts w:eastAsia="Gill Sans MT" w:cs="Gill Sans MT"/>
        </w:rPr>
        <w:t xml:space="preserve">ipants and respondents in this study highlighted </w:t>
      </w:r>
      <w:r w:rsidR="15146338" w:rsidRPr="68A51868">
        <w:rPr>
          <w:rFonts w:eastAsia="Gill Sans MT" w:cs="Gill Sans MT"/>
        </w:rPr>
        <w:t xml:space="preserve">how important it is to </w:t>
      </w:r>
      <w:r w:rsidR="1DC0DFC4" w:rsidRPr="68A51868">
        <w:rPr>
          <w:rFonts w:eastAsia="Gill Sans MT" w:cs="Gill Sans MT"/>
        </w:rPr>
        <w:t xml:space="preserve">have a </w:t>
      </w:r>
      <w:r w:rsidR="15146338" w:rsidRPr="68A51868">
        <w:rPr>
          <w:rFonts w:eastAsia="Gill Sans MT" w:cs="Gill Sans MT"/>
        </w:rPr>
        <w:t>resource</w:t>
      </w:r>
      <w:r w:rsidR="1DC0DFC4" w:rsidRPr="68A51868">
        <w:rPr>
          <w:rFonts w:eastAsia="Gill Sans MT" w:cs="Gill Sans MT"/>
        </w:rPr>
        <w:t xml:space="preserve"> model that can </w:t>
      </w:r>
      <w:r w:rsidR="1A61A37E" w:rsidRPr="68A51868">
        <w:rPr>
          <w:rFonts w:eastAsia="Gill Sans MT" w:cs="Gill Sans MT"/>
        </w:rPr>
        <w:t xml:space="preserve">respond to the </w:t>
      </w:r>
      <w:r w:rsidR="4160A505" w:rsidRPr="68A51868">
        <w:rPr>
          <w:rFonts w:eastAsia="Gill Sans MT" w:cs="Gill Sans MT"/>
        </w:rPr>
        <w:t xml:space="preserve">changing needs of people with intellectual disabilities as they age. These changes may result in a requirement for </w:t>
      </w:r>
      <w:r w:rsidR="00A52544">
        <w:rPr>
          <w:rFonts w:eastAsia="Gill Sans MT" w:cs="Gill Sans MT"/>
        </w:rPr>
        <w:t>modifications to the built</w:t>
      </w:r>
      <w:r w:rsidR="7F621C8C" w:rsidRPr="68A51868">
        <w:rPr>
          <w:rFonts w:eastAsia="Gill Sans MT" w:cs="Gill Sans MT"/>
        </w:rPr>
        <w:t xml:space="preserve"> environment</w:t>
      </w:r>
      <w:r w:rsidR="2849BB3D" w:rsidRPr="68A51868">
        <w:rPr>
          <w:rFonts w:eastAsia="Gill Sans MT" w:cs="Gill Sans MT"/>
        </w:rPr>
        <w:t xml:space="preserve"> and</w:t>
      </w:r>
      <w:r w:rsidR="7F621C8C" w:rsidRPr="68A51868">
        <w:rPr>
          <w:rFonts w:eastAsia="Gill Sans MT" w:cs="Gill Sans MT"/>
        </w:rPr>
        <w:t xml:space="preserve"> </w:t>
      </w:r>
      <w:r w:rsidR="7FAF2FC3" w:rsidRPr="68A51868">
        <w:rPr>
          <w:rFonts w:eastAsia="Gill Sans MT" w:cs="Gill Sans MT"/>
        </w:rPr>
        <w:t xml:space="preserve">specialised </w:t>
      </w:r>
      <w:r w:rsidR="1072D667" w:rsidRPr="68A51868">
        <w:rPr>
          <w:rFonts w:eastAsia="Gill Sans MT" w:cs="Gill Sans MT"/>
        </w:rPr>
        <w:t>equipment.</w:t>
      </w:r>
      <w:r w:rsidR="61529CAD" w:rsidRPr="68A51868">
        <w:rPr>
          <w:rFonts w:eastAsia="Gill Sans MT" w:cs="Gill Sans MT"/>
        </w:rPr>
        <w:t xml:space="preserve"> The move to community living</w:t>
      </w:r>
      <w:r w:rsidR="57CA9B33" w:rsidRPr="68A51868">
        <w:rPr>
          <w:rFonts w:eastAsia="Gill Sans MT" w:cs="Gill Sans MT"/>
        </w:rPr>
        <w:t xml:space="preserve">, whilst positive, has </w:t>
      </w:r>
      <w:r w:rsidR="5BDCF056" w:rsidRPr="68A51868">
        <w:rPr>
          <w:rFonts w:eastAsia="Gill Sans MT" w:cs="Gill Sans MT"/>
        </w:rPr>
        <w:t xml:space="preserve">seen </w:t>
      </w:r>
      <w:r w:rsidR="524B8BB9" w:rsidRPr="68A51868">
        <w:rPr>
          <w:rFonts w:eastAsia="Gill Sans MT" w:cs="Gill Sans MT"/>
        </w:rPr>
        <w:t>services renting or purchasing accommodation that may not be modifiable</w:t>
      </w:r>
      <w:r w:rsidR="4356FEF8" w:rsidRPr="68A51868">
        <w:rPr>
          <w:rFonts w:eastAsia="Gill Sans MT" w:cs="Gill Sans MT"/>
        </w:rPr>
        <w:t xml:space="preserve"> as </w:t>
      </w:r>
      <w:r w:rsidR="06886091" w:rsidRPr="68A51868">
        <w:rPr>
          <w:rFonts w:eastAsia="Gill Sans MT" w:cs="Gill Sans MT"/>
        </w:rPr>
        <w:t xml:space="preserve">the needs of the occupants change. </w:t>
      </w:r>
      <w:r w:rsidR="5658C59F" w:rsidRPr="68A51868">
        <w:rPr>
          <w:rFonts w:eastAsia="Gill Sans MT" w:cs="Gill Sans MT"/>
        </w:rPr>
        <w:t xml:space="preserve">The inability to </w:t>
      </w:r>
      <w:r w:rsidR="266DE1EF" w:rsidRPr="68A51868">
        <w:rPr>
          <w:rFonts w:eastAsia="Gill Sans MT" w:cs="Gill Sans MT"/>
        </w:rPr>
        <w:t xml:space="preserve">retrofit or change </w:t>
      </w:r>
      <w:r w:rsidR="059E29BA" w:rsidRPr="68A51868">
        <w:rPr>
          <w:rFonts w:eastAsia="Gill Sans MT" w:cs="Gill Sans MT"/>
        </w:rPr>
        <w:t>the living space</w:t>
      </w:r>
      <w:r w:rsidR="4A91FD8C" w:rsidRPr="68A51868">
        <w:rPr>
          <w:rFonts w:eastAsia="Gill Sans MT" w:cs="Gill Sans MT"/>
        </w:rPr>
        <w:t xml:space="preserve">, due to rental agreements or </w:t>
      </w:r>
      <w:r w:rsidR="6374BE7C" w:rsidRPr="68A51868">
        <w:rPr>
          <w:rFonts w:eastAsia="Gill Sans MT" w:cs="Gill Sans MT"/>
        </w:rPr>
        <w:t xml:space="preserve">lack of funding, was a key factor </w:t>
      </w:r>
      <w:r w:rsidR="0A4346EC" w:rsidRPr="68A51868">
        <w:rPr>
          <w:rFonts w:eastAsia="Gill Sans MT" w:cs="Gill Sans MT"/>
        </w:rPr>
        <w:t xml:space="preserve">in </w:t>
      </w:r>
      <w:r w:rsidR="3434EF4E" w:rsidRPr="68A51868">
        <w:rPr>
          <w:rFonts w:eastAsia="Gill Sans MT" w:cs="Gill Sans MT"/>
        </w:rPr>
        <w:t>deciding whether a person with intellectual disabilities could age in place.</w:t>
      </w:r>
    </w:p>
    <w:p w14:paraId="386E0F61" w14:textId="33F3DC8A" w:rsidR="007648C0" w:rsidRPr="007648C0" w:rsidRDefault="00E346B0" w:rsidP="00693FFE">
      <w:pPr>
        <w:pStyle w:val="ListParagraph"/>
        <w:numPr>
          <w:ilvl w:val="0"/>
          <w:numId w:val="40"/>
        </w:numPr>
        <w:contextualSpacing w:val="0"/>
        <w:rPr>
          <w:rFonts w:cs="Calibri"/>
          <w:iCs/>
          <w:szCs w:val="26"/>
          <w:lang w:eastAsia="en-IE"/>
        </w:rPr>
      </w:pPr>
      <w:r>
        <w:rPr>
          <w:rFonts w:cs="Calibri"/>
          <w:iCs/>
          <w:szCs w:val="26"/>
          <w:lang w:eastAsia="en-IE"/>
        </w:rPr>
        <w:t>There is a requirement for</w:t>
      </w:r>
      <w:r w:rsidR="00553132">
        <w:rPr>
          <w:rFonts w:cs="Calibri"/>
          <w:iCs/>
          <w:szCs w:val="26"/>
          <w:lang w:eastAsia="en-IE"/>
        </w:rPr>
        <w:t xml:space="preserve"> </w:t>
      </w:r>
      <w:r w:rsidR="00F30775">
        <w:rPr>
          <w:rFonts w:cs="Calibri"/>
          <w:iCs/>
          <w:szCs w:val="26"/>
          <w:lang w:eastAsia="en-IE"/>
        </w:rPr>
        <w:t xml:space="preserve">new funding models that will allow </w:t>
      </w:r>
      <w:r w:rsidR="00472EEE">
        <w:rPr>
          <w:rFonts w:cs="Calibri"/>
          <w:iCs/>
          <w:szCs w:val="26"/>
          <w:lang w:eastAsia="en-IE"/>
        </w:rPr>
        <w:t xml:space="preserve">for </w:t>
      </w:r>
      <w:r w:rsidR="004C4C33">
        <w:rPr>
          <w:rFonts w:cs="Calibri"/>
          <w:iCs/>
          <w:szCs w:val="26"/>
          <w:lang w:eastAsia="en-IE"/>
        </w:rPr>
        <w:t>resource</w:t>
      </w:r>
      <w:r w:rsidR="005C37D2">
        <w:rPr>
          <w:rFonts w:cs="Calibri"/>
          <w:iCs/>
          <w:szCs w:val="26"/>
          <w:lang w:eastAsia="en-IE"/>
        </w:rPr>
        <w:t xml:space="preserve">s to be </w:t>
      </w:r>
      <w:r>
        <w:rPr>
          <w:rFonts w:cs="Calibri"/>
          <w:iCs/>
          <w:szCs w:val="26"/>
          <w:lang w:eastAsia="en-IE"/>
        </w:rPr>
        <w:t xml:space="preserve">made available to </w:t>
      </w:r>
      <w:r w:rsidR="00F30775">
        <w:rPr>
          <w:rFonts w:cs="Calibri"/>
          <w:iCs/>
          <w:szCs w:val="26"/>
          <w:lang w:eastAsia="en-IE"/>
        </w:rPr>
        <w:t>older person</w:t>
      </w:r>
      <w:r w:rsidR="007C15A6">
        <w:rPr>
          <w:rFonts w:cs="Calibri"/>
          <w:iCs/>
          <w:szCs w:val="26"/>
          <w:lang w:eastAsia="en-IE"/>
        </w:rPr>
        <w:t>s</w:t>
      </w:r>
      <w:r w:rsidR="00AF1C89">
        <w:rPr>
          <w:rFonts w:cs="Calibri"/>
          <w:iCs/>
          <w:szCs w:val="26"/>
          <w:lang w:eastAsia="en-IE"/>
        </w:rPr>
        <w:t xml:space="preserve">, when needed, </w:t>
      </w:r>
      <w:r w:rsidR="007C15A6">
        <w:rPr>
          <w:rFonts w:cs="Calibri"/>
          <w:iCs/>
          <w:szCs w:val="26"/>
          <w:lang w:eastAsia="en-IE"/>
        </w:rPr>
        <w:t>to provide individualised and person-centred support</w:t>
      </w:r>
      <w:r w:rsidR="000C02F4">
        <w:rPr>
          <w:rFonts w:cs="Calibri"/>
          <w:iCs/>
          <w:szCs w:val="26"/>
          <w:lang w:eastAsia="en-IE"/>
        </w:rPr>
        <w:t xml:space="preserve">. </w:t>
      </w:r>
      <w:r w:rsidR="001C495D">
        <w:rPr>
          <w:rFonts w:cs="Calibri"/>
          <w:iCs/>
          <w:szCs w:val="26"/>
          <w:lang w:eastAsia="en-IE"/>
        </w:rPr>
        <w:t xml:space="preserve">Processes </w:t>
      </w:r>
      <w:r w:rsidR="008F6916">
        <w:rPr>
          <w:rFonts w:cs="Calibri"/>
          <w:iCs/>
          <w:szCs w:val="26"/>
          <w:lang w:eastAsia="en-IE"/>
        </w:rPr>
        <w:t xml:space="preserve">should </w:t>
      </w:r>
      <w:r w:rsidR="001C495D">
        <w:rPr>
          <w:rFonts w:cs="Calibri"/>
          <w:iCs/>
          <w:szCs w:val="26"/>
          <w:lang w:eastAsia="en-IE"/>
        </w:rPr>
        <w:t>be put in place to ensure that such</w:t>
      </w:r>
      <w:r w:rsidR="007A3FF2">
        <w:rPr>
          <w:rFonts w:cs="Calibri"/>
          <w:iCs/>
          <w:szCs w:val="26"/>
          <w:lang w:eastAsia="en-IE"/>
        </w:rPr>
        <w:t xml:space="preserve"> funding </w:t>
      </w:r>
      <w:r w:rsidR="001C495D">
        <w:rPr>
          <w:rFonts w:cs="Calibri"/>
          <w:iCs/>
          <w:szCs w:val="26"/>
          <w:lang w:eastAsia="en-IE"/>
        </w:rPr>
        <w:t xml:space="preserve">can be built into the person’s </w:t>
      </w:r>
      <w:r w:rsidR="005D66FB">
        <w:rPr>
          <w:rFonts w:cs="Calibri"/>
          <w:iCs/>
          <w:szCs w:val="26"/>
          <w:lang w:eastAsia="en-IE"/>
        </w:rPr>
        <w:t xml:space="preserve">ageing </w:t>
      </w:r>
      <w:r w:rsidR="001C495D">
        <w:rPr>
          <w:rFonts w:cs="Calibri"/>
          <w:iCs/>
          <w:szCs w:val="26"/>
          <w:lang w:eastAsia="en-IE"/>
        </w:rPr>
        <w:t>plan</w:t>
      </w:r>
      <w:r w:rsidR="005D66FB">
        <w:rPr>
          <w:rFonts w:cs="Calibri"/>
          <w:iCs/>
          <w:szCs w:val="26"/>
          <w:lang w:eastAsia="en-IE"/>
        </w:rPr>
        <w:t xml:space="preserve"> and be accessed when needed.</w:t>
      </w:r>
      <w:r w:rsidR="00064F30" w:rsidRPr="00064F30">
        <w:rPr>
          <w:rFonts w:eastAsia="Gill Sans" w:cs="Gill Sans"/>
        </w:rPr>
        <w:t xml:space="preserve"> </w:t>
      </w:r>
      <w:r w:rsidR="002B2F6F">
        <w:t xml:space="preserve">Consideration should also be given to the </w:t>
      </w:r>
      <w:r w:rsidR="007F1A37">
        <w:t xml:space="preserve">inclusion of </w:t>
      </w:r>
      <w:r w:rsidR="003127A9">
        <w:t xml:space="preserve">an oversight process that </w:t>
      </w:r>
      <w:r w:rsidR="005B1B0F">
        <w:t xml:space="preserve">could monitor </w:t>
      </w:r>
      <w:r w:rsidR="002B2F6F">
        <w:t>value for money</w:t>
      </w:r>
      <w:r w:rsidR="00154548">
        <w:t xml:space="preserve">, </w:t>
      </w:r>
      <w:r w:rsidR="00154548">
        <w:rPr>
          <w:i/>
          <w:iCs/>
        </w:rPr>
        <w:t xml:space="preserve">vis </w:t>
      </w:r>
      <w:r w:rsidR="00667A8F">
        <w:rPr>
          <w:i/>
          <w:iCs/>
        </w:rPr>
        <w:t>à</w:t>
      </w:r>
      <w:r w:rsidR="00154548">
        <w:rPr>
          <w:i/>
          <w:iCs/>
        </w:rPr>
        <w:t xml:space="preserve"> vis</w:t>
      </w:r>
      <w:r w:rsidR="00154548">
        <w:t xml:space="preserve">, </w:t>
      </w:r>
      <w:r w:rsidR="00621FD1">
        <w:t>meaningful outcomes for the older person.</w:t>
      </w:r>
    </w:p>
    <w:p w14:paraId="360753D2" w14:textId="68AFD4F6" w:rsidR="0080195C" w:rsidRDefault="00F66273" w:rsidP="00693FFE">
      <w:pPr>
        <w:pStyle w:val="ListParagraph"/>
        <w:numPr>
          <w:ilvl w:val="0"/>
          <w:numId w:val="40"/>
        </w:numPr>
        <w:contextualSpacing w:val="0"/>
        <w:rPr>
          <w:rFonts w:cs="Calibri"/>
          <w:iCs/>
          <w:szCs w:val="26"/>
          <w:lang w:eastAsia="en-IE"/>
        </w:rPr>
      </w:pPr>
      <w:r>
        <w:rPr>
          <w:rFonts w:eastAsia="Gill Sans" w:cs="Gill Sans"/>
        </w:rPr>
        <w:t xml:space="preserve">More </w:t>
      </w:r>
      <w:r w:rsidR="008E7996">
        <w:rPr>
          <w:rFonts w:eastAsia="Gill Sans" w:cs="Gill Sans"/>
        </w:rPr>
        <w:t xml:space="preserve">rapid </w:t>
      </w:r>
      <w:r w:rsidR="000E1E47">
        <w:rPr>
          <w:rFonts w:eastAsia="Gill Sans" w:cs="Gill Sans"/>
        </w:rPr>
        <w:t>introduction</w:t>
      </w:r>
      <w:r w:rsidR="00B26AE2">
        <w:rPr>
          <w:rFonts w:eastAsia="Gill Sans" w:cs="Gill Sans"/>
        </w:rPr>
        <w:t xml:space="preserve"> of </w:t>
      </w:r>
      <w:r w:rsidR="00064F30" w:rsidRPr="00EB085B">
        <w:rPr>
          <w:rFonts w:eastAsia="Gill Sans" w:cs="Gill Sans"/>
        </w:rPr>
        <w:t>personalised budgets,</w:t>
      </w:r>
      <w:r w:rsidR="00B100A6">
        <w:rPr>
          <w:rFonts w:eastAsia="Gill Sans" w:cs="Gill Sans"/>
        </w:rPr>
        <w:t xml:space="preserve"> with </w:t>
      </w:r>
      <w:r w:rsidR="00AA7843">
        <w:rPr>
          <w:rFonts w:eastAsia="Gill Sans" w:cs="Gill Sans"/>
        </w:rPr>
        <w:t>a broad purchasing scope</w:t>
      </w:r>
      <w:r w:rsidR="00DA1FF2">
        <w:rPr>
          <w:rFonts w:eastAsia="Gill Sans" w:cs="Gill Sans"/>
        </w:rPr>
        <w:t xml:space="preserve"> could</w:t>
      </w:r>
      <w:r w:rsidR="002E3AA3">
        <w:rPr>
          <w:rFonts w:eastAsia="Gill Sans" w:cs="Gill Sans"/>
        </w:rPr>
        <w:t xml:space="preserve"> support </w:t>
      </w:r>
      <w:r w:rsidR="005B45C2">
        <w:rPr>
          <w:rFonts w:eastAsia="Gill Sans" w:cs="Gill Sans"/>
        </w:rPr>
        <w:t xml:space="preserve">the configuration of </w:t>
      </w:r>
      <w:r w:rsidR="00064F30" w:rsidRPr="00EB085B">
        <w:rPr>
          <w:rFonts w:eastAsia="Gill Sans" w:cs="Gill Sans"/>
        </w:rPr>
        <w:t>individualised services around older persons</w:t>
      </w:r>
      <w:r w:rsidR="005B45C2">
        <w:rPr>
          <w:rFonts w:eastAsia="Gill Sans" w:cs="Gill Sans"/>
        </w:rPr>
        <w:t>’</w:t>
      </w:r>
      <w:r w:rsidR="00064F30" w:rsidRPr="00EB085B">
        <w:rPr>
          <w:rFonts w:eastAsia="Gill Sans" w:cs="Gill Sans"/>
        </w:rPr>
        <w:t xml:space="preserve"> needs and wishes</w:t>
      </w:r>
      <w:r w:rsidR="008A567A">
        <w:rPr>
          <w:rFonts w:eastAsia="Gill Sans" w:cs="Gill Sans"/>
        </w:rPr>
        <w:t xml:space="preserve"> </w:t>
      </w:r>
      <w:r w:rsidR="00A93A88">
        <w:rPr>
          <w:rFonts w:eastAsia="Gill Sans" w:cs="Gill Sans"/>
        </w:rPr>
        <w:fldChar w:fldCharType="begin"/>
      </w:r>
      <w:r w:rsidR="00A93A88">
        <w:rPr>
          <w:rFonts w:eastAsia="Gill Sans" w:cs="Gill Sans"/>
        </w:rPr>
        <w:instrText xml:space="preserve"> ADDIN EN.CITE &lt;EndNote&gt;&lt;Cite&gt;&lt;Author&gt;Benoot&lt;/Author&gt;&lt;Year&gt;2022&lt;/Year&gt;&lt;RecNum&gt;777&lt;/RecNum&gt;&lt;DisplayText&gt;(Benoot et al., 2022)&lt;/DisplayText&gt;&lt;record&gt;&lt;rec-number&gt;777&lt;/rec-number&gt;&lt;foreign-keys&gt;&lt;key app="EN" db-id="xtwfdzde5ttr0zevxrh5sf0c2wfzw5zf2vra" timestamp="1667694022" guid="217ba795-afad-4c3a-83b0-987b9249caf0"&gt;777&lt;/key&gt;&lt;/foreign-keys&gt;&lt;ref-type name="Journal Article"&gt;17&lt;/ref-type&gt;&lt;contributors&gt;&lt;authors&gt;&lt;author&gt;Benoot, Toon&lt;/author&gt;&lt;author&gt;Roose, Rudi&lt;/author&gt;&lt;author&gt;Dursin, Wouter&lt;/author&gt;&lt;author&gt;Verschuere, Bram&lt;/author&gt;&lt;author&gt;McKenzie, Judith&lt;/author&gt;&lt;/authors&gt;&lt;/contributors&gt;&lt;titles&gt;&lt;title&gt;Aspirations of People With Intellectual Disabilities Living in a Care Organization&lt;/title&gt;&lt;secondary-title&gt;Journal of Social Work&lt;/secondary-title&gt;&lt;/titles&gt;&lt;periodical&gt;&lt;full-title&gt;Journal of Social Work&lt;/full-title&gt;&lt;/periodical&gt;&lt;pages&gt;1105-1122&lt;/pages&gt;&lt;volume&gt;22&lt;/volume&gt;&lt;number&gt;4&lt;/number&gt;&lt;dates&gt;&lt;year&gt;2022&lt;/year&gt;&lt;/dates&gt;&lt;isbn&gt;1468-0173&lt;/isbn&gt;&lt;urls&gt;&lt;/urls&gt;&lt;/record&gt;&lt;/Cite&gt;&lt;/EndNote&gt;</w:instrText>
      </w:r>
      <w:r w:rsidR="00A93A88">
        <w:rPr>
          <w:rFonts w:eastAsia="Gill Sans" w:cs="Gill Sans"/>
        </w:rPr>
        <w:fldChar w:fldCharType="separate"/>
      </w:r>
      <w:r w:rsidR="00A93A88">
        <w:rPr>
          <w:rFonts w:eastAsia="Gill Sans" w:cs="Gill Sans"/>
          <w:noProof/>
        </w:rPr>
        <w:t>(Benoot et al., 2022)</w:t>
      </w:r>
      <w:r w:rsidR="00A93A88">
        <w:rPr>
          <w:rFonts w:eastAsia="Gill Sans" w:cs="Gill Sans"/>
        </w:rPr>
        <w:fldChar w:fldCharType="end"/>
      </w:r>
      <w:r w:rsidR="004B301D">
        <w:rPr>
          <w:rFonts w:eastAsia="Gill Sans" w:cs="Gill Sans"/>
        </w:rPr>
        <w:t xml:space="preserve">. </w:t>
      </w:r>
    </w:p>
    <w:p w14:paraId="5F1CDC88" w14:textId="1164B470" w:rsidR="005B48C7" w:rsidRPr="005B48C7" w:rsidRDefault="00F33363" w:rsidP="00693FFE">
      <w:pPr>
        <w:pStyle w:val="ListParagraph"/>
        <w:numPr>
          <w:ilvl w:val="0"/>
          <w:numId w:val="40"/>
        </w:numPr>
        <w:contextualSpacing w:val="0"/>
        <w:rPr>
          <w:rFonts w:eastAsia="Gill Sans" w:cs="Gill Sans"/>
          <w:iCs/>
          <w:szCs w:val="26"/>
        </w:rPr>
      </w:pPr>
      <w:r>
        <w:rPr>
          <w:rFonts w:eastAsia="Gill Sans" w:cs="Gill Sans"/>
          <w:iCs/>
          <w:szCs w:val="26"/>
        </w:rPr>
        <w:t>In line with recommendations regarding housing and built environment,</w:t>
      </w:r>
      <w:r w:rsidR="00AC66B5">
        <w:rPr>
          <w:rFonts w:eastAsia="Gill Sans" w:cs="Gill Sans"/>
          <w:iCs/>
          <w:szCs w:val="26"/>
        </w:rPr>
        <w:t xml:space="preserve"> </w:t>
      </w:r>
      <w:r w:rsidR="00734723">
        <w:rPr>
          <w:rFonts w:eastAsia="Gill Sans" w:cs="Gill Sans"/>
          <w:iCs/>
          <w:szCs w:val="26"/>
        </w:rPr>
        <w:t xml:space="preserve">it is </w:t>
      </w:r>
      <w:r w:rsidR="006B6911">
        <w:rPr>
          <w:rFonts w:eastAsia="Gill Sans" w:cs="Gill Sans"/>
          <w:iCs/>
          <w:szCs w:val="26"/>
        </w:rPr>
        <w:t xml:space="preserve">vital that </w:t>
      </w:r>
      <w:r w:rsidR="00BB25B3">
        <w:rPr>
          <w:rFonts w:eastAsia="Gill Sans" w:cs="Gill Sans"/>
          <w:iCs/>
          <w:szCs w:val="26"/>
        </w:rPr>
        <w:t xml:space="preserve">the purchase </w:t>
      </w:r>
      <w:r w:rsidR="007E0B4A">
        <w:rPr>
          <w:rFonts w:eastAsia="Gill Sans" w:cs="Gill Sans"/>
          <w:iCs/>
          <w:szCs w:val="26"/>
        </w:rPr>
        <w:t>o</w:t>
      </w:r>
      <w:r w:rsidR="00817D52">
        <w:rPr>
          <w:rFonts w:eastAsia="Gill Sans" w:cs="Gill Sans"/>
          <w:iCs/>
          <w:szCs w:val="26"/>
        </w:rPr>
        <w:t xml:space="preserve">f </w:t>
      </w:r>
      <w:r w:rsidR="00DB32B9">
        <w:rPr>
          <w:rFonts w:eastAsia="Gill Sans" w:cs="Gill Sans"/>
          <w:iCs/>
          <w:szCs w:val="26"/>
        </w:rPr>
        <w:t>community-based accommodation for people with intellectual</w:t>
      </w:r>
      <w:r w:rsidR="008C7C35">
        <w:rPr>
          <w:rFonts w:eastAsia="Gill Sans" w:cs="Gill Sans"/>
          <w:iCs/>
          <w:szCs w:val="26"/>
        </w:rPr>
        <w:t xml:space="preserve"> </w:t>
      </w:r>
      <w:r w:rsidR="00DB32B9">
        <w:rPr>
          <w:rFonts w:eastAsia="Gill Sans" w:cs="Gill Sans"/>
          <w:iCs/>
          <w:szCs w:val="26"/>
        </w:rPr>
        <w:t xml:space="preserve">disabilities </w:t>
      </w:r>
      <w:r w:rsidR="00E00D9E">
        <w:rPr>
          <w:rFonts w:eastAsia="Gill Sans" w:cs="Gill Sans"/>
          <w:iCs/>
          <w:szCs w:val="26"/>
        </w:rPr>
        <w:t xml:space="preserve">should </w:t>
      </w:r>
      <w:r w:rsidR="006B7587">
        <w:rPr>
          <w:rFonts w:eastAsia="Gill Sans" w:cs="Gill Sans"/>
          <w:iCs/>
          <w:szCs w:val="26"/>
        </w:rPr>
        <w:t xml:space="preserve">be </w:t>
      </w:r>
      <w:r w:rsidR="00403A76">
        <w:rPr>
          <w:rFonts w:eastAsia="Gill Sans" w:cs="Gill Sans"/>
          <w:iCs/>
          <w:szCs w:val="26"/>
        </w:rPr>
        <w:t>underpinned</w:t>
      </w:r>
      <w:r w:rsidR="006B7587">
        <w:rPr>
          <w:rFonts w:eastAsia="Gill Sans" w:cs="Gill Sans"/>
          <w:iCs/>
          <w:szCs w:val="26"/>
        </w:rPr>
        <w:t xml:space="preserve"> by the</w:t>
      </w:r>
      <w:r w:rsidR="00727050">
        <w:rPr>
          <w:rFonts w:eastAsia="Gill Sans" w:cs="Gill Sans"/>
          <w:iCs/>
          <w:szCs w:val="26"/>
        </w:rPr>
        <w:t xml:space="preserve"> UNCRPD</w:t>
      </w:r>
      <w:r w:rsidR="006B7587">
        <w:rPr>
          <w:rFonts w:eastAsia="Gill Sans" w:cs="Gill Sans"/>
          <w:iCs/>
          <w:szCs w:val="26"/>
        </w:rPr>
        <w:t xml:space="preserve"> principle of universal design (</w:t>
      </w:r>
      <w:r w:rsidR="00727050">
        <w:rPr>
          <w:rFonts w:eastAsia="Gill Sans" w:cs="Gill Sans"/>
          <w:iCs/>
          <w:szCs w:val="26"/>
        </w:rPr>
        <w:t>United Nations, 2006)</w:t>
      </w:r>
      <w:r w:rsidR="00AC5D42">
        <w:rPr>
          <w:rFonts w:eastAsia="Gill Sans" w:cs="Gill Sans"/>
          <w:iCs/>
          <w:szCs w:val="26"/>
        </w:rPr>
        <w:t xml:space="preserve"> and the </w:t>
      </w:r>
      <w:r w:rsidR="00403A76">
        <w:rPr>
          <w:rFonts w:eastAsia="Gill Sans" w:cs="Gill Sans"/>
          <w:iCs/>
          <w:szCs w:val="26"/>
        </w:rPr>
        <w:t xml:space="preserve">guidelines </w:t>
      </w:r>
      <w:r w:rsidR="00AD7B5E">
        <w:rPr>
          <w:rFonts w:eastAsia="Gill Sans" w:cs="Gill Sans"/>
          <w:iCs/>
          <w:szCs w:val="26"/>
        </w:rPr>
        <w:t xml:space="preserve">provided in </w:t>
      </w:r>
      <w:r w:rsidR="00027790">
        <w:rPr>
          <w:rFonts w:eastAsia="Gill Sans" w:cs="Gill Sans"/>
          <w:iCs/>
          <w:szCs w:val="26"/>
        </w:rPr>
        <w:t xml:space="preserve">the recent </w:t>
      </w:r>
      <w:r w:rsidR="00AD7B5E">
        <w:rPr>
          <w:rFonts w:eastAsia="Gill Sans" w:cs="Gill Sans"/>
          <w:iCs/>
          <w:szCs w:val="26"/>
        </w:rPr>
        <w:t>NDA</w:t>
      </w:r>
      <w:r w:rsidR="00027790">
        <w:rPr>
          <w:rFonts w:eastAsia="Gill Sans" w:cs="Gill Sans"/>
          <w:iCs/>
          <w:szCs w:val="26"/>
        </w:rPr>
        <w:t xml:space="preserve"> (2022b)</w:t>
      </w:r>
      <w:r w:rsidR="00CE7783">
        <w:rPr>
          <w:rFonts w:eastAsia="Gill Sans" w:cs="Gill Sans"/>
          <w:iCs/>
          <w:szCs w:val="26"/>
        </w:rPr>
        <w:t xml:space="preserve"> report on</w:t>
      </w:r>
      <w:r w:rsidR="00145B7A">
        <w:rPr>
          <w:rFonts w:eastAsia="Gill Sans" w:cs="Gill Sans"/>
          <w:iCs/>
          <w:szCs w:val="26"/>
        </w:rPr>
        <w:t xml:space="preserve"> residential care settings.</w:t>
      </w:r>
      <w:r w:rsidR="006D7CAB">
        <w:rPr>
          <w:rFonts w:eastAsia="Gill Sans" w:cs="Gill Sans"/>
          <w:iCs/>
          <w:szCs w:val="26"/>
        </w:rPr>
        <w:t xml:space="preserve"> </w:t>
      </w:r>
      <w:r w:rsidR="00163D3A">
        <w:rPr>
          <w:rFonts w:eastAsia="Gill Sans" w:cs="Gill Sans"/>
          <w:iCs/>
          <w:szCs w:val="26"/>
        </w:rPr>
        <w:t>Whilst t</w:t>
      </w:r>
      <w:r w:rsidR="006D7CAB">
        <w:rPr>
          <w:rFonts w:eastAsia="Gill Sans" w:cs="Gill Sans"/>
          <w:iCs/>
          <w:szCs w:val="26"/>
        </w:rPr>
        <w:t>his</w:t>
      </w:r>
      <w:r w:rsidR="005B48C7" w:rsidRPr="11C55A92">
        <w:rPr>
          <w:rFonts w:eastAsia="Gill Sans"/>
          <w:lang w:eastAsia="en-IE"/>
        </w:rPr>
        <w:t xml:space="preserve"> </w:t>
      </w:r>
      <w:r w:rsidR="005B48C7" w:rsidRPr="11C55A92">
        <w:rPr>
          <w:lang w:eastAsia="en-IE"/>
        </w:rPr>
        <w:t xml:space="preserve">will improve the quality of housing, </w:t>
      </w:r>
      <w:r w:rsidR="006D7CAB">
        <w:rPr>
          <w:lang w:eastAsia="en-IE"/>
        </w:rPr>
        <w:t>remove</w:t>
      </w:r>
      <w:r w:rsidR="005B48C7" w:rsidRPr="11C55A92">
        <w:rPr>
          <w:lang w:eastAsia="en-IE"/>
        </w:rPr>
        <w:t xml:space="preserve"> the need for relocation and increase opportunities for ageing in place</w:t>
      </w:r>
      <w:r w:rsidR="00163D3A">
        <w:rPr>
          <w:lang w:eastAsia="en-IE"/>
        </w:rPr>
        <w:t xml:space="preserve">, it will not be achievable </w:t>
      </w:r>
      <w:r w:rsidR="00631B2B">
        <w:rPr>
          <w:lang w:eastAsia="en-IE"/>
        </w:rPr>
        <w:t>in</w:t>
      </w:r>
      <w:r w:rsidR="00163D3A">
        <w:rPr>
          <w:lang w:eastAsia="en-IE"/>
        </w:rPr>
        <w:t xml:space="preserve"> the </w:t>
      </w:r>
      <w:r w:rsidR="00631B2B">
        <w:rPr>
          <w:lang w:eastAsia="en-IE"/>
        </w:rPr>
        <w:t>absence of targeted resources.</w:t>
      </w:r>
    </w:p>
    <w:p w14:paraId="79E015D3" w14:textId="078B610C" w:rsidR="005B48C7" w:rsidRPr="005B48C7" w:rsidRDefault="000A1480" w:rsidP="00693FFE">
      <w:pPr>
        <w:pStyle w:val="ListParagraph"/>
        <w:numPr>
          <w:ilvl w:val="0"/>
          <w:numId w:val="40"/>
        </w:numPr>
        <w:rPr>
          <w:lang w:eastAsia="en-IE"/>
        </w:rPr>
      </w:pPr>
      <w:r>
        <w:t xml:space="preserve">The reasliation of the above </w:t>
      </w:r>
      <w:r w:rsidR="00BB71C9">
        <w:t xml:space="preserve">will require a planned and </w:t>
      </w:r>
      <w:r w:rsidR="00E66FA5">
        <w:t xml:space="preserve">structured approach. A working group should be </w:t>
      </w:r>
      <w:r w:rsidR="00C96512">
        <w:t xml:space="preserve">set up to </w:t>
      </w:r>
      <w:r w:rsidR="00E41A4B">
        <w:t xml:space="preserve">make recommendations on new models for </w:t>
      </w:r>
      <w:r w:rsidR="009603D6">
        <w:t xml:space="preserve">resource planning in </w:t>
      </w:r>
      <w:r w:rsidR="001E7021">
        <w:t>respect of housing and the built environment. F</w:t>
      </w:r>
      <w:r w:rsidR="006D7CAB">
        <w:t xml:space="preserve">urther research </w:t>
      </w:r>
      <w:r w:rsidR="005B48C7">
        <w:t xml:space="preserve">is </w:t>
      </w:r>
      <w:r w:rsidR="001E7021">
        <w:t>also</w:t>
      </w:r>
      <w:r w:rsidR="005B48C7">
        <w:t xml:space="preserve"> required to fully inform the </w:t>
      </w:r>
      <w:r w:rsidR="00F24A4D">
        <w:t xml:space="preserve">associated </w:t>
      </w:r>
      <w:r w:rsidR="005B48C7">
        <w:t xml:space="preserve">policy </w:t>
      </w:r>
      <w:r w:rsidR="001E7021">
        <w:t>implications</w:t>
      </w:r>
      <w:r w:rsidR="005B48C7">
        <w:t>.</w:t>
      </w:r>
    </w:p>
    <w:p w14:paraId="56FA2A09" w14:textId="0A3CC37F" w:rsidR="00695C14" w:rsidRPr="005B48C7" w:rsidRDefault="00695C14" w:rsidP="00695C14">
      <w:pPr>
        <w:pStyle w:val="Heading3"/>
        <w:rPr>
          <w:color w:val="auto"/>
          <w:lang w:eastAsia="en-IE"/>
        </w:rPr>
      </w:pPr>
      <w:r w:rsidRPr="005B48C7">
        <w:rPr>
          <w:color w:val="auto"/>
          <w:lang w:eastAsia="en-IE"/>
        </w:rPr>
        <w:t xml:space="preserve">Build the knowledge and skills of </w:t>
      </w:r>
      <w:r w:rsidR="0021186D" w:rsidRPr="005B48C7">
        <w:rPr>
          <w:color w:val="auto"/>
          <w:lang w:eastAsia="en-IE"/>
        </w:rPr>
        <w:t xml:space="preserve">professionals, </w:t>
      </w:r>
      <w:r w:rsidR="001B0E5F" w:rsidRPr="005B48C7">
        <w:rPr>
          <w:color w:val="auto"/>
          <w:lang w:eastAsia="en-IE"/>
        </w:rPr>
        <w:t>formal</w:t>
      </w:r>
      <w:r w:rsidRPr="005B48C7">
        <w:rPr>
          <w:color w:val="auto"/>
          <w:lang w:eastAsia="en-IE"/>
        </w:rPr>
        <w:t xml:space="preserve"> and informal carers</w:t>
      </w:r>
    </w:p>
    <w:p w14:paraId="45F5CAD5" w14:textId="33B76848" w:rsidR="00F24A4D" w:rsidRPr="00F24A4D" w:rsidRDefault="00F951BC" w:rsidP="00F24A4D">
      <w:pPr>
        <w:rPr>
          <w:lang w:eastAsia="en-IE"/>
        </w:rPr>
      </w:pPr>
      <w:r>
        <w:rPr>
          <w:lang w:eastAsia="en-IE"/>
        </w:rPr>
        <w:t xml:space="preserve">The provision of a responsive </w:t>
      </w:r>
      <w:r w:rsidR="00725A75">
        <w:rPr>
          <w:lang w:eastAsia="en-IE"/>
        </w:rPr>
        <w:t>service to meet changing needs is predicated on the availability of knowled</w:t>
      </w:r>
      <w:r w:rsidR="00803EE3">
        <w:rPr>
          <w:lang w:eastAsia="en-IE"/>
        </w:rPr>
        <w:t>geable and skill</w:t>
      </w:r>
      <w:r w:rsidR="00A15850">
        <w:rPr>
          <w:lang w:eastAsia="en-IE"/>
        </w:rPr>
        <w:t xml:space="preserve">ed professionals, </w:t>
      </w:r>
      <w:r w:rsidR="005A6872">
        <w:rPr>
          <w:lang w:eastAsia="en-IE"/>
        </w:rPr>
        <w:t>and care</w:t>
      </w:r>
      <w:r w:rsidR="00050458">
        <w:rPr>
          <w:lang w:eastAsia="en-IE"/>
        </w:rPr>
        <w:t xml:space="preserve">givers. </w:t>
      </w:r>
      <w:r w:rsidR="00F50831">
        <w:rPr>
          <w:lang w:eastAsia="en-IE"/>
        </w:rPr>
        <w:t>Th</w:t>
      </w:r>
      <w:r w:rsidR="00165487">
        <w:rPr>
          <w:lang w:eastAsia="en-IE"/>
        </w:rPr>
        <w:t>is study highlights the</w:t>
      </w:r>
      <w:r w:rsidR="00F50831">
        <w:rPr>
          <w:lang w:eastAsia="en-IE"/>
        </w:rPr>
        <w:t xml:space="preserve"> commitment of </w:t>
      </w:r>
      <w:r w:rsidR="002257A5">
        <w:rPr>
          <w:lang w:eastAsia="en-IE"/>
        </w:rPr>
        <w:t xml:space="preserve">staff </w:t>
      </w:r>
      <w:r w:rsidR="00165487">
        <w:rPr>
          <w:lang w:eastAsia="en-IE"/>
        </w:rPr>
        <w:t>to achieving the best possible outcomes for older people with intellectual disabilities</w:t>
      </w:r>
      <w:r w:rsidR="00CC3B06">
        <w:rPr>
          <w:lang w:eastAsia="en-IE"/>
        </w:rPr>
        <w:t xml:space="preserve">. This was attested to by </w:t>
      </w:r>
      <w:r w:rsidR="00BB50A9">
        <w:rPr>
          <w:lang w:eastAsia="en-IE"/>
        </w:rPr>
        <w:t>many family participants</w:t>
      </w:r>
      <w:r w:rsidR="00D65444">
        <w:rPr>
          <w:lang w:eastAsia="en-IE"/>
        </w:rPr>
        <w:t>.</w:t>
      </w:r>
      <w:r w:rsidR="007738F6">
        <w:rPr>
          <w:lang w:eastAsia="en-IE"/>
        </w:rPr>
        <w:t xml:space="preserve"> Deficiencies were identified, however, in respect of the staffing models </w:t>
      </w:r>
      <w:r w:rsidR="00605DC7">
        <w:rPr>
          <w:lang w:eastAsia="en-IE"/>
        </w:rPr>
        <w:t xml:space="preserve">and the availability of </w:t>
      </w:r>
      <w:r w:rsidR="00640ED1">
        <w:rPr>
          <w:lang w:eastAsia="en-IE"/>
        </w:rPr>
        <w:t>required skills</w:t>
      </w:r>
      <w:r w:rsidR="001C67AC">
        <w:rPr>
          <w:lang w:eastAsia="en-IE"/>
        </w:rPr>
        <w:t>.</w:t>
      </w:r>
      <w:r w:rsidR="00C566DD">
        <w:rPr>
          <w:lang w:eastAsia="en-IE"/>
        </w:rPr>
        <w:t xml:space="preserve"> Particular</w:t>
      </w:r>
      <w:r w:rsidR="0078517B">
        <w:rPr>
          <w:lang w:eastAsia="en-IE"/>
        </w:rPr>
        <w:t xml:space="preserve"> mention was made to the difficulty in </w:t>
      </w:r>
      <w:r w:rsidR="00693FFE">
        <w:rPr>
          <w:lang w:eastAsia="en-IE"/>
        </w:rPr>
        <w:t>recruiting</w:t>
      </w:r>
      <w:r w:rsidR="00EA2891">
        <w:rPr>
          <w:lang w:eastAsia="en-IE"/>
        </w:rPr>
        <w:t xml:space="preserve"> </w:t>
      </w:r>
      <w:r w:rsidR="00E94217">
        <w:rPr>
          <w:lang w:eastAsia="en-IE"/>
        </w:rPr>
        <w:t xml:space="preserve">specialist staff, particularly intellectual disability </w:t>
      </w:r>
      <w:r w:rsidR="00EA2891">
        <w:rPr>
          <w:lang w:eastAsia="en-IE"/>
        </w:rPr>
        <w:t>nurs</w:t>
      </w:r>
      <w:r w:rsidR="00E94217">
        <w:rPr>
          <w:lang w:eastAsia="en-IE"/>
        </w:rPr>
        <w:t>es, to meet complex health-related needs</w:t>
      </w:r>
      <w:r w:rsidR="00693FFE">
        <w:rPr>
          <w:lang w:eastAsia="en-IE"/>
        </w:rPr>
        <w:t>.</w:t>
      </w:r>
    </w:p>
    <w:p w14:paraId="0DEFEC72" w14:textId="2A576C73" w:rsidR="008F7CC9" w:rsidRDefault="00863656" w:rsidP="00D1061D">
      <w:pPr>
        <w:pStyle w:val="ListParagraph"/>
        <w:numPr>
          <w:ilvl w:val="0"/>
          <w:numId w:val="41"/>
        </w:numPr>
        <w:contextualSpacing w:val="0"/>
        <w:rPr>
          <w:lang w:eastAsia="en-IE"/>
        </w:rPr>
      </w:pPr>
      <w:r>
        <w:rPr>
          <w:rFonts w:eastAsia="Gill Sans MT" w:cs="Gill Sans MT"/>
          <w:szCs w:val="26"/>
        </w:rPr>
        <w:t xml:space="preserve">The rostering of staff in intellectual disability settings has traditionally been </w:t>
      </w:r>
      <w:r w:rsidR="00AF5170">
        <w:rPr>
          <w:rFonts w:eastAsia="Gill Sans MT" w:cs="Gill Sans MT"/>
          <w:szCs w:val="26"/>
        </w:rPr>
        <w:t xml:space="preserve">structured around periods of </w:t>
      </w:r>
      <w:r w:rsidR="006E111B">
        <w:rPr>
          <w:rFonts w:eastAsia="Gill Sans MT" w:cs="Gill Sans MT"/>
          <w:szCs w:val="26"/>
        </w:rPr>
        <w:t>greatest activity</w:t>
      </w:r>
      <w:r w:rsidR="00D46FCC">
        <w:rPr>
          <w:rFonts w:eastAsia="Gill Sans MT" w:cs="Gill Sans MT"/>
          <w:szCs w:val="26"/>
        </w:rPr>
        <w:t xml:space="preserve">. Thus, </w:t>
      </w:r>
      <w:r w:rsidR="00473C93">
        <w:rPr>
          <w:rFonts w:eastAsia="Gill Sans MT" w:cs="Gill Sans MT"/>
          <w:szCs w:val="26"/>
        </w:rPr>
        <w:t>greater numbers of staff</w:t>
      </w:r>
      <w:r w:rsidR="00D46FCC">
        <w:rPr>
          <w:rFonts w:eastAsia="Gill Sans MT" w:cs="Gill Sans MT"/>
          <w:szCs w:val="26"/>
        </w:rPr>
        <w:t xml:space="preserve"> </w:t>
      </w:r>
      <w:r w:rsidR="003E7B96">
        <w:rPr>
          <w:rFonts w:eastAsia="Gill Sans MT" w:cs="Gill Sans MT"/>
          <w:szCs w:val="26"/>
        </w:rPr>
        <w:t xml:space="preserve">were assigned to </w:t>
      </w:r>
      <w:r w:rsidR="00FB4B07">
        <w:rPr>
          <w:rFonts w:eastAsia="Gill Sans MT" w:cs="Gill Sans MT"/>
          <w:szCs w:val="26"/>
        </w:rPr>
        <w:t>week</w:t>
      </w:r>
      <w:r w:rsidR="00D42BEF">
        <w:rPr>
          <w:rFonts w:eastAsia="Gill Sans MT" w:cs="Gill Sans MT"/>
          <w:szCs w:val="26"/>
        </w:rPr>
        <w:t xml:space="preserve">days </w:t>
      </w:r>
      <w:r w:rsidR="00CD0AE1">
        <w:rPr>
          <w:rFonts w:eastAsia="Gill Sans MT" w:cs="Gill Sans MT"/>
          <w:szCs w:val="26"/>
        </w:rPr>
        <w:t xml:space="preserve">and </w:t>
      </w:r>
      <w:r w:rsidR="00404644">
        <w:rPr>
          <w:rFonts w:eastAsia="Gill Sans MT" w:cs="Gill Sans MT"/>
          <w:szCs w:val="26"/>
        </w:rPr>
        <w:t>less to nights and weekends</w:t>
      </w:r>
      <w:r w:rsidR="007D5EF5">
        <w:rPr>
          <w:rFonts w:eastAsia="Gill Sans MT" w:cs="Gill Sans MT"/>
          <w:szCs w:val="26"/>
        </w:rPr>
        <w:t xml:space="preserve">. Such </w:t>
      </w:r>
      <w:r w:rsidR="00790874">
        <w:rPr>
          <w:rFonts w:eastAsia="Gill Sans MT" w:cs="Gill Sans MT"/>
          <w:szCs w:val="26"/>
        </w:rPr>
        <w:t xml:space="preserve">approaches </w:t>
      </w:r>
      <w:r w:rsidR="00853DC0">
        <w:rPr>
          <w:rFonts w:eastAsia="Gill Sans MT" w:cs="Gill Sans MT"/>
          <w:szCs w:val="26"/>
        </w:rPr>
        <w:t xml:space="preserve">may have served a pattern </w:t>
      </w:r>
      <w:r w:rsidR="00633D83">
        <w:rPr>
          <w:rFonts w:eastAsia="Gill Sans MT" w:cs="Gill Sans MT"/>
          <w:szCs w:val="26"/>
        </w:rPr>
        <w:t xml:space="preserve">of living that was typical in intellectual disability services </w:t>
      </w:r>
      <w:r w:rsidR="005B1724">
        <w:rPr>
          <w:rFonts w:eastAsia="Gill Sans MT" w:cs="Gill Sans MT"/>
          <w:szCs w:val="26"/>
        </w:rPr>
        <w:t xml:space="preserve">for younger cohorts </w:t>
      </w:r>
      <w:r w:rsidR="003418B1">
        <w:rPr>
          <w:rFonts w:eastAsia="Gill Sans MT" w:cs="Gill Sans MT"/>
          <w:szCs w:val="26"/>
        </w:rPr>
        <w:t xml:space="preserve">of people. </w:t>
      </w:r>
      <w:r w:rsidR="00320847">
        <w:rPr>
          <w:rFonts w:eastAsia="Gill Sans MT" w:cs="Gill Sans MT"/>
          <w:szCs w:val="26"/>
        </w:rPr>
        <w:t xml:space="preserve">Ageing brings </w:t>
      </w:r>
      <w:r w:rsidR="00CE5626">
        <w:rPr>
          <w:rFonts w:eastAsia="Gill Sans MT" w:cs="Gill Sans MT"/>
          <w:szCs w:val="26"/>
        </w:rPr>
        <w:t xml:space="preserve">different </w:t>
      </w:r>
      <w:r w:rsidR="00630C15">
        <w:rPr>
          <w:rFonts w:eastAsia="Gill Sans MT" w:cs="Gill Sans MT"/>
          <w:szCs w:val="26"/>
        </w:rPr>
        <w:t xml:space="preserve">needs and different </w:t>
      </w:r>
      <w:r w:rsidR="002A530E">
        <w:rPr>
          <w:rFonts w:eastAsia="Gill Sans MT" w:cs="Gill Sans MT"/>
          <w:szCs w:val="26"/>
        </w:rPr>
        <w:t xml:space="preserve">patterns of living. </w:t>
      </w:r>
      <w:r w:rsidR="00AB714D">
        <w:rPr>
          <w:rFonts w:eastAsia="Gill Sans MT" w:cs="Gill Sans MT"/>
          <w:szCs w:val="26"/>
        </w:rPr>
        <w:t xml:space="preserve">Complexity, such as dementia, also </w:t>
      </w:r>
      <w:r w:rsidR="00854525">
        <w:rPr>
          <w:rFonts w:eastAsia="Gill Sans MT" w:cs="Gill Sans MT"/>
          <w:szCs w:val="26"/>
        </w:rPr>
        <w:t xml:space="preserve">leads to the need for </w:t>
      </w:r>
      <w:r w:rsidR="006876A7">
        <w:rPr>
          <w:rFonts w:eastAsia="Gill Sans MT" w:cs="Gill Sans MT"/>
          <w:szCs w:val="26"/>
        </w:rPr>
        <w:t xml:space="preserve">alternative ways of </w:t>
      </w:r>
      <w:r w:rsidR="00D150C1">
        <w:rPr>
          <w:rFonts w:eastAsia="Gill Sans MT" w:cs="Gill Sans MT"/>
          <w:szCs w:val="26"/>
        </w:rPr>
        <w:t xml:space="preserve">rostering staff. </w:t>
      </w:r>
      <w:r w:rsidR="0042252D">
        <w:rPr>
          <w:rFonts w:eastAsia="Gill Sans MT" w:cs="Gill Sans MT"/>
          <w:szCs w:val="26"/>
        </w:rPr>
        <w:t xml:space="preserve">Consideration should, therefore, be given to the </w:t>
      </w:r>
      <w:r w:rsidR="007433AD">
        <w:rPr>
          <w:rFonts w:eastAsia="Gill Sans MT" w:cs="Gill Sans MT"/>
          <w:szCs w:val="26"/>
        </w:rPr>
        <w:t>enactment of</w:t>
      </w:r>
      <w:r w:rsidR="002F523A">
        <w:rPr>
          <w:rFonts w:eastAsia="Gill Sans MT" w:cs="Gill Sans MT"/>
          <w:szCs w:val="26"/>
        </w:rPr>
        <w:t xml:space="preserve"> </w:t>
      </w:r>
      <w:r w:rsidR="008F7CC9">
        <w:rPr>
          <w:rFonts w:eastAsia="Gill Sans MT" w:cs="Gill Sans MT"/>
          <w:szCs w:val="26"/>
        </w:rPr>
        <w:t>dynamic staff roster</w:t>
      </w:r>
      <w:r w:rsidR="007433AD">
        <w:rPr>
          <w:rFonts w:eastAsia="Gill Sans MT" w:cs="Gill Sans MT"/>
          <w:szCs w:val="26"/>
        </w:rPr>
        <w:t xml:space="preserve">ing </w:t>
      </w:r>
      <w:r w:rsidR="00926EA2">
        <w:rPr>
          <w:rFonts w:eastAsia="Gill Sans MT" w:cs="Gill Sans MT"/>
          <w:szCs w:val="26"/>
        </w:rPr>
        <w:t xml:space="preserve">that can respond to changing needs. This will have a cost implication and will need to be configured within </w:t>
      </w:r>
      <w:r w:rsidR="00843EF3">
        <w:rPr>
          <w:rFonts w:eastAsia="Gill Sans MT" w:cs="Gill Sans MT"/>
          <w:szCs w:val="26"/>
        </w:rPr>
        <w:t xml:space="preserve">any new model of service for healthy ageing. </w:t>
      </w:r>
      <w:r w:rsidR="008F7CC9">
        <w:rPr>
          <w:rFonts w:eastAsia="Gill Sans MT" w:cs="Gill Sans MT"/>
          <w:szCs w:val="26"/>
        </w:rPr>
        <w:t xml:space="preserve"> </w:t>
      </w:r>
    </w:p>
    <w:p w14:paraId="1F5B26DE" w14:textId="23EDE14F" w:rsidR="008E765C" w:rsidRDefault="003146F4" w:rsidP="00D1061D">
      <w:pPr>
        <w:pStyle w:val="ListParagraph"/>
        <w:numPr>
          <w:ilvl w:val="0"/>
          <w:numId w:val="41"/>
        </w:numPr>
        <w:contextualSpacing w:val="0"/>
        <w:rPr>
          <w:lang w:eastAsia="en-IE"/>
        </w:rPr>
      </w:pPr>
      <w:r>
        <w:rPr>
          <w:lang w:eastAsia="en-IE"/>
        </w:rPr>
        <w:t>Staff</w:t>
      </w:r>
      <w:r w:rsidR="00710F01">
        <w:rPr>
          <w:lang w:eastAsia="en-IE"/>
        </w:rPr>
        <w:t>ing</w:t>
      </w:r>
      <w:r w:rsidR="00DE1D74">
        <w:rPr>
          <w:lang w:eastAsia="en-IE"/>
        </w:rPr>
        <w:t xml:space="preserve"> and</w:t>
      </w:r>
      <w:r w:rsidR="00710F01">
        <w:rPr>
          <w:lang w:eastAsia="en-IE"/>
        </w:rPr>
        <w:t xml:space="preserve"> skill</w:t>
      </w:r>
      <w:r w:rsidR="00AA664B">
        <w:rPr>
          <w:lang w:eastAsia="en-IE"/>
        </w:rPr>
        <w:t xml:space="preserve">-mix </w:t>
      </w:r>
      <w:r w:rsidR="000D7476">
        <w:rPr>
          <w:lang w:eastAsia="en-IE"/>
        </w:rPr>
        <w:t xml:space="preserve">were </w:t>
      </w:r>
      <w:r w:rsidR="00E8384E">
        <w:rPr>
          <w:lang w:eastAsia="en-IE"/>
        </w:rPr>
        <w:t xml:space="preserve">identified as </w:t>
      </w:r>
      <w:r w:rsidR="00E95535">
        <w:rPr>
          <w:lang w:eastAsia="en-IE"/>
        </w:rPr>
        <w:t xml:space="preserve">challenges </w:t>
      </w:r>
      <w:r w:rsidR="001E7CF2">
        <w:rPr>
          <w:lang w:eastAsia="en-IE"/>
        </w:rPr>
        <w:t xml:space="preserve">to implementing </w:t>
      </w:r>
      <w:r w:rsidR="00723050">
        <w:rPr>
          <w:lang w:eastAsia="en-IE"/>
        </w:rPr>
        <w:t xml:space="preserve">aged care. </w:t>
      </w:r>
      <w:r w:rsidR="006E4E9C">
        <w:rPr>
          <w:lang w:eastAsia="en-IE"/>
        </w:rPr>
        <w:t xml:space="preserve">New staffing </w:t>
      </w:r>
      <w:r w:rsidR="00D74486">
        <w:rPr>
          <w:lang w:eastAsia="en-IE"/>
        </w:rPr>
        <w:t>models</w:t>
      </w:r>
      <w:r w:rsidR="00D139EF">
        <w:rPr>
          <w:lang w:eastAsia="en-IE"/>
        </w:rPr>
        <w:t xml:space="preserve"> or workforce redesign should be explored</w:t>
      </w:r>
      <w:r w:rsidR="000B1A46">
        <w:rPr>
          <w:lang w:eastAsia="en-IE"/>
        </w:rPr>
        <w:t xml:space="preserve">, </w:t>
      </w:r>
      <w:r w:rsidR="006547FD">
        <w:rPr>
          <w:lang w:eastAsia="en-IE"/>
        </w:rPr>
        <w:t>guided</w:t>
      </w:r>
      <w:r w:rsidR="000B1A46">
        <w:rPr>
          <w:lang w:eastAsia="en-IE"/>
        </w:rPr>
        <w:t xml:space="preserve"> by </w:t>
      </w:r>
      <w:r w:rsidR="00A06733">
        <w:rPr>
          <w:lang w:eastAsia="en-IE"/>
        </w:rPr>
        <w:t xml:space="preserve">the </w:t>
      </w:r>
      <w:r w:rsidR="008E765C">
        <w:rPr>
          <w:lang w:eastAsia="en-IE"/>
        </w:rPr>
        <w:t xml:space="preserve">commitment </w:t>
      </w:r>
      <w:r w:rsidR="007C5C0D">
        <w:rPr>
          <w:lang w:eastAsia="en-IE"/>
        </w:rPr>
        <w:t>to</w:t>
      </w:r>
      <w:r w:rsidR="008E765C">
        <w:rPr>
          <w:lang w:eastAsia="en-IE"/>
        </w:rPr>
        <w:t xml:space="preserve"> meet </w:t>
      </w:r>
      <w:r w:rsidR="000B1A46">
        <w:rPr>
          <w:lang w:eastAsia="en-IE"/>
        </w:rPr>
        <w:t>the needs</w:t>
      </w:r>
      <w:r w:rsidR="001F1226">
        <w:rPr>
          <w:lang w:eastAsia="en-IE"/>
        </w:rPr>
        <w:t xml:space="preserve"> and wishes</w:t>
      </w:r>
      <w:r w:rsidR="000B1A46">
        <w:rPr>
          <w:lang w:eastAsia="en-IE"/>
        </w:rPr>
        <w:t xml:space="preserve"> of </w:t>
      </w:r>
      <w:r w:rsidR="001F1226">
        <w:rPr>
          <w:lang w:eastAsia="en-IE"/>
        </w:rPr>
        <w:t>older people</w:t>
      </w:r>
      <w:r w:rsidR="008E765C">
        <w:rPr>
          <w:lang w:eastAsia="en-IE"/>
        </w:rPr>
        <w:t>.</w:t>
      </w:r>
      <w:r w:rsidR="007839F2">
        <w:rPr>
          <w:lang w:eastAsia="en-IE"/>
        </w:rPr>
        <w:t xml:space="preserve"> This will likely </w:t>
      </w:r>
      <w:r w:rsidR="006C5BA3">
        <w:rPr>
          <w:lang w:eastAsia="en-IE"/>
        </w:rPr>
        <w:t>require reconsideration of the role</w:t>
      </w:r>
      <w:r w:rsidR="006735C7">
        <w:rPr>
          <w:lang w:eastAsia="en-IE"/>
        </w:rPr>
        <w:t xml:space="preserve">s of </w:t>
      </w:r>
      <w:r w:rsidR="004A05A2">
        <w:rPr>
          <w:lang w:eastAsia="en-IE"/>
        </w:rPr>
        <w:t>professional</w:t>
      </w:r>
      <w:r w:rsidR="0021186D">
        <w:rPr>
          <w:lang w:eastAsia="en-IE"/>
        </w:rPr>
        <w:t xml:space="preserve">s and other </w:t>
      </w:r>
      <w:r w:rsidR="001B0E5F">
        <w:rPr>
          <w:lang w:eastAsia="en-IE"/>
        </w:rPr>
        <w:t>formal carers</w:t>
      </w:r>
      <w:r w:rsidR="006C5BA3">
        <w:rPr>
          <w:lang w:eastAsia="en-IE"/>
        </w:rPr>
        <w:t xml:space="preserve"> </w:t>
      </w:r>
      <w:r w:rsidR="0021186D">
        <w:rPr>
          <w:lang w:eastAsia="en-IE"/>
        </w:rPr>
        <w:t>as well as introduction of</w:t>
      </w:r>
      <w:r w:rsidR="006C5BA3">
        <w:rPr>
          <w:lang w:eastAsia="en-IE"/>
        </w:rPr>
        <w:t xml:space="preserve"> </w:t>
      </w:r>
      <w:r w:rsidR="00491F1E">
        <w:rPr>
          <w:lang w:eastAsia="en-IE"/>
        </w:rPr>
        <w:t xml:space="preserve">financially viable </w:t>
      </w:r>
      <w:r w:rsidR="0054106D">
        <w:rPr>
          <w:lang w:eastAsia="en-IE"/>
        </w:rPr>
        <w:t xml:space="preserve">patterns of </w:t>
      </w:r>
      <w:r w:rsidR="00491F1E">
        <w:rPr>
          <w:lang w:eastAsia="en-IE"/>
        </w:rPr>
        <w:t xml:space="preserve">working </w:t>
      </w:r>
      <w:r w:rsidR="0021186D">
        <w:rPr>
          <w:lang w:eastAsia="en-IE"/>
        </w:rPr>
        <w:t>which</w:t>
      </w:r>
      <w:r w:rsidR="00491F1E">
        <w:rPr>
          <w:lang w:eastAsia="en-IE"/>
        </w:rPr>
        <w:t xml:space="preserve"> ensure </w:t>
      </w:r>
      <w:r w:rsidR="0021186D">
        <w:rPr>
          <w:lang w:eastAsia="en-IE"/>
        </w:rPr>
        <w:t xml:space="preserve">the availability of </w:t>
      </w:r>
      <w:r w:rsidR="004A05A2">
        <w:rPr>
          <w:lang w:eastAsia="en-IE"/>
        </w:rPr>
        <w:t xml:space="preserve">appropriate </w:t>
      </w:r>
      <w:r w:rsidR="00491F1E">
        <w:rPr>
          <w:lang w:eastAsia="en-IE"/>
        </w:rPr>
        <w:t xml:space="preserve">support </w:t>
      </w:r>
      <w:r w:rsidR="0021186D">
        <w:rPr>
          <w:lang w:eastAsia="en-IE"/>
        </w:rPr>
        <w:t>when required</w:t>
      </w:r>
      <w:r w:rsidR="004A05A2">
        <w:rPr>
          <w:lang w:eastAsia="en-IE"/>
        </w:rPr>
        <w:t>.</w:t>
      </w:r>
      <w:r w:rsidR="00A620BF">
        <w:rPr>
          <w:lang w:eastAsia="en-IE"/>
        </w:rPr>
        <w:t xml:space="preserve"> </w:t>
      </w:r>
      <w:r w:rsidR="004A670D">
        <w:rPr>
          <w:lang w:eastAsia="en-IE"/>
        </w:rPr>
        <w:t xml:space="preserve">This may also be </w:t>
      </w:r>
      <w:r w:rsidR="003C5D33">
        <w:rPr>
          <w:lang w:eastAsia="en-IE"/>
        </w:rPr>
        <w:t xml:space="preserve">informed by the use of resource allocation modelling. </w:t>
      </w:r>
    </w:p>
    <w:p w14:paraId="4A6F24B0" w14:textId="0121B858" w:rsidR="00D210D2" w:rsidRDefault="00293175" w:rsidP="00D1061D">
      <w:pPr>
        <w:pStyle w:val="ListParagraph"/>
        <w:numPr>
          <w:ilvl w:val="0"/>
          <w:numId w:val="41"/>
        </w:numPr>
        <w:contextualSpacing w:val="0"/>
        <w:rPr>
          <w:lang w:eastAsia="en-IE"/>
        </w:rPr>
      </w:pPr>
      <w:r>
        <w:rPr>
          <w:lang w:eastAsia="en-IE"/>
        </w:rPr>
        <w:t xml:space="preserve">The relatively recent </w:t>
      </w:r>
      <w:r w:rsidR="00453E69">
        <w:rPr>
          <w:lang w:eastAsia="en-IE"/>
        </w:rPr>
        <w:t xml:space="preserve">increase in the expected lifespan of people with intellectual disabilities has </w:t>
      </w:r>
      <w:r w:rsidR="00D4260E">
        <w:rPr>
          <w:lang w:eastAsia="en-IE"/>
        </w:rPr>
        <w:t xml:space="preserve">brought with it </w:t>
      </w:r>
      <w:r w:rsidR="00A96DDC">
        <w:rPr>
          <w:lang w:eastAsia="en-IE"/>
        </w:rPr>
        <w:t xml:space="preserve">new and emerging </w:t>
      </w:r>
      <w:r w:rsidR="00E66082">
        <w:rPr>
          <w:lang w:eastAsia="en-IE"/>
        </w:rPr>
        <w:t xml:space="preserve">complexity and other </w:t>
      </w:r>
      <w:r w:rsidR="00FD7A29">
        <w:rPr>
          <w:lang w:eastAsia="en-IE"/>
        </w:rPr>
        <w:t>issues. There</w:t>
      </w:r>
      <w:r w:rsidR="00D54A4F">
        <w:rPr>
          <w:lang w:eastAsia="en-IE"/>
        </w:rPr>
        <w:t xml:space="preserve"> is an urgent need </w:t>
      </w:r>
      <w:r w:rsidR="00C220E8">
        <w:rPr>
          <w:lang w:eastAsia="en-IE"/>
        </w:rPr>
        <w:t>to provide</w:t>
      </w:r>
      <w:r w:rsidR="00D54A4F">
        <w:rPr>
          <w:lang w:eastAsia="en-IE"/>
        </w:rPr>
        <w:t xml:space="preserve"> </w:t>
      </w:r>
      <w:r w:rsidR="00C220E8">
        <w:rPr>
          <w:lang w:eastAsia="en-IE"/>
        </w:rPr>
        <w:t>professionals, carers and families</w:t>
      </w:r>
      <w:r w:rsidR="00A85497">
        <w:rPr>
          <w:lang w:eastAsia="en-IE"/>
        </w:rPr>
        <w:t xml:space="preserve"> with</w:t>
      </w:r>
      <w:r w:rsidR="00C220E8">
        <w:rPr>
          <w:lang w:eastAsia="en-IE"/>
        </w:rPr>
        <w:t xml:space="preserve"> </w:t>
      </w:r>
      <w:r w:rsidR="00A85497">
        <w:rPr>
          <w:lang w:eastAsia="en-IE"/>
        </w:rPr>
        <w:t>education and training how to best</w:t>
      </w:r>
      <w:r w:rsidR="00905D25">
        <w:rPr>
          <w:lang w:eastAsia="en-IE"/>
        </w:rPr>
        <w:t xml:space="preserve"> support older people with intellectual disabilities</w:t>
      </w:r>
      <w:r w:rsidR="007E01AE">
        <w:rPr>
          <w:lang w:eastAsia="en-IE"/>
        </w:rPr>
        <w:t xml:space="preserve">. </w:t>
      </w:r>
      <w:r w:rsidR="00FD7A29">
        <w:rPr>
          <w:lang w:eastAsia="en-IE"/>
        </w:rPr>
        <w:t>There</w:t>
      </w:r>
      <w:r w:rsidR="00D45D34">
        <w:rPr>
          <w:lang w:eastAsia="en-IE"/>
        </w:rPr>
        <w:t xml:space="preserve"> is also a need for such education and train</w:t>
      </w:r>
      <w:r w:rsidR="003B65D7">
        <w:rPr>
          <w:lang w:eastAsia="en-IE"/>
        </w:rPr>
        <w:t>in</w:t>
      </w:r>
      <w:r w:rsidR="00D45D34">
        <w:rPr>
          <w:lang w:eastAsia="en-IE"/>
        </w:rPr>
        <w:t xml:space="preserve">g to be </w:t>
      </w:r>
      <w:r w:rsidR="009C6759">
        <w:rPr>
          <w:lang w:eastAsia="en-IE"/>
        </w:rPr>
        <w:t xml:space="preserve">provided </w:t>
      </w:r>
      <w:r w:rsidR="003B65D7">
        <w:rPr>
          <w:lang w:eastAsia="en-IE"/>
        </w:rPr>
        <w:t xml:space="preserve">to those who provide </w:t>
      </w:r>
      <w:r w:rsidR="00647582">
        <w:rPr>
          <w:lang w:eastAsia="en-IE"/>
        </w:rPr>
        <w:t xml:space="preserve">services to older people in mainstream </w:t>
      </w:r>
      <w:r w:rsidR="004B203E">
        <w:rPr>
          <w:lang w:eastAsia="en-IE"/>
        </w:rPr>
        <w:t>health and social care settings</w:t>
      </w:r>
      <w:r w:rsidR="00837D97">
        <w:rPr>
          <w:lang w:eastAsia="en-IE"/>
        </w:rPr>
        <w:t>.</w:t>
      </w:r>
      <w:r w:rsidR="009C6759">
        <w:rPr>
          <w:lang w:eastAsia="en-IE"/>
        </w:rPr>
        <w:t xml:space="preserve"> </w:t>
      </w:r>
      <w:r w:rsidR="00A00451">
        <w:rPr>
          <w:lang w:eastAsia="en-IE"/>
        </w:rPr>
        <w:t>Education and training should include</w:t>
      </w:r>
      <w:r w:rsidR="00F31A60">
        <w:rPr>
          <w:lang w:eastAsia="en-IE"/>
        </w:rPr>
        <w:t xml:space="preserve"> the following content:</w:t>
      </w:r>
    </w:p>
    <w:p w14:paraId="0EFF0B33" w14:textId="332D0D1E" w:rsidR="00F31A60" w:rsidRDefault="00B940B0" w:rsidP="00D1061D">
      <w:pPr>
        <w:pStyle w:val="ListParagraph"/>
        <w:numPr>
          <w:ilvl w:val="1"/>
          <w:numId w:val="41"/>
        </w:numPr>
        <w:contextualSpacing w:val="0"/>
        <w:rPr>
          <w:lang w:eastAsia="en-IE"/>
        </w:rPr>
      </w:pPr>
      <w:r>
        <w:rPr>
          <w:lang w:eastAsia="en-IE"/>
        </w:rPr>
        <w:t>Person-centred support</w:t>
      </w:r>
      <w:r w:rsidR="00C95F42">
        <w:rPr>
          <w:lang w:eastAsia="en-IE"/>
        </w:rPr>
        <w:t xml:space="preserve"> approaches</w:t>
      </w:r>
    </w:p>
    <w:p w14:paraId="1212EA2D" w14:textId="363B4970" w:rsidR="006A515D" w:rsidRDefault="006A515D" w:rsidP="00D1061D">
      <w:pPr>
        <w:pStyle w:val="ListParagraph"/>
        <w:numPr>
          <w:ilvl w:val="1"/>
          <w:numId w:val="41"/>
        </w:numPr>
        <w:contextualSpacing w:val="0"/>
        <w:rPr>
          <w:lang w:eastAsia="en-IE"/>
        </w:rPr>
      </w:pPr>
      <w:r>
        <w:rPr>
          <w:lang w:eastAsia="en-IE"/>
        </w:rPr>
        <w:t>Health ageing in the context of intellectual disabilities</w:t>
      </w:r>
    </w:p>
    <w:p w14:paraId="25030DEA" w14:textId="52A5C0F1" w:rsidR="00C95F42" w:rsidRDefault="00A14F0B" w:rsidP="00D1061D">
      <w:pPr>
        <w:pStyle w:val="ListParagraph"/>
        <w:numPr>
          <w:ilvl w:val="1"/>
          <w:numId w:val="41"/>
        </w:numPr>
        <w:contextualSpacing w:val="0"/>
        <w:rPr>
          <w:lang w:eastAsia="en-IE"/>
        </w:rPr>
      </w:pPr>
      <w:r>
        <w:rPr>
          <w:lang w:eastAsia="en-IE"/>
        </w:rPr>
        <w:t xml:space="preserve">Age-related </w:t>
      </w:r>
      <w:r w:rsidR="008B7EF4">
        <w:rPr>
          <w:lang w:eastAsia="en-IE"/>
        </w:rPr>
        <w:t>c</w:t>
      </w:r>
      <w:r w:rsidR="00225280">
        <w:rPr>
          <w:lang w:eastAsia="en-IE"/>
        </w:rPr>
        <w:t>omplex</w:t>
      </w:r>
      <w:r w:rsidR="008B7EF4">
        <w:rPr>
          <w:lang w:eastAsia="en-IE"/>
        </w:rPr>
        <w:t xml:space="preserve">ity and </w:t>
      </w:r>
      <w:r w:rsidR="008E6D1E">
        <w:rPr>
          <w:lang w:eastAsia="en-IE"/>
        </w:rPr>
        <w:t>evidence-based interventions</w:t>
      </w:r>
    </w:p>
    <w:p w14:paraId="4567727F" w14:textId="2078AE3F" w:rsidR="008E6D1E" w:rsidRDefault="00D53104" w:rsidP="00D1061D">
      <w:pPr>
        <w:pStyle w:val="ListParagraph"/>
        <w:numPr>
          <w:ilvl w:val="1"/>
          <w:numId w:val="41"/>
        </w:numPr>
        <w:contextualSpacing w:val="0"/>
        <w:rPr>
          <w:lang w:eastAsia="en-IE"/>
        </w:rPr>
      </w:pPr>
      <w:r>
        <w:rPr>
          <w:lang w:eastAsia="en-IE"/>
        </w:rPr>
        <w:t xml:space="preserve">Health interventions </w:t>
      </w:r>
      <w:r w:rsidR="0040076B">
        <w:rPr>
          <w:lang w:eastAsia="en-IE"/>
        </w:rPr>
        <w:t xml:space="preserve">pertinent to prevalent </w:t>
      </w:r>
      <w:r w:rsidR="007C2A78">
        <w:rPr>
          <w:lang w:eastAsia="en-IE"/>
        </w:rPr>
        <w:t>conditions</w:t>
      </w:r>
      <w:r w:rsidR="0040076B">
        <w:rPr>
          <w:lang w:eastAsia="en-IE"/>
        </w:rPr>
        <w:t xml:space="preserve">, including </w:t>
      </w:r>
      <w:r w:rsidR="00E26C6B">
        <w:rPr>
          <w:lang w:eastAsia="en-IE"/>
        </w:rPr>
        <w:t>dementia</w:t>
      </w:r>
      <w:r w:rsidR="00821F28">
        <w:rPr>
          <w:lang w:eastAsia="en-IE"/>
        </w:rPr>
        <w:t xml:space="preserve">, </w:t>
      </w:r>
      <w:r w:rsidR="00E26C6B">
        <w:rPr>
          <w:lang w:eastAsia="en-IE"/>
        </w:rPr>
        <w:t>palliative care</w:t>
      </w:r>
      <w:r w:rsidR="009E5B67">
        <w:rPr>
          <w:lang w:eastAsia="en-IE"/>
        </w:rPr>
        <w:t>,</w:t>
      </w:r>
      <w:r w:rsidR="00AC1454">
        <w:rPr>
          <w:lang w:eastAsia="en-IE"/>
        </w:rPr>
        <w:t xml:space="preserve"> </w:t>
      </w:r>
      <w:r w:rsidR="00892722">
        <w:rPr>
          <w:lang w:eastAsia="en-IE"/>
        </w:rPr>
        <w:t>mental health</w:t>
      </w:r>
      <w:r w:rsidR="00AC1454">
        <w:rPr>
          <w:lang w:eastAsia="en-IE"/>
        </w:rPr>
        <w:t>,</w:t>
      </w:r>
      <w:r w:rsidR="009E5B67">
        <w:rPr>
          <w:lang w:eastAsia="en-IE"/>
        </w:rPr>
        <w:t xml:space="preserve"> </w:t>
      </w:r>
      <w:r w:rsidR="000A7F14">
        <w:rPr>
          <w:lang w:eastAsia="en-IE"/>
        </w:rPr>
        <w:t>pain, chronic illness</w:t>
      </w:r>
      <w:r w:rsidR="009729F8">
        <w:rPr>
          <w:lang w:eastAsia="en-IE"/>
        </w:rPr>
        <w:t>, osteoporosis</w:t>
      </w:r>
      <w:r w:rsidR="009E5B67">
        <w:rPr>
          <w:lang w:eastAsia="en-IE"/>
        </w:rPr>
        <w:t xml:space="preserve"> and </w:t>
      </w:r>
      <w:r w:rsidR="000A7F14">
        <w:rPr>
          <w:lang w:eastAsia="en-IE"/>
        </w:rPr>
        <w:t>polypharmacy</w:t>
      </w:r>
    </w:p>
    <w:p w14:paraId="3B7B1C36" w14:textId="5FB22416" w:rsidR="00527AE0" w:rsidRDefault="00BE4BE7" w:rsidP="00D1061D">
      <w:pPr>
        <w:pStyle w:val="ListParagraph"/>
        <w:numPr>
          <w:ilvl w:val="1"/>
          <w:numId w:val="41"/>
        </w:numPr>
        <w:contextualSpacing w:val="0"/>
        <w:rPr>
          <w:lang w:eastAsia="en-IE"/>
        </w:rPr>
      </w:pPr>
      <w:r>
        <w:rPr>
          <w:lang w:eastAsia="en-IE"/>
        </w:rPr>
        <w:t>Advanced planning</w:t>
      </w:r>
      <w:r w:rsidR="00A87587">
        <w:rPr>
          <w:lang w:eastAsia="en-IE"/>
        </w:rPr>
        <w:t xml:space="preserve"> and end of life care:</w:t>
      </w:r>
      <w:r w:rsidR="00527AE0">
        <w:t xml:space="preserve"> understanding the wishes of the older person for their last days, the suitability of extraordinary measures</w:t>
      </w:r>
      <w:r w:rsidR="00A87587">
        <w:t xml:space="preserve"> (for example, </w:t>
      </w:r>
      <w:r w:rsidR="00527AE0">
        <w:t>enteral feeds and ventilators</w:t>
      </w:r>
      <w:r w:rsidR="00A87587">
        <w:t xml:space="preserve">); </w:t>
      </w:r>
      <w:r w:rsidR="00527AE0">
        <w:t xml:space="preserve">management of </w:t>
      </w:r>
      <w:r w:rsidR="00A87587">
        <w:t xml:space="preserve">the person’s </w:t>
      </w:r>
      <w:r w:rsidR="00527AE0">
        <w:t>last days and death</w:t>
      </w:r>
      <w:r w:rsidR="00A87587">
        <w:t>,</w:t>
      </w:r>
      <w:r w:rsidR="00527AE0">
        <w:t xml:space="preserve"> including grieving </w:t>
      </w:r>
      <w:r w:rsidR="00A87587">
        <w:t>and bereavement</w:t>
      </w:r>
    </w:p>
    <w:p w14:paraId="53ED9A83" w14:textId="77CAF2FB" w:rsidR="09D88360" w:rsidRPr="00D1061D" w:rsidRDefault="00D3067C" w:rsidP="00D1061D">
      <w:pPr>
        <w:pStyle w:val="ListParagraph"/>
        <w:numPr>
          <w:ilvl w:val="0"/>
          <w:numId w:val="41"/>
        </w:numPr>
        <w:spacing w:line="257" w:lineRule="auto"/>
        <w:rPr>
          <w:rFonts w:eastAsia="Gill Sans" w:cs="Gill Sans"/>
          <w:szCs w:val="26"/>
        </w:rPr>
      </w:pPr>
      <w:r>
        <w:rPr>
          <w:rFonts w:eastAsia="Gill Sans" w:cs="Gill Sans"/>
          <w:szCs w:val="26"/>
        </w:rPr>
        <w:t xml:space="preserve">It is clear that </w:t>
      </w:r>
      <w:r w:rsidR="00C34217">
        <w:rPr>
          <w:rFonts w:eastAsia="Gill Sans" w:cs="Gill Sans"/>
          <w:szCs w:val="26"/>
        </w:rPr>
        <w:t xml:space="preserve">many people </w:t>
      </w:r>
      <w:r w:rsidR="00D43536">
        <w:rPr>
          <w:rFonts w:eastAsia="Gill Sans" w:cs="Gill Sans"/>
          <w:szCs w:val="26"/>
        </w:rPr>
        <w:t xml:space="preserve">with intellectual disabilities </w:t>
      </w:r>
      <w:r w:rsidR="00C34217">
        <w:rPr>
          <w:rFonts w:eastAsia="Gill Sans" w:cs="Gill Sans"/>
          <w:szCs w:val="26"/>
        </w:rPr>
        <w:t>will continue to avail of disability services as they age</w:t>
      </w:r>
      <w:r w:rsidR="00D43536">
        <w:rPr>
          <w:rFonts w:eastAsia="Gill Sans" w:cs="Gill Sans"/>
          <w:szCs w:val="26"/>
        </w:rPr>
        <w:t>. Th</w:t>
      </w:r>
      <w:r w:rsidR="00D0276B">
        <w:rPr>
          <w:rFonts w:eastAsia="Gill Sans" w:cs="Gill Sans"/>
          <w:szCs w:val="26"/>
        </w:rPr>
        <w:t>is study has highlighted that, with increasing numbers of older people, there will</w:t>
      </w:r>
      <w:r w:rsidR="002407E5">
        <w:rPr>
          <w:rFonts w:eastAsia="Gill Sans" w:cs="Gill Sans"/>
          <w:szCs w:val="26"/>
        </w:rPr>
        <w:t>, for some people, need to be a focus on related health</w:t>
      </w:r>
      <w:r w:rsidR="00D43536">
        <w:rPr>
          <w:rFonts w:eastAsia="Gill Sans" w:cs="Gill Sans"/>
          <w:szCs w:val="26"/>
        </w:rPr>
        <w:t xml:space="preserve"> </w:t>
      </w:r>
      <w:r w:rsidR="002407E5">
        <w:rPr>
          <w:rFonts w:eastAsia="Gill Sans" w:cs="Gill Sans"/>
          <w:szCs w:val="26"/>
        </w:rPr>
        <w:t xml:space="preserve">needs. The role of the </w:t>
      </w:r>
      <w:r w:rsidR="00693FFE" w:rsidRPr="00D1061D">
        <w:rPr>
          <w:rFonts w:eastAsia="Gill Sans" w:cs="Gill Sans"/>
          <w:szCs w:val="26"/>
        </w:rPr>
        <w:t>RNID</w:t>
      </w:r>
      <w:r w:rsidR="002407E5">
        <w:rPr>
          <w:rFonts w:eastAsia="Gill Sans" w:cs="Gill Sans"/>
          <w:szCs w:val="26"/>
        </w:rPr>
        <w:t xml:space="preserve"> was identified as being important in this regard, but </w:t>
      </w:r>
      <w:r w:rsidR="00E7595D">
        <w:rPr>
          <w:rFonts w:eastAsia="Gill Sans" w:cs="Gill Sans"/>
          <w:szCs w:val="26"/>
        </w:rPr>
        <w:t xml:space="preserve">challenges in recruiting such nurses were highlighted. </w:t>
      </w:r>
      <w:r w:rsidR="00BB17EE">
        <w:rPr>
          <w:rFonts w:eastAsia="Gill Sans" w:cs="Gill Sans"/>
          <w:szCs w:val="26"/>
        </w:rPr>
        <w:t xml:space="preserve">Workforce </w:t>
      </w:r>
      <w:r w:rsidR="00715C6F">
        <w:rPr>
          <w:rFonts w:eastAsia="Gill Sans" w:cs="Gill Sans"/>
          <w:szCs w:val="26"/>
        </w:rPr>
        <w:t xml:space="preserve">planning should be undertaken to identify prospected </w:t>
      </w:r>
      <w:r w:rsidR="00893173">
        <w:rPr>
          <w:rFonts w:eastAsia="Gill Sans" w:cs="Gill Sans"/>
          <w:szCs w:val="26"/>
        </w:rPr>
        <w:t>staffing need</w:t>
      </w:r>
      <w:r w:rsidR="00067A56">
        <w:rPr>
          <w:rFonts w:eastAsia="Gill Sans" w:cs="Gill Sans"/>
          <w:szCs w:val="26"/>
        </w:rPr>
        <w:t>s</w:t>
      </w:r>
      <w:r w:rsidR="00C023F1">
        <w:rPr>
          <w:rFonts w:eastAsia="Gill Sans" w:cs="Gill Sans"/>
          <w:szCs w:val="26"/>
        </w:rPr>
        <w:t xml:space="preserve"> and </w:t>
      </w:r>
      <w:r w:rsidR="00067A56">
        <w:rPr>
          <w:rFonts w:eastAsia="Gill Sans" w:cs="Gill Sans"/>
          <w:szCs w:val="26"/>
        </w:rPr>
        <w:t>strategies</w:t>
      </w:r>
      <w:r w:rsidR="00C023F1">
        <w:rPr>
          <w:rFonts w:eastAsia="Gill Sans" w:cs="Gill Sans"/>
          <w:szCs w:val="26"/>
        </w:rPr>
        <w:t xml:space="preserve"> should be </w:t>
      </w:r>
      <w:r w:rsidR="00067A56">
        <w:rPr>
          <w:rFonts w:eastAsia="Gill Sans" w:cs="Gill Sans"/>
          <w:szCs w:val="26"/>
        </w:rPr>
        <w:t xml:space="preserve">enacted to </w:t>
      </w:r>
      <w:r w:rsidR="00D00BBC">
        <w:rPr>
          <w:rFonts w:eastAsia="Gill Sans" w:cs="Gill Sans"/>
          <w:szCs w:val="26"/>
        </w:rPr>
        <w:t xml:space="preserve">increase the number of RNIDs </w:t>
      </w:r>
      <w:r w:rsidR="00B87435">
        <w:rPr>
          <w:rFonts w:eastAsia="Gill Sans" w:cs="Gill Sans"/>
          <w:szCs w:val="26"/>
        </w:rPr>
        <w:t>being educated for the Irish intellectual disability services.</w:t>
      </w:r>
    </w:p>
    <w:p w14:paraId="093A61EB" w14:textId="09769994" w:rsidR="00B702CB" w:rsidRPr="00DB04D5" w:rsidRDefault="004B59E9" w:rsidP="00040E5A">
      <w:pPr>
        <w:pStyle w:val="Heading1"/>
        <w:rPr>
          <w:rFonts w:ascii="Consolas" w:eastAsia="SimSun" w:hAnsi="Consolas" w:cs="Consolas"/>
          <w:sz w:val="22"/>
          <w:szCs w:val="22"/>
          <w:lang w:eastAsia="en-IE"/>
        </w:rPr>
      </w:pPr>
      <w:r w:rsidRPr="00DB04D5">
        <w:br w:type="page"/>
      </w:r>
      <w:bookmarkStart w:id="289" w:name="_Toc118555226"/>
      <w:bookmarkStart w:id="290" w:name="_Toc118558316"/>
      <w:bookmarkStart w:id="291" w:name="_Toc118558384"/>
      <w:bookmarkStart w:id="292" w:name="_Toc121830641"/>
      <w:r w:rsidR="001C02C5">
        <w:t>References</w:t>
      </w:r>
      <w:bookmarkEnd w:id="289"/>
      <w:bookmarkEnd w:id="290"/>
      <w:bookmarkEnd w:id="291"/>
      <w:bookmarkEnd w:id="292"/>
    </w:p>
    <w:p w14:paraId="1AE90867" w14:textId="77777777" w:rsidR="00D00607" w:rsidRPr="00D00607" w:rsidRDefault="00B702CB" w:rsidP="00D00607">
      <w:pPr>
        <w:pStyle w:val="EndNoteBibliography"/>
        <w:spacing w:after="0"/>
        <w:ind w:left="720" w:hanging="720"/>
      </w:pPr>
      <w:r>
        <w:fldChar w:fldCharType="begin"/>
      </w:r>
      <w:r>
        <w:instrText xml:space="preserve"> ADDIN EN.REFLIST </w:instrText>
      </w:r>
      <w:r>
        <w:fldChar w:fldCharType="separate"/>
      </w:r>
      <w:r w:rsidR="00D00607" w:rsidRPr="00D00607">
        <w:t>Abdi, S., Spann, A., Borilovic, J., De Witte, L., &amp; Hawley, M. (2019), 'Understanding the care and support needs of older people: a scoping review and categorisation using the WHO international classification of functioning, disability and health framework (ICF)'.</w:t>
      </w:r>
      <w:r w:rsidR="00D00607" w:rsidRPr="00D00607">
        <w:rPr>
          <w:b/>
        </w:rPr>
        <w:t xml:space="preserve"> BMC Geriatrics</w:t>
      </w:r>
      <w:r w:rsidR="00D00607" w:rsidRPr="00D00607">
        <w:t xml:space="preserve">, 19(1). </w:t>
      </w:r>
    </w:p>
    <w:p w14:paraId="230AC0C4" w14:textId="77777777" w:rsidR="00D00607" w:rsidRPr="00D00607" w:rsidRDefault="00D00607" w:rsidP="00D00607">
      <w:pPr>
        <w:pStyle w:val="EndNoteBibliography"/>
        <w:spacing w:after="0"/>
        <w:ind w:left="720" w:hanging="720"/>
      </w:pPr>
      <w:r w:rsidRPr="00D00607">
        <w:t>Adam, E., Sleeman, K. E., Brearley, S., Hunt, K., &amp; Tuffrey-Wijne, I. (2020), 'The palliative care needs of adults with intellectual disabilities and their access to palliative care services: A systematic review'.</w:t>
      </w:r>
      <w:r w:rsidRPr="00D00607">
        <w:rPr>
          <w:b/>
        </w:rPr>
        <w:t xml:space="preserve"> Palliative medicine</w:t>
      </w:r>
      <w:r w:rsidRPr="00D00607">
        <w:t xml:space="preserve">, 34(8), 1006-1018. </w:t>
      </w:r>
    </w:p>
    <w:p w14:paraId="0DB828DF" w14:textId="77777777" w:rsidR="00D00607" w:rsidRPr="00D00607" w:rsidRDefault="00D00607" w:rsidP="00D00607">
      <w:pPr>
        <w:pStyle w:val="EndNoteBibliography"/>
        <w:spacing w:after="0"/>
        <w:ind w:left="720" w:hanging="720"/>
      </w:pPr>
      <w:r w:rsidRPr="00D00607">
        <w:t>Alcedo, M. Á., Fontanil, Y., Solís, P., Pedrosa, I., &amp; Aguado, A. L. (2017), 'People with intellectual disability who are ageing: Perceived needs assessment'.</w:t>
      </w:r>
      <w:r w:rsidRPr="00D00607">
        <w:rPr>
          <w:b/>
        </w:rPr>
        <w:t xml:space="preserve"> International Journal of Clinical and Health Psychology</w:t>
      </w:r>
      <w:r w:rsidRPr="00D00607">
        <w:t xml:space="preserve">, 17(1). </w:t>
      </w:r>
    </w:p>
    <w:p w14:paraId="699E769C" w14:textId="77777777" w:rsidR="00D00607" w:rsidRPr="00D00607" w:rsidRDefault="00D00607" w:rsidP="00D00607">
      <w:pPr>
        <w:pStyle w:val="EndNoteBibliography"/>
        <w:spacing w:after="0"/>
        <w:ind w:left="720" w:hanging="720"/>
      </w:pPr>
      <w:r w:rsidRPr="00D00607">
        <w:t>Alftberg, Å., Johansson, M., &amp; Ahlström, G. (2021), 'Ambivalence among staff regarding ageing with intellectual disabilities: Experiences and reflections'.</w:t>
      </w:r>
      <w:r w:rsidRPr="00D00607">
        <w:rPr>
          <w:b/>
        </w:rPr>
        <w:t xml:space="preserve"> Journal of Intellectual Disabilities</w:t>
      </w:r>
      <w:r w:rsidRPr="00D00607">
        <w:t xml:space="preserve">, 25(2). </w:t>
      </w:r>
    </w:p>
    <w:p w14:paraId="1369C3F5" w14:textId="77777777" w:rsidR="00D00607" w:rsidRPr="00D00607" w:rsidRDefault="00D00607" w:rsidP="00D00607">
      <w:pPr>
        <w:pStyle w:val="EndNoteBibliography"/>
        <w:spacing w:after="0"/>
        <w:ind w:left="720" w:hanging="720"/>
      </w:pPr>
      <w:r w:rsidRPr="00D00607">
        <w:t>American Geriatrics Society (2016), 'Person-Centered Care: A Definition and Essential Elements'.</w:t>
      </w:r>
      <w:r w:rsidRPr="00D00607">
        <w:rPr>
          <w:b/>
        </w:rPr>
        <w:t xml:space="preserve"> Journal of the American Geriatrics Society</w:t>
      </w:r>
      <w:r w:rsidRPr="00D00607">
        <w:t xml:space="preserve">, 64(1), 15-18. </w:t>
      </w:r>
    </w:p>
    <w:p w14:paraId="340F8562" w14:textId="77777777" w:rsidR="00D00607" w:rsidRPr="00D00607" w:rsidRDefault="00D00607" w:rsidP="00D00607">
      <w:pPr>
        <w:pStyle w:val="EndNoteBibliography"/>
        <w:spacing w:after="0"/>
        <w:ind w:left="720" w:hanging="720"/>
      </w:pPr>
      <w:r w:rsidRPr="00D00607">
        <w:t>Bekkema, N., De Veer, A. J. E., Hertogh, C. M. P. M., &amp; Francke, A. L. (2015a), '‘From activating towards caring’: shifts in care approaches at the end of life of people with intellectual disabilities; a qualitative study of the perspectives of relatives, care-staff and physicians'.</w:t>
      </w:r>
      <w:r w:rsidRPr="00D00607">
        <w:rPr>
          <w:b/>
        </w:rPr>
        <w:t xml:space="preserve"> BMC Palliative Care</w:t>
      </w:r>
      <w:r w:rsidRPr="00D00607">
        <w:t xml:space="preserve">, 14(1). </w:t>
      </w:r>
    </w:p>
    <w:p w14:paraId="5785C725" w14:textId="77777777" w:rsidR="00D00607" w:rsidRPr="00D00607" w:rsidRDefault="00D00607" w:rsidP="00D00607">
      <w:pPr>
        <w:pStyle w:val="EndNoteBibliography"/>
        <w:spacing w:after="0"/>
        <w:ind w:left="720" w:hanging="720"/>
      </w:pPr>
      <w:r w:rsidRPr="00D00607">
        <w:t>Bekkema, N., De Veer, A. J. E., Wagemans, A. M. A., Hertogh, C. M. P. M., &amp; Francke, A. L. (2015b), '‘To move or not to move’: a national survey among professionals on beliefs and considerations about the place of end-of-life care for people with intellectual disabilities'.</w:t>
      </w:r>
      <w:r w:rsidRPr="00D00607">
        <w:rPr>
          <w:b/>
        </w:rPr>
        <w:t xml:space="preserve"> Journal of Intellectual Disability Research</w:t>
      </w:r>
      <w:r w:rsidRPr="00D00607">
        <w:t xml:space="preserve">, 59(3), 226-237. </w:t>
      </w:r>
    </w:p>
    <w:p w14:paraId="36F0952F" w14:textId="77777777" w:rsidR="00D00607" w:rsidRPr="00D00607" w:rsidRDefault="00D00607" w:rsidP="00D00607">
      <w:pPr>
        <w:pStyle w:val="EndNoteBibliography"/>
        <w:spacing w:after="0"/>
        <w:ind w:left="720" w:hanging="720"/>
      </w:pPr>
      <w:r w:rsidRPr="00D00607">
        <w:t>Benoot, T., Roose, R., Dursin, W., Verschuere, B., &amp; McKenzie, J. (2022), 'Aspirations of People With Intellectual Disabilities Living in a Care Organization'.</w:t>
      </w:r>
      <w:r w:rsidRPr="00D00607">
        <w:rPr>
          <w:b/>
        </w:rPr>
        <w:t xml:space="preserve"> Journal of Social Work</w:t>
      </w:r>
      <w:r w:rsidRPr="00D00607">
        <w:t xml:space="preserve">, 22(4), 1105-1122. </w:t>
      </w:r>
    </w:p>
    <w:p w14:paraId="347CD561" w14:textId="77777777" w:rsidR="00D00607" w:rsidRPr="00D00607" w:rsidRDefault="00D00607" w:rsidP="00D00607">
      <w:pPr>
        <w:pStyle w:val="EndNoteBibliography"/>
        <w:spacing w:after="0"/>
        <w:ind w:left="720" w:hanging="720"/>
      </w:pPr>
      <w:r w:rsidRPr="00D00607">
        <w:t>Bernacki, R. E., &amp; Block, S. D. (2014), 'Communication about serious illness care goals: a review and synthesis of best practices'.</w:t>
      </w:r>
      <w:r w:rsidRPr="00D00607">
        <w:rPr>
          <w:b/>
        </w:rPr>
        <w:t xml:space="preserve"> JAMA internal medicine</w:t>
      </w:r>
      <w:r w:rsidRPr="00D00607">
        <w:t xml:space="preserve">, 174(12), 1994-2003. </w:t>
      </w:r>
    </w:p>
    <w:p w14:paraId="2928586D" w14:textId="77777777" w:rsidR="00D00607" w:rsidRPr="00D00607" w:rsidRDefault="00D00607" w:rsidP="00D00607">
      <w:pPr>
        <w:pStyle w:val="EndNoteBibliography"/>
        <w:spacing w:after="0"/>
        <w:ind w:left="720" w:hanging="720"/>
      </w:pPr>
      <w:r w:rsidRPr="00D00607">
        <w:t>Bernal, J., Hunt, K., Worth, R., Shearn, J., Jones, E., Lowe, K., &amp; Todd, S. (2021), 'Expecting the unexpected: measures, outcomes and dying trajectories for expected and unexpected death in adults with intellectual disabilities in social care settings in the UK'.</w:t>
      </w:r>
      <w:r w:rsidRPr="00D00607">
        <w:rPr>
          <w:b/>
        </w:rPr>
        <w:t xml:space="preserve"> Journal of Applied Research in Intellectual Disabilities</w:t>
      </w:r>
      <w:r w:rsidRPr="00D00607">
        <w:t xml:space="preserve">, 34(2), 594-605. </w:t>
      </w:r>
    </w:p>
    <w:p w14:paraId="7F44D20F" w14:textId="77777777" w:rsidR="00D00607" w:rsidRPr="00D00607" w:rsidRDefault="00D00607" w:rsidP="00D00607">
      <w:pPr>
        <w:pStyle w:val="EndNoteBibliography"/>
        <w:spacing w:after="0"/>
        <w:ind w:left="720" w:hanging="720"/>
      </w:pPr>
      <w:r w:rsidRPr="00D00607">
        <w:t>Bien, B., McKee, K. J., Dohner, H., Triantafillou, J., Lamura, G., Doroszkiewicz, H., Krevers, B., &amp; Kofahl, C. (2013), 'Disabled older people's use of health and social care services and their unmet care needs in six European countries'.</w:t>
      </w:r>
      <w:r w:rsidRPr="00D00607">
        <w:rPr>
          <w:b/>
        </w:rPr>
        <w:t xml:space="preserve"> The European Journal of Public Health</w:t>
      </w:r>
      <w:r w:rsidRPr="00D00607">
        <w:t xml:space="preserve">, 23(6), 1032-1038. </w:t>
      </w:r>
    </w:p>
    <w:p w14:paraId="1F2BE633" w14:textId="77777777" w:rsidR="00D00607" w:rsidRPr="00D00607" w:rsidRDefault="00D00607" w:rsidP="00D00607">
      <w:pPr>
        <w:pStyle w:val="EndNoteBibliography"/>
        <w:spacing w:after="0"/>
        <w:ind w:left="720" w:hanging="720"/>
      </w:pPr>
      <w:r w:rsidRPr="00D00607">
        <w:t>Bigby, C. (2002), 'Ageing people with a lifelong disability: Challenges for the aged care and disability sectors'.</w:t>
      </w:r>
      <w:r w:rsidRPr="00D00607">
        <w:rPr>
          <w:b/>
        </w:rPr>
        <w:t xml:space="preserve"> Journal of Intellectual and Developmental Disability</w:t>
      </w:r>
      <w:r w:rsidRPr="00D00607">
        <w:t xml:space="preserve">, 27(4). </w:t>
      </w:r>
    </w:p>
    <w:p w14:paraId="041D6EA2" w14:textId="77777777" w:rsidR="00D00607" w:rsidRPr="00D00607" w:rsidRDefault="00D00607" w:rsidP="00D00607">
      <w:pPr>
        <w:pStyle w:val="EndNoteBibliography"/>
        <w:spacing w:after="0"/>
        <w:ind w:left="720" w:hanging="720"/>
      </w:pPr>
      <w:r w:rsidRPr="00D00607">
        <w:t>Bigby, C. (2008a), 'Beset by obstacles: A review of Australian policy development to support ageing in place for people with intellectual disability'.</w:t>
      </w:r>
      <w:r w:rsidRPr="00D00607">
        <w:rPr>
          <w:b/>
        </w:rPr>
        <w:t xml:space="preserve"> Journal of Intellectual and Developmental Disability</w:t>
      </w:r>
      <w:r w:rsidRPr="00D00607">
        <w:t xml:space="preserve">, 33. </w:t>
      </w:r>
    </w:p>
    <w:p w14:paraId="7CBF55A7" w14:textId="77777777" w:rsidR="00D00607" w:rsidRPr="00D00607" w:rsidRDefault="00D00607" w:rsidP="00D00607">
      <w:pPr>
        <w:pStyle w:val="EndNoteBibliography"/>
        <w:spacing w:after="0"/>
        <w:ind w:left="720" w:hanging="720"/>
      </w:pPr>
      <w:r w:rsidRPr="00D00607">
        <w:t>Bigby, C. (2008b), 'Known well by no-one: Trends in the informal social networks of middle-aged and older people with intellectual disability five years after moving to the community'.</w:t>
      </w:r>
      <w:r w:rsidRPr="00D00607">
        <w:rPr>
          <w:b/>
        </w:rPr>
        <w:t xml:space="preserve"> Journal of Intellectual and Developmental Disability</w:t>
      </w:r>
      <w:r w:rsidRPr="00D00607">
        <w:t xml:space="preserve">, 33(2). </w:t>
      </w:r>
    </w:p>
    <w:p w14:paraId="092F47C5" w14:textId="77777777" w:rsidR="00D00607" w:rsidRPr="00D00607" w:rsidRDefault="00D00607" w:rsidP="00D00607">
      <w:pPr>
        <w:pStyle w:val="EndNoteBibliography"/>
        <w:spacing w:after="0"/>
        <w:ind w:left="720" w:hanging="720"/>
      </w:pPr>
      <w:r w:rsidRPr="00D00607">
        <w:t>Bigby, C. (2010), 'A five</w:t>
      </w:r>
      <w:r w:rsidRPr="00D00607">
        <w:rPr>
          <w:rFonts w:ascii="Cambria Math" w:hAnsi="Cambria Math" w:cs="Cambria Math"/>
        </w:rPr>
        <w:t>‐</w:t>
      </w:r>
      <w:r w:rsidRPr="00D00607">
        <w:t>country comparative review of accommodation support policies for older people with intellectual disability'.</w:t>
      </w:r>
      <w:r w:rsidRPr="00D00607">
        <w:rPr>
          <w:b/>
        </w:rPr>
        <w:t xml:space="preserve"> Journal of Policy and Practice in Intellectual Disabilities</w:t>
      </w:r>
      <w:r w:rsidRPr="00D00607">
        <w:t xml:space="preserve">, 7(1), 3-15. </w:t>
      </w:r>
    </w:p>
    <w:p w14:paraId="290B5D2B" w14:textId="77777777" w:rsidR="00D00607" w:rsidRPr="00D00607" w:rsidRDefault="00D00607" w:rsidP="00D00607">
      <w:pPr>
        <w:pStyle w:val="EndNoteBibliography"/>
        <w:spacing w:after="0"/>
        <w:ind w:left="720" w:hanging="720"/>
      </w:pPr>
      <w:r w:rsidRPr="00D00607">
        <w:t>Bigby, C., Bould, E., &amp; Beadle-Brown, J. (2015),</w:t>
      </w:r>
      <w:r w:rsidRPr="00D00607">
        <w:rPr>
          <w:b/>
        </w:rPr>
        <w:t xml:space="preserve"> ‘Not as connected with people as they want to be’-Optimising outcomes for people with intellectual disabilities in supported living arrangements</w:t>
      </w:r>
      <w:r w:rsidRPr="00D00607">
        <w:t>. New South Wales: Living with Disability Research Centre, La Trobe University.</w:t>
      </w:r>
    </w:p>
    <w:p w14:paraId="4CC3FC77" w14:textId="77777777" w:rsidR="00D00607" w:rsidRPr="00D00607" w:rsidRDefault="00D00607" w:rsidP="00D00607">
      <w:pPr>
        <w:pStyle w:val="EndNoteBibliography"/>
        <w:spacing w:after="0"/>
        <w:ind w:left="720" w:hanging="720"/>
      </w:pPr>
      <w:r w:rsidRPr="00D00607">
        <w:t>Bigby, C., &amp; Haveman, M. (2010), 'Aging. A Continuing Challenge'.</w:t>
      </w:r>
      <w:r w:rsidRPr="00D00607">
        <w:rPr>
          <w:b/>
        </w:rPr>
        <w:t xml:space="preserve"> Journal of Policy and Practice in Intellectual Disabilities</w:t>
      </w:r>
      <w:r w:rsidRPr="00D00607">
        <w:t xml:space="preserve">, 7(1), 1-2. </w:t>
      </w:r>
    </w:p>
    <w:p w14:paraId="7BC6D9C4" w14:textId="77777777" w:rsidR="00D00607" w:rsidRPr="00D00607" w:rsidRDefault="00D00607" w:rsidP="00D00607">
      <w:pPr>
        <w:pStyle w:val="EndNoteBibliography"/>
        <w:spacing w:after="0"/>
        <w:ind w:left="720" w:hanging="720"/>
      </w:pPr>
      <w:r w:rsidRPr="00D00607">
        <w:t>Bigby, C., Knox, M., Beadle-Brown, J., &amp; Bould, E. (2014), 'Identifying good group homes: Qualitative indicators using a quality of life framework'.</w:t>
      </w:r>
      <w:r w:rsidRPr="00D00607">
        <w:rPr>
          <w:b/>
        </w:rPr>
        <w:t xml:space="preserve"> Intellectual and Developmental Disabilities</w:t>
      </w:r>
      <w:r w:rsidRPr="00D00607">
        <w:t xml:space="preserve">, 52(5), 348-366. </w:t>
      </w:r>
    </w:p>
    <w:p w14:paraId="01A801F8" w14:textId="77777777" w:rsidR="00D00607" w:rsidRPr="00D00607" w:rsidRDefault="00D00607" w:rsidP="00D00607">
      <w:pPr>
        <w:pStyle w:val="EndNoteBibliography"/>
        <w:spacing w:after="0"/>
        <w:ind w:left="720" w:hanging="720"/>
      </w:pPr>
      <w:r w:rsidRPr="00D00607">
        <w:t xml:space="preserve">Bigby, C., McCallion, P., McCarron, M. (2014), Serving an Elderly Population </w:t>
      </w:r>
      <w:r w:rsidRPr="00D00607">
        <w:rPr>
          <w:i/>
        </w:rPr>
        <w:t>In:</w:t>
      </w:r>
      <w:r w:rsidRPr="00D00607">
        <w:t xml:space="preserve"> M. Agran, Brown, F., Hughes, C., Quirk, C., Ryndak, D. (ed.) </w:t>
      </w:r>
      <w:r w:rsidRPr="00D00607">
        <w:rPr>
          <w:b/>
        </w:rPr>
        <w:t>Equality &amp; Full Participation for Individuals with Severe Disabilities: A Vision for the Future</w:t>
      </w:r>
      <w:r w:rsidRPr="00D00607">
        <w:t>. Paul H. Brookes</w:t>
      </w:r>
    </w:p>
    <w:p w14:paraId="6E4BC7C8" w14:textId="77777777" w:rsidR="00D00607" w:rsidRPr="00D00607" w:rsidRDefault="00D00607" w:rsidP="00D00607">
      <w:pPr>
        <w:pStyle w:val="EndNoteBibliography"/>
        <w:spacing w:after="0"/>
        <w:ind w:left="720" w:hanging="720"/>
      </w:pPr>
      <w:r w:rsidRPr="00D00607">
        <w:t>Bigby, C., Webber, R., Bowers, B., &amp; McKenzie</w:t>
      </w:r>
      <w:r w:rsidRPr="00D00607">
        <w:rPr>
          <w:rFonts w:ascii="Cambria Math" w:hAnsi="Cambria Math" w:cs="Cambria Math"/>
        </w:rPr>
        <w:t>‐</w:t>
      </w:r>
      <w:r w:rsidRPr="00D00607">
        <w:t>Green, B. (2008), 'A survey of people with intellectual disabilities living in residential aged care facilities in Victoria'.</w:t>
      </w:r>
      <w:r w:rsidRPr="00D00607">
        <w:rPr>
          <w:b/>
        </w:rPr>
        <w:t xml:space="preserve"> Journal of Intellectual Disability Research</w:t>
      </w:r>
      <w:r w:rsidRPr="00D00607">
        <w:t xml:space="preserve">, 52(5), 404-414. </w:t>
      </w:r>
    </w:p>
    <w:p w14:paraId="277A53DA" w14:textId="77777777" w:rsidR="00D00607" w:rsidRPr="00D00607" w:rsidRDefault="00D00607" w:rsidP="00D00607">
      <w:pPr>
        <w:pStyle w:val="EndNoteBibliography"/>
        <w:spacing w:after="0"/>
        <w:ind w:left="720" w:hanging="720"/>
      </w:pPr>
      <w:r w:rsidRPr="00D00607">
        <w:t>Bigby, C., Wilson, N. J., Balandin, S., &amp; Stancliffe, R. J. (2011), 'Disconnected expectations: Staff, family, and supported employee perspectives about retirement'.</w:t>
      </w:r>
      <w:r w:rsidRPr="00D00607">
        <w:rPr>
          <w:b/>
        </w:rPr>
        <w:t xml:space="preserve"> Journal of Intellectual &amp;amp; Developmental Disability</w:t>
      </w:r>
      <w:r w:rsidRPr="00D00607">
        <w:t xml:space="preserve">, 36(3), 167-174. </w:t>
      </w:r>
    </w:p>
    <w:p w14:paraId="5A42004C" w14:textId="77777777" w:rsidR="00D00607" w:rsidRPr="00D00607" w:rsidRDefault="00D00607" w:rsidP="00D00607">
      <w:pPr>
        <w:pStyle w:val="EndNoteBibliography"/>
        <w:spacing w:after="0"/>
        <w:ind w:left="720" w:hanging="720"/>
      </w:pPr>
      <w:r w:rsidRPr="00D00607">
        <w:t>Bowers, B., Webber, R., &amp; Bigby, C. (2014), 'Health issues of older people with intellectual disability in group homes'.</w:t>
      </w:r>
      <w:r w:rsidRPr="00D00607">
        <w:rPr>
          <w:b/>
        </w:rPr>
        <w:t xml:space="preserve"> Journal of Intellectual and Developmental Disability</w:t>
      </w:r>
      <w:r w:rsidRPr="00D00607">
        <w:t xml:space="preserve">, 39(3). </w:t>
      </w:r>
    </w:p>
    <w:p w14:paraId="2B2006EC" w14:textId="77777777" w:rsidR="00D00607" w:rsidRPr="00D00607" w:rsidRDefault="00D00607" w:rsidP="00D00607">
      <w:pPr>
        <w:pStyle w:val="EndNoteBibliography"/>
        <w:spacing w:after="0"/>
        <w:ind w:left="720" w:hanging="720"/>
      </w:pPr>
      <w:r w:rsidRPr="00D00607">
        <w:t>Bowey, L. (2005), 'Adults with a Learning Disability Living with Elderly Carers Talk about Planning for the Future: Aspirations and Concerns'.</w:t>
      </w:r>
      <w:r w:rsidRPr="00D00607">
        <w:rPr>
          <w:b/>
        </w:rPr>
        <w:t xml:space="preserve"> British Journal of Social Work</w:t>
      </w:r>
      <w:r w:rsidRPr="00D00607">
        <w:t xml:space="preserve">, 35(8), 1377-1392. </w:t>
      </w:r>
    </w:p>
    <w:p w14:paraId="1D2FF7EA" w14:textId="77777777" w:rsidR="00D00607" w:rsidRPr="00D00607" w:rsidRDefault="00D00607" w:rsidP="00D00607">
      <w:pPr>
        <w:pStyle w:val="EndNoteBibliography"/>
        <w:spacing w:after="0"/>
        <w:ind w:left="720" w:hanging="720"/>
      </w:pPr>
      <w:r w:rsidRPr="00D00607">
        <w:t>Bowey, L., &amp; McGlaughlin, A. (2007), 'Older carers of adults with a learning disability confront the future: Issues and preferences in planning'.</w:t>
      </w:r>
      <w:r w:rsidRPr="00D00607">
        <w:rPr>
          <w:b/>
        </w:rPr>
        <w:t xml:space="preserve"> British Journal of Social Work</w:t>
      </w:r>
      <w:r w:rsidRPr="00D00607">
        <w:t xml:space="preserve">, 37(1), 39-54. </w:t>
      </w:r>
    </w:p>
    <w:p w14:paraId="7CC15C39" w14:textId="77777777" w:rsidR="00D00607" w:rsidRPr="00D00607" w:rsidRDefault="00D00607" w:rsidP="00D00607">
      <w:pPr>
        <w:pStyle w:val="EndNoteBibliography"/>
        <w:spacing w:after="0"/>
        <w:ind w:left="720" w:hanging="720"/>
      </w:pPr>
      <w:r w:rsidRPr="00D00607">
        <w:t>Braun, V., &amp; Clarke, V. (2006), 'Using thematic analysis in psychology'.</w:t>
      </w:r>
      <w:r w:rsidRPr="00D00607">
        <w:rPr>
          <w:b/>
        </w:rPr>
        <w:t xml:space="preserve"> Qualitative research in psychology</w:t>
      </w:r>
      <w:r w:rsidRPr="00D00607">
        <w:t xml:space="preserve">, 3(2), 77-101. </w:t>
      </w:r>
    </w:p>
    <w:p w14:paraId="25347891" w14:textId="77777777" w:rsidR="00D00607" w:rsidRPr="00D00607" w:rsidRDefault="00D00607" w:rsidP="00D00607">
      <w:pPr>
        <w:pStyle w:val="EndNoteBibliography"/>
        <w:spacing w:after="0"/>
        <w:ind w:left="720" w:hanging="720"/>
      </w:pPr>
      <w:r w:rsidRPr="00D00607">
        <w:t>Brennan, D., McCausland, D., O’Donovan, M. A., Eustace</w:t>
      </w:r>
      <w:r w:rsidRPr="00D00607">
        <w:rPr>
          <w:rFonts w:ascii="Cambria Math" w:hAnsi="Cambria Math" w:cs="Cambria Math"/>
        </w:rPr>
        <w:t>‐</w:t>
      </w:r>
      <w:r w:rsidRPr="00D00607">
        <w:t>Cook, J., McCallion, P., &amp; McCarron, M. (2020), 'Approaches to and outcomes of future planning for family carers of adults with an intellectual disability: a systematic review'.</w:t>
      </w:r>
      <w:r w:rsidRPr="00D00607">
        <w:rPr>
          <w:b/>
        </w:rPr>
        <w:t xml:space="preserve"> Journal of Applied Research in Intellectual Disabilities</w:t>
      </w:r>
      <w:r w:rsidRPr="00D00607">
        <w:t xml:space="preserve">, 33(6), 1221-1233. </w:t>
      </w:r>
    </w:p>
    <w:p w14:paraId="24DCF4A0" w14:textId="77777777" w:rsidR="00D00607" w:rsidRPr="00D00607" w:rsidRDefault="00D00607" w:rsidP="00D00607">
      <w:pPr>
        <w:pStyle w:val="EndNoteBibliography"/>
        <w:spacing w:after="0"/>
        <w:ind w:left="720" w:hanging="720"/>
      </w:pPr>
      <w:r w:rsidRPr="00D00607">
        <w:t>Brennan, D., Murphy, R., McCallion, P., &amp; McCarron, M. (2018), '“What's going to happen when we're gone?” Family caregiving capacity for older people with an intellectual disability in Ireland'.</w:t>
      </w:r>
      <w:r w:rsidRPr="00D00607">
        <w:rPr>
          <w:b/>
        </w:rPr>
        <w:t xml:space="preserve"> Journal of Applied Research in Intellectual Disabilities</w:t>
      </w:r>
      <w:r w:rsidRPr="00D00607">
        <w:t xml:space="preserve">, 31(2). </w:t>
      </w:r>
    </w:p>
    <w:p w14:paraId="03051C61" w14:textId="77777777" w:rsidR="00D00607" w:rsidRPr="00D00607" w:rsidRDefault="00D00607" w:rsidP="00D00607">
      <w:pPr>
        <w:pStyle w:val="EndNoteBibliography"/>
        <w:spacing w:after="0"/>
        <w:ind w:left="720" w:hanging="720"/>
      </w:pPr>
      <w:r w:rsidRPr="00D00607">
        <w:t>Brenner, M., Kidston, C., Hilliard, C., Coyne, I., Eustace-Cook, J., Doyle, C., Begley, T., &amp; Barrett, M. J. (2018), 'Children’s complex care needs: a systematic concept analysis of multidisciplinary language'.</w:t>
      </w:r>
      <w:r w:rsidRPr="00D00607">
        <w:rPr>
          <w:b/>
        </w:rPr>
        <w:t xml:space="preserve"> European Journal of Pediatrics</w:t>
      </w:r>
      <w:r w:rsidRPr="00D00607">
        <w:t xml:space="preserve">, 177(11), 1647. </w:t>
      </w:r>
    </w:p>
    <w:p w14:paraId="64314379" w14:textId="77777777" w:rsidR="00D00607" w:rsidRPr="00D00607" w:rsidRDefault="00D00607" w:rsidP="00D00607">
      <w:pPr>
        <w:pStyle w:val="EndNoteBibliography"/>
        <w:spacing w:after="0"/>
        <w:ind w:left="720" w:hanging="720"/>
      </w:pPr>
      <w:r w:rsidRPr="00D00607">
        <w:t>Brooker, D., &amp; Latham, I. (2015),</w:t>
      </w:r>
      <w:r w:rsidRPr="00D00607">
        <w:rPr>
          <w:b/>
        </w:rPr>
        <w:t xml:space="preserve"> Person-centred dementia care: Making services better with the VIPS framework</w:t>
      </w:r>
      <w:r w:rsidRPr="00D00607">
        <w:t xml:space="preserve">. London and Philadelphia: Jessica Kingsley Publishers. </w:t>
      </w:r>
    </w:p>
    <w:p w14:paraId="1A178949" w14:textId="77777777" w:rsidR="00D00607" w:rsidRPr="00D00607" w:rsidRDefault="00D00607" w:rsidP="00D00607">
      <w:pPr>
        <w:pStyle w:val="EndNoteBibliography"/>
        <w:spacing w:after="0"/>
        <w:ind w:left="720" w:hanging="720"/>
      </w:pPr>
      <w:r w:rsidRPr="00D00607">
        <w:t>Brown, M., Chouliara, Z., MacArthur, J., McKechanie, A., Mack, S., Hayes, M., &amp; Fletcher, J. (2016), 'The perspectives of stakeholders of intellectual disability liaison nurses: a model of compassionate, person</w:t>
      </w:r>
      <w:r w:rsidRPr="00D00607">
        <w:rPr>
          <w:rFonts w:ascii="Cambria Math" w:hAnsi="Cambria Math" w:cs="Cambria Math"/>
        </w:rPr>
        <w:t>‐</w:t>
      </w:r>
      <w:r w:rsidRPr="00D00607">
        <w:t>centred care'.</w:t>
      </w:r>
      <w:r w:rsidRPr="00D00607">
        <w:rPr>
          <w:b/>
        </w:rPr>
        <w:t xml:space="preserve"> Journal of Clinical Nursing</w:t>
      </w:r>
      <w:r w:rsidRPr="00D00607">
        <w:t xml:space="preserve">, 25(7-8), 972-982. </w:t>
      </w:r>
    </w:p>
    <w:p w14:paraId="5D38FA38" w14:textId="77777777" w:rsidR="00D00607" w:rsidRPr="00D00607" w:rsidRDefault="00D00607" w:rsidP="00D00607">
      <w:pPr>
        <w:pStyle w:val="EndNoteBibliography"/>
        <w:spacing w:after="0"/>
        <w:ind w:left="720" w:hanging="720"/>
      </w:pPr>
      <w:r w:rsidRPr="00D00607">
        <w:t>Bunn, F., Burn, A.-M., Robinson, L., Poole, M., Rait, G., Brayne, C., Schoeman, J., Norton, S., &amp; Goodman, C. (2017), 'Healthcare organisation and delivery for people with dementia and comorbidity: a qualitative study exploring the views of patients, carers and professionals'.</w:t>
      </w:r>
      <w:r w:rsidRPr="00D00607">
        <w:rPr>
          <w:b/>
        </w:rPr>
        <w:t xml:space="preserve"> BMJ open</w:t>
      </w:r>
      <w:r w:rsidRPr="00D00607">
        <w:t xml:space="preserve">, 7(1), e013067. </w:t>
      </w:r>
    </w:p>
    <w:p w14:paraId="6D80B271" w14:textId="77777777" w:rsidR="00D00607" w:rsidRPr="00D00607" w:rsidRDefault="00D00607" w:rsidP="00D00607">
      <w:pPr>
        <w:pStyle w:val="EndNoteBibliography"/>
        <w:spacing w:after="0"/>
        <w:ind w:left="720" w:hanging="720"/>
      </w:pPr>
      <w:r w:rsidRPr="00D00607">
        <w:t>Burgess, P., Pirkis, J., &amp; Coombs, T. (2015), 'Routine outcome measurement in Australia'.</w:t>
      </w:r>
      <w:r w:rsidRPr="00D00607">
        <w:rPr>
          <w:b/>
        </w:rPr>
        <w:t xml:space="preserve"> International Review of Psychiatry</w:t>
      </w:r>
      <w:r w:rsidRPr="00D00607">
        <w:t xml:space="preserve">, 27(4), 264-275. </w:t>
      </w:r>
    </w:p>
    <w:p w14:paraId="34AA8C62" w14:textId="77777777" w:rsidR="00D00607" w:rsidRPr="00D00607" w:rsidRDefault="00D00607" w:rsidP="00D00607">
      <w:pPr>
        <w:pStyle w:val="EndNoteBibliography"/>
        <w:spacing w:after="0"/>
        <w:ind w:left="720" w:hanging="720"/>
      </w:pPr>
      <w:r w:rsidRPr="00D00607">
        <w:t>Burke, É., O’Dwyer, C., Ryan, K., McCallion, P., &amp; McCarron, M. (2017),</w:t>
      </w:r>
      <w:r w:rsidRPr="00D00607">
        <w:rPr>
          <w:b/>
        </w:rPr>
        <w:t xml:space="preserve"> Glancing Back, Planning Forward, A guide for planning end of life care with people with intellectual disability.</w:t>
      </w:r>
      <w:r w:rsidRPr="00D00607">
        <w:t xml:space="preserve"> Dublin: Trinity Centre for Ageing and Intellectual Disabilities, Trinity College Dublin.</w:t>
      </w:r>
    </w:p>
    <w:p w14:paraId="05F143C2" w14:textId="77777777" w:rsidR="00D00607" w:rsidRPr="00D00607" w:rsidRDefault="00D00607" w:rsidP="00D00607">
      <w:pPr>
        <w:pStyle w:val="EndNoteBibliography"/>
        <w:spacing w:after="0"/>
        <w:ind w:left="720" w:hanging="720"/>
      </w:pPr>
      <w:r w:rsidRPr="00D00607">
        <w:t xml:space="preserve">Burke, É., O’Dwyer, M., McGlinchey, E., Foran, S., Phadraig, C. M., Carroll, R., McCallion, P., &amp; McCarron, M. (2019), Overview of the Important Physical Health Concerns </w:t>
      </w:r>
      <w:r w:rsidRPr="00D00607">
        <w:rPr>
          <w:i/>
        </w:rPr>
        <w:t>In:</w:t>
      </w:r>
      <w:r w:rsidRPr="00D00607">
        <w:t xml:space="preserve"> V. P. Prasher &amp; M. Janicki (eds.). </w:t>
      </w:r>
      <w:r w:rsidRPr="00D00607">
        <w:rPr>
          <w:b/>
        </w:rPr>
        <w:t>Physical Health of Adults with Intellectual and Developmental Disabilities</w:t>
      </w:r>
      <w:r w:rsidRPr="00D00607">
        <w:t>. Switzerland: Springer</w:t>
      </w:r>
    </w:p>
    <w:p w14:paraId="0995A446" w14:textId="77777777" w:rsidR="00D00607" w:rsidRPr="00D00607" w:rsidRDefault="00D00607" w:rsidP="00D00607">
      <w:pPr>
        <w:pStyle w:val="EndNoteBibliography"/>
        <w:spacing w:after="0"/>
        <w:ind w:left="720" w:hanging="720"/>
      </w:pPr>
      <w:r w:rsidRPr="00D00607">
        <w:t>Burke, T., Deffew, A., Stafford, O., Docherty, C., Burke, S., Mostert, R., Van Loon, J., Lombardi, M., Vaughan, M., &amp; Brickell, R. (2022), 'Quality of Life outcomes in a community cohort of adults with an intellectual disability using the Personal Outcome Scale'.</w:t>
      </w:r>
      <w:r w:rsidRPr="00D00607">
        <w:rPr>
          <w:b/>
        </w:rPr>
        <w:t xml:space="preserve"> Frontiers in Rehabilitation Sciences</w:t>
      </w:r>
      <w:r w:rsidRPr="00D00607">
        <w:t xml:space="preserve">, 33. </w:t>
      </w:r>
    </w:p>
    <w:p w14:paraId="63A40AF0" w14:textId="77777777" w:rsidR="00D00607" w:rsidRPr="00D00607" w:rsidRDefault="00D00607" w:rsidP="00D00607">
      <w:pPr>
        <w:pStyle w:val="EndNoteBibliography"/>
        <w:spacing w:after="0"/>
        <w:ind w:left="720" w:hanging="720"/>
      </w:pPr>
      <w:r w:rsidRPr="00D00607">
        <w:t>Buys, L., Aird, R., &amp; Miller, E. (2012), 'Service providers' perceptions of active ageing among older adults with lifelong intellectual disabilities'.</w:t>
      </w:r>
      <w:r w:rsidRPr="00D00607">
        <w:rPr>
          <w:b/>
        </w:rPr>
        <w:t xml:space="preserve"> Journal of Intellectual Disability Research</w:t>
      </w:r>
      <w:r w:rsidRPr="00D00607">
        <w:t xml:space="preserve">, 56(12). </w:t>
      </w:r>
    </w:p>
    <w:p w14:paraId="0A67A96A" w14:textId="77777777" w:rsidR="00D00607" w:rsidRPr="00D00607" w:rsidRDefault="00D00607" w:rsidP="00D00607">
      <w:pPr>
        <w:pStyle w:val="EndNoteBibliography"/>
        <w:spacing w:after="0"/>
        <w:ind w:left="720" w:hanging="720"/>
      </w:pPr>
      <w:r w:rsidRPr="00D00607">
        <w:t>Care Quality Commission (2016),</w:t>
      </w:r>
      <w:r w:rsidRPr="00D00607">
        <w:rPr>
          <w:b/>
        </w:rPr>
        <w:t xml:space="preserve"> A different ending: addressing inequalities in end of life care</w:t>
      </w:r>
      <w:r w:rsidRPr="00D00607">
        <w:t>. Newcastle upon Tyne: CQC.</w:t>
      </w:r>
    </w:p>
    <w:p w14:paraId="56F2E8BF" w14:textId="77777777" w:rsidR="00D00607" w:rsidRPr="00D00607" w:rsidRDefault="00D00607" w:rsidP="00D00607">
      <w:pPr>
        <w:pStyle w:val="EndNoteBibliography"/>
        <w:spacing w:after="0"/>
        <w:ind w:left="720" w:hanging="720"/>
      </w:pPr>
      <w:r w:rsidRPr="00D00607">
        <w:t>Casey, C., O’Sullivan, M., Flanagan, N., &amp; Fanagan, S. (2020),</w:t>
      </w:r>
      <w:r w:rsidRPr="00D00607">
        <w:rPr>
          <w:b/>
        </w:rPr>
        <w:t xml:space="preserve"> Annual Report of the National Ability Supports System (NASS) 2020</w:t>
      </w:r>
      <w:r w:rsidRPr="00D00607">
        <w:t>. Dublin: Health Research Board.</w:t>
      </w:r>
    </w:p>
    <w:p w14:paraId="3B43D43B" w14:textId="7095256A" w:rsidR="00D00607" w:rsidRPr="00D00607" w:rsidRDefault="00D00607" w:rsidP="00D00607">
      <w:pPr>
        <w:pStyle w:val="EndNoteBibliography"/>
        <w:spacing w:after="0"/>
        <w:ind w:left="720" w:hanging="720"/>
      </w:pPr>
      <w:r w:rsidRPr="00D00607">
        <w:t xml:space="preserve">Center for Disease Control and Prevention. (2009). </w:t>
      </w:r>
      <w:r w:rsidRPr="00D00607">
        <w:rPr>
          <w:b/>
        </w:rPr>
        <w:t>Healthy Places Terminology</w:t>
      </w:r>
      <w:r w:rsidRPr="00D00607">
        <w:t xml:space="preserve">. </w:t>
      </w:r>
      <w:r w:rsidR="00B5335A" w:rsidRPr="00B5335A">
        <w:t xml:space="preserve">Available at: </w:t>
      </w:r>
      <w:hyperlink r:id="rId18" w:history="1">
        <w:r w:rsidR="00B5335A" w:rsidRPr="00B5335A">
          <w:rPr>
            <w:rStyle w:val="Hyperlink"/>
          </w:rPr>
          <w:t>https://www.cdc.gov/healthyplaces/terminology.htm</w:t>
        </w:r>
      </w:hyperlink>
      <w:r w:rsidR="00B5335A" w:rsidRPr="00B5335A">
        <w:t>.</w:t>
      </w:r>
      <w:r w:rsidRPr="00D00607">
        <w:t xml:space="preserve"> Accessed: 18/02/2022.</w:t>
      </w:r>
    </w:p>
    <w:p w14:paraId="6F3E100B" w14:textId="77777777" w:rsidR="00D00607" w:rsidRPr="00D00607" w:rsidRDefault="00D00607" w:rsidP="00D00607">
      <w:pPr>
        <w:pStyle w:val="EndNoteBibliography"/>
        <w:spacing w:after="0"/>
        <w:ind w:left="720" w:hanging="720"/>
      </w:pPr>
      <w:r w:rsidRPr="00D00607">
        <w:t>Centre for Ageing Better (2015),</w:t>
      </w:r>
      <w:r w:rsidRPr="00D00607">
        <w:rPr>
          <w:b/>
        </w:rPr>
        <w:t xml:space="preserve"> Later life in 2015: An analysis of the views and experiences of people aged 50 and over</w:t>
      </w:r>
      <w:r w:rsidRPr="00D00607">
        <w:t>.</w:t>
      </w:r>
    </w:p>
    <w:p w14:paraId="336E6A72" w14:textId="77777777" w:rsidR="00D00607" w:rsidRPr="00D00607" w:rsidRDefault="00D00607" w:rsidP="00D00607">
      <w:pPr>
        <w:pStyle w:val="EndNoteBibliography"/>
        <w:spacing w:after="0"/>
        <w:ind w:left="720" w:hanging="720"/>
      </w:pPr>
      <w:r w:rsidRPr="00D00607">
        <w:t>Chapman, M., Lacey, H., &amp; Jervis, N. (2018), 'Improving services for people with learning disabilities and dementia: Findings from a service evaluation exploring the perspectives of health and social care professionals'.</w:t>
      </w:r>
      <w:r w:rsidRPr="00D00607">
        <w:rPr>
          <w:b/>
        </w:rPr>
        <w:t xml:space="preserve"> British Journal of Learning Disabilities</w:t>
      </w:r>
      <w:r w:rsidRPr="00D00607">
        <w:t xml:space="preserve">, 46(1), 33-44. </w:t>
      </w:r>
    </w:p>
    <w:p w14:paraId="73167CE0" w14:textId="77777777" w:rsidR="00D00607" w:rsidRPr="00D00607" w:rsidRDefault="00D00607" w:rsidP="00D00607">
      <w:pPr>
        <w:pStyle w:val="EndNoteBibliography"/>
        <w:spacing w:after="0"/>
        <w:ind w:left="720" w:hanging="720"/>
      </w:pPr>
      <w:r w:rsidRPr="00D00607">
        <w:t>Chou, Y.-C., &amp; Kröger, T. (2022), 'Ageing in place together: older parents and ageing offspring with intellectual disability'.</w:t>
      </w:r>
      <w:r w:rsidRPr="00D00607">
        <w:rPr>
          <w:b/>
        </w:rPr>
        <w:t xml:space="preserve"> Ageing &amp; Society</w:t>
      </w:r>
      <w:r w:rsidRPr="00D00607">
        <w:t xml:space="preserve">, 42(2), 480-494. </w:t>
      </w:r>
    </w:p>
    <w:p w14:paraId="63424F9E" w14:textId="77777777" w:rsidR="00D00607" w:rsidRPr="00D00607" w:rsidRDefault="00D00607" w:rsidP="00D00607">
      <w:pPr>
        <w:pStyle w:val="EndNoteBibliography"/>
        <w:spacing w:after="0"/>
        <w:ind w:left="720" w:hanging="720"/>
      </w:pPr>
      <w:r w:rsidRPr="00D00607">
        <w:t>Claes, C., Van Hove, G., Vandevelde, S., van Loon, J., &amp; Schalock, R. L. (2010), 'Person-centered planning: Analysis of research and effectiveness'.</w:t>
      </w:r>
      <w:r w:rsidRPr="00D00607">
        <w:rPr>
          <w:b/>
        </w:rPr>
        <w:t xml:space="preserve"> Intellectual and Developmental Disabilities</w:t>
      </w:r>
      <w:r w:rsidRPr="00D00607">
        <w:t xml:space="preserve">, 48(6), 432-453. </w:t>
      </w:r>
    </w:p>
    <w:p w14:paraId="3904399B" w14:textId="77777777" w:rsidR="00D00607" w:rsidRPr="00D00607" w:rsidRDefault="00D00607" w:rsidP="00D00607">
      <w:pPr>
        <w:pStyle w:val="EndNoteBibliography"/>
        <w:spacing w:after="0"/>
        <w:ind w:left="720" w:hanging="720"/>
      </w:pPr>
      <w:r w:rsidRPr="00D00607">
        <w:t>Cleary, J., &amp; Doody, O. (2017), 'Nurses' experience of caring for people with intellectual disability and dementia'.</w:t>
      </w:r>
      <w:r w:rsidRPr="00D00607">
        <w:rPr>
          <w:b/>
        </w:rPr>
        <w:t xml:space="preserve"> Journal of Clinical Nursing</w:t>
      </w:r>
      <w:r w:rsidRPr="00D00607">
        <w:t xml:space="preserve">, 26(5-6). </w:t>
      </w:r>
    </w:p>
    <w:p w14:paraId="5EA66875" w14:textId="77777777" w:rsidR="00D00607" w:rsidRPr="00D00607" w:rsidRDefault="00D00607" w:rsidP="00D00607">
      <w:pPr>
        <w:pStyle w:val="EndNoteBibliography"/>
        <w:spacing w:after="0"/>
        <w:ind w:left="720" w:hanging="720"/>
      </w:pPr>
      <w:r w:rsidRPr="00D00607">
        <w:t>Collings, S., Dew, A., &amp; Dowse, L. (2016), 'Support planning with people with intellectual disability and complex support needs in the Australian National Disability Insurance Scheme'.</w:t>
      </w:r>
      <w:r w:rsidRPr="00D00607">
        <w:rPr>
          <w:b/>
        </w:rPr>
        <w:t xml:space="preserve"> Journal of Intellectual and Developmental Disability</w:t>
      </w:r>
      <w:r w:rsidRPr="00D00607">
        <w:t xml:space="preserve">, 41(3). </w:t>
      </w:r>
    </w:p>
    <w:p w14:paraId="4A71AB6F" w14:textId="77777777" w:rsidR="00D00607" w:rsidRPr="00D00607" w:rsidRDefault="00D00607" w:rsidP="00D00607">
      <w:pPr>
        <w:pStyle w:val="EndNoteBibliography"/>
        <w:spacing w:after="0"/>
        <w:ind w:left="720" w:hanging="720"/>
      </w:pPr>
      <w:r w:rsidRPr="00D00607">
        <w:t>Cook, A. (2017),</w:t>
      </w:r>
      <w:r w:rsidRPr="00D00607">
        <w:rPr>
          <w:b/>
        </w:rPr>
        <w:t xml:space="preserve"> Outcomes based approaches in public service reform</w:t>
      </w:r>
      <w:r w:rsidRPr="00D00607">
        <w:t>. Edinburgh: What Works Scotland Edinburgh.</w:t>
      </w:r>
    </w:p>
    <w:p w14:paraId="4B898B15" w14:textId="12160EAB" w:rsidR="00D00607" w:rsidRPr="00D00607" w:rsidRDefault="00D00607" w:rsidP="00D00607">
      <w:pPr>
        <w:pStyle w:val="EndNoteBibliography"/>
        <w:spacing w:after="0"/>
        <w:ind w:left="720" w:hanging="720"/>
      </w:pPr>
      <w:r w:rsidRPr="00D00607">
        <w:t xml:space="preserve">Council on Quality and Leadership. (2022). </w:t>
      </w:r>
      <w:r w:rsidRPr="00D00607">
        <w:rPr>
          <w:b/>
        </w:rPr>
        <w:t>Personal Outcome Measures</w:t>
      </w:r>
      <w:r w:rsidRPr="00D00607">
        <w:t xml:space="preserve">. </w:t>
      </w:r>
      <w:r w:rsidR="00B5335A" w:rsidRPr="00B5335A">
        <w:t xml:space="preserve">Available at: </w:t>
      </w:r>
      <w:hyperlink r:id="rId19" w:history="1">
        <w:r w:rsidR="00B5335A" w:rsidRPr="00B5335A">
          <w:rPr>
            <w:rStyle w:val="Hyperlink"/>
          </w:rPr>
          <w:t>https://www.c-q-l.org/tools/personal-outcome-measures/</w:t>
        </w:r>
      </w:hyperlink>
      <w:r w:rsidR="00B5335A" w:rsidRPr="00B5335A">
        <w:t>.</w:t>
      </w:r>
      <w:r w:rsidRPr="00D00607">
        <w:t xml:space="preserve"> Accessed: 02/11/22.</w:t>
      </w:r>
    </w:p>
    <w:p w14:paraId="5D0091DC" w14:textId="77777777" w:rsidR="00D00607" w:rsidRPr="00D00607" w:rsidRDefault="00D00607" w:rsidP="00D00607">
      <w:pPr>
        <w:pStyle w:val="EndNoteBibliography"/>
        <w:spacing w:after="0"/>
        <w:ind w:left="720" w:hanging="720"/>
      </w:pPr>
      <w:r w:rsidRPr="00D00607">
        <w:t>Darker, C. (2014), 'Integrated healthcare in Ireland–a critical analysis and a way forward'.</w:t>
      </w:r>
      <w:r w:rsidRPr="00D00607">
        <w:rPr>
          <w:b/>
        </w:rPr>
        <w:t xml:space="preserve"> Adelaide Health Foundation</w:t>
      </w:r>
      <w:r w:rsidRPr="00D00607">
        <w:t xml:space="preserve">. </w:t>
      </w:r>
    </w:p>
    <w:p w14:paraId="6AA3CA5C" w14:textId="77777777" w:rsidR="00D00607" w:rsidRPr="00D00607" w:rsidRDefault="00D00607" w:rsidP="00D00607">
      <w:pPr>
        <w:pStyle w:val="EndNoteBibliography"/>
        <w:spacing w:after="0"/>
        <w:ind w:left="720" w:hanging="720"/>
      </w:pPr>
      <w:r w:rsidRPr="00D00607">
        <w:t>de Silva, D. (2014),</w:t>
      </w:r>
      <w:r w:rsidRPr="00D00607">
        <w:rPr>
          <w:b/>
        </w:rPr>
        <w:t xml:space="preserve"> Helping measure person-centred care: a review of evidence about commonly used approaches and tools used to help measure person-centred care</w:t>
      </w:r>
      <w:r w:rsidRPr="00D00607">
        <w:t>. London: The Health Foundation.</w:t>
      </w:r>
    </w:p>
    <w:p w14:paraId="45A2D8A4" w14:textId="20FF3EC1" w:rsidR="00D00607" w:rsidRPr="00D00607" w:rsidRDefault="00D00607" w:rsidP="00D00607">
      <w:pPr>
        <w:pStyle w:val="EndNoteBibliography"/>
        <w:spacing w:after="0"/>
        <w:ind w:left="720" w:hanging="720"/>
      </w:pPr>
      <w:r w:rsidRPr="00D00607">
        <w:t xml:space="preserve">Dementia Pathways. (2022). </w:t>
      </w:r>
      <w:r w:rsidRPr="00D00607">
        <w:rPr>
          <w:b/>
        </w:rPr>
        <w:t>The National Intellectual Disability Memory Service</w:t>
      </w:r>
      <w:r w:rsidRPr="00D00607">
        <w:t xml:space="preserve">. </w:t>
      </w:r>
      <w:r w:rsidR="00B5335A" w:rsidRPr="00B5335A">
        <w:t xml:space="preserve">Available at: </w:t>
      </w:r>
      <w:hyperlink r:id="rId20" w:history="1">
        <w:r w:rsidR="00B5335A" w:rsidRPr="00B5335A">
          <w:rPr>
            <w:rStyle w:val="Hyperlink"/>
          </w:rPr>
          <w:t>https://dementiapathways.ie/care-pathways/dementia-in-people-with-an-intellectual-disability/the-national-intellectual-disability-memory-service</w:t>
        </w:r>
      </w:hyperlink>
      <w:r w:rsidR="00B5335A" w:rsidRPr="00B5335A">
        <w:t>.</w:t>
      </w:r>
      <w:r w:rsidRPr="00D00607">
        <w:t xml:space="preserve"> Accessed: 05/05/2022.</w:t>
      </w:r>
    </w:p>
    <w:p w14:paraId="7D17479F" w14:textId="77777777" w:rsidR="00D00607" w:rsidRPr="00D00607" w:rsidRDefault="00D00607" w:rsidP="00D00607">
      <w:pPr>
        <w:pStyle w:val="EndNoteBibliography"/>
        <w:spacing w:after="0"/>
        <w:ind w:left="720" w:hanging="720"/>
      </w:pPr>
      <w:r w:rsidRPr="00D00607">
        <w:t>Dennehy, H., Allen, A. P., McGlinchey, E., Buttery, N., García-Domínguez, L., Chansler, R., Corr, C., Dunne, P., Kennelly, S., &amp; Daly, L. (2022), 'A scoping review of post-diagnostic dementia supports for people with intellectual disability'.</w:t>
      </w:r>
      <w:r w:rsidRPr="00D00607">
        <w:rPr>
          <w:b/>
        </w:rPr>
        <w:t xml:space="preserve"> Aging &amp; mental health</w:t>
      </w:r>
      <w:r w:rsidRPr="00D00607">
        <w:t xml:space="preserve">, 1-10. </w:t>
      </w:r>
    </w:p>
    <w:p w14:paraId="4CE14F22" w14:textId="77777777" w:rsidR="00D00607" w:rsidRPr="00D00607" w:rsidRDefault="00D00607" w:rsidP="00D00607">
      <w:pPr>
        <w:pStyle w:val="EndNoteBibliography"/>
        <w:spacing w:after="0"/>
        <w:ind w:left="720" w:hanging="720"/>
      </w:pPr>
      <w:r w:rsidRPr="00D00607">
        <w:t>Department of Health (2012),</w:t>
      </w:r>
      <w:r w:rsidRPr="00D00607">
        <w:rPr>
          <w:b/>
        </w:rPr>
        <w:t xml:space="preserve"> Value for Money and Policy Review of Disability Services in Ireland</w:t>
      </w:r>
      <w:r w:rsidR="00DD63A2" w:rsidRPr="00DD63A2">
        <w:t>.</w:t>
      </w:r>
      <w:r w:rsidRPr="00DD63A2">
        <w:t xml:space="preserve"> </w:t>
      </w:r>
      <w:r w:rsidRPr="00D00607">
        <w:t>Dublin: Department of Health.</w:t>
      </w:r>
    </w:p>
    <w:p w14:paraId="429C24F5" w14:textId="77777777" w:rsidR="00D00607" w:rsidRPr="00D00607" w:rsidRDefault="00D00607" w:rsidP="00D00607">
      <w:pPr>
        <w:pStyle w:val="EndNoteBibliography"/>
        <w:spacing w:after="0"/>
        <w:ind w:left="720" w:hanging="720"/>
      </w:pPr>
      <w:r w:rsidRPr="00D00607">
        <w:t>Department of Health (2013),</w:t>
      </w:r>
      <w:r w:rsidRPr="00D00607">
        <w:rPr>
          <w:b/>
        </w:rPr>
        <w:t xml:space="preserve"> The National Positive Ageing Strategy</w:t>
      </w:r>
      <w:r w:rsidRPr="00D00607">
        <w:t>. Dublin: Department of Health.</w:t>
      </w:r>
    </w:p>
    <w:p w14:paraId="2D062CC0" w14:textId="77777777" w:rsidR="00D00607" w:rsidRPr="00D00607" w:rsidRDefault="00D00607" w:rsidP="00D00607">
      <w:pPr>
        <w:pStyle w:val="EndNoteBibliography"/>
        <w:spacing w:after="0"/>
        <w:ind w:left="720" w:hanging="720"/>
      </w:pPr>
      <w:r w:rsidRPr="00D00607">
        <w:t>Department of Health (2014),</w:t>
      </w:r>
      <w:r w:rsidRPr="00D00607">
        <w:rPr>
          <w:b/>
        </w:rPr>
        <w:t xml:space="preserve"> The Irish National Dementia Strategy</w:t>
      </w:r>
      <w:r w:rsidRPr="00D00607">
        <w:t>. Dublin: Department of Health.</w:t>
      </w:r>
    </w:p>
    <w:p w14:paraId="6344E09F" w14:textId="77777777" w:rsidR="00D00607" w:rsidRPr="00D00607" w:rsidRDefault="00D00607" w:rsidP="00D00607">
      <w:pPr>
        <w:pStyle w:val="EndNoteBibliography"/>
        <w:spacing w:after="0"/>
        <w:ind w:left="720" w:hanging="720"/>
      </w:pPr>
      <w:r w:rsidRPr="00D00607">
        <w:t>Department of Health (2017),</w:t>
      </w:r>
      <w:r w:rsidRPr="00D00607">
        <w:rPr>
          <w:b/>
        </w:rPr>
        <w:t xml:space="preserve"> Working together for health: The national strategic framework for health and social care workforce planning</w:t>
      </w:r>
      <w:r w:rsidRPr="00D00607">
        <w:t>. Dublin: Department of Health.</w:t>
      </w:r>
    </w:p>
    <w:p w14:paraId="4051F98F" w14:textId="77777777" w:rsidR="00D00607" w:rsidRPr="00D00607" w:rsidRDefault="00D00607" w:rsidP="00D00607">
      <w:pPr>
        <w:pStyle w:val="EndNoteBibliography"/>
        <w:spacing w:after="0"/>
        <w:ind w:left="720" w:hanging="720"/>
      </w:pPr>
      <w:r w:rsidRPr="00D00607">
        <w:t>Department of Health (2020a),</w:t>
      </w:r>
      <w:r w:rsidRPr="00D00607">
        <w:rPr>
          <w:b/>
        </w:rPr>
        <w:t xml:space="preserve"> Disability Action Plan Framework</w:t>
      </w:r>
      <w:r w:rsidRPr="00D00607">
        <w:t>. Dublin: Department of Health</w:t>
      </w:r>
      <w:r w:rsidR="003253BA" w:rsidRPr="003253BA">
        <w:t>.</w:t>
      </w:r>
    </w:p>
    <w:p w14:paraId="58A82B12" w14:textId="77777777" w:rsidR="00D00607" w:rsidRPr="00D00607" w:rsidRDefault="00D00607" w:rsidP="00D00607">
      <w:pPr>
        <w:pStyle w:val="EndNoteBibliography"/>
        <w:spacing w:after="0"/>
        <w:ind w:left="720" w:hanging="720"/>
      </w:pPr>
      <w:r w:rsidRPr="00D00607">
        <w:t>Department of Health (2020b),</w:t>
      </w:r>
      <w:r w:rsidRPr="00D00607">
        <w:rPr>
          <w:b/>
        </w:rPr>
        <w:t xml:space="preserve"> Housing Options for Our Ageing Population Policy Statement</w:t>
      </w:r>
      <w:r w:rsidRPr="00D00607">
        <w:t>. Dublin: Department of Health.</w:t>
      </w:r>
    </w:p>
    <w:p w14:paraId="423E8CBC" w14:textId="77777777" w:rsidR="00D00607" w:rsidRPr="00D00607" w:rsidRDefault="00D00607" w:rsidP="00D00607">
      <w:pPr>
        <w:pStyle w:val="EndNoteBibliography"/>
        <w:spacing w:after="0"/>
        <w:ind w:left="720" w:hanging="720"/>
      </w:pPr>
      <w:r w:rsidRPr="00D00607">
        <w:t>Department of Health (2021a),</w:t>
      </w:r>
      <w:r w:rsidRPr="00D00607">
        <w:rPr>
          <w:b/>
        </w:rPr>
        <w:t xml:space="preserve"> Disability Capacity Review to 2032 - A Review of Social Care Demand and Capacity Requirements to 2032</w:t>
      </w:r>
      <w:r w:rsidRPr="00D00607">
        <w:t>. Dublin: Department of Health.</w:t>
      </w:r>
    </w:p>
    <w:p w14:paraId="67C11ED1" w14:textId="77777777" w:rsidR="00D00607" w:rsidRPr="00D00607" w:rsidRDefault="00D00607" w:rsidP="00D00607">
      <w:pPr>
        <w:pStyle w:val="EndNoteBibliography"/>
        <w:spacing w:after="0"/>
        <w:ind w:left="720" w:hanging="720"/>
      </w:pPr>
      <w:r w:rsidRPr="00D00607">
        <w:t>Department of Health (2021b),</w:t>
      </w:r>
      <w:r w:rsidRPr="00D00607">
        <w:rPr>
          <w:b/>
        </w:rPr>
        <w:t xml:space="preserve"> Transforming Lives - Working Group 1 Report on Future Needs for Disability Services</w:t>
      </w:r>
      <w:r w:rsidRPr="00D00607">
        <w:t>. Dublin: Department of Health.</w:t>
      </w:r>
    </w:p>
    <w:p w14:paraId="77AE57B9" w14:textId="77777777" w:rsidR="00D00607" w:rsidRPr="00D00607" w:rsidRDefault="00D00607" w:rsidP="00D00607">
      <w:pPr>
        <w:pStyle w:val="EndNoteBibliography"/>
        <w:spacing w:after="0"/>
        <w:ind w:left="720" w:hanging="720"/>
      </w:pPr>
      <w:r w:rsidRPr="00D00607">
        <w:t>Department of Health (2022),</w:t>
      </w:r>
      <w:r w:rsidRPr="00D00607">
        <w:rPr>
          <w:b/>
        </w:rPr>
        <w:t xml:space="preserve"> Disability Action Plan 2022 - 2025 Report on the Public Consultation</w:t>
      </w:r>
      <w:r w:rsidRPr="00D00607">
        <w:t>. Dublin: Department of Health.</w:t>
      </w:r>
    </w:p>
    <w:p w14:paraId="24F22368" w14:textId="77777777" w:rsidR="00D00607" w:rsidRPr="00D00607" w:rsidRDefault="00D00607" w:rsidP="00D00607">
      <w:pPr>
        <w:pStyle w:val="EndNoteBibliography"/>
        <w:spacing w:after="0"/>
        <w:ind w:left="720" w:hanging="720"/>
      </w:pPr>
      <w:r w:rsidRPr="00D00607">
        <w:t>Department of Health Queensland (2015),</w:t>
      </w:r>
      <w:r w:rsidRPr="00D00607">
        <w:rPr>
          <w:b/>
        </w:rPr>
        <w:t xml:space="preserve"> Guide to health service planning (Version 3)</w:t>
      </w:r>
      <w:r w:rsidRPr="00D00607">
        <w:t>. Queensland: State of Queensland (Queensland Health).</w:t>
      </w:r>
    </w:p>
    <w:p w14:paraId="0BBD036B" w14:textId="77777777" w:rsidR="00D00607" w:rsidRPr="00D00607" w:rsidRDefault="00D00607" w:rsidP="00D00607">
      <w:pPr>
        <w:pStyle w:val="EndNoteBibliography"/>
        <w:spacing w:after="0"/>
        <w:ind w:left="720" w:hanging="720"/>
      </w:pPr>
      <w:r w:rsidRPr="00D00607">
        <w:t>Detering, K. M., Hancock, A. D., Reade, M. C., &amp; Silvester, W. (2010), 'The impact of advance care planning on end of life care in elderly patients: randomised controlled trial'.</w:t>
      </w:r>
      <w:r w:rsidRPr="00D00607">
        <w:rPr>
          <w:b/>
        </w:rPr>
        <w:t xml:space="preserve"> Bmj</w:t>
      </w:r>
      <w:r w:rsidRPr="00D00607">
        <w:t xml:space="preserve">, 340. </w:t>
      </w:r>
    </w:p>
    <w:p w14:paraId="01E11BA7" w14:textId="77777777" w:rsidR="00D00607" w:rsidRPr="00D00607" w:rsidRDefault="00D00607" w:rsidP="00D00607">
      <w:pPr>
        <w:pStyle w:val="EndNoteBibliography"/>
        <w:spacing w:after="0"/>
        <w:ind w:left="720" w:hanging="720"/>
      </w:pPr>
      <w:r w:rsidRPr="00D00607">
        <w:t>Dew, A., Collings, S., Dillon Savage, I., Gentle, E., &amp; Dowse, L. (2019), '“Living the life I want”: A framework for planning engagement with people with intellectual disability and complex support needs'.</w:t>
      </w:r>
      <w:r w:rsidRPr="00D00607">
        <w:rPr>
          <w:b/>
        </w:rPr>
        <w:t xml:space="preserve"> Journal of Applied Research in Intellectual Disabilities</w:t>
      </w:r>
      <w:r w:rsidRPr="00D00607">
        <w:t xml:space="preserve">, 32(2). </w:t>
      </w:r>
    </w:p>
    <w:p w14:paraId="5C4EC94B" w14:textId="77777777" w:rsidR="00D00607" w:rsidRPr="00D00607" w:rsidRDefault="00D00607" w:rsidP="00D00607">
      <w:pPr>
        <w:pStyle w:val="EndNoteBibliography"/>
        <w:spacing w:after="0"/>
        <w:ind w:left="720" w:hanging="720"/>
      </w:pPr>
      <w:r w:rsidRPr="00D00607">
        <w:t>Dolan, E., Lane, J., Hillis, G., &amp; Delanty, N. (2021), 'Changing trends in life expectancy in intellectual disability over time'.</w:t>
      </w:r>
      <w:r w:rsidRPr="00D00607">
        <w:rPr>
          <w:b/>
        </w:rPr>
        <w:t xml:space="preserve"> Irish Medical Journal</w:t>
      </w:r>
      <w:r w:rsidRPr="00D00607">
        <w:t xml:space="preserve">, 112(9), 1006. </w:t>
      </w:r>
    </w:p>
    <w:p w14:paraId="1FB1A622" w14:textId="77777777" w:rsidR="00D00607" w:rsidRPr="00D00607" w:rsidRDefault="00D00607" w:rsidP="00D00607">
      <w:pPr>
        <w:pStyle w:val="EndNoteBibliography"/>
        <w:spacing w:after="0"/>
        <w:ind w:left="720" w:hanging="720"/>
      </w:pPr>
      <w:r w:rsidRPr="00D00607">
        <w:t>Doody, C. M., Markey, K., &amp; Doody, O. (2011), 'Future need of ageing people with an intellectual disability in the Republic of Ireland: lessons learned from the literature'.</w:t>
      </w:r>
      <w:r w:rsidRPr="00D00607">
        <w:rPr>
          <w:b/>
        </w:rPr>
        <w:t xml:space="preserve"> British Journal of Learning Disabilities</w:t>
      </w:r>
      <w:r w:rsidRPr="00D00607">
        <w:t xml:space="preserve">, 41(1), 13-21. </w:t>
      </w:r>
    </w:p>
    <w:p w14:paraId="396A095A" w14:textId="77777777" w:rsidR="00D00607" w:rsidRPr="00D00607" w:rsidRDefault="00D00607" w:rsidP="00D00607">
      <w:pPr>
        <w:pStyle w:val="EndNoteBibliography"/>
        <w:spacing w:after="0"/>
        <w:ind w:left="720" w:hanging="720"/>
      </w:pPr>
      <w:r w:rsidRPr="00D00607">
        <w:t>Doody, O., Hennessy, T., Moloney, M., Lyons, R., &amp; Bright, A. M. (2022), 'The value and contribution of intellectual disability nurses/nurses caring for people with intellectual disability in intellectual disability settings: A scoping review'.</w:t>
      </w:r>
      <w:r w:rsidRPr="00D00607">
        <w:rPr>
          <w:b/>
        </w:rPr>
        <w:t xml:space="preserve"> Journal of Clinical Nursing</w:t>
      </w:r>
      <w:r w:rsidRPr="00D00607">
        <w:t xml:space="preserve">(00), 1-48. </w:t>
      </w:r>
    </w:p>
    <w:p w14:paraId="3B838151" w14:textId="77777777" w:rsidR="00D00607" w:rsidRPr="00D00607" w:rsidRDefault="00D00607" w:rsidP="00D00607">
      <w:pPr>
        <w:pStyle w:val="EndNoteBibliography"/>
        <w:spacing w:after="0"/>
        <w:ind w:left="720" w:hanging="720"/>
      </w:pPr>
      <w:r w:rsidRPr="00D00607">
        <w:t>Duggan, C., &amp; Linehan, C. (2013), 'The role of ‘natural supports’ in promoting independent living for people with disabilities; a review of existing literature'.</w:t>
      </w:r>
      <w:r w:rsidRPr="00D00607">
        <w:rPr>
          <w:b/>
        </w:rPr>
        <w:t xml:space="preserve"> British Journal of Learning Disabilities</w:t>
      </w:r>
      <w:r w:rsidRPr="00D00607">
        <w:t xml:space="preserve">, 41(3), 199-207. </w:t>
      </w:r>
    </w:p>
    <w:p w14:paraId="0127E17B" w14:textId="77777777" w:rsidR="00D00607" w:rsidRPr="00D00607" w:rsidRDefault="00D00607" w:rsidP="00D00607">
      <w:pPr>
        <w:pStyle w:val="EndNoteBibliography"/>
        <w:spacing w:after="0"/>
        <w:ind w:left="720" w:hanging="720"/>
      </w:pPr>
      <w:r w:rsidRPr="00D00607">
        <w:t>Edvardsson, D., Fetherstonhaugh, D., &amp; Nay, R. (2010), 'Promoting a continuation of self and normality: person-centred care as described by people with dementia, their family members and aged care staff'.</w:t>
      </w:r>
      <w:r w:rsidRPr="00D00607">
        <w:rPr>
          <w:b/>
        </w:rPr>
        <w:t xml:space="preserve"> Journal of Clinical Nursing</w:t>
      </w:r>
      <w:r w:rsidRPr="00D00607">
        <w:t xml:space="preserve">, 19(17-18), 2611-2618. </w:t>
      </w:r>
    </w:p>
    <w:p w14:paraId="05DD4DBA" w14:textId="77777777" w:rsidR="00D00607" w:rsidRPr="00D00607" w:rsidRDefault="00D00607" w:rsidP="00D00607">
      <w:pPr>
        <w:pStyle w:val="EndNoteBibliography"/>
        <w:spacing w:after="0"/>
        <w:ind w:left="720" w:hanging="720"/>
      </w:pPr>
      <w:r w:rsidRPr="00D00607">
        <w:t>Egan, C., Mulcahy, H., &amp; Naughton, C. (2022), 'Transitioning to long-term care for older adults with intellectual disabilities: A concept analysis'.</w:t>
      </w:r>
      <w:r w:rsidRPr="00D00607">
        <w:rPr>
          <w:b/>
        </w:rPr>
        <w:t xml:space="preserve"> Journal of Intellectual Disabilities</w:t>
      </w:r>
      <w:r w:rsidRPr="00D00607">
        <w:t xml:space="preserve">, 26(4), 1015-1032. </w:t>
      </w:r>
    </w:p>
    <w:p w14:paraId="4EB3D3D7" w14:textId="77777777" w:rsidR="00D00607" w:rsidRPr="00D00607" w:rsidRDefault="00D00607" w:rsidP="00D00607">
      <w:pPr>
        <w:pStyle w:val="EndNoteBibliography"/>
        <w:spacing w:after="0"/>
        <w:ind w:left="720" w:hanging="720"/>
      </w:pPr>
      <w:r w:rsidRPr="00D00607">
        <w:t>Eley, D. S., Boyes, J., Young, L., &amp; Hegney, D. G. (2009), 'Accommodation needs for carers of and adults with intellectual disability in regional Australia: their hopes for and perceptions of the future'.</w:t>
      </w:r>
      <w:r w:rsidRPr="00D00607">
        <w:rPr>
          <w:b/>
        </w:rPr>
        <w:t xml:space="preserve"> Rural and remote health</w:t>
      </w:r>
      <w:r w:rsidRPr="00D00607">
        <w:t xml:space="preserve">, 9(3), 1-13. </w:t>
      </w:r>
    </w:p>
    <w:p w14:paraId="2AAD6392" w14:textId="77777777" w:rsidR="00D00607" w:rsidRPr="00D00607" w:rsidRDefault="00D00607" w:rsidP="00D00607">
      <w:pPr>
        <w:pStyle w:val="EndNoteBibliography"/>
        <w:spacing w:after="0"/>
        <w:ind w:left="720" w:hanging="720"/>
      </w:pPr>
      <w:r w:rsidRPr="00D00607">
        <w:t>Emerson, E., Robertson, J., Gregory, N., Hatton, C., Kessissoglou, S., Hallam, A., Järbrink, K., Knapp, M., Netten, A., &amp; Noonan Walsh, P. (2001), 'Quality and costs of supported living residences and group homes in the United Kingdom'.</w:t>
      </w:r>
      <w:r w:rsidRPr="00D00607">
        <w:rPr>
          <w:b/>
        </w:rPr>
        <w:t xml:space="preserve"> American Journal on Mental Retardation</w:t>
      </w:r>
      <w:r w:rsidRPr="00D00607">
        <w:t xml:space="preserve">, 106(5), 401-415. </w:t>
      </w:r>
    </w:p>
    <w:p w14:paraId="128A07ED" w14:textId="77777777" w:rsidR="00D00607" w:rsidRPr="00D00607" w:rsidRDefault="00D00607" w:rsidP="00D00607">
      <w:pPr>
        <w:pStyle w:val="EndNoteBibliography"/>
        <w:spacing w:after="0"/>
        <w:ind w:left="720" w:hanging="720"/>
      </w:pPr>
      <w:r w:rsidRPr="00D00607">
        <w:t>Emerson, E., Robertson, J., Gregory, N., Hatton, C., Kessissoglou, S., Hallam, A., Knapp, M., Järbrink, K., Walsh, P. N., &amp; Netten, A. (2000), 'Quality and costs of community-based residential supports, village communities, and residential campuses in the United Kingdom'.</w:t>
      </w:r>
      <w:r w:rsidRPr="00D00607">
        <w:rPr>
          <w:b/>
        </w:rPr>
        <w:t xml:space="preserve"> American Journal on Mental Retardation</w:t>
      </w:r>
      <w:r w:rsidRPr="00D00607">
        <w:t xml:space="preserve">, 105(2), 81-102. </w:t>
      </w:r>
    </w:p>
    <w:p w14:paraId="1CA6DDFA" w14:textId="77777777" w:rsidR="00D00607" w:rsidRPr="00D00607" w:rsidRDefault="00D00607" w:rsidP="00D00607">
      <w:pPr>
        <w:pStyle w:val="EndNoteBibliography"/>
        <w:spacing w:after="0"/>
        <w:ind w:left="720" w:hanging="720"/>
      </w:pPr>
      <w:r w:rsidRPr="00D00607">
        <w:t>Esbensen, A. J., Seltzer, M. M., &amp; Krauss, M. W. (2008), 'Stability and change in health, functional abilities, and behavior problems among adults with and without Down syndrome'.</w:t>
      </w:r>
      <w:r w:rsidRPr="00D00607">
        <w:rPr>
          <w:b/>
        </w:rPr>
        <w:t xml:space="preserve"> American Journal on Mental Retardation</w:t>
      </w:r>
      <w:r w:rsidRPr="00D00607">
        <w:t xml:space="preserve">, 113(4), 263-277. </w:t>
      </w:r>
    </w:p>
    <w:p w14:paraId="548DB9F2" w14:textId="77777777" w:rsidR="00D00607" w:rsidRPr="00D00607" w:rsidRDefault="00D00607" w:rsidP="00D00607">
      <w:pPr>
        <w:pStyle w:val="EndNoteBibliography"/>
        <w:spacing w:after="0"/>
        <w:ind w:left="720" w:hanging="720"/>
      </w:pPr>
      <w:r w:rsidRPr="00D00607">
        <w:t>Espiner, D., &amp; Hartnett, F. M. (2012), '‘I felt I was in control of the meeting’: facilitating planning with adults with an intellectual disability'.</w:t>
      </w:r>
      <w:r w:rsidRPr="00D00607">
        <w:rPr>
          <w:b/>
        </w:rPr>
        <w:t xml:space="preserve"> British Journal of Learning Disabilities</w:t>
      </w:r>
      <w:r w:rsidRPr="00D00607">
        <w:t xml:space="preserve">, 40(1), 62-70. </w:t>
      </w:r>
    </w:p>
    <w:p w14:paraId="59D20A53" w14:textId="77777777" w:rsidR="00D00607" w:rsidRPr="00D00607" w:rsidRDefault="00D00607" w:rsidP="00D00607">
      <w:pPr>
        <w:pStyle w:val="EndNoteBibliography"/>
        <w:spacing w:after="0"/>
        <w:ind w:left="720" w:hanging="720"/>
      </w:pPr>
      <w:r w:rsidRPr="00D00607">
        <w:t>Evenhuis, H., Henderson, C. M., Beange, H., Lennox, N., &amp; Chicoine, B. (2001), 'Healthy ageing–adults with intellectual disabilities: physical health issues'.</w:t>
      </w:r>
      <w:r w:rsidRPr="00D00607">
        <w:rPr>
          <w:b/>
        </w:rPr>
        <w:t xml:space="preserve"> Journal of Applied Research in Intellectual Disabilities</w:t>
      </w:r>
      <w:r w:rsidRPr="00D00607">
        <w:t xml:space="preserve">, 14(3), 175-194. </w:t>
      </w:r>
    </w:p>
    <w:p w14:paraId="1544D2CC" w14:textId="77777777" w:rsidR="00D00607" w:rsidRPr="00D00607" w:rsidRDefault="00D00607" w:rsidP="00D00607">
      <w:pPr>
        <w:pStyle w:val="EndNoteBibliography"/>
        <w:spacing w:after="0"/>
        <w:ind w:left="720" w:hanging="720"/>
      </w:pPr>
      <w:r w:rsidRPr="00D00607">
        <w:t>Fear, C., Scheepers, M., Ansell, M., Richards, R., &amp; Winterbottom, P. (2012), '‘Fair Horizons’: a person-centred, non-discriminatory model of mental healthcare delivery'.</w:t>
      </w:r>
      <w:r w:rsidRPr="00D00607">
        <w:rPr>
          <w:b/>
        </w:rPr>
        <w:t xml:space="preserve"> The Psychiatrist</w:t>
      </w:r>
      <w:r w:rsidRPr="00D00607">
        <w:t xml:space="preserve">, 36(1), 25-30. </w:t>
      </w:r>
    </w:p>
    <w:p w14:paraId="22B46E07" w14:textId="77777777" w:rsidR="00D00607" w:rsidRPr="00D00607" w:rsidRDefault="00D00607" w:rsidP="00D00607">
      <w:pPr>
        <w:pStyle w:val="EndNoteBibliography"/>
        <w:spacing w:after="0"/>
        <w:ind w:left="720" w:hanging="720"/>
      </w:pPr>
      <w:r w:rsidRPr="00D00607">
        <w:t xml:space="preserve">Ferretti, L., McCarron, M., &amp; McCallion, P. (2022), Building Shared End-of-Life Supports and Cross-Training for Hospice/Palliative and Intellectual Disability Services Providers </w:t>
      </w:r>
      <w:r w:rsidRPr="00D00607">
        <w:rPr>
          <w:i/>
        </w:rPr>
        <w:t>In:</w:t>
      </w:r>
      <w:r w:rsidRPr="00D00607">
        <w:t xml:space="preserve"> R. J. Stancliffe, M. Wiese, P. McCallion, &amp; M. McCarron (eds.). </w:t>
      </w:r>
      <w:r w:rsidRPr="00D00607">
        <w:rPr>
          <w:b/>
        </w:rPr>
        <w:t>End of Life and People with Intellectual and Developmental Disability</w:t>
      </w:r>
      <w:r w:rsidRPr="00D00607">
        <w:t>. Switzerland: Springer</w:t>
      </w:r>
    </w:p>
    <w:p w14:paraId="28F90AB7" w14:textId="77777777" w:rsidR="00D00607" w:rsidRPr="00D00607" w:rsidRDefault="00D00607" w:rsidP="00D00607">
      <w:pPr>
        <w:pStyle w:val="EndNoteBibliography"/>
        <w:spacing w:after="0"/>
        <w:ind w:left="720" w:hanging="720"/>
      </w:pPr>
      <w:r w:rsidRPr="00D00607">
        <w:t>Fesko, S. L., Hall, A. C., Quinlan, J., &amp; Jockell, C. (2012), 'Active aging for individuals with intellectual disability: Meaningful community participation through employment, retirement, service, and volunteerism'.</w:t>
      </w:r>
      <w:r w:rsidRPr="00D00607">
        <w:rPr>
          <w:b/>
        </w:rPr>
        <w:t xml:space="preserve"> American Journal on Intellectual and Developmental Disabilities</w:t>
      </w:r>
      <w:r w:rsidRPr="00D00607">
        <w:t xml:space="preserve">, 117(6), 497-508. </w:t>
      </w:r>
    </w:p>
    <w:p w14:paraId="0AA3F040" w14:textId="77777777" w:rsidR="00D00607" w:rsidRPr="00D00607" w:rsidRDefault="00D00607" w:rsidP="00D00607">
      <w:pPr>
        <w:pStyle w:val="EndNoteBibliography"/>
        <w:spacing w:after="0"/>
        <w:ind w:left="720" w:hanging="720"/>
      </w:pPr>
      <w:r w:rsidRPr="00D00607">
        <w:t>Forrester-Jones, R., Beecham, J. K., Barnoux, M., Oliver, D., Couch, E., &amp; Bates, C. (2017), 'People with intellectual disabilities at the end of their lives: The case for specialist care?'.</w:t>
      </w:r>
      <w:r w:rsidRPr="00D00607">
        <w:rPr>
          <w:b/>
        </w:rPr>
        <w:t xml:space="preserve"> Journal of Applied Research in Intellectual Disabilities</w:t>
      </w:r>
      <w:r w:rsidRPr="00D00607">
        <w:t xml:space="preserve">, 30(6), 1138-1150. </w:t>
      </w:r>
    </w:p>
    <w:p w14:paraId="41EEC433" w14:textId="77777777" w:rsidR="00D00607" w:rsidRPr="00D00607" w:rsidRDefault="00D00607" w:rsidP="00D00607">
      <w:pPr>
        <w:pStyle w:val="EndNoteBibliography"/>
        <w:spacing w:after="0"/>
        <w:ind w:left="720" w:hanging="720"/>
      </w:pPr>
      <w:r w:rsidRPr="00D00607">
        <w:t>García-Domínguez, L., Navas, P., Verdugo, M. Á., &amp; Arias, V. B. (2020), 'Chronic Health Conditions in Aging Individuals with Intellectual Disabilities'.</w:t>
      </w:r>
      <w:r w:rsidRPr="00D00607">
        <w:rPr>
          <w:b/>
        </w:rPr>
        <w:t xml:space="preserve"> International Journal of Environmental Research and Public Health</w:t>
      </w:r>
      <w:r w:rsidRPr="00D00607">
        <w:t xml:space="preserve">, 17(9), 3126. </w:t>
      </w:r>
    </w:p>
    <w:p w14:paraId="7873C81A" w14:textId="77777777" w:rsidR="00D00607" w:rsidRPr="00D00607" w:rsidRDefault="00D00607" w:rsidP="00D00607">
      <w:pPr>
        <w:pStyle w:val="EndNoteBibliography"/>
        <w:spacing w:after="0"/>
        <w:ind w:left="720" w:hanging="720"/>
      </w:pPr>
      <w:r w:rsidRPr="00D00607">
        <w:t>Garnham, B., Bryant, L., Ramcharan, P., Yu, N., &amp; Adams, V. (2019), 'Policy, plans and pathways: the ‘crisis’ transition to post-parental care for people ageing with intellectual disabilities in rural Australian carescapes'.</w:t>
      </w:r>
      <w:r w:rsidRPr="00D00607">
        <w:rPr>
          <w:b/>
        </w:rPr>
        <w:t xml:space="preserve"> Ageing and Society</w:t>
      </w:r>
      <w:r w:rsidRPr="00D00607">
        <w:t xml:space="preserve">, 39(4), 836-850. </w:t>
      </w:r>
    </w:p>
    <w:p w14:paraId="762F2BCA" w14:textId="77777777" w:rsidR="00D00607" w:rsidRPr="00D00607" w:rsidRDefault="00D00607" w:rsidP="00D00607">
      <w:pPr>
        <w:pStyle w:val="EndNoteBibliography"/>
        <w:spacing w:after="0"/>
        <w:ind w:left="720" w:hanging="720"/>
      </w:pPr>
      <w:r w:rsidRPr="00D00607">
        <w:t>Genio (2016),</w:t>
      </w:r>
      <w:r w:rsidRPr="00D00607">
        <w:rPr>
          <w:b/>
        </w:rPr>
        <w:t xml:space="preserve"> COMMUNITY SUPPORTS MODEL FOR PEOPLE WITH DEMENTIA</w:t>
      </w:r>
      <w:r w:rsidRPr="00D00607">
        <w:t>. Ireland: Genio and Health Service Executive.</w:t>
      </w:r>
    </w:p>
    <w:p w14:paraId="15B684B6" w14:textId="77777777" w:rsidR="00D00607" w:rsidRPr="00D00607" w:rsidRDefault="00D00607" w:rsidP="00D00607">
      <w:pPr>
        <w:pStyle w:val="EndNoteBibliography"/>
        <w:spacing w:after="0"/>
        <w:ind w:left="720" w:hanging="720"/>
      </w:pPr>
      <w:r w:rsidRPr="00D00607">
        <w:t>Gibbs, S. M., Brown, M. J., &amp; Muir, W. J. (2008), 'The experiences of adults with intellectual disabilities and their carers in general hospitals: a focus group study'.</w:t>
      </w:r>
      <w:r w:rsidRPr="00D00607">
        <w:rPr>
          <w:b/>
        </w:rPr>
        <w:t xml:space="preserve"> Journal of Intellectual Disability Research</w:t>
      </w:r>
      <w:r w:rsidRPr="00D00607">
        <w:t xml:space="preserve">, 52(12), 1061-1077. </w:t>
      </w:r>
    </w:p>
    <w:p w14:paraId="42C5594E" w14:textId="77777777" w:rsidR="00D00607" w:rsidRPr="00D00607" w:rsidRDefault="00D00607" w:rsidP="00D00607">
      <w:pPr>
        <w:pStyle w:val="EndNoteBibliography"/>
        <w:spacing w:after="0"/>
        <w:ind w:left="720" w:hanging="720"/>
      </w:pPr>
      <w:r w:rsidRPr="00D00607">
        <w:t>Gilbert, A., Lankshear, G., &amp; Petersen, A. (2008), 'Older family-carers’ views on the future accommodation needs of relatives who have an intellectual disability'.</w:t>
      </w:r>
      <w:r w:rsidRPr="00D00607">
        <w:rPr>
          <w:b/>
        </w:rPr>
        <w:t xml:space="preserve"> International Journal of Social Welfare</w:t>
      </w:r>
      <w:r w:rsidRPr="00D00607">
        <w:t xml:space="preserve">, 17(1), 54-64. </w:t>
      </w:r>
    </w:p>
    <w:p w14:paraId="1EB87B8D" w14:textId="77777777" w:rsidR="00D00607" w:rsidRPr="00D00607" w:rsidRDefault="00D00607" w:rsidP="00D00607">
      <w:pPr>
        <w:pStyle w:val="EndNoteBibliography"/>
        <w:spacing w:after="0"/>
        <w:ind w:left="720" w:hanging="720"/>
      </w:pPr>
      <w:r w:rsidRPr="00D00607">
        <w:t>Gilmore, L., &amp; Cuskelly, M. (2014), 'Vulnerability to Loneliness in People with Intellectual Disability: An Explanatory Model'.</w:t>
      </w:r>
      <w:r w:rsidRPr="00D00607">
        <w:rPr>
          <w:b/>
        </w:rPr>
        <w:t xml:space="preserve"> Journal of Policy and Practice in Intellectual Disabilities</w:t>
      </w:r>
      <w:r w:rsidRPr="00D00607">
        <w:t xml:space="preserve">, 11(3), 192-199. </w:t>
      </w:r>
    </w:p>
    <w:p w14:paraId="1D1E2F1B" w14:textId="77777777" w:rsidR="00D00607" w:rsidRPr="00D00607" w:rsidRDefault="00D00607" w:rsidP="00D00607">
      <w:pPr>
        <w:pStyle w:val="EndNoteBibliography"/>
        <w:spacing w:after="0"/>
        <w:ind w:left="720" w:hanging="720"/>
      </w:pPr>
      <w:r w:rsidRPr="00D00607">
        <w:t>Giuntoli, G., Newton, B., &amp; R, F. K. (2015),</w:t>
      </w:r>
      <w:r w:rsidRPr="00D00607">
        <w:rPr>
          <w:b/>
        </w:rPr>
        <w:t xml:space="preserve"> Current models of health service delivery for people with intellectual disability: Literature review</w:t>
      </w:r>
      <w:r w:rsidRPr="00D00607">
        <w:t>. Australia: Social Policy Research Centre, The University of New South Wales.</w:t>
      </w:r>
    </w:p>
    <w:p w14:paraId="16167A84" w14:textId="77777777" w:rsidR="00D00607" w:rsidRPr="00D00607" w:rsidRDefault="00D00607" w:rsidP="00D00607">
      <w:pPr>
        <w:pStyle w:val="EndNoteBibliography"/>
        <w:spacing w:after="0"/>
        <w:ind w:left="720" w:hanging="720"/>
      </w:pPr>
      <w:r w:rsidRPr="00D00607">
        <w:t>Government of Ireland (2022),</w:t>
      </w:r>
      <w:r w:rsidRPr="00D00607">
        <w:rPr>
          <w:b/>
        </w:rPr>
        <w:t xml:space="preserve"> The National Housing Strategy for Disabled People 2022-2027</w:t>
      </w:r>
      <w:r w:rsidRPr="00D00607">
        <w:t>. Dublin: Government of Ireland.</w:t>
      </w:r>
    </w:p>
    <w:p w14:paraId="3E59A155" w14:textId="77777777" w:rsidR="00D00607" w:rsidRPr="00D00607" w:rsidRDefault="00D00607" w:rsidP="00D00607">
      <w:pPr>
        <w:pStyle w:val="EndNoteBibliography"/>
        <w:spacing w:after="0"/>
        <w:ind w:left="720" w:hanging="720"/>
      </w:pPr>
      <w:r w:rsidRPr="00D00607">
        <w:t>Government of South Australia (2020),</w:t>
      </w:r>
      <w:r w:rsidRPr="00D00607">
        <w:rPr>
          <w:b/>
        </w:rPr>
        <w:t xml:space="preserve"> SA Intellectual Disability Health Service - Model of Care</w:t>
      </w:r>
      <w:r w:rsidRPr="00D00607">
        <w:t>. South Australia: Government of South Australia.</w:t>
      </w:r>
    </w:p>
    <w:p w14:paraId="2AB22F86" w14:textId="77777777" w:rsidR="00D00607" w:rsidRPr="00D00607" w:rsidRDefault="00D00607" w:rsidP="00D00607">
      <w:pPr>
        <w:pStyle w:val="EndNoteBibliography"/>
        <w:spacing w:after="0"/>
        <w:ind w:left="720" w:hanging="720"/>
      </w:pPr>
      <w:r w:rsidRPr="00D00607">
        <w:t>Grant, G., &amp; Ramcharan, P. (2001), 'Views and experiences of people with intellectual disabilities and their families.(2) The family perspective'.</w:t>
      </w:r>
      <w:r w:rsidRPr="00D00607">
        <w:rPr>
          <w:b/>
        </w:rPr>
        <w:t xml:space="preserve"> Journal of Applied Research in Intellectual Disabilities</w:t>
      </w:r>
      <w:r w:rsidRPr="00D00607">
        <w:t xml:space="preserve">, 14(4), 364-380. </w:t>
      </w:r>
    </w:p>
    <w:p w14:paraId="6FF35812" w14:textId="77777777" w:rsidR="00D00607" w:rsidRPr="00D00607" w:rsidRDefault="00D00607" w:rsidP="00D00607">
      <w:pPr>
        <w:pStyle w:val="EndNoteBibliography"/>
        <w:spacing w:after="0"/>
        <w:ind w:left="720" w:hanging="720"/>
      </w:pPr>
      <w:r w:rsidRPr="00D00607">
        <w:t>Gridley, K., Brooks, J., &amp; Glendinning, C. (2014), 'Good practice in social care for disabled adults and older people with severe and complex needs: evidence from a scoping review'.</w:t>
      </w:r>
      <w:r w:rsidRPr="00D00607">
        <w:rPr>
          <w:b/>
        </w:rPr>
        <w:t xml:space="preserve"> Health &amp; Social Care in the Community</w:t>
      </w:r>
      <w:r w:rsidRPr="00D00607">
        <w:t xml:space="preserve">, 22(3), 234-248. </w:t>
      </w:r>
    </w:p>
    <w:p w14:paraId="796B171D" w14:textId="77777777" w:rsidR="00D00607" w:rsidRPr="00D00607" w:rsidRDefault="00D00607" w:rsidP="00D00607">
      <w:pPr>
        <w:pStyle w:val="EndNoteBibliography"/>
        <w:spacing w:after="0"/>
        <w:ind w:left="720" w:hanging="720"/>
      </w:pPr>
      <w:r w:rsidRPr="00D00607">
        <w:t>Grove, H. (2021), 'Ageing as well as you can in place: Applying a geographical lens to the capability approach'.</w:t>
      </w:r>
      <w:r w:rsidRPr="00D00607">
        <w:rPr>
          <w:b/>
        </w:rPr>
        <w:t xml:space="preserve"> Social science &amp; medicine</w:t>
      </w:r>
      <w:r w:rsidRPr="00D00607">
        <w:t xml:space="preserve">, 288, 1-10. </w:t>
      </w:r>
    </w:p>
    <w:p w14:paraId="29C6E83E" w14:textId="77777777" w:rsidR="00D00607" w:rsidRPr="00D00607" w:rsidRDefault="00D00607" w:rsidP="00D00607">
      <w:pPr>
        <w:pStyle w:val="EndNoteBibliography"/>
        <w:spacing w:after="0"/>
        <w:ind w:left="720" w:hanging="720"/>
      </w:pPr>
      <w:r w:rsidRPr="00D00607">
        <w:t>Hamilton, D., Sutherland, G., &amp; Iacono, T. (2005), 'Further examination of relationships between life events and psychiatric symptoms in adults with intellectual disability'.</w:t>
      </w:r>
      <w:r w:rsidRPr="00D00607">
        <w:rPr>
          <w:b/>
        </w:rPr>
        <w:t xml:space="preserve"> Journal of Intellectual Disability Research</w:t>
      </w:r>
      <w:r w:rsidRPr="00D00607">
        <w:t xml:space="preserve">, 49(11), 839-844. </w:t>
      </w:r>
    </w:p>
    <w:p w14:paraId="1D1D360A" w14:textId="77777777" w:rsidR="00D00607" w:rsidRPr="00D00607" w:rsidRDefault="00D00607" w:rsidP="00D00607">
      <w:pPr>
        <w:pStyle w:val="EndNoteBibliography"/>
        <w:spacing w:after="0"/>
        <w:ind w:left="720" w:hanging="720"/>
      </w:pPr>
      <w:r w:rsidRPr="00D00607">
        <w:t>Harding, E., Wait, S., &amp; Scrutton, J. (2015),</w:t>
      </w:r>
      <w:r w:rsidRPr="00D00607">
        <w:rPr>
          <w:b/>
        </w:rPr>
        <w:t xml:space="preserve"> The state of play in person-centred care</w:t>
      </w:r>
      <w:r w:rsidRPr="00D00607">
        <w:t>. London, UK: The Health Policy Partnership.</w:t>
      </w:r>
    </w:p>
    <w:p w14:paraId="6FF76C7C" w14:textId="77777777" w:rsidR="00D00607" w:rsidRPr="00D00607" w:rsidRDefault="00D00607" w:rsidP="00D00607">
      <w:pPr>
        <w:pStyle w:val="EndNoteBibliography"/>
        <w:spacing w:after="0"/>
        <w:ind w:left="720" w:hanging="720"/>
      </w:pPr>
      <w:r w:rsidRPr="00D00607">
        <w:t>Hartnett, E., Gallagher, P., Kiernan, G., Poulsen, C., Gilligan, E., &amp; Reynolds, M. (2008), 'Day service programmes for people with a severe intellectual disability and quality of life: Parent and staff perspectives'.</w:t>
      </w:r>
      <w:r w:rsidRPr="00D00607">
        <w:rPr>
          <w:b/>
        </w:rPr>
        <w:t xml:space="preserve"> Journal of Intellectual Disabilities</w:t>
      </w:r>
      <w:r w:rsidRPr="00D00607">
        <w:t xml:space="preserve">, 12(2), 153-172. </w:t>
      </w:r>
    </w:p>
    <w:p w14:paraId="3B574A33" w14:textId="77777777" w:rsidR="00D00607" w:rsidRPr="00D00607" w:rsidRDefault="00D00607" w:rsidP="00D00607">
      <w:pPr>
        <w:pStyle w:val="EndNoteBibliography"/>
        <w:spacing w:after="0"/>
        <w:ind w:left="720" w:hanging="720"/>
      </w:pPr>
      <w:r w:rsidRPr="00D00607">
        <w:t>Hatzidimitriadou, E., &amp; Milne, A. (2005), 'Planning ahead: Meeting the needs of older people with intellectual disabilities in the United Kingdom'.</w:t>
      </w:r>
      <w:r w:rsidRPr="00D00607">
        <w:rPr>
          <w:b/>
        </w:rPr>
        <w:t xml:space="preserve"> Dementia</w:t>
      </w:r>
      <w:r w:rsidRPr="00D00607">
        <w:t xml:space="preserve">, 4(3), 341-359. </w:t>
      </w:r>
    </w:p>
    <w:p w14:paraId="1B563E72" w14:textId="77777777" w:rsidR="00D00607" w:rsidRPr="00D00607" w:rsidRDefault="00D00607" w:rsidP="00D00607">
      <w:pPr>
        <w:pStyle w:val="EndNoteBibliography"/>
        <w:spacing w:after="0"/>
        <w:ind w:left="720" w:hanging="720"/>
      </w:pPr>
      <w:r w:rsidRPr="00D00607">
        <w:t>Haveman, M., Heller, T., Lee, L., Maaskant, M., Shooshtari, S., &amp; Strydom, A. (2010), 'Major Health Risks in Aging Persons With Intellectual Disabilities: An Overview of Recent Studies'.</w:t>
      </w:r>
      <w:r w:rsidRPr="00D00607">
        <w:rPr>
          <w:b/>
        </w:rPr>
        <w:t xml:space="preserve"> Journal of Policy and Practice in Intellectual Disabilities</w:t>
      </w:r>
      <w:r w:rsidRPr="00D00607">
        <w:t xml:space="preserve">, 7(1), 59-69. </w:t>
      </w:r>
    </w:p>
    <w:p w14:paraId="534FA5AC" w14:textId="77777777" w:rsidR="00D00607" w:rsidRPr="00D00607" w:rsidRDefault="00D00607" w:rsidP="00D00607">
      <w:pPr>
        <w:pStyle w:val="EndNoteBibliography"/>
        <w:spacing w:after="0"/>
        <w:ind w:left="720" w:hanging="720"/>
      </w:pPr>
      <w:r w:rsidRPr="00D00607">
        <w:t>Haveman, M., Perry, J., Salvador-Carulla, L., Walsh, P. N., Kerr, M., Van Schrojenstein Lantman-De Valk, H., Van Hove, G., Berger, D. M., Azema, B., Buono, S., Cara, A. C., Germanavicius, A., Linehan, C., Määttä, T., Tossebro, J., &amp; Weber, G. (2011), 'Ageing and health status in adults with intellectual disabilities: Results of the European POMONA II study'.</w:t>
      </w:r>
      <w:r w:rsidRPr="00D00607">
        <w:rPr>
          <w:b/>
        </w:rPr>
        <w:t xml:space="preserve"> Journal of Intellectual and Developmental Disability</w:t>
      </w:r>
      <w:r w:rsidRPr="00D00607">
        <w:t xml:space="preserve">, 36(1), 49-60. </w:t>
      </w:r>
    </w:p>
    <w:p w14:paraId="4B06F3E5" w14:textId="77777777" w:rsidR="00D00607" w:rsidRPr="00D00607" w:rsidRDefault="00D00607" w:rsidP="00D00607">
      <w:pPr>
        <w:pStyle w:val="EndNoteBibliography"/>
        <w:spacing w:after="0"/>
        <w:ind w:left="720" w:hanging="720"/>
      </w:pPr>
      <w:r w:rsidRPr="00D00607">
        <w:t>Healthy and Positive Ageing Initiative (2018),</w:t>
      </w:r>
      <w:r w:rsidRPr="00D00607">
        <w:rPr>
          <w:b/>
        </w:rPr>
        <w:t xml:space="preserve"> Positive Ageing Indicators</w:t>
      </w:r>
      <w:r w:rsidRPr="00D00607">
        <w:t>. Dublin: Department of Health.</w:t>
      </w:r>
    </w:p>
    <w:p w14:paraId="79308D68" w14:textId="77777777" w:rsidR="00D00607" w:rsidRPr="00D00607" w:rsidRDefault="00D00607" w:rsidP="00D00607">
      <w:pPr>
        <w:pStyle w:val="EndNoteBibliography"/>
        <w:spacing w:after="0"/>
        <w:ind w:left="720" w:hanging="720"/>
      </w:pPr>
      <w:r w:rsidRPr="00D00607">
        <w:t>Heller, T. (2017),</w:t>
      </w:r>
      <w:r w:rsidRPr="00D00607">
        <w:rPr>
          <w:b/>
        </w:rPr>
        <w:t xml:space="preserve"> Service and support needs of adults aging with intellectual/developmental disabilities</w:t>
      </w:r>
      <w:r w:rsidRPr="00D00607">
        <w:t>. Illinois, Chicago: Institute on Disability and Human Development, Institute on Disability and Human Development.</w:t>
      </w:r>
    </w:p>
    <w:p w14:paraId="6582C45D" w14:textId="77777777" w:rsidR="00D00607" w:rsidRPr="00D00607" w:rsidRDefault="00D00607" w:rsidP="00D00607">
      <w:pPr>
        <w:pStyle w:val="EndNoteBibliography"/>
        <w:spacing w:after="0"/>
        <w:ind w:left="720" w:hanging="720"/>
      </w:pPr>
      <w:r w:rsidRPr="00D00607">
        <w:t>Heller, T. (2019), 'Bridging Aging and Intellectual/Developmental Disabilities in Research, Policy, and Practice'.</w:t>
      </w:r>
      <w:r w:rsidRPr="00D00607">
        <w:rPr>
          <w:b/>
        </w:rPr>
        <w:t xml:space="preserve"> Journal of Policy and Practice in Intellectual Disabilities</w:t>
      </w:r>
      <w:r w:rsidRPr="00D00607">
        <w:t xml:space="preserve">, 16(1), 53-57. </w:t>
      </w:r>
    </w:p>
    <w:p w14:paraId="2F4E44FE" w14:textId="77777777" w:rsidR="00D00607" w:rsidRPr="00D00607" w:rsidRDefault="00D00607" w:rsidP="00D00607">
      <w:pPr>
        <w:pStyle w:val="EndNoteBibliography"/>
        <w:spacing w:after="0"/>
        <w:ind w:left="720" w:hanging="720"/>
      </w:pPr>
      <w:r w:rsidRPr="00D00607">
        <w:t>Heslop, P., Blair, P. S., Fleming, P., Hoghton, M., Marriott, A., &amp; Russ, L. (2014), 'The Confidential Inquiry into premature deaths of people with intellectual disabilities in the UK: a population-based study'.</w:t>
      </w:r>
      <w:r w:rsidRPr="00D00607">
        <w:rPr>
          <w:b/>
        </w:rPr>
        <w:t xml:space="preserve"> The Lancet</w:t>
      </w:r>
      <w:r w:rsidRPr="00D00607">
        <w:t xml:space="preserve">, 383(9920), 889-895. </w:t>
      </w:r>
    </w:p>
    <w:p w14:paraId="7D50B900" w14:textId="77777777" w:rsidR="00D00607" w:rsidRPr="00D00607" w:rsidRDefault="00D00607" w:rsidP="00D00607">
      <w:pPr>
        <w:pStyle w:val="EndNoteBibliography"/>
        <w:spacing w:after="0"/>
        <w:ind w:left="720" w:hanging="720"/>
      </w:pPr>
      <w:r w:rsidRPr="00D00607">
        <w:t>Heslop, P., &amp; Glover, G. (2015), 'Mortality of people with intellectual disabilities in England: a comparison of data from existing sources'.</w:t>
      </w:r>
      <w:r w:rsidRPr="00D00607">
        <w:rPr>
          <w:b/>
        </w:rPr>
        <w:t xml:space="preserve"> Journal of Applied Research in Intellectual Disabilities</w:t>
      </w:r>
      <w:r w:rsidRPr="00D00607">
        <w:t xml:space="preserve">, 28(5), 414-422. </w:t>
      </w:r>
    </w:p>
    <w:p w14:paraId="0CA7D186" w14:textId="77777777" w:rsidR="00D00607" w:rsidRPr="00D00607" w:rsidRDefault="00D00607" w:rsidP="00D00607">
      <w:pPr>
        <w:pStyle w:val="EndNoteBibliography"/>
        <w:spacing w:after="0"/>
        <w:ind w:left="720" w:hanging="720"/>
      </w:pPr>
      <w:r w:rsidRPr="00D00607">
        <w:t>HIQA (2012),</w:t>
      </w:r>
      <w:r w:rsidRPr="00D00607">
        <w:rPr>
          <w:b/>
        </w:rPr>
        <w:t xml:space="preserve"> A Guide to the National Standards for Safer Better Healthcare</w:t>
      </w:r>
      <w:r w:rsidRPr="00D00607">
        <w:t>. Dublin: Health Information and Quality Authority.</w:t>
      </w:r>
    </w:p>
    <w:p w14:paraId="09681263" w14:textId="77777777" w:rsidR="00D00607" w:rsidRPr="00D00607" w:rsidRDefault="00D00607" w:rsidP="00D00607">
      <w:pPr>
        <w:pStyle w:val="EndNoteBibliography"/>
        <w:spacing w:after="0"/>
        <w:ind w:left="720" w:hanging="720"/>
      </w:pPr>
      <w:r w:rsidRPr="00D00607">
        <w:t>Hogg, J., Lucchino, R., Wang, K., Janicki, M., &amp; Saxena, S. (2001), 'Healthy Ageing - Adults with Intellectual Disabilities: Ageing and Social Policy'.</w:t>
      </w:r>
      <w:r w:rsidRPr="00D00607">
        <w:rPr>
          <w:b/>
        </w:rPr>
        <w:t xml:space="preserve"> Journal of Applied Research in Intellectual Disabilities</w:t>
      </w:r>
      <w:r w:rsidRPr="00D00607">
        <w:t xml:space="preserve">, 14(3). </w:t>
      </w:r>
    </w:p>
    <w:p w14:paraId="31074121" w14:textId="77777777" w:rsidR="00D00607" w:rsidRPr="00D00607" w:rsidRDefault="00D00607" w:rsidP="00D00607">
      <w:pPr>
        <w:pStyle w:val="EndNoteBibliography"/>
        <w:spacing w:after="0"/>
        <w:ind w:left="720" w:hanging="720"/>
      </w:pPr>
      <w:r w:rsidRPr="00D00607">
        <w:t>Hourigan, S., Fanagan, S., &amp; Kelly, C. (2018),</w:t>
      </w:r>
      <w:r w:rsidRPr="00D00607">
        <w:rPr>
          <w:b/>
        </w:rPr>
        <w:t xml:space="preserve"> Annual Report of the National Intellectual Disability Database Committee 2017 Main Findings</w:t>
      </w:r>
      <w:r w:rsidRPr="00D00607">
        <w:t xml:space="preserve">. Dublin: Health Research Board </w:t>
      </w:r>
    </w:p>
    <w:p w14:paraId="739DF6A9" w14:textId="77777777" w:rsidR="00D00607" w:rsidRPr="00D00607" w:rsidRDefault="00D00607" w:rsidP="00D00607">
      <w:pPr>
        <w:pStyle w:val="EndNoteBibliography"/>
        <w:spacing w:after="0"/>
        <w:ind w:left="720" w:hanging="720"/>
      </w:pPr>
      <w:r w:rsidRPr="00D00607">
        <w:t>HSE (2011),</w:t>
      </w:r>
      <w:r w:rsidRPr="00D00607">
        <w:rPr>
          <w:b/>
        </w:rPr>
        <w:t xml:space="preserve"> Time to Move on from Congregated Settings, A strategy for Community Inclusion</w:t>
      </w:r>
      <w:r w:rsidRPr="00D00607">
        <w:t>. Dublin: Health Service Executive.</w:t>
      </w:r>
    </w:p>
    <w:p w14:paraId="13BEDDAE" w14:textId="77777777" w:rsidR="00D00607" w:rsidRPr="00D00607" w:rsidRDefault="00D00607" w:rsidP="00D00607">
      <w:pPr>
        <w:pStyle w:val="EndNoteBibliography"/>
        <w:spacing w:after="0"/>
        <w:ind w:left="720" w:hanging="720"/>
      </w:pPr>
      <w:r w:rsidRPr="00D00607">
        <w:t>HSE (2013),</w:t>
      </w:r>
      <w:r w:rsidRPr="00D00607">
        <w:rPr>
          <w:b/>
        </w:rPr>
        <w:t xml:space="preserve"> Quality assessment and improvement: person centred care and support</w:t>
      </w:r>
      <w:r w:rsidRPr="00D00607">
        <w:t>. Dublin: Quality and Patient Safety Directorate (HSE).</w:t>
      </w:r>
    </w:p>
    <w:p w14:paraId="34FDF46D" w14:textId="77777777" w:rsidR="00D00607" w:rsidRPr="00D00607" w:rsidRDefault="00D00607" w:rsidP="00D00607">
      <w:pPr>
        <w:pStyle w:val="EndNoteBibliography"/>
        <w:spacing w:after="0"/>
        <w:ind w:left="720" w:hanging="720"/>
      </w:pPr>
      <w:r w:rsidRPr="00D00607">
        <w:t>HSE (2015),</w:t>
      </w:r>
      <w:r w:rsidRPr="00D00607">
        <w:rPr>
          <w:b/>
        </w:rPr>
        <w:t xml:space="preserve"> New Directions. Interim Standards for New Directions, Services and Supports for Adults with Disabilities</w:t>
      </w:r>
      <w:r w:rsidRPr="00D00607">
        <w:t>. Dublin: Health Service Executive.</w:t>
      </w:r>
    </w:p>
    <w:p w14:paraId="6EC43B26" w14:textId="77777777" w:rsidR="00D00607" w:rsidRPr="00D00607" w:rsidRDefault="00D00607" w:rsidP="00D00607">
      <w:pPr>
        <w:pStyle w:val="EndNoteBibliography"/>
        <w:spacing w:after="0"/>
        <w:ind w:left="720" w:hanging="720"/>
      </w:pPr>
      <w:r w:rsidRPr="00D00607">
        <w:t>HSE (2016),</w:t>
      </w:r>
      <w:r w:rsidRPr="00D00607">
        <w:rPr>
          <w:b/>
        </w:rPr>
        <w:t xml:space="preserve"> A National Model of Care for Paediatric Healthcare Services in Ireland</w:t>
      </w:r>
      <w:r w:rsidRPr="00D00607">
        <w:t>. Dublin: Health Service Executive.</w:t>
      </w:r>
    </w:p>
    <w:p w14:paraId="4BB43ECB" w14:textId="77777777" w:rsidR="00D00607" w:rsidRPr="00D00607" w:rsidRDefault="00D00607" w:rsidP="00D00607">
      <w:pPr>
        <w:pStyle w:val="EndNoteBibliography"/>
        <w:spacing w:after="0"/>
        <w:ind w:left="720" w:hanging="720"/>
      </w:pPr>
      <w:r w:rsidRPr="00D00607">
        <w:t>HSE (2018a),</w:t>
      </w:r>
      <w:r w:rsidRPr="00D00607">
        <w:rPr>
          <w:b/>
        </w:rPr>
        <w:t xml:space="preserve"> Model of Care for Transition from Paediatric to Adult Healthcare Providers in Rare Diseases</w:t>
      </w:r>
      <w:r w:rsidRPr="00D00607">
        <w:t>. Dublin: Health Service Executive.</w:t>
      </w:r>
    </w:p>
    <w:p w14:paraId="29FF6FB1" w14:textId="77777777" w:rsidR="00D00607" w:rsidRPr="00D00607" w:rsidRDefault="00D00607" w:rsidP="00D00607">
      <w:pPr>
        <w:pStyle w:val="EndNoteBibliography"/>
        <w:spacing w:after="0"/>
        <w:ind w:left="720" w:hanging="720"/>
      </w:pPr>
      <w:r w:rsidRPr="00D00607">
        <w:t>HSE (2018b),</w:t>
      </w:r>
      <w:r w:rsidRPr="00D00607">
        <w:rPr>
          <w:b/>
        </w:rPr>
        <w:t xml:space="preserve"> A National Framework for PersonCentred Planning in Services for Persons with a Disability</w:t>
      </w:r>
      <w:r w:rsidRPr="00D00607">
        <w:t>. Dublin: Health Service Executive.</w:t>
      </w:r>
    </w:p>
    <w:p w14:paraId="74CF6C3E" w14:textId="77777777" w:rsidR="00D00607" w:rsidRPr="00D00607" w:rsidRDefault="00D00607" w:rsidP="00D00607">
      <w:pPr>
        <w:pStyle w:val="EndNoteBibliography"/>
        <w:spacing w:after="0"/>
        <w:ind w:left="720" w:hanging="720"/>
      </w:pPr>
      <w:r w:rsidRPr="00D00607">
        <w:t>HSE (2019a),</w:t>
      </w:r>
      <w:r w:rsidRPr="00D00607">
        <w:rPr>
          <w:b/>
        </w:rPr>
        <w:t xml:space="preserve"> ADULT PALLIATIVE CARE SERVICES MODEL OF CARE FOR IRELAND</w:t>
      </w:r>
      <w:r w:rsidRPr="00D00607">
        <w:t>. Dublin: Health Service Executive,.</w:t>
      </w:r>
    </w:p>
    <w:p w14:paraId="2B998491" w14:textId="77777777" w:rsidR="00D00607" w:rsidRPr="00D00607" w:rsidRDefault="00D00607" w:rsidP="00D00607">
      <w:pPr>
        <w:pStyle w:val="EndNoteBibliography"/>
        <w:spacing w:after="0"/>
        <w:ind w:left="720" w:hanging="720"/>
      </w:pPr>
      <w:r w:rsidRPr="00D00607">
        <w:t>HSE (2019b),</w:t>
      </w:r>
      <w:r w:rsidRPr="00D00607">
        <w:rPr>
          <w:b/>
        </w:rPr>
        <w:t xml:space="preserve"> Time to Move on from Congregated Settings: annual progress report 2019</w:t>
      </w:r>
      <w:r w:rsidRPr="00D00607">
        <w:t>. Dublin: Health Service Executive.</w:t>
      </w:r>
    </w:p>
    <w:p w14:paraId="4789287B" w14:textId="77777777" w:rsidR="00D00607" w:rsidRPr="00D00607" w:rsidRDefault="00D00607" w:rsidP="00D00607">
      <w:pPr>
        <w:pStyle w:val="EndNoteBibliography"/>
        <w:spacing w:after="0"/>
        <w:ind w:left="720" w:hanging="720"/>
      </w:pPr>
      <w:r w:rsidRPr="00D00607">
        <w:t>HSE (2021),</w:t>
      </w:r>
      <w:r w:rsidRPr="00D00607">
        <w:rPr>
          <w:b/>
        </w:rPr>
        <w:t xml:space="preserve"> Mental Health Services for Adults with Intellectual Disabilities: National Model of Service</w:t>
      </w:r>
      <w:r w:rsidRPr="00D00607">
        <w:t>. Dublin: Health Service Executive.</w:t>
      </w:r>
    </w:p>
    <w:p w14:paraId="60BF66D5" w14:textId="77777777" w:rsidR="00D00607" w:rsidRPr="00D00607" w:rsidRDefault="00D00607" w:rsidP="00D00607">
      <w:pPr>
        <w:pStyle w:val="EndNoteBibliography"/>
        <w:spacing w:after="0"/>
        <w:ind w:left="720" w:hanging="720"/>
      </w:pPr>
      <w:r w:rsidRPr="00D00607">
        <w:t>Hudson, E., Mosca, I., &amp; O’Sullivan, V. (2014),</w:t>
      </w:r>
      <w:r w:rsidRPr="00D00607">
        <w:rPr>
          <w:b/>
        </w:rPr>
        <w:t xml:space="preserve"> The Economic Wellbeing of Over 50’s and their Children</w:t>
      </w:r>
      <w:r w:rsidRPr="00D00607">
        <w:t>. Dublin: The Irish Longitudinal Study of Ageing.</w:t>
      </w:r>
    </w:p>
    <w:p w14:paraId="5A183E28" w14:textId="77777777" w:rsidR="00D00607" w:rsidRPr="00D00607" w:rsidRDefault="00D00607" w:rsidP="00D00607">
      <w:pPr>
        <w:pStyle w:val="EndNoteBibliography"/>
        <w:spacing w:after="0"/>
        <w:ind w:left="720" w:hanging="720"/>
      </w:pPr>
      <w:r w:rsidRPr="00D00607">
        <w:t>Hulbert-Williams, L., &amp; Hastings, R. P. (2008), 'Life events as a risk factor for psychological problems in individuals with intellectual disabilities: a critical review'.</w:t>
      </w:r>
      <w:r w:rsidRPr="00D00607">
        <w:rPr>
          <w:b/>
        </w:rPr>
        <w:t xml:space="preserve"> Journal of Intellectual Disability Research</w:t>
      </w:r>
      <w:r w:rsidRPr="00D00607">
        <w:t xml:space="preserve">, 52(11), 883-895. </w:t>
      </w:r>
    </w:p>
    <w:p w14:paraId="4150A0E0" w14:textId="77777777" w:rsidR="00D00607" w:rsidRPr="00D00607" w:rsidRDefault="00D00607" w:rsidP="00D00607">
      <w:pPr>
        <w:pStyle w:val="EndNoteBibliography"/>
        <w:spacing w:after="0"/>
        <w:ind w:left="720" w:hanging="720"/>
      </w:pPr>
      <w:r w:rsidRPr="00D00607">
        <w:t>Hussain, R., Parmenter, T., Knox, M., Janicki, M., &amp; Wark, S. (2013),</w:t>
      </w:r>
      <w:r w:rsidRPr="00D00607">
        <w:rPr>
          <w:b/>
        </w:rPr>
        <w:t xml:space="preserve"> Keeping my place in the community: Achieving successful ageing-in-place for people with intellectual disabilities</w:t>
      </w:r>
      <w:r w:rsidRPr="00D00607">
        <w:t>. Australia: Australian Research Council (ARC) Linkage Project.</w:t>
      </w:r>
    </w:p>
    <w:p w14:paraId="235BCB0A" w14:textId="77777777" w:rsidR="00D00607" w:rsidRPr="00D00607" w:rsidRDefault="00D00607" w:rsidP="00D00607">
      <w:pPr>
        <w:pStyle w:val="EndNoteBibliography"/>
        <w:spacing w:after="0"/>
        <w:ind w:left="720" w:hanging="720"/>
      </w:pPr>
      <w:r w:rsidRPr="00D00607">
        <w:t>Hussain, R., Parmenter, T., Wark, S., Janicki, M., Knox, M., &amp; Hayhoe, N. (2021), 'Mitigating the impact of the ‘silos’ between the disability and aged-care sectors in Australia: Development of a Best Practice Framework'.</w:t>
      </w:r>
      <w:r w:rsidRPr="00D00607">
        <w:rPr>
          <w:b/>
        </w:rPr>
        <w:t xml:space="preserve"> Journal of Applied Research in Intellectual Disabilities</w:t>
      </w:r>
      <w:r w:rsidRPr="00D00607">
        <w:t xml:space="preserve">, 34(6). </w:t>
      </w:r>
    </w:p>
    <w:p w14:paraId="38996CBE" w14:textId="77777777" w:rsidR="00D00607" w:rsidRPr="00D00607" w:rsidRDefault="00D00607" w:rsidP="00D00607">
      <w:pPr>
        <w:pStyle w:val="EndNoteBibliography"/>
        <w:spacing w:after="0"/>
        <w:ind w:left="720" w:hanging="720"/>
      </w:pPr>
      <w:r w:rsidRPr="00D00607">
        <w:t>Hussain, R., Wark, S., Janicki, M. P., Parmenter, T., &amp; Knox, M. (2020), 'Multimorbidity in older people with intellectual disability'.</w:t>
      </w:r>
      <w:r w:rsidRPr="00D00607">
        <w:rPr>
          <w:b/>
        </w:rPr>
        <w:t xml:space="preserve"> Journal of Applied Research in Intellectual Disabilities</w:t>
      </w:r>
      <w:r w:rsidRPr="00D00607">
        <w:t xml:space="preserve">, 33(6), 1234-1244. </w:t>
      </w:r>
    </w:p>
    <w:p w14:paraId="3978BFCA" w14:textId="77777777" w:rsidR="00D00607" w:rsidRPr="00D00607" w:rsidRDefault="00D00607" w:rsidP="00D00607">
      <w:pPr>
        <w:pStyle w:val="EndNoteBibliography"/>
        <w:spacing w:after="0"/>
        <w:ind w:left="720" w:hanging="720"/>
      </w:pPr>
      <w:r w:rsidRPr="00D00607">
        <w:t>Iacono, T., Bigby, C., Carling</w:t>
      </w:r>
      <w:r w:rsidRPr="00D00607">
        <w:rPr>
          <w:rFonts w:ascii="Cambria Math" w:hAnsi="Cambria Math" w:cs="Cambria Math"/>
        </w:rPr>
        <w:t>‐</w:t>
      </w:r>
      <w:r w:rsidRPr="00D00607">
        <w:t>Jenkins, R., &amp; Torr, J. (2014), 'Taking each day as it comes: staff experiences of supporting people with D own syndrome and A lzheimer's disease in group homes'.</w:t>
      </w:r>
      <w:r w:rsidRPr="00D00607">
        <w:rPr>
          <w:b/>
        </w:rPr>
        <w:t xml:space="preserve"> Journal of Intellectual Disability Research</w:t>
      </w:r>
      <w:r w:rsidRPr="00D00607">
        <w:t xml:space="preserve">, 58(6), 521-533. </w:t>
      </w:r>
    </w:p>
    <w:p w14:paraId="59402309" w14:textId="77777777" w:rsidR="00D00607" w:rsidRPr="00D00607" w:rsidRDefault="00D00607" w:rsidP="00D00607">
      <w:pPr>
        <w:pStyle w:val="EndNoteBibliography"/>
        <w:spacing w:after="0"/>
        <w:ind w:left="720" w:hanging="720"/>
      </w:pPr>
      <w:r w:rsidRPr="00D00607">
        <w:t>Inclusion Ireland (2019),</w:t>
      </w:r>
      <w:r w:rsidRPr="00D00607">
        <w:rPr>
          <w:b/>
        </w:rPr>
        <w:t xml:space="preserve"> Housing for people with intellectual disabilities</w:t>
      </w:r>
      <w:r w:rsidRPr="00D00607">
        <w:t>. Dublin: Inclusion Ireland.</w:t>
      </w:r>
    </w:p>
    <w:p w14:paraId="178D685C" w14:textId="77777777" w:rsidR="00D00607" w:rsidRPr="00D00607" w:rsidRDefault="00D00607" w:rsidP="00D00607">
      <w:pPr>
        <w:pStyle w:val="EndNoteBibliography"/>
        <w:spacing w:after="0"/>
        <w:ind w:left="720" w:hanging="720"/>
      </w:pPr>
      <w:r w:rsidRPr="00D00607">
        <w:t>Innes, A., McCabe, L., &amp; Watchman, K. (2012), 'Caring for older people with an intellectual disability: A systematic review'.</w:t>
      </w:r>
      <w:r w:rsidRPr="00D00607">
        <w:rPr>
          <w:b/>
        </w:rPr>
        <w:t xml:space="preserve"> Maturitas</w:t>
      </w:r>
      <w:r w:rsidRPr="00D00607">
        <w:t xml:space="preserve">, 72(4), 286-295. </w:t>
      </w:r>
    </w:p>
    <w:p w14:paraId="6A5083B0" w14:textId="79B00002" w:rsidR="00D00607" w:rsidRPr="00D00607" w:rsidRDefault="00D00607" w:rsidP="00D00607">
      <w:pPr>
        <w:pStyle w:val="EndNoteBibliography"/>
        <w:spacing w:after="0"/>
        <w:ind w:left="720" w:hanging="720"/>
      </w:pPr>
      <w:r w:rsidRPr="00D00607">
        <w:t xml:space="preserve">Irish Hospice Foundation. (2022). </w:t>
      </w:r>
      <w:r w:rsidRPr="00D00607">
        <w:rPr>
          <w:b/>
        </w:rPr>
        <w:t>I want to Think Ahead</w:t>
      </w:r>
      <w:r w:rsidRPr="00D00607">
        <w:t xml:space="preserve">. </w:t>
      </w:r>
      <w:r w:rsidR="00B5335A" w:rsidRPr="00B5335A">
        <w:t xml:space="preserve">Available at: </w:t>
      </w:r>
      <w:hyperlink r:id="rId21" w:history="1">
        <w:r w:rsidR="00B5335A" w:rsidRPr="00B5335A">
          <w:rPr>
            <w:rStyle w:val="Hyperlink"/>
          </w:rPr>
          <w:t>https://hospicefoundation.ie/i-need-help/i-want-to-think-ahead/</w:t>
        </w:r>
      </w:hyperlink>
      <w:r w:rsidRPr="00D00607">
        <w:t xml:space="preserve"> Accessed: 18/10/2022.</w:t>
      </w:r>
    </w:p>
    <w:p w14:paraId="41B4082C" w14:textId="77777777" w:rsidR="00D00607" w:rsidRPr="00D00607" w:rsidRDefault="00D00607" w:rsidP="00D00607">
      <w:pPr>
        <w:pStyle w:val="EndNoteBibliography"/>
        <w:spacing w:after="0"/>
        <w:ind w:left="720" w:hanging="720"/>
      </w:pPr>
      <w:r w:rsidRPr="00D00607">
        <w:t>Janicki, M., Heller, T., Seltzer, G., &amp; Hogg, J. (1996), 'Practice guidelines for the clinical assessment and care management of Alzheimer's disease and other dementias among adults with intellectual disability'.</w:t>
      </w:r>
      <w:r w:rsidRPr="00D00607">
        <w:rPr>
          <w:b/>
        </w:rPr>
        <w:t xml:space="preserve"> Journal of Intellectual Disability Research</w:t>
      </w:r>
      <w:r w:rsidRPr="00D00607">
        <w:t xml:space="preserve">, 40(4), 374-382. </w:t>
      </w:r>
    </w:p>
    <w:p w14:paraId="330329B9" w14:textId="77777777" w:rsidR="00D00607" w:rsidRPr="00D00607" w:rsidRDefault="00D00607" w:rsidP="00D00607">
      <w:pPr>
        <w:pStyle w:val="EndNoteBibliography"/>
        <w:spacing w:after="0"/>
        <w:ind w:left="720" w:hanging="720"/>
      </w:pPr>
      <w:r w:rsidRPr="00D00607">
        <w:t>Janicki, M. P. (2010), 'Aging adults with intellectual disabilities: Perspectives on emerging service concerns'.</w:t>
      </w:r>
      <w:r w:rsidRPr="00D00607">
        <w:rPr>
          <w:b/>
        </w:rPr>
        <w:t xml:space="preserve"> Journal of Special Education and Rehabilitation</w:t>
      </w:r>
      <w:r w:rsidRPr="00D00607">
        <w:t xml:space="preserve">, 11(1-2), 114-129. </w:t>
      </w:r>
    </w:p>
    <w:p w14:paraId="76392EBB" w14:textId="77777777" w:rsidR="00D00607" w:rsidRPr="00D00607" w:rsidRDefault="00D00607" w:rsidP="00D00607">
      <w:pPr>
        <w:pStyle w:val="EndNoteBibliography"/>
        <w:spacing w:after="0"/>
        <w:ind w:left="720" w:hanging="720"/>
      </w:pPr>
      <w:r w:rsidRPr="00D00607">
        <w:t>Janicki, M. P., &amp; Dalton, A. J. (2000), 'Prevalence of dementia and impact on intellectual disability services'.</w:t>
      </w:r>
      <w:r w:rsidRPr="00D00607">
        <w:rPr>
          <w:b/>
        </w:rPr>
        <w:t xml:space="preserve"> Mental retardation</w:t>
      </w:r>
      <w:r w:rsidRPr="00D00607">
        <w:t xml:space="preserve">, 38(3), 276-288. </w:t>
      </w:r>
    </w:p>
    <w:p w14:paraId="1F2C34C3" w14:textId="77777777" w:rsidR="00D00607" w:rsidRPr="00D00607" w:rsidRDefault="00D00607" w:rsidP="00D00607">
      <w:pPr>
        <w:pStyle w:val="EndNoteBibliography"/>
        <w:spacing w:after="0"/>
        <w:ind w:left="720" w:hanging="720"/>
      </w:pPr>
      <w:r w:rsidRPr="00D00607">
        <w:t>Janicki, M. P., Dalton, A. J., McCallion, P., Baxley, D. D., &amp; Zendell, A. (2005), 'Group home care for adults with intellectual disabilities and Alzheimer’s disease'.</w:t>
      </w:r>
      <w:r w:rsidRPr="00D00607">
        <w:rPr>
          <w:b/>
        </w:rPr>
        <w:t xml:space="preserve"> Dementia</w:t>
      </w:r>
      <w:r w:rsidRPr="00D00607">
        <w:t xml:space="preserve">, 4(3), 361-385. </w:t>
      </w:r>
    </w:p>
    <w:p w14:paraId="18C964D1" w14:textId="77777777" w:rsidR="00D00607" w:rsidRPr="00D00607" w:rsidRDefault="00D00607" w:rsidP="00D00607">
      <w:pPr>
        <w:pStyle w:val="EndNoteBibliography"/>
        <w:spacing w:after="0"/>
        <w:ind w:left="720" w:hanging="720"/>
      </w:pPr>
      <w:r w:rsidRPr="00D00607">
        <w:t>Janicki, M. P., McCallion, P., &amp; Dalton, A. J. (2003), 'Dementia-Related care Decision-Making in group homes for persons with intellectual disabilities'.</w:t>
      </w:r>
      <w:r w:rsidRPr="00D00607">
        <w:rPr>
          <w:b/>
        </w:rPr>
        <w:t xml:space="preserve"> Journal of Gerontological Social Work</w:t>
      </w:r>
      <w:r w:rsidRPr="00D00607">
        <w:t xml:space="preserve">, 38(1-2), 179-195. </w:t>
      </w:r>
    </w:p>
    <w:p w14:paraId="28BBDD6F" w14:textId="77777777" w:rsidR="00D00607" w:rsidRPr="00D00607" w:rsidRDefault="00D00607" w:rsidP="00D00607">
      <w:pPr>
        <w:pStyle w:val="EndNoteBibliography"/>
        <w:spacing w:after="0"/>
        <w:ind w:left="720" w:hanging="720"/>
      </w:pPr>
      <w:r w:rsidRPr="00D00607">
        <w:t>Johansson, M., Björne, P., Runesson, I., &amp; Ahlström, G. (2017), 'Healthy ageing in people with intellectual disabilities from managers’ perspective: A qualitative study'.</w:t>
      </w:r>
      <w:r w:rsidRPr="00D00607">
        <w:rPr>
          <w:b/>
        </w:rPr>
        <w:t xml:space="preserve"> Healthcare (Switzerland)</w:t>
      </w:r>
      <w:r w:rsidRPr="00D00607">
        <w:t xml:space="preserve">, 5(3). </w:t>
      </w:r>
    </w:p>
    <w:p w14:paraId="07ADCB6E" w14:textId="77777777" w:rsidR="00D00607" w:rsidRPr="00D00607" w:rsidRDefault="00D00607" w:rsidP="00D00607">
      <w:pPr>
        <w:pStyle w:val="EndNoteBibliography"/>
        <w:spacing w:after="0"/>
        <w:ind w:left="720" w:hanging="720"/>
      </w:pPr>
      <w:r w:rsidRPr="00D00607">
        <w:t>Johnson, H., Douglas, J., Bigby, C., &amp; Iacono, T. (2012), 'Social interaction with adults with severe intellectual disability: Having fun and hanging out'.</w:t>
      </w:r>
      <w:r w:rsidRPr="00D00607">
        <w:rPr>
          <w:b/>
        </w:rPr>
        <w:t xml:space="preserve"> Journal of Applied Research in Intellectual Disabilities</w:t>
      </w:r>
      <w:r w:rsidRPr="00D00607">
        <w:t xml:space="preserve">, 25(4), 329-341. </w:t>
      </w:r>
    </w:p>
    <w:p w14:paraId="165B46A6" w14:textId="77777777" w:rsidR="00D00607" w:rsidRPr="00D00607" w:rsidRDefault="00D00607" w:rsidP="00D00607">
      <w:pPr>
        <w:pStyle w:val="EndNoteBibliography"/>
        <w:spacing w:after="0"/>
        <w:ind w:left="720" w:hanging="720"/>
      </w:pPr>
      <w:r w:rsidRPr="00D00607">
        <w:t>Jokinen, N., Janicki, M. P., Keller, S. M., McCallion, P., Force, L. T., Disabilities, N. T. G. o. I., &amp; Practices, D. (2013), 'Guidelines for structuring community care and supports for people with intellectual disabilities affected by dementia'.</w:t>
      </w:r>
      <w:r w:rsidRPr="00D00607">
        <w:rPr>
          <w:b/>
        </w:rPr>
        <w:t xml:space="preserve"> Journal of Policy and Practice in Intellectual Disabilities</w:t>
      </w:r>
      <w:r w:rsidRPr="00D00607">
        <w:t xml:space="preserve">, 10(1), 1-24. </w:t>
      </w:r>
    </w:p>
    <w:p w14:paraId="592AF916" w14:textId="77777777" w:rsidR="00D00607" w:rsidRPr="00D00607" w:rsidRDefault="00D00607" w:rsidP="00D00607">
      <w:pPr>
        <w:pStyle w:val="EndNoteBibliography"/>
        <w:spacing w:after="0"/>
        <w:ind w:left="720" w:hanging="720"/>
      </w:pPr>
      <w:r w:rsidRPr="00D00607">
        <w:t>Jokinen, N. S., Janicki, M. P., Hogan, M., &amp; Force, L. T. (2012), 'The middle years and beyond: Transitions and families of adults with Down syndrome'.</w:t>
      </w:r>
      <w:r w:rsidRPr="00D00607">
        <w:rPr>
          <w:b/>
        </w:rPr>
        <w:t xml:space="preserve"> Journal on Developmental Disabilities</w:t>
      </w:r>
      <w:r w:rsidRPr="00D00607">
        <w:t xml:space="preserve">, 18(2), 59. </w:t>
      </w:r>
    </w:p>
    <w:p w14:paraId="53A488EF" w14:textId="77777777" w:rsidR="00D00607" w:rsidRPr="00D00607" w:rsidRDefault="00D00607" w:rsidP="00D00607">
      <w:pPr>
        <w:pStyle w:val="EndNoteBibliography"/>
        <w:spacing w:after="0"/>
        <w:ind w:left="720" w:hanging="720"/>
      </w:pPr>
      <w:r w:rsidRPr="00D00607">
        <w:t>Judge, J., Walley, R., Anderson, B., &amp; Young, R. (2010), 'Activity, Aging, and Retirement: The Views of a Group of Scottish People With Intellectual Disabilities'.</w:t>
      </w:r>
      <w:r w:rsidRPr="00D00607">
        <w:rPr>
          <w:b/>
        </w:rPr>
        <w:t xml:space="preserve"> Journal of Policy and Practice in Intellectual Disabilities</w:t>
      </w:r>
      <w:r w:rsidRPr="00D00607">
        <w:t xml:space="preserve">, 7(4), 295-301. </w:t>
      </w:r>
    </w:p>
    <w:p w14:paraId="53E89B6F" w14:textId="77777777" w:rsidR="00D00607" w:rsidRPr="00D00607" w:rsidRDefault="00D00607" w:rsidP="00D00607">
      <w:pPr>
        <w:pStyle w:val="EndNoteBibliography"/>
        <w:spacing w:after="0"/>
        <w:ind w:left="720" w:hanging="720"/>
      </w:pPr>
      <w:r w:rsidRPr="00D00607">
        <w:t>Kåhlin, I., Kjellberg, A., &amp; Hagberg, J. E. (2016), 'Choice and control for people ageing with intellectual disability in group homes'.</w:t>
      </w:r>
      <w:r w:rsidRPr="00D00607">
        <w:rPr>
          <w:b/>
        </w:rPr>
        <w:t xml:space="preserve"> Scandinavian Journal of Occupational Therapy</w:t>
      </w:r>
      <w:r w:rsidRPr="00D00607">
        <w:t xml:space="preserve">, 23(2), 127-137. </w:t>
      </w:r>
    </w:p>
    <w:p w14:paraId="69750AA7" w14:textId="77777777" w:rsidR="00D00607" w:rsidRPr="00D00607" w:rsidRDefault="00D00607" w:rsidP="00D00607">
      <w:pPr>
        <w:pStyle w:val="EndNoteBibliography"/>
        <w:spacing w:after="0"/>
        <w:ind w:left="720" w:hanging="720"/>
      </w:pPr>
      <w:r w:rsidRPr="00D00607">
        <w:t>King, E., Brangan, J., McCarron, M., McCallion, P., Bavussantakath, F. R., &amp; O’Donovan, M.-A. (2022), 'Predictors of Productivity and Leisure for People Aging with Intellectual Disability'.</w:t>
      </w:r>
      <w:r w:rsidRPr="00D00607">
        <w:rPr>
          <w:b/>
        </w:rPr>
        <w:t xml:space="preserve"> Canadian Journal of Occupational Therapy</w:t>
      </w:r>
      <w:r w:rsidRPr="00D00607">
        <w:t xml:space="preserve">, 89(2), 135-146. </w:t>
      </w:r>
    </w:p>
    <w:p w14:paraId="4D20F0E5" w14:textId="77777777" w:rsidR="00D00607" w:rsidRPr="00D00607" w:rsidRDefault="00D00607" w:rsidP="00D00607">
      <w:pPr>
        <w:pStyle w:val="EndNoteBibliography"/>
        <w:spacing w:after="0"/>
        <w:ind w:left="720" w:hanging="720"/>
      </w:pPr>
      <w:r w:rsidRPr="00D00607">
        <w:t>Kirchberger, I., Meisinger, C., Heier, M., Zimmermann, A.-K., Thorand, B., Autenrieth, C. S., Peters, A., Ladwig, K.-H., &amp; Döring, A. (2012), 'Patterns of Multimorbidity in the Aged Population. Results from the KORA-Age Study'.</w:t>
      </w:r>
      <w:r w:rsidRPr="00D00607">
        <w:rPr>
          <w:b/>
        </w:rPr>
        <w:t xml:space="preserve"> PLoS ONE</w:t>
      </w:r>
      <w:r w:rsidRPr="00D00607">
        <w:t xml:space="preserve">, 7(1), e30556. </w:t>
      </w:r>
    </w:p>
    <w:p w14:paraId="6C3932CC" w14:textId="77777777" w:rsidR="00D00607" w:rsidRPr="00D00607" w:rsidRDefault="00D00607" w:rsidP="00D00607">
      <w:pPr>
        <w:pStyle w:val="EndNoteBibliography"/>
        <w:spacing w:after="0"/>
        <w:ind w:left="720" w:hanging="720"/>
      </w:pPr>
      <w:r w:rsidRPr="00D00607">
        <w:t>Lauer, E., &amp; McCallion, P. (2015), 'Mortality of people with intellectual and developmental disabilities from select US state disability service systems and medical claims data'.</w:t>
      </w:r>
      <w:r w:rsidRPr="00D00607">
        <w:rPr>
          <w:b/>
        </w:rPr>
        <w:t xml:space="preserve"> Journal of Applied Research in Intellectual Disabilities</w:t>
      </w:r>
      <w:r w:rsidRPr="00D00607">
        <w:t xml:space="preserve">, 28(5), 394-405. </w:t>
      </w:r>
    </w:p>
    <w:p w14:paraId="266A9D7B" w14:textId="77777777" w:rsidR="00D00607" w:rsidRPr="00D00607" w:rsidRDefault="00D00607" w:rsidP="00D00607">
      <w:pPr>
        <w:pStyle w:val="EndNoteBibliography"/>
        <w:spacing w:after="0"/>
        <w:ind w:left="720" w:hanging="720"/>
      </w:pPr>
      <w:r w:rsidRPr="00D00607">
        <w:t>Lawrence, V., Murray, J., &amp; Banerjee, S. (2009), '“Out of sight, out of mind”: a qualitative study of visual impairment and dementia from three perspectives'.</w:t>
      </w:r>
      <w:r w:rsidRPr="00D00607">
        <w:rPr>
          <w:b/>
        </w:rPr>
        <w:t xml:space="preserve"> International psychogeriatrics</w:t>
      </w:r>
      <w:r w:rsidRPr="00D00607">
        <w:t xml:space="preserve">, 21(3), 511-518. </w:t>
      </w:r>
    </w:p>
    <w:p w14:paraId="6622F183" w14:textId="77777777" w:rsidR="00D00607" w:rsidRPr="00D00607" w:rsidRDefault="00D00607" w:rsidP="00D00607">
      <w:pPr>
        <w:pStyle w:val="EndNoteBibliography"/>
        <w:spacing w:after="0"/>
        <w:ind w:left="720" w:hanging="720"/>
      </w:pPr>
      <w:r w:rsidRPr="00D00607">
        <w:t>Leahy, A. (2018), 'Too many ‘false dichotomies’? Investigating the division between ageing and disability in social care services in Ireland: A study with statutory and non-statutory organisations'.</w:t>
      </w:r>
      <w:r w:rsidRPr="00D00607">
        <w:rPr>
          <w:b/>
        </w:rPr>
        <w:t xml:space="preserve"> Journal of Aging Studies</w:t>
      </w:r>
      <w:r w:rsidRPr="00D00607">
        <w:t xml:space="preserve">, 44, 34-44. </w:t>
      </w:r>
    </w:p>
    <w:p w14:paraId="2CC5E263" w14:textId="77777777" w:rsidR="00D00607" w:rsidRPr="00D00607" w:rsidRDefault="00D00607" w:rsidP="00D00607">
      <w:pPr>
        <w:pStyle w:val="EndNoteBibliography"/>
        <w:spacing w:after="0"/>
        <w:ind w:left="720" w:hanging="720"/>
      </w:pPr>
      <w:r w:rsidRPr="00D00607">
        <w:t>Linehan, C., O’Doherty, S., Tatlow-Golden, M., Craig, S., Kerr, M., Lynch, C., McConkey, R., &amp; Staines, A. (2014),</w:t>
      </w:r>
      <w:r w:rsidRPr="00D00607">
        <w:rPr>
          <w:b/>
        </w:rPr>
        <w:t xml:space="preserve"> Moving Ahead: Mapping the Policy Landscape</w:t>
      </w:r>
      <w:r w:rsidRPr="00D00607">
        <w:t>. Dublin: School of Social Work and Social Policy, Trinity College.</w:t>
      </w:r>
    </w:p>
    <w:p w14:paraId="226BB644" w14:textId="77777777" w:rsidR="00D00607" w:rsidRPr="00D00607" w:rsidRDefault="00D00607" w:rsidP="00D00607">
      <w:pPr>
        <w:pStyle w:val="EndNoteBibliography"/>
        <w:spacing w:after="0"/>
        <w:ind w:left="720" w:hanging="720"/>
      </w:pPr>
      <w:r w:rsidRPr="00D00607">
        <w:t>MacDonald, S. J., Deacon, L., Nixon, J., Akintola, A., Gillingham, A., Kent, J., Ellis, G., Mathews, D., Ismail, A., &amp; Sullivan, S. (2018), '‘The invisible enemy’: disability, loneliness and isolation'.</w:t>
      </w:r>
      <w:r w:rsidRPr="00D00607">
        <w:rPr>
          <w:b/>
        </w:rPr>
        <w:t xml:space="preserve"> Disability &amp; Society</w:t>
      </w:r>
      <w:r w:rsidRPr="00D00607">
        <w:t xml:space="preserve">, 33(7), 1138-1159. </w:t>
      </w:r>
    </w:p>
    <w:p w14:paraId="0F67973B" w14:textId="77777777" w:rsidR="00D00607" w:rsidRPr="00D00607" w:rsidRDefault="00D00607" w:rsidP="00D00607">
      <w:pPr>
        <w:pStyle w:val="EndNoteBibliography"/>
        <w:spacing w:after="0"/>
        <w:ind w:left="720" w:hanging="720"/>
      </w:pPr>
      <w:r w:rsidRPr="00D00607">
        <w:t>Mann, C., Jun, G. T., Tyrer, F., Kiani, R., Lewin, G., &amp; Gangadharan, S. K. (2022), 'A scoping review of clusters of multiple long-term conditions in people with intellectual disabilities and factors impacting on outcomes for this patient group'.</w:t>
      </w:r>
      <w:r w:rsidRPr="00D00607">
        <w:rPr>
          <w:b/>
        </w:rPr>
        <w:t xml:space="preserve"> Journal of Intellectual Disabilities</w:t>
      </w:r>
      <w:r w:rsidRPr="00D00607">
        <w:t xml:space="preserve">, 0(0), 1-17. </w:t>
      </w:r>
    </w:p>
    <w:p w14:paraId="09244FF4" w14:textId="77777777" w:rsidR="00D00607" w:rsidRPr="00D00607" w:rsidRDefault="00D00607" w:rsidP="00D00607">
      <w:pPr>
        <w:pStyle w:val="EndNoteBibliography"/>
        <w:spacing w:after="0"/>
        <w:ind w:left="720" w:hanging="720"/>
      </w:pPr>
      <w:r w:rsidRPr="00D00607">
        <w:t>Mansell, J., &amp; Beadle-Brown, J. (2009), 'Dispersed or clustered housing for adults with intellectual disability: A systematic review'.</w:t>
      </w:r>
      <w:r w:rsidRPr="00D00607">
        <w:rPr>
          <w:b/>
        </w:rPr>
        <w:t xml:space="preserve"> Journal of Intellectual &amp;amp; Developmental Disability</w:t>
      </w:r>
      <w:r w:rsidRPr="00D00607">
        <w:t xml:space="preserve">, 34(4), 313-323. </w:t>
      </w:r>
    </w:p>
    <w:p w14:paraId="0460AF01" w14:textId="77777777" w:rsidR="00D00607" w:rsidRPr="00D00607" w:rsidRDefault="00D00607" w:rsidP="00D00607">
      <w:pPr>
        <w:pStyle w:val="EndNoteBibliography"/>
        <w:spacing w:after="0"/>
        <w:ind w:left="720" w:hanging="720"/>
      </w:pPr>
      <w:r w:rsidRPr="00D00607">
        <w:t>Marsack-Topolewski, C. N., &amp; Samuel, P. S. (2020), 'Caregivers’ Perceptions of Family Quality of Life of Individuals with Developmental Disabilities Comorbid with Dementia: A Pilot Study'.</w:t>
      </w:r>
      <w:r w:rsidRPr="00D00607">
        <w:rPr>
          <w:b/>
        </w:rPr>
        <w:t xml:space="preserve"> Journal for ReAttach Therapy and Developmental Diversities</w:t>
      </w:r>
      <w:r w:rsidRPr="00D00607">
        <w:t xml:space="preserve">, 3(2), 56-70. </w:t>
      </w:r>
    </w:p>
    <w:p w14:paraId="729CFB86" w14:textId="77777777" w:rsidR="00D00607" w:rsidRPr="00D00607" w:rsidRDefault="00D00607" w:rsidP="00D00607">
      <w:pPr>
        <w:pStyle w:val="EndNoteBibliography"/>
        <w:spacing w:after="0"/>
        <w:ind w:left="720" w:hanging="720"/>
      </w:pPr>
      <w:r w:rsidRPr="00D00607">
        <w:t>Martin, R. S., Hayes, B., Gregorevic, K., &amp; Lim, W. K. (2016), 'The effects of advance care planning interventions on nursing home residents: a systematic review'.</w:t>
      </w:r>
      <w:r w:rsidRPr="00D00607">
        <w:rPr>
          <w:b/>
        </w:rPr>
        <w:t xml:space="preserve"> Journal of the American Medical Directors Association</w:t>
      </w:r>
      <w:r w:rsidRPr="00D00607">
        <w:t xml:space="preserve">, 17(4), 284-293. </w:t>
      </w:r>
    </w:p>
    <w:p w14:paraId="0BA1903A" w14:textId="77777777" w:rsidR="00D00607" w:rsidRPr="00D00607" w:rsidRDefault="00D00607" w:rsidP="00D00607">
      <w:pPr>
        <w:pStyle w:val="EndNoteBibliography"/>
        <w:spacing w:after="0"/>
        <w:ind w:left="720" w:hanging="720"/>
      </w:pPr>
      <w:r w:rsidRPr="00D00607">
        <w:t>Mason, J., &amp; Scior, K. (2004), '‘Diagnostic overshadowing’amongst clinicians working with people with intellectual disabilities in the UK'.</w:t>
      </w:r>
      <w:r w:rsidRPr="00D00607">
        <w:rPr>
          <w:b/>
        </w:rPr>
        <w:t xml:space="preserve"> Journal of Applied Research in Intellectual Disabilities</w:t>
      </w:r>
      <w:r w:rsidRPr="00D00607">
        <w:t xml:space="preserve">, 17(2), 85-90. </w:t>
      </w:r>
    </w:p>
    <w:p w14:paraId="719BF7A2" w14:textId="77777777" w:rsidR="00D00607" w:rsidRPr="00D00607" w:rsidRDefault="00D00607" w:rsidP="00D00607">
      <w:pPr>
        <w:pStyle w:val="EndNoteBibliography"/>
        <w:spacing w:after="0"/>
        <w:ind w:left="720" w:hanging="720"/>
      </w:pPr>
      <w:r w:rsidRPr="00D00607">
        <w:t xml:space="preserve">McCallion, P., Ferretti, L., &amp; Park, J. (2013a), Financial issues and an aging population: Responding to an increased potential for financial abuse and exploitation </w:t>
      </w:r>
      <w:r w:rsidRPr="00D00607">
        <w:rPr>
          <w:i/>
        </w:rPr>
        <w:t>In:</w:t>
      </w:r>
      <w:r w:rsidRPr="00D00607">
        <w:t xml:space="preserve"> J. Birkenmaier, J. Curley, &amp; M. Sherraden (eds.). </w:t>
      </w:r>
      <w:r w:rsidRPr="00D00607">
        <w:rPr>
          <w:b/>
        </w:rPr>
        <w:t>Financial education &amp; capability: Research, education, policy and practice</w:t>
      </w:r>
      <w:r w:rsidRPr="00D00607">
        <w:t>. Oxford: University Press</w:t>
      </w:r>
    </w:p>
    <w:p w14:paraId="21B4F4C9" w14:textId="77777777" w:rsidR="00D00607" w:rsidRPr="00D00607" w:rsidRDefault="00D00607" w:rsidP="00D00607">
      <w:pPr>
        <w:pStyle w:val="EndNoteBibliography"/>
        <w:spacing w:after="0"/>
        <w:ind w:left="720" w:hanging="720"/>
      </w:pPr>
      <w:r w:rsidRPr="00D00607">
        <w:t xml:space="preserve">McCallion, P., Ferretti, L. A., Beange, H., &amp; McCarron, M. (2019), Epidemiological issues in intellectual disability and aging research </w:t>
      </w:r>
      <w:r w:rsidRPr="00D00607">
        <w:rPr>
          <w:i/>
        </w:rPr>
        <w:t>In:</w:t>
      </w:r>
      <w:r w:rsidRPr="00D00607">
        <w:t xml:space="preserve"> V. P. Prasher &amp; M. Janicki (eds.). </w:t>
      </w:r>
      <w:r w:rsidRPr="00D00607">
        <w:rPr>
          <w:b/>
        </w:rPr>
        <w:t>Physical health of adults with intellectual and developmental disabilities</w:t>
      </w:r>
      <w:r w:rsidRPr="00D00607">
        <w:t>. Switzerland: Springer</w:t>
      </w:r>
    </w:p>
    <w:p w14:paraId="5E894DE1" w14:textId="77777777" w:rsidR="00D00607" w:rsidRPr="00D00607" w:rsidRDefault="00D00607" w:rsidP="00D00607">
      <w:pPr>
        <w:pStyle w:val="EndNoteBibliography"/>
        <w:spacing w:after="0"/>
        <w:ind w:left="720" w:hanging="720"/>
      </w:pPr>
      <w:r w:rsidRPr="00D00607">
        <w:t>McCallion, P., Hogan, M., Santos, F. H., McCarron, M., Service, K., Stemp, S., Keller, S., Fortea, J., Bishop, K., &amp; Watchman, K. (2017), 'Consensus statement of the International Summit on Intellectual Disability and Dementia related to end</w:t>
      </w:r>
      <w:r w:rsidRPr="00D00607">
        <w:rPr>
          <w:rFonts w:ascii="Cambria Math" w:hAnsi="Cambria Math" w:cs="Cambria Math"/>
        </w:rPr>
        <w:t>‐</w:t>
      </w:r>
      <w:r w:rsidRPr="00D00607">
        <w:t>of</w:t>
      </w:r>
      <w:r w:rsidRPr="00D00607">
        <w:rPr>
          <w:rFonts w:ascii="Cambria Math" w:hAnsi="Cambria Math" w:cs="Cambria Math"/>
        </w:rPr>
        <w:t>‐</w:t>
      </w:r>
      <w:r w:rsidRPr="00D00607">
        <w:t>life care in advanced dementia'.</w:t>
      </w:r>
      <w:r w:rsidRPr="00D00607">
        <w:rPr>
          <w:b/>
        </w:rPr>
        <w:t xml:space="preserve"> Journal of Applied Research in Intellectual Disabilities</w:t>
      </w:r>
      <w:r w:rsidRPr="00D00607">
        <w:t xml:space="preserve">, 30(6), 1160-1164. </w:t>
      </w:r>
    </w:p>
    <w:p w14:paraId="4EF22156" w14:textId="77777777" w:rsidR="00D00607" w:rsidRPr="00D00607" w:rsidRDefault="00D00607" w:rsidP="00D00607">
      <w:pPr>
        <w:pStyle w:val="EndNoteBibliography"/>
        <w:spacing w:after="0"/>
        <w:ind w:left="720" w:hanging="720"/>
      </w:pPr>
      <w:r w:rsidRPr="00D00607">
        <w:t xml:space="preserve">McCallion, P., &amp; Jokinen, N. (2017), Aging </w:t>
      </w:r>
      <w:r w:rsidRPr="00D00607">
        <w:rPr>
          <w:i/>
        </w:rPr>
        <w:t>In:</w:t>
      </w:r>
      <w:r w:rsidRPr="00D00607">
        <w:t xml:space="preserve"> M. L. Wehmeyer, I. Brown, M. Percey, K. Shogren, &amp; M. Fung (eds.). </w:t>
      </w:r>
      <w:r w:rsidRPr="00D00607">
        <w:rPr>
          <w:b/>
        </w:rPr>
        <w:t>A Comprehensive Guide to Intellectual and Developmental Disabilities</w:t>
      </w:r>
      <w:r w:rsidRPr="00D00607">
        <w:t>. Baltimore, MD: Paul Brookes Press</w:t>
      </w:r>
    </w:p>
    <w:p w14:paraId="24EA4AEA" w14:textId="77777777" w:rsidR="00D00607" w:rsidRPr="00D00607" w:rsidRDefault="00D00607" w:rsidP="00D00607">
      <w:pPr>
        <w:pStyle w:val="EndNoteBibliography"/>
        <w:spacing w:after="0"/>
        <w:ind w:left="720" w:hanging="720"/>
      </w:pPr>
      <w:r w:rsidRPr="00D00607">
        <w:t xml:space="preserve">McCallion, P., Swinburne, J., Burke, E., McGlinchey, E., &amp; McCarron, M. (2013b), Understanding the similarities and differences in aging with an intellectual disability: linking Irish general population and intellectual disability datasets </w:t>
      </w:r>
      <w:r w:rsidRPr="00D00607">
        <w:rPr>
          <w:i/>
        </w:rPr>
        <w:t>In:</w:t>
      </w:r>
      <w:r w:rsidRPr="00D00607">
        <w:t xml:space="preserve"> R. Urbano (ed.) </w:t>
      </w:r>
      <w:r w:rsidRPr="00D00607">
        <w:rPr>
          <w:b/>
        </w:rPr>
        <w:t>International Review of Research in Developmental Disabilities</w:t>
      </w:r>
      <w:r w:rsidRPr="00D00607">
        <w:t>. Elsevier</w:t>
      </w:r>
    </w:p>
    <w:p w14:paraId="427A376B" w14:textId="77777777" w:rsidR="00D00607" w:rsidRPr="00D00607" w:rsidRDefault="00D00607" w:rsidP="00D00607">
      <w:pPr>
        <w:pStyle w:val="EndNoteBibliography"/>
        <w:spacing w:after="0"/>
        <w:ind w:left="720" w:hanging="720"/>
      </w:pPr>
      <w:r w:rsidRPr="00D00607">
        <w:t>McCance, T., McCormack, B., &amp; Dewing, J. (2011), 'An exploration of person-centredness in practice'.</w:t>
      </w:r>
      <w:r w:rsidRPr="00D00607">
        <w:rPr>
          <w:b/>
        </w:rPr>
        <w:t xml:space="preserve"> Online Journal of Issues in Nursing</w:t>
      </w:r>
      <w:r w:rsidRPr="00D00607">
        <w:t xml:space="preserve">, 16(2), 1-9. </w:t>
      </w:r>
    </w:p>
    <w:p w14:paraId="44EEE2D6" w14:textId="77777777" w:rsidR="00D00607" w:rsidRPr="00D00607" w:rsidRDefault="00D00607" w:rsidP="00D00607">
      <w:pPr>
        <w:pStyle w:val="EndNoteBibliography"/>
        <w:spacing w:after="0"/>
        <w:ind w:left="720" w:hanging="720"/>
      </w:pPr>
      <w:r w:rsidRPr="00D00607">
        <w:t>McCarron, M. (2011),</w:t>
      </w:r>
      <w:r w:rsidRPr="00D00607">
        <w:rPr>
          <w:b/>
        </w:rPr>
        <w:t xml:space="preserve"> Growing older with an intellectual disability in Ireland 2011: First results from the Intellectual Disability Supplement to the Irish Longitudinal Study on Ageing (IDS-TILDA)</w:t>
      </w:r>
      <w:r w:rsidRPr="00D00607">
        <w:t>. Dublin: Trinity College Dublin.</w:t>
      </w:r>
    </w:p>
    <w:p w14:paraId="074C4722" w14:textId="77777777" w:rsidR="00D00607" w:rsidRPr="00D00607" w:rsidRDefault="00D00607" w:rsidP="00D00607">
      <w:pPr>
        <w:pStyle w:val="EndNoteBibliography"/>
        <w:spacing w:after="0"/>
        <w:ind w:left="720" w:hanging="720"/>
      </w:pPr>
      <w:r w:rsidRPr="00D00607">
        <w:t>McCarron, M., Burke, E., White, P., O Dwyer, C., Ryan, K., O Farrell, &amp; McCallion, P. (2017a),</w:t>
      </w:r>
      <w:r w:rsidRPr="00D00607">
        <w:rPr>
          <w:b/>
        </w:rPr>
        <w:t xml:space="preserve"> “He’d mind you, you mind him” Experiences of end of life care for people with an intellectual disability as perceived by staff carers</w:t>
      </w:r>
      <w:r w:rsidRPr="00D00607">
        <w:t>. Dublin: Trinity College Dublin.</w:t>
      </w:r>
    </w:p>
    <w:p w14:paraId="462A149B" w14:textId="77777777" w:rsidR="00D00607" w:rsidRPr="00D00607" w:rsidRDefault="00D00607" w:rsidP="00D00607">
      <w:pPr>
        <w:pStyle w:val="EndNoteBibliography"/>
        <w:spacing w:after="0"/>
        <w:ind w:left="720" w:hanging="720"/>
      </w:pPr>
      <w:r w:rsidRPr="00D00607">
        <w:t>McCarron, M., Carroll, R., Kelly, C., &amp; McCallion, P. (2015), 'Mortality rates in the general Irish population compared to those with an intellectual disability from 2003 to 2012'.</w:t>
      </w:r>
      <w:r w:rsidRPr="00D00607">
        <w:rPr>
          <w:b/>
        </w:rPr>
        <w:t xml:space="preserve"> Journal of Applied Research in Intellectual Disabilities</w:t>
      </w:r>
      <w:r w:rsidRPr="00D00607">
        <w:t xml:space="preserve">, 28(5), 406-413. </w:t>
      </w:r>
    </w:p>
    <w:p w14:paraId="520C7E50" w14:textId="77777777" w:rsidR="00D00607" w:rsidRPr="00D00607" w:rsidRDefault="00D00607" w:rsidP="00D00607">
      <w:pPr>
        <w:pStyle w:val="EndNoteBibliography"/>
        <w:spacing w:after="0"/>
        <w:ind w:left="720" w:hanging="720"/>
      </w:pPr>
      <w:r w:rsidRPr="00D00607">
        <w:t>McCarron, M., Haigh, M., McCallion, P., McCallion, P., Carroll, R., Burke, E., McGlinchey, E., O’Donovan, M.-A., McCausland, D., &amp; Sheerin, F. (2017b),</w:t>
      </w:r>
      <w:r w:rsidRPr="00D00607">
        <w:rPr>
          <w:b/>
        </w:rPr>
        <w:t xml:space="preserve"> Health, wellbeing and social inclusion: Ageing with an intellectual disability in Ireland: Evidence from the first ten years of The Intellectual Disability Supplement to The Irish Longitudinal Study on Ageing (IDS-TILDA)</w:t>
      </w:r>
      <w:r w:rsidRPr="00D00607">
        <w:t>. Dublin: Trinity College Dublin.</w:t>
      </w:r>
    </w:p>
    <w:p w14:paraId="4D7171B0" w14:textId="77777777" w:rsidR="00D00607" w:rsidRPr="00D00607" w:rsidRDefault="00D00607" w:rsidP="00D00607">
      <w:pPr>
        <w:pStyle w:val="EndNoteBibliography"/>
        <w:spacing w:after="0"/>
        <w:ind w:left="720" w:hanging="720"/>
      </w:pPr>
      <w:r w:rsidRPr="00D00607">
        <w:t>McCarron, M., &amp; Lawlor, B. A. (2003), 'Responding to the challenges of ageing and dementia in intellectual disability in Ireland'.</w:t>
      </w:r>
      <w:r w:rsidRPr="00D00607">
        <w:rPr>
          <w:b/>
        </w:rPr>
        <w:t xml:space="preserve"> Aging and Mental Health</w:t>
      </w:r>
      <w:r w:rsidRPr="00D00607">
        <w:t xml:space="preserve">, 7(6), 413-417. </w:t>
      </w:r>
    </w:p>
    <w:p w14:paraId="2A33888C" w14:textId="77777777" w:rsidR="00D00607" w:rsidRPr="00D00607" w:rsidRDefault="00D00607" w:rsidP="00D00607">
      <w:pPr>
        <w:pStyle w:val="EndNoteBibliography"/>
        <w:spacing w:after="0"/>
        <w:ind w:left="720" w:hanging="720"/>
      </w:pPr>
      <w:r w:rsidRPr="00D00607">
        <w:t>McCarron, M., Lombard-Vance, R., Murphy, E., O’Donovan, M.-A., Webb, N., Sheaf, G., McCallion, P., Stancliffe, R., Normand, C., Smith, V., &amp; May, P. (2018a),</w:t>
      </w:r>
      <w:r w:rsidRPr="00D00607">
        <w:rPr>
          <w:b/>
        </w:rPr>
        <w:t xml:space="preserve"> Quality of life outcomes and costs associated with moving from congregated settings to community living arrangements for people with intellectual disability</w:t>
      </w:r>
      <w:r w:rsidRPr="00D00607">
        <w:t>. Dublin: Health Research Board.</w:t>
      </w:r>
    </w:p>
    <w:p w14:paraId="57C83032" w14:textId="77777777" w:rsidR="00D00607" w:rsidRPr="00D00607" w:rsidRDefault="00D00607" w:rsidP="00D00607">
      <w:pPr>
        <w:pStyle w:val="EndNoteBibliography"/>
        <w:spacing w:after="0"/>
        <w:ind w:left="720" w:hanging="720"/>
      </w:pPr>
      <w:r w:rsidRPr="00D00607">
        <w:t>McCarron, M., McCallion, P., Burke, E., &amp; Timmins, F. (2021),</w:t>
      </w:r>
      <w:r w:rsidRPr="00D00607">
        <w:rPr>
          <w:b/>
        </w:rPr>
        <w:t xml:space="preserve"> End of Life Care for People with an Intellectual Disability a Qualitative Exploration of Staff Carers’ Experiences</w:t>
      </w:r>
      <w:r w:rsidRPr="00D00607">
        <w:t xml:space="preserve">. Research Square. </w:t>
      </w:r>
    </w:p>
    <w:p w14:paraId="0EE02089" w14:textId="77777777" w:rsidR="00D00607" w:rsidRPr="00D00607" w:rsidRDefault="00D00607" w:rsidP="00D00607">
      <w:pPr>
        <w:pStyle w:val="EndNoteBibliography"/>
        <w:spacing w:after="0"/>
        <w:ind w:left="720" w:hanging="720"/>
      </w:pPr>
      <w:r w:rsidRPr="00D00607">
        <w:t>McCarron, M., McCallion, P., Carroll, R., Burke, E., Cleary, E., McCausland, D., McGlinchy, E., O’Donovan, M.-A., Mulryan, N., &amp; Shivers, C. (2014),</w:t>
      </w:r>
      <w:r w:rsidRPr="00D00607">
        <w:rPr>
          <w:b/>
        </w:rPr>
        <w:t xml:space="preserve"> Advancing years, Different challenges: Wave 2 IDS-TILDA: Findings on the ageing of people with an Intellectual Disability</w:t>
      </w:r>
      <w:r w:rsidRPr="00D00607">
        <w:t>. Dublin: Trinity College Dublin.</w:t>
      </w:r>
    </w:p>
    <w:p w14:paraId="69193CE4" w14:textId="77777777" w:rsidR="00D00607" w:rsidRPr="00D00607" w:rsidRDefault="00D00607" w:rsidP="00D00607">
      <w:pPr>
        <w:pStyle w:val="EndNoteBibliography"/>
        <w:spacing w:after="0"/>
        <w:ind w:left="720" w:hanging="720"/>
      </w:pPr>
      <w:r w:rsidRPr="00D00607">
        <w:t>McCarron, M., McCallion, P., Fahey-McCarthy, E., &amp; Connaire, K. (2010a), 'Staff Perceptions of essential prerequisites underpinning end-of-life care for persons with intellectual disability and advanced dementia'.</w:t>
      </w:r>
      <w:r w:rsidRPr="00D00607">
        <w:rPr>
          <w:b/>
        </w:rPr>
        <w:t xml:space="preserve"> Journal of Policy and Practice in Intellectual Disabilities</w:t>
      </w:r>
      <w:r w:rsidRPr="00D00607">
        <w:t xml:space="preserve">, 7(2). </w:t>
      </w:r>
    </w:p>
    <w:p w14:paraId="00BF1B24" w14:textId="77777777" w:rsidR="00D00607" w:rsidRPr="00D00607" w:rsidRDefault="00D00607" w:rsidP="00D00607">
      <w:pPr>
        <w:pStyle w:val="EndNoteBibliography"/>
        <w:spacing w:after="0"/>
        <w:ind w:left="720" w:hanging="720"/>
      </w:pPr>
      <w:r w:rsidRPr="00D00607">
        <w:t>McCarron, M., McCallion, P., Fahey-McCarthy, E., Connaire, K., &amp; Dunn-Lane, J. (2010b), 'Supporting persons with down syndrome and advanced dementia: Challenges and care concerns'.</w:t>
      </w:r>
      <w:r w:rsidRPr="00D00607">
        <w:rPr>
          <w:b/>
        </w:rPr>
        <w:t xml:space="preserve"> Dementia</w:t>
      </w:r>
      <w:r w:rsidRPr="00D00607">
        <w:t xml:space="preserve">, 9(2), 285–298. </w:t>
      </w:r>
    </w:p>
    <w:p w14:paraId="30527CCA" w14:textId="77777777" w:rsidR="00D00607" w:rsidRPr="00D00607" w:rsidRDefault="00D00607" w:rsidP="00D00607">
      <w:pPr>
        <w:pStyle w:val="EndNoteBibliography"/>
        <w:spacing w:after="0"/>
        <w:ind w:left="720" w:hanging="720"/>
      </w:pPr>
      <w:r w:rsidRPr="00D00607">
        <w:t>McCarron, M., McCallion, P., Reilly, E., Dunne, P., Carroll, R., &amp; Mulryan, N. (2017c), 'A prospective 20</w:t>
      </w:r>
      <w:r w:rsidRPr="00D00607">
        <w:rPr>
          <w:rFonts w:ascii="Cambria Math" w:hAnsi="Cambria Math" w:cs="Cambria Math"/>
        </w:rPr>
        <w:t>‐</w:t>
      </w:r>
      <w:r w:rsidRPr="00D00607">
        <w:t>year longitudinal follow</w:t>
      </w:r>
      <w:r w:rsidRPr="00D00607">
        <w:rPr>
          <w:rFonts w:ascii="Cambria Math" w:hAnsi="Cambria Math" w:cs="Cambria Math"/>
        </w:rPr>
        <w:t>‐</w:t>
      </w:r>
      <w:r w:rsidRPr="00D00607">
        <w:t>up of dementia in persons with Down syndrome'.</w:t>
      </w:r>
      <w:r w:rsidRPr="00D00607">
        <w:rPr>
          <w:b/>
        </w:rPr>
        <w:t xml:space="preserve"> Journal of Intellectual Disability Research</w:t>
      </w:r>
      <w:r w:rsidRPr="00D00607">
        <w:t xml:space="preserve">, 61(9), 843-852. </w:t>
      </w:r>
    </w:p>
    <w:p w14:paraId="660E13F1" w14:textId="77777777" w:rsidR="00D00607" w:rsidRPr="00D00607" w:rsidRDefault="00D00607" w:rsidP="00D00607">
      <w:pPr>
        <w:pStyle w:val="EndNoteBibliography"/>
        <w:spacing w:after="0"/>
        <w:ind w:left="720" w:hanging="720"/>
      </w:pPr>
      <w:r w:rsidRPr="00D00607">
        <w:t>McCarron, M., Sheerin, F., Roche, L., Ryan, A., Griffiths, C., Keenan, P., Doody, O., D'Eath, M., Burke, E., &amp; McCallion, P. (2018b),</w:t>
      </w:r>
      <w:r w:rsidRPr="00D00607">
        <w:rPr>
          <w:b/>
        </w:rPr>
        <w:t xml:space="preserve"> Shaping the future of intellectual disability nursing in Ireland: Supporting people with an intellectual disability to live ordinary lives in ordinary places</w:t>
      </w:r>
      <w:r w:rsidRPr="00D00607">
        <w:t>. Ireland: Health Services Executive.</w:t>
      </w:r>
    </w:p>
    <w:p w14:paraId="3E876BE9" w14:textId="77777777" w:rsidR="00D00607" w:rsidRPr="00D00607" w:rsidRDefault="00D00607" w:rsidP="00D00607">
      <w:pPr>
        <w:pStyle w:val="EndNoteBibliography"/>
        <w:spacing w:after="0"/>
        <w:ind w:left="720" w:hanging="720"/>
      </w:pPr>
      <w:r w:rsidRPr="00D00607">
        <w:t>McCarron, M., Swinburne, J., Burke, E., McGlinchey, E., Carroll, R., &amp; McCallion, P. (2013), 'Patterns of multimorbidity in an older population of persons with an intellectual disability: Results from the intellectual disability supplement to the Irish longitudinal study on aging (IDS-TILDA)'.</w:t>
      </w:r>
      <w:r w:rsidRPr="00D00607">
        <w:rPr>
          <w:b/>
        </w:rPr>
        <w:t xml:space="preserve"> Research in Developmental Disabilities</w:t>
      </w:r>
      <w:r w:rsidRPr="00D00607">
        <w:t xml:space="preserve">, 34(1), 521-527. </w:t>
      </w:r>
    </w:p>
    <w:p w14:paraId="5DA48CB0" w14:textId="77777777" w:rsidR="00D00607" w:rsidRPr="00D00607" w:rsidRDefault="00D00607" w:rsidP="00D00607">
      <w:pPr>
        <w:pStyle w:val="EndNoteBibliography"/>
        <w:spacing w:after="0"/>
        <w:ind w:left="720" w:hanging="720"/>
      </w:pPr>
      <w:r w:rsidRPr="00D00607">
        <w:t>McCausland, D., Guerin, S., Tyrrell, J., Donohoe, C., O'Donoghue, I., &amp; Dodd, P. (2021a), 'A qualitative study of the needs of older adults with intellectual disabilities'.</w:t>
      </w:r>
      <w:r w:rsidRPr="00D00607">
        <w:rPr>
          <w:b/>
        </w:rPr>
        <w:t xml:space="preserve"> Journal of Applied Research in Intellectual Disabilities</w:t>
      </w:r>
      <w:r w:rsidRPr="00D00607">
        <w:t xml:space="preserve">, 34(6), 1560-1568. </w:t>
      </w:r>
    </w:p>
    <w:p w14:paraId="3B43D232" w14:textId="77777777" w:rsidR="00D00607" w:rsidRPr="00D00607" w:rsidRDefault="00D00607" w:rsidP="00D00607">
      <w:pPr>
        <w:pStyle w:val="EndNoteBibliography"/>
        <w:spacing w:after="0"/>
        <w:ind w:left="720" w:hanging="720"/>
      </w:pPr>
      <w:r w:rsidRPr="00D00607">
        <w:t>McCausland, D., McCallion, P., Brennan, D., &amp; McCarron, M. (2020), 'In pursuit of meaningful occupation: Employment and occupational outcomes for older Irish adults with an intellectual disability'.</w:t>
      </w:r>
      <w:r w:rsidRPr="00D00607">
        <w:rPr>
          <w:b/>
        </w:rPr>
        <w:t xml:space="preserve"> Journal of Applied Research in Intellectual Disabilities</w:t>
      </w:r>
      <w:r w:rsidRPr="00D00607">
        <w:t xml:space="preserve">, 33(3), 386-397. </w:t>
      </w:r>
    </w:p>
    <w:p w14:paraId="5C634CED" w14:textId="77777777" w:rsidR="00D00607" w:rsidRPr="00D00607" w:rsidRDefault="00D00607" w:rsidP="00D00607">
      <w:pPr>
        <w:pStyle w:val="EndNoteBibliography"/>
        <w:spacing w:after="0"/>
        <w:ind w:left="720" w:hanging="720"/>
      </w:pPr>
      <w:r w:rsidRPr="00D00607">
        <w:t>McCausland, D., McCallion, P., Carroll, R., &amp; McCarron, M. (2021b), 'The nature and quality of friendship for older adults with an intellectual disability in Ireland'.</w:t>
      </w:r>
      <w:r w:rsidRPr="00D00607">
        <w:rPr>
          <w:b/>
        </w:rPr>
        <w:t xml:space="preserve"> Journal of Applied Research in Intellectual Disabilities</w:t>
      </w:r>
      <w:r w:rsidRPr="00D00607">
        <w:t xml:space="preserve">, 34(3), 763-776. </w:t>
      </w:r>
    </w:p>
    <w:p w14:paraId="1B4CEE9B" w14:textId="77777777" w:rsidR="00D00607" w:rsidRPr="00D00607" w:rsidRDefault="00D00607" w:rsidP="00D00607">
      <w:pPr>
        <w:pStyle w:val="EndNoteBibliography"/>
        <w:spacing w:after="0"/>
        <w:ind w:left="720" w:hanging="720"/>
      </w:pPr>
      <w:r w:rsidRPr="00D00607">
        <w:t>McCausland, D., Murphy, E., McCarron, M., &amp; McCallion, P. (2021c), 'The potential for person-centred planning to support the community participation of adults with an intellectual disability'.</w:t>
      </w:r>
      <w:r w:rsidRPr="00D00607">
        <w:rPr>
          <w:b/>
        </w:rPr>
        <w:t xml:space="preserve"> Journal of Intellectual Disabilities</w:t>
      </w:r>
      <w:r w:rsidRPr="00D00607">
        <w:t xml:space="preserve">, 26(3), 603-623. </w:t>
      </w:r>
    </w:p>
    <w:p w14:paraId="0A896323" w14:textId="77777777" w:rsidR="00D00607" w:rsidRPr="00D00607" w:rsidRDefault="00D00607" w:rsidP="00D00607">
      <w:pPr>
        <w:pStyle w:val="EndNoteBibliography"/>
        <w:spacing w:after="0"/>
        <w:ind w:left="720" w:hanging="720"/>
      </w:pPr>
      <w:r w:rsidRPr="00D00607">
        <w:t>McConkey, R., Keogh, F., Bunting, B., Garcia Iriarte, E., &amp; Watson, S. F. (2016), 'Relocating people with intellectual disability to new accommodation and support settings: Contrasts between personalized arrangements and group home placements'.</w:t>
      </w:r>
      <w:r w:rsidRPr="00D00607">
        <w:rPr>
          <w:b/>
        </w:rPr>
        <w:t xml:space="preserve"> Journal of Intellectual Disabilities</w:t>
      </w:r>
      <w:r w:rsidRPr="00D00607">
        <w:t xml:space="preserve">, 20(2), 109-120. </w:t>
      </w:r>
    </w:p>
    <w:p w14:paraId="014D15F0" w14:textId="77777777" w:rsidR="00D00607" w:rsidRPr="00D00607" w:rsidRDefault="00D00607" w:rsidP="00D00607">
      <w:pPr>
        <w:pStyle w:val="EndNoteBibliography"/>
        <w:spacing w:after="0"/>
        <w:ind w:left="720" w:hanging="720"/>
      </w:pPr>
      <w:r w:rsidRPr="00D00607">
        <w:t>McCormack, B. (2003), 'A conceptual framework for person</w:t>
      </w:r>
      <w:r w:rsidRPr="00D00607">
        <w:rPr>
          <w:rFonts w:ascii="Cambria Math" w:hAnsi="Cambria Math" w:cs="Cambria Math"/>
        </w:rPr>
        <w:t>‐</w:t>
      </w:r>
      <w:r w:rsidRPr="00D00607">
        <w:t>centred practice with older people'.</w:t>
      </w:r>
      <w:r w:rsidRPr="00D00607">
        <w:rPr>
          <w:b/>
        </w:rPr>
        <w:t xml:space="preserve"> International journal of nursing practice</w:t>
      </w:r>
      <w:r w:rsidRPr="00D00607">
        <w:t xml:space="preserve">, 9(3), 202-209. </w:t>
      </w:r>
    </w:p>
    <w:p w14:paraId="53722CB2" w14:textId="77777777" w:rsidR="00D00607" w:rsidRPr="00D00607" w:rsidRDefault="00D00607" w:rsidP="00D00607">
      <w:pPr>
        <w:pStyle w:val="EndNoteBibliography"/>
        <w:spacing w:after="0"/>
        <w:ind w:left="720" w:hanging="720"/>
      </w:pPr>
      <w:r w:rsidRPr="00D00607">
        <w:t>McCormack, B., Borg, M., Cardiff, S., Dewing, J., Jacobs, G., Janes, N., Karlsson, B., McCance, T., Mekki, T. E., &amp; Porock, D. (2015), 'Person-centredness - the 'state' of the art'.</w:t>
      </w:r>
      <w:r w:rsidRPr="00D00607">
        <w:rPr>
          <w:b/>
        </w:rPr>
        <w:t xml:space="preserve"> International Practice Development Journal</w:t>
      </w:r>
      <w:r w:rsidRPr="00D00607">
        <w:t xml:space="preserve">, 5, 1-15. </w:t>
      </w:r>
    </w:p>
    <w:p w14:paraId="01B48F10" w14:textId="77777777" w:rsidR="00D00607" w:rsidRPr="00D00607" w:rsidRDefault="00D00607" w:rsidP="00D00607">
      <w:pPr>
        <w:pStyle w:val="EndNoteBibliography"/>
        <w:spacing w:after="0"/>
        <w:ind w:left="720" w:hanging="720"/>
      </w:pPr>
      <w:r w:rsidRPr="00D00607">
        <w:t>McCormack, B., Elizabeth, B., Jan, D., Catherine, T., Mary, M., Ann, C.-N., Kate, K., &amp; Lorna, P.-K. (2010),</w:t>
      </w:r>
      <w:r w:rsidRPr="00D00607">
        <w:rPr>
          <w:b/>
        </w:rPr>
        <w:t xml:space="preserve"> The implementation of a model of person-centred practice in older person settings final report</w:t>
      </w:r>
      <w:r w:rsidRPr="00D00607">
        <w:t>. Dublin: Health Service Executive.</w:t>
      </w:r>
    </w:p>
    <w:p w14:paraId="03D7B698" w14:textId="77777777" w:rsidR="00D00607" w:rsidRPr="00D00607" w:rsidRDefault="00D00607" w:rsidP="00D00607">
      <w:pPr>
        <w:pStyle w:val="EndNoteBibliography"/>
        <w:spacing w:after="0"/>
        <w:ind w:left="720" w:hanging="720"/>
      </w:pPr>
      <w:r w:rsidRPr="00D00607">
        <w:t>McCormack, B., &amp; McCance, T. (2010),</w:t>
      </w:r>
      <w:r w:rsidRPr="00D00607">
        <w:rPr>
          <w:b/>
        </w:rPr>
        <w:t xml:space="preserve"> Person-centred nursing: theory, models and methods</w:t>
      </w:r>
      <w:r w:rsidRPr="00D00607">
        <w:t xml:space="preserve">. UK: Wiley-Blackwell. </w:t>
      </w:r>
    </w:p>
    <w:p w14:paraId="64C42829" w14:textId="77777777" w:rsidR="00D00607" w:rsidRPr="00D00607" w:rsidRDefault="00D00607" w:rsidP="00D00607">
      <w:pPr>
        <w:pStyle w:val="EndNoteBibliography"/>
        <w:spacing w:after="0"/>
        <w:ind w:left="720" w:hanging="720"/>
      </w:pPr>
      <w:r w:rsidRPr="00D00607">
        <w:t>McCormack, B., &amp; McCance, T. (2016),</w:t>
      </w:r>
      <w:r w:rsidRPr="00D00607">
        <w:rPr>
          <w:b/>
        </w:rPr>
        <w:t xml:space="preserve"> Person-centred practice in nursing and health care: theory and practice </w:t>
      </w:r>
      <w:r w:rsidRPr="00D00607">
        <w:t xml:space="preserve"> John Wiley &amp; Sons. </w:t>
      </w:r>
    </w:p>
    <w:p w14:paraId="0B098391" w14:textId="77777777" w:rsidR="00D00607" w:rsidRPr="00D00607" w:rsidRDefault="00D00607" w:rsidP="00D00607">
      <w:pPr>
        <w:pStyle w:val="EndNoteBibliography"/>
        <w:spacing w:after="0"/>
        <w:ind w:left="720" w:hanging="720"/>
      </w:pPr>
      <w:r w:rsidRPr="00D00607">
        <w:t>McCormack, B., &amp; McCance, T. V. (2006), 'Development of a framework for person</w:t>
      </w:r>
      <w:r w:rsidRPr="00D00607">
        <w:rPr>
          <w:rFonts w:ascii="Cambria Math" w:hAnsi="Cambria Math" w:cs="Cambria Math"/>
        </w:rPr>
        <w:t>‐</w:t>
      </w:r>
      <w:r w:rsidRPr="00D00607">
        <w:t>centred nursing'.</w:t>
      </w:r>
      <w:r w:rsidRPr="00D00607">
        <w:rPr>
          <w:b/>
        </w:rPr>
        <w:t xml:space="preserve"> Journal of advanced nursing</w:t>
      </w:r>
      <w:r w:rsidRPr="00D00607">
        <w:t xml:space="preserve">, 56(5), 472-479. </w:t>
      </w:r>
    </w:p>
    <w:p w14:paraId="6AA3A12A" w14:textId="77777777" w:rsidR="00D00607" w:rsidRPr="00D00607" w:rsidRDefault="00D00607" w:rsidP="00D00607">
      <w:pPr>
        <w:pStyle w:val="EndNoteBibliography"/>
        <w:spacing w:after="0"/>
        <w:ind w:left="720" w:hanging="720"/>
      </w:pPr>
      <w:r w:rsidRPr="00D00607">
        <w:t>McDermott, S., &amp; Edwards, R. (2012), 'Enabling self</w:t>
      </w:r>
      <w:r w:rsidRPr="00D00607">
        <w:rPr>
          <w:rFonts w:ascii="Cambria Math" w:hAnsi="Cambria Math" w:cs="Cambria Math"/>
        </w:rPr>
        <w:t>‐</w:t>
      </w:r>
      <w:r w:rsidRPr="00D00607">
        <w:t>determination for older workers with intellectual disabilities in supported employment in Australia'.</w:t>
      </w:r>
      <w:r w:rsidRPr="00D00607">
        <w:rPr>
          <w:b/>
        </w:rPr>
        <w:t xml:space="preserve"> Journal of Applied Research in Intellectual Disabilities</w:t>
      </w:r>
      <w:r w:rsidRPr="00D00607">
        <w:t xml:space="preserve">, 25(5), 423-432. </w:t>
      </w:r>
    </w:p>
    <w:p w14:paraId="435B0E00" w14:textId="77777777" w:rsidR="00D00607" w:rsidRPr="00D00607" w:rsidRDefault="00D00607" w:rsidP="00D00607">
      <w:pPr>
        <w:pStyle w:val="EndNoteBibliography"/>
        <w:spacing w:after="0"/>
        <w:ind w:left="720" w:hanging="720"/>
      </w:pPr>
      <w:r w:rsidRPr="00D00607">
        <w:t>McGlaughlin, A. (2004), 'Enabling Adults with Learning Disabilities to Articulate their Housing Needs'.</w:t>
      </w:r>
      <w:r w:rsidRPr="00D00607">
        <w:rPr>
          <w:b/>
        </w:rPr>
        <w:t xml:space="preserve"> British Journal of Social Work</w:t>
      </w:r>
      <w:r w:rsidRPr="00D00607">
        <w:t xml:space="preserve">, 34(5), 709-726. </w:t>
      </w:r>
    </w:p>
    <w:p w14:paraId="2A9D8C16" w14:textId="77777777" w:rsidR="00D00607" w:rsidRPr="00D00607" w:rsidRDefault="00D00607" w:rsidP="00D00607">
      <w:pPr>
        <w:pStyle w:val="EndNoteBibliography"/>
        <w:spacing w:after="0"/>
        <w:ind w:left="720" w:hanging="720"/>
      </w:pPr>
      <w:r w:rsidRPr="00D00607">
        <w:t>McGlinchey, E., McCallion, P., Burke, E., Carroll, R., &amp; McCarron, M. (2013), 'Exploring the Issue of Employment for Adults with an Intellectual Disability in Ireland'.</w:t>
      </w:r>
      <w:r w:rsidRPr="00D00607">
        <w:rPr>
          <w:b/>
        </w:rPr>
        <w:t xml:space="preserve"> Journal of Applied Research in Intellectual Disabilities</w:t>
      </w:r>
      <w:r w:rsidRPr="00D00607">
        <w:t xml:space="preserve">, 26(4), 335-343. </w:t>
      </w:r>
    </w:p>
    <w:p w14:paraId="68B6AF27" w14:textId="77777777" w:rsidR="00D00607" w:rsidRPr="00D00607" w:rsidRDefault="00D00607" w:rsidP="00D00607">
      <w:pPr>
        <w:pStyle w:val="EndNoteBibliography"/>
        <w:spacing w:after="0"/>
        <w:ind w:left="720" w:hanging="720"/>
      </w:pPr>
      <w:r w:rsidRPr="00D00607">
        <w:t>McGlinchey, E., McCallion, P., McDermott, S., Foley, M., Burke, E. A., O'Donovan, M.-A., McCausland, D., Gibney, S., &amp; McCarron, M. (2018),</w:t>
      </w:r>
      <w:r w:rsidRPr="00D00607">
        <w:rPr>
          <w:b/>
        </w:rPr>
        <w:t xml:space="preserve"> Positive Ageing Indicators for People with an Intellectual Disability</w:t>
      </w:r>
      <w:r w:rsidRPr="00D00607">
        <w:t>. Dublin: Trinity Centre for Ageing and Intellectual Disability.</w:t>
      </w:r>
    </w:p>
    <w:p w14:paraId="584FAD2B" w14:textId="77777777" w:rsidR="00D00607" w:rsidRPr="00D00607" w:rsidRDefault="00D00607" w:rsidP="00D00607">
      <w:pPr>
        <w:pStyle w:val="EndNoteBibliography"/>
        <w:spacing w:after="0"/>
        <w:ind w:left="720" w:hanging="720"/>
      </w:pPr>
      <w:r w:rsidRPr="00D00607">
        <w:t>McKenzie, K., Metcalfe, D., Michie, A., &amp; Murray, G. (2020), 'Service provision in Scotland for people with an intellectual disability who have, or are at risk of developing, dementia'.</w:t>
      </w:r>
      <w:r w:rsidRPr="00D00607">
        <w:rPr>
          <w:b/>
        </w:rPr>
        <w:t xml:space="preserve"> Dementia</w:t>
      </w:r>
      <w:r w:rsidRPr="00D00607">
        <w:t xml:space="preserve">, 19(3), 736-749. </w:t>
      </w:r>
    </w:p>
    <w:p w14:paraId="77B09CFC" w14:textId="77777777" w:rsidR="00D00607" w:rsidRPr="00D00607" w:rsidRDefault="00D00607" w:rsidP="00D00607">
      <w:pPr>
        <w:pStyle w:val="EndNoteBibliography"/>
        <w:spacing w:after="0"/>
        <w:ind w:left="720" w:hanging="720"/>
      </w:pPr>
      <w:r w:rsidRPr="00D00607">
        <w:t>McKenzie, N., Mirfin</w:t>
      </w:r>
      <w:r w:rsidRPr="00D00607">
        <w:rPr>
          <w:rFonts w:ascii="Cambria Math" w:hAnsi="Cambria Math" w:cs="Cambria Math"/>
        </w:rPr>
        <w:t>‐</w:t>
      </w:r>
      <w:r w:rsidRPr="00D00607">
        <w:t>Veitch, B., Conder, J., &amp; Brandford, S. (2017), '</w:t>
      </w:r>
      <w:r w:rsidRPr="00D00607">
        <w:rPr>
          <w:rFonts w:ascii="Gill Sans MT" w:hAnsi="Gill Sans MT" w:cs="Gill Sans MT"/>
        </w:rPr>
        <w:t>“</w:t>
      </w:r>
      <w:r w:rsidRPr="00D00607">
        <w:t>I'm still here</w:t>
      </w:r>
      <w:r w:rsidRPr="00DD63A2">
        <w:rPr>
          <w:rFonts w:ascii="Gill Sans MT" w:hAnsi="Gill Sans MT" w:cs="Gill Sans MT"/>
        </w:rPr>
        <w:t>”</w:t>
      </w:r>
      <w:r w:rsidRPr="00D00607">
        <w:t>: Exploring what matters to people with intellectual disability during advance care planning'.</w:t>
      </w:r>
      <w:r w:rsidRPr="00D00607">
        <w:rPr>
          <w:b/>
        </w:rPr>
        <w:t xml:space="preserve"> Journal of Applied Research in Intellectual Disabilities</w:t>
      </w:r>
      <w:r w:rsidRPr="00D00607">
        <w:t xml:space="preserve">, 30(6), 1089-1098. </w:t>
      </w:r>
    </w:p>
    <w:p w14:paraId="47967CBC" w14:textId="77777777" w:rsidR="00D00607" w:rsidRPr="00D00607" w:rsidRDefault="00D00607" w:rsidP="00D00607">
      <w:pPr>
        <w:pStyle w:val="EndNoteBibliography"/>
        <w:spacing w:after="0"/>
        <w:ind w:left="720" w:hanging="720"/>
      </w:pPr>
      <w:r w:rsidRPr="00D00607">
        <w:t>Miller, E. (2021),</w:t>
      </w:r>
      <w:r w:rsidRPr="00D00607">
        <w:rPr>
          <w:b/>
        </w:rPr>
        <w:t xml:space="preserve"> How is person-centred care understood and implemented in practice?A literature review</w:t>
      </w:r>
      <w:r w:rsidRPr="00D00607">
        <w:t>. Scotland: Healthcare Improvement Scotland.</w:t>
      </w:r>
    </w:p>
    <w:p w14:paraId="6E6B6F69" w14:textId="77777777" w:rsidR="00D00607" w:rsidRPr="00D00607" w:rsidRDefault="00D00607" w:rsidP="00D00607">
      <w:pPr>
        <w:pStyle w:val="EndNoteBibliography"/>
        <w:spacing w:after="0"/>
        <w:ind w:left="720" w:hanging="720"/>
      </w:pPr>
      <w:r w:rsidRPr="00D00607">
        <w:t>National Economic Social Council (2012),</w:t>
      </w:r>
      <w:r w:rsidRPr="00D00607">
        <w:rPr>
          <w:b/>
        </w:rPr>
        <w:t xml:space="preserve"> Quality and standards in human services in Ireland: Disability services</w:t>
      </w:r>
      <w:r w:rsidRPr="00D00607">
        <w:t>. Ireland: National Economic Social Council.</w:t>
      </w:r>
    </w:p>
    <w:p w14:paraId="3E37AF71" w14:textId="004B11C9" w:rsidR="00D00607" w:rsidRPr="00D00607" w:rsidRDefault="00D00607" w:rsidP="00D00607">
      <w:pPr>
        <w:pStyle w:val="EndNoteBibliography"/>
        <w:spacing w:after="0"/>
        <w:ind w:left="720" w:hanging="720"/>
      </w:pPr>
      <w:r w:rsidRPr="00D00607">
        <w:t xml:space="preserve">National Federation of Voluntary Bodies. (2019). </w:t>
      </w:r>
      <w:r w:rsidRPr="00D00607">
        <w:rPr>
          <w:b/>
        </w:rPr>
        <w:t>Funding Crisis in Disability Services</w:t>
      </w:r>
      <w:r w:rsidRPr="00D00607">
        <w:t xml:space="preserve">. </w:t>
      </w:r>
      <w:r w:rsidR="00B5335A" w:rsidRPr="00B5335A">
        <w:t xml:space="preserve">Available at: </w:t>
      </w:r>
      <w:hyperlink r:id="rId22" w:history="1">
        <w:r w:rsidR="00B5335A" w:rsidRPr="00B5335A">
          <w:rPr>
            <w:rStyle w:val="Hyperlink"/>
          </w:rPr>
          <w:t>http://www.fedvol.ie/_fileupload/Publications/NFVSP%20Drivers%20and%20Deficits%20in%20ID%20Services%20June_2019.pdf</w:t>
        </w:r>
      </w:hyperlink>
      <w:r w:rsidR="00B5335A" w:rsidRPr="00B5335A">
        <w:t>.</w:t>
      </w:r>
      <w:r w:rsidRPr="00D00607">
        <w:t xml:space="preserve"> Accessed: 04/11/2022.</w:t>
      </w:r>
    </w:p>
    <w:p w14:paraId="29E1ED5A" w14:textId="77777777" w:rsidR="00D00607" w:rsidRPr="00D00607" w:rsidRDefault="00D00607" w:rsidP="00D00607">
      <w:pPr>
        <w:pStyle w:val="EndNoteBibliography"/>
        <w:spacing w:after="0"/>
        <w:ind w:left="720" w:hanging="720"/>
      </w:pPr>
      <w:r w:rsidRPr="00D00607">
        <w:t>NCI-IDD (2020),</w:t>
      </w:r>
      <w:r w:rsidRPr="00D00607">
        <w:rPr>
          <w:b/>
        </w:rPr>
        <w:t xml:space="preserve"> National Core Indicators®-Intellectual and Developmental Disabilities: 2020-21 In-Person Survey (IPS) </w:t>
      </w:r>
      <w:r w:rsidRPr="00D00607">
        <w:t>United States: NationalCore Indicators—Intellectual and Developmental Disabilities.</w:t>
      </w:r>
    </w:p>
    <w:p w14:paraId="59FE788A" w14:textId="77777777" w:rsidR="00D00607" w:rsidRPr="00D00607" w:rsidRDefault="00D00607" w:rsidP="00D00607">
      <w:pPr>
        <w:pStyle w:val="EndNoteBibliography"/>
        <w:spacing w:after="0"/>
        <w:ind w:left="720" w:hanging="720"/>
      </w:pPr>
      <w:r w:rsidRPr="00D00607">
        <w:t>NDA (2005),</w:t>
      </w:r>
      <w:r w:rsidRPr="00D00607">
        <w:rPr>
          <w:b/>
        </w:rPr>
        <w:t xml:space="preserve"> Guidelines on Person Centred Planning in the Provision of Services for People with Disabilities in Ireland</w:t>
      </w:r>
      <w:r w:rsidRPr="00D00607">
        <w:t>. Dublin: National Disability Authority.</w:t>
      </w:r>
    </w:p>
    <w:p w14:paraId="393B9BB8" w14:textId="77777777" w:rsidR="00D00607" w:rsidRPr="00D00607" w:rsidRDefault="00D00607" w:rsidP="00D00607">
      <w:pPr>
        <w:pStyle w:val="EndNoteBibliography"/>
        <w:spacing w:after="0"/>
        <w:ind w:left="720" w:hanging="720"/>
      </w:pPr>
      <w:r w:rsidRPr="00D00607">
        <w:t>NDA (2006),</w:t>
      </w:r>
      <w:r w:rsidRPr="00D00607">
        <w:rPr>
          <w:b/>
        </w:rPr>
        <w:t xml:space="preserve"> Ageing &amp; Disability: A Discussion Paper</w:t>
      </w:r>
      <w:r w:rsidRPr="00D00607">
        <w:t>. Dublin: National Disability Authority.</w:t>
      </w:r>
    </w:p>
    <w:p w14:paraId="0DE947F5" w14:textId="77777777" w:rsidR="00D00607" w:rsidRPr="00D00607" w:rsidRDefault="00D00607" w:rsidP="00D00607">
      <w:pPr>
        <w:pStyle w:val="EndNoteBibliography"/>
        <w:spacing w:after="0"/>
        <w:ind w:left="720" w:hanging="720"/>
      </w:pPr>
      <w:r w:rsidRPr="00D00607">
        <w:t>NDA (2016),</w:t>
      </w:r>
      <w:r w:rsidRPr="00D00607">
        <w:rPr>
          <w:b/>
        </w:rPr>
        <w:t xml:space="preserve"> Outcomes for Disability Services</w:t>
      </w:r>
      <w:r w:rsidRPr="00D00607">
        <w:t>. Dublin: National Disability Authority.</w:t>
      </w:r>
    </w:p>
    <w:p w14:paraId="728A6886" w14:textId="77777777" w:rsidR="00D00607" w:rsidRPr="00D00607" w:rsidRDefault="00D00607" w:rsidP="00D00607">
      <w:pPr>
        <w:pStyle w:val="EndNoteBibliography"/>
        <w:spacing w:after="0"/>
        <w:ind w:left="720" w:hanging="720"/>
      </w:pPr>
      <w:r w:rsidRPr="00D00607">
        <w:t>NDA (2019),</w:t>
      </w:r>
      <w:r w:rsidRPr="00D00607">
        <w:rPr>
          <w:b/>
        </w:rPr>
        <w:t xml:space="preserve"> Outcome Measurement in evaluating the Quality of Disability Services</w:t>
      </w:r>
      <w:r w:rsidRPr="00D00607">
        <w:t>. Dublin: National Disability Authority.</w:t>
      </w:r>
    </w:p>
    <w:p w14:paraId="3622DBD6" w14:textId="77777777" w:rsidR="00D00607" w:rsidRPr="00D00607" w:rsidRDefault="00D00607" w:rsidP="00D00607">
      <w:pPr>
        <w:pStyle w:val="EndNoteBibliography"/>
        <w:spacing w:after="0"/>
        <w:ind w:left="720" w:hanging="720"/>
      </w:pPr>
      <w:r w:rsidRPr="00D00607">
        <w:t>NDA (2021a),</w:t>
      </w:r>
      <w:r w:rsidRPr="00D00607">
        <w:rPr>
          <w:b/>
        </w:rPr>
        <w:t xml:space="preserve"> Moving In, Moving On. An evaluation of the outcomes and costs of congregated and community models of service in the disability sector</w:t>
      </w:r>
      <w:r w:rsidRPr="00D00607">
        <w:t>. Dublin: National Disability Authority.</w:t>
      </w:r>
    </w:p>
    <w:p w14:paraId="5A5A0E40" w14:textId="77777777" w:rsidR="00D00607" w:rsidRPr="00D00607" w:rsidRDefault="00D00607" w:rsidP="00D00607">
      <w:pPr>
        <w:pStyle w:val="EndNoteBibliography"/>
        <w:spacing w:after="0"/>
        <w:ind w:left="720" w:hanging="720"/>
      </w:pPr>
      <w:r w:rsidRPr="00D00607">
        <w:t>NDA (2021b),</w:t>
      </w:r>
      <w:r w:rsidRPr="00D00607">
        <w:rPr>
          <w:b/>
        </w:rPr>
        <w:t xml:space="preserve"> Staff and Change Management: Good Practice in the Transition to Community Residential Disability Services. </w:t>
      </w:r>
      <w:r w:rsidRPr="00D00607">
        <w:t>. Dublin: National Disability Authority.</w:t>
      </w:r>
    </w:p>
    <w:p w14:paraId="66BA09CB" w14:textId="77777777" w:rsidR="00D00607" w:rsidRPr="00D00607" w:rsidRDefault="00D00607" w:rsidP="00D00607">
      <w:pPr>
        <w:pStyle w:val="EndNoteBibliography"/>
        <w:spacing w:after="0"/>
        <w:ind w:left="720" w:hanging="720"/>
      </w:pPr>
      <w:r w:rsidRPr="00D00607">
        <w:t>NDA (2022a),</w:t>
      </w:r>
      <w:r w:rsidRPr="00D00607">
        <w:rPr>
          <w:b/>
        </w:rPr>
        <w:t xml:space="preserve"> Improving Quality of Life and Enhancing COVID-19 Infection Control in Existing Residential Care Settings for Older People: Research Report</w:t>
      </w:r>
      <w:r w:rsidRPr="00D00607">
        <w:t>. Dublin: National Disability Authority.</w:t>
      </w:r>
    </w:p>
    <w:p w14:paraId="1EB563D2" w14:textId="77777777" w:rsidR="00D00607" w:rsidRPr="00D00607" w:rsidRDefault="00D00607" w:rsidP="00D00607">
      <w:pPr>
        <w:pStyle w:val="EndNoteBibliography"/>
        <w:spacing w:after="0"/>
        <w:ind w:left="720" w:hanging="720"/>
      </w:pPr>
      <w:r w:rsidRPr="00D00607">
        <w:t>NDA (2022b),</w:t>
      </w:r>
      <w:r w:rsidRPr="00D00607">
        <w:rPr>
          <w:b/>
        </w:rPr>
        <w:t xml:space="preserve"> Improving Quality of Life and Enhancing COVID-19 Infection Control in Existing Residential Care Settings for Older People: Universal Design Guidelines</w:t>
      </w:r>
      <w:r w:rsidRPr="00D00607">
        <w:t>. Dublin: National Disability Authority.</w:t>
      </w:r>
    </w:p>
    <w:p w14:paraId="2E811AAE" w14:textId="77777777" w:rsidR="00D00607" w:rsidRPr="00D00607" w:rsidRDefault="00D00607" w:rsidP="00D00607">
      <w:pPr>
        <w:pStyle w:val="EndNoteBibliography"/>
        <w:spacing w:after="0"/>
        <w:ind w:left="720" w:hanging="720"/>
      </w:pPr>
      <w:r w:rsidRPr="00D00607">
        <w:t>New South Wales Agency for Clinical Innovation (2013),</w:t>
      </w:r>
      <w:r w:rsidRPr="00D00607">
        <w:rPr>
          <w:b/>
        </w:rPr>
        <w:t xml:space="preserve"> Understanding the process to develop a Model of Care An ACI Framework</w:t>
      </w:r>
      <w:r w:rsidRPr="00D00607">
        <w:t>. New South Wales: NSW Agency for Clinical Innovation.</w:t>
      </w:r>
    </w:p>
    <w:p w14:paraId="56BA4973" w14:textId="77777777" w:rsidR="00D00607" w:rsidRPr="00D00607" w:rsidRDefault="00D00607" w:rsidP="00D00607">
      <w:pPr>
        <w:pStyle w:val="EndNoteBibliography"/>
        <w:spacing w:after="0"/>
        <w:ind w:left="720" w:hanging="720"/>
      </w:pPr>
      <w:r w:rsidRPr="00D00607">
        <w:t>New South Wales Ministry of Health (2012),</w:t>
      </w:r>
      <w:r w:rsidRPr="00D00607">
        <w:rPr>
          <w:b/>
        </w:rPr>
        <w:t xml:space="preserve"> Service Framework to Improve the Health Care of People with Intellectual Disability</w:t>
      </w:r>
      <w:r w:rsidRPr="00D00607">
        <w:t>. New South Wales: NSW Ministry of Health.</w:t>
      </w:r>
    </w:p>
    <w:p w14:paraId="5F3701A6" w14:textId="0A63920F" w:rsidR="00D00607" w:rsidRPr="00D00607" w:rsidRDefault="00D00607" w:rsidP="00D00607">
      <w:pPr>
        <w:pStyle w:val="EndNoteBibliography"/>
        <w:spacing w:after="0"/>
        <w:ind w:left="720" w:hanging="720"/>
      </w:pPr>
      <w:r w:rsidRPr="00D00607">
        <w:t xml:space="preserve">New York State Area Agencies on Aging. (2013). </w:t>
      </w:r>
      <w:r w:rsidRPr="00D00607">
        <w:rPr>
          <w:b/>
        </w:rPr>
        <w:t>Older New Yorkers and the NYS Olmstead Plan</w:t>
      </w:r>
      <w:r w:rsidRPr="00D00607">
        <w:t xml:space="preserve">. </w:t>
      </w:r>
      <w:r w:rsidR="00B5335A" w:rsidRPr="00B5335A">
        <w:t xml:space="preserve">Available at: </w:t>
      </w:r>
      <w:hyperlink r:id="rId23" w:history="1">
        <w:r w:rsidR="00B5335A" w:rsidRPr="00B5335A">
          <w:rPr>
            <w:rStyle w:val="Hyperlink"/>
          </w:rPr>
          <w:t>https://www.agingny.org/uploads/1/2/3/0/123049588/older_new_yorkers_and_the_nys_olmstead_plan_final_3_oct_2013.pdf</w:t>
        </w:r>
      </w:hyperlink>
      <w:r w:rsidR="00B5335A" w:rsidRPr="00B5335A">
        <w:t>.</w:t>
      </w:r>
      <w:r w:rsidRPr="00D00607">
        <w:t xml:space="preserve"> Accessed: 05/11/2022.</w:t>
      </w:r>
    </w:p>
    <w:p w14:paraId="1BF6F879" w14:textId="77777777" w:rsidR="00D00607" w:rsidRPr="00D00607" w:rsidRDefault="00D00607" w:rsidP="00D00607">
      <w:pPr>
        <w:pStyle w:val="EndNoteBibliography"/>
        <w:spacing w:after="0"/>
        <w:ind w:left="720" w:hanging="720"/>
      </w:pPr>
      <w:r w:rsidRPr="00D00607">
        <w:t>Nicholson, C., Meyer, J., Flatley, M., Holman, C., &amp; Lowton, K. (2012), 'Living on the margin: understanding the experience of living and dying with frailty in old age'.</w:t>
      </w:r>
      <w:r w:rsidRPr="00D00607">
        <w:rPr>
          <w:b/>
        </w:rPr>
        <w:t xml:space="preserve"> Social science &amp; medicine</w:t>
      </w:r>
      <w:r w:rsidRPr="00D00607">
        <w:t xml:space="preserve">, 75(8), 1426-1432. </w:t>
      </w:r>
    </w:p>
    <w:p w14:paraId="36523FE1" w14:textId="77777777" w:rsidR="00D00607" w:rsidRPr="00D00607" w:rsidRDefault="00D00607" w:rsidP="00D00607">
      <w:pPr>
        <w:pStyle w:val="EndNoteBibliography"/>
        <w:spacing w:after="0"/>
        <w:ind w:left="720" w:hanging="720"/>
      </w:pPr>
      <w:r w:rsidRPr="00D00607">
        <w:t>Nieuwenhuijse, A. M., Willems, D. L., van Goudoever, J. B., Echteld, M. A., &amp; Olsman, E. (2019), 'Quality of life of persons with profound intellectual and multiple disabilities: A narrative literature review of concepts, assessment methods and assessors'.</w:t>
      </w:r>
      <w:r w:rsidRPr="00D00607">
        <w:rPr>
          <w:b/>
        </w:rPr>
        <w:t xml:space="preserve"> Journal of Intellectual &amp; Developmental Disability</w:t>
      </w:r>
      <w:r w:rsidRPr="00D00607">
        <w:t xml:space="preserve">, 44(3), 261-271. </w:t>
      </w:r>
    </w:p>
    <w:p w14:paraId="05ECAE1D" w14:textId="77777777" w:rsidR="00D00607" w:rsidRPr="00D00607" w:rsidRDefault="00D00607" w:rsidP="00D00607">
      <w:pPr>
        <w:pStyle w:val="EndNoteBibliography"/>
        <w:spacing w:after="0"/>
        <w:ind w:left="720" w:hanging="720"/>
      </w:pPr>
      <w:r w:rsidRPr="00D00607">
        <w:t>Nolan, M. R., Davies, S., Brown, J., Keady, J., &amp; Nolan, J. (2004), 'Beyond ‘person</w:t>
      </w:r>
      <w:r w:rsidRPr="00D00607">
        <w:rPr>
          <w:rFonts w:ascii="Cambria Math" w:hAnsi="Cambria Math" w:cs="Cambria Math"/>
        </w:rPr>
        <w:t>‐</w:t>
      </w:r>
      <w:r w:rsidRPr="00D00607">
        <w:t>centred</w:t>
      </w:r>
      <w:r w:rsidRPr="00D00607">
        <w:rPr>
          <w:rFonts w:ascii="Gill Sans MT" w:hAnsi="Gill Sans MT" w:cs="Gill Sans MT"/>
        </w:rPr>
        <w:t>’</w:t>
      </w:r>
      <w:r w:rsidRPr="00D00607">
        <w:t>care: a new vision for gerontological nursing'.</w:t>
      </w:r>
      <w:r w:rsidRPr="00D00607">
        <w:rPr>
          <w:b/>
        </w:rPr>
        <w:t xml:space="preserve"> Journal of Clinical Nursing</w:t>
      </w:r>
      <w:r w:rsidRPr="00D00607">
        <w:t xml:space="preserve">, 13, 45-53. </w:t>
      </w:r>
    </w:p>
    <w:p w14:paraId="2696446C" w14:textId="77777777" w:rsidR="00D00607" w:rsidRPr="00D00607" w:rsidRDefault="00D00607" w:rsidP="00D00607">
      <w:pPr>
        <w:pStyle w:val="EndNoteBibliography"/>
        <w:spacing w:after="0"/>
        <w:ind w:left="720" w:hanging="720"/>
      </w:pPr>
      <w:r w:rsidRPr="00D00607">
        <w:t>Northway, R., Holland-Hart, D., &amp; Jenkins, R. (2017), 'Meeting the health needs of older people with intellectual disabilities: exploring the experiences of residential social care staff'.</w:t>
      </w:r>
      <w:r w:rsidRPr="00D00607">
        <w:rPr>
          <w:b/>
        </w:rPr>
        <w:t xml:space="preserve"> Health and Social Care in the Community</w:t>
      </w:r>
      <w:r w:rsidRPr="00D00607">
        <w:t xml:space="preserve">, 25(3), 923-931. </w:t>
      </w:r>
    </w:p>
    <w:p w14:paraId="3AB44400" w14:textId="77777777" w:rsidR="00D00607" w:rsidRPr="00D00607" w:rsidRDefault="00D00607" w:rsidP="00D00607">
      <w:pPr>
        <w:pStyle w:val="EndNoteBibliography"/>
        <w:spacing w:after="0"/>
        <w:ind w:left="720" w:hanging="720"/>
      </w:pPr>
      <w:r w:rsidRPr="00D00607">
        <w:t>Nyman, S. R., Innes, A., &amp; Heward, M. (2017), 'Social care and support needs of community-dwelling people with dementia and concurrent visual impairment'.</w:t>
      </w:r>
      <w:r w:rsidRPr="00D00607">
        <w:rPr>
          <w:b/>
        </w:rPr>
        <w:t xml:space="preserve"> Aging &amp; mental health</w:t>
      </w:r>
      <w:r w:rsidRPr="00D00607">
        <w:t xml:space="preserve">, 21(9), 961-967. </w:t>
      </w:r>
    </w:p>
    <w:p w14:paraId="5517E23D" w14:textId="77777777" w:rsidR="00D00607" w:rsidRPr="00D00607" w:rsidRDefault="00D00607" w:rsidP="00D00607">
      <w:pPr>
        <w:pStyle w:val="EndNoteBibliography"/>
        <w:spacing w:after="0"/>
        <w:ind w:left="720" w:hanging="720"/>
      </w:pPr>
      <w:r w:rsidRPr="00D00607">
        <w:t>O'Dwyer, M., Peklar, J., McCallion, P., McCarron, M., &amp; Henman, M. C. (2016), 'Factors associated with polypharmacy and excessive polypharmacy in older people with intellectual disability differ from the general population: a cross-sectional observational nationwide study'.</w:t>
      </w:r>
      <w:r w:rsidRPr="00D00607">
        <w:rPr>
          <w:b/>
        </w:rPr>
        <w:t xml:space="preserve"> BMJ open</w:t>
      </w:r>
      <w:r w:rsidRPr="00D00607">
        <w:t xml:space="preserve">, 6(4), e010505. </w:t>
      </w:r>
    </w:p>
    <w:p w14:paraId="5B1F06A3" w14:textId="77777777" w:rsidR="00D00607" w:rsidRPr="00D00607" w:rsidRDefault="00D00607" w:rsidP="00D00607">
      <w:pPr>
        <w:pStyle w:val="EndNoteBibliography"/>
        <w:spacing w:after="0"/>
        <w:ind w:left="720" w:hanging="720"/>
      </w:pPr>
      <w:r w:rsidRPr="00D00607">
        <w:t>O'Leary, L., Cooper, S. A., &amp; Hughes</w:t>
      </w:r>
      <w:r w:rsidRPr="00D00607">
        <w:rPr>
          <w:rFonts w:ascii="Cambria Math" w:hAnsi="Cambria Math" w:cs="Cambria Math"/>
        </w:rPr>
        <w:t>‐</w:t>
      </w:r>
      <w:r w:rsidRPr="00D00607">
        <w:t>Mccormack, L. (2018), 'Early death and causes of death of people with intellectual disabilities: A systematic review'.</w:t>
      </w:r>
      <w:r w:rsidRPr="00D00607">
        <w:rPr>
          <w:b/>
        </w:rPr>
        <w:t xml:space="preserve"> Journal of Applied Research in Intellectual Disabilities</w:t>
      </w:r>
      <w:r w:rsidRPr="00D00607">
        <w:t xml:space="preserve">, 31(3), 325-342. </w:t>
      </w:r>
    </w:p>
    <w:p w14:paraId="47D89EA6" w14:textId="77777777" w:rsidR="00D00607" w:rsidRPr="00D00607" w:rsidRDefault="00D00607" w:rsidP="00D00607">
      <w:pPr>
        <w:pStyle w:val="EndNoteBibliography"/>
        <w:spacing w:after="0"/>
        <w:ind w:left="720" w:hanging="720"/>
      </w:pPr>
      <w:r w:rsidRPr="00D00607">
        <w:t>O'Rourke, A., Grey, I. M., Fuller, R., &amp; McClean, B. (2004), 'Satisfaction with living arrangements of older adults with intellectual disability: Service users' and carers' views'.</w:t>
      </w:r>
      <w:r w:rsidRPr="00D00607">
        <w:rPr>
          <w:b/>
        </w:rPr>
        <w:t xml:space="preserve"> Journal of Learning Disabilities</w:t>
      </w:r>
      <w:r w:rsidRPr="00D00607">
        <w:t xml:space="preserve">, 8(1), 12-29. </w:t>
      </w:r>
    </w:p>
    <w:p w14:paraId="708B8AAB" w14:textId="77777777" w:rsidR="00D00607" w:rsidRPr="00D00607" w:rsidRDefault="00D00607" w:rsidP="00D00607">
      <w:pPr>
        <w:pStyle w:val="EndNoteBibliography"/>
        <w:spacing w:after="0"/>
        <w:ind w:left="720" w:hanging="720"/>
      </w:pPr>
      <w:r w:rsidRPr="00D00607">
        <w:t>O’Sullivan, S., Buckley, M., Desmond, E., Bantry-White, E., &amp; Cassarino, M. (2022),</w:t>
      </w:r>
      <w:r w:rsidRPr="00D00607">
        <w:rPr>
          <w:b/>
        </w:rPr>
        <w:t xml:space="preserve"> Agency and Ageing in Place in Rural Ireland</w:t>
      </w:r>
      <w:r w:rsidRPr="00D00607">
        <w:t>. Ireland: University College Cork and Age Action.</w:t>
      </w:r>
    </w:p>
    <w:p w14:paraId="7F2440BA" w14:textId="77777777" w:rsidR="00D00607" w:rsidRPr="00D00607" w:rsidRDefault="00D00607" w:rsidP="00D00607">
      <w:pPr>
        <w:pStyle w:val="EndNoteBibliography"/>
        <w:spacing w:after="0"/>
        <w:ind w:left="720" w:hanging="720"/>
      </w:pPr>
      <w:r w:rsidRPr="00D00607">
        <w:t>Olsson, S., &amp; Gustafsson, C. (2020), 'Employees' experiences of education and knowledge in intellectual disability practice'.</w:t>
      </w:r>
      <w:r w:rsidRPr="00D00607">
        <w:rPr>
          <w:b/>
        </w:rPr>
        <w:t xml:space="preserve"> Journal of Policy and Practice in Intellectual Disabilities</w:t>
      </w:r>
      <w:r w:rsidRPr="00D00607">
        <w:t xml:space="preserve">, 17(3), 219-231. </w:t>
      </w:r>
    </w:p>
    <w:p w14:paraId="61B3F696" w14:textId="4F388F50" w:rsidR="00D00607" w:rsidRPr="00D00607" w:rsidRDefault="00D00607" w:rsidP="00D00607">
      <w:pPr>
        <w:pStyle w:val="EndNoteBibliography"/>
        <w:spacing w:after="0"/>
        <w:ind w:left="720" w:hanging="720"/>
      </w:pPr>
      <w:r w:rsidRPr="00D00607">
        <w:t xml:space="preserve">palliAGED. (2021, 30 June 2021). </w:t>
      </w:r>
      <w:r w:rsidRPr="00D00607">
        <w:rPr>
          <w:b/>
        </w:rPr>
        <w:t>Models of Care</w:t>
      </w:r>
      <w:r w:rsidRPr="00D00607">
        <w:t xml:space="preserve">. </w:t>
      </w:r>
      <w:r w:rsidR="00B5335A" w:rsidRPr="00B5335A">
        <w:t xml:space="preserve">Available at: </w:t>
      </w:r>
      <w:hyperlink r:id="rId24" w:history="1">
        <w:r w:rsidR="00B5335A" w:rsidRPr="00B5335A">
          <w:rPr>
            <w:rStyle w:val="Hyperlink"/>
          </w:rPr>
          <w:t>https://www.palliaged.com.au/tabid/4501/Default.aspx</w:t>
        </w:r>
      </w:hyperlink>
      <w:r w:rsidR="00B5335A" w:rsidRPr="00B5335A">
        <w:t>.</w:t>
      </w:r>
      <w:r w:rsidRPr="00D00607">
        <w:t xml:space="preserve"> Accessed: 13/07/2022.</w:t>
      </w:r>
    </w:p>
    <w:p w14:paraId="0658D856" w14:textId="77777777" w:rsidR="00D00607" w:rsidRPr="00D00607" w:rsidRDefault="00D00607" w:rsidP="00D00607">
      <w:pPr>
        <w:pStyle w:val="EndNoteBibliography"/>
        <w:spacing w:after="0"/>
        <w:ind w:left="720" w:hanging="720"/>
      </w:pPr>
      <w:r w:rsidRPr="00D00607">
        <w:t>Patti, P., Amble, K., &amp; Flory, M. (2010), 'Placement, relocation and end of life issues in aging adults with and without Down's syndrome: a retrospective study'.</w:t>
      </w:r>
      <w:r w:rsidRPr="00D00607">
        <w:rPr>
          <w:b/>
        </w:rPr>
        <w:t xml:space="preserve"> Journal of Intellectual Disability Research</w:t>
      </w:r>
      <w:r w:rsidRPr="00D00607">
        <w:t xml:space="preserve">, 54(6), 538-546. </w:t>
      </w:r>
    </w:p>
    <w:p w14:paraId="700052CD" w14:textId="77777777" w:rsidR="00D00607" w:rsidRPr="00D00607" w:rsidRDefault="00D00607" w:rsidP="00D00607">
      <w:pPr>
        <w:pStyle w:val="EndNoteBibliography"/>
        <w:spacing w:after="0"/>
        <w:ind w:left="720" w:hanging="720"/>
      </w:pPr>
      <w:r w:rsidRPr="00D00607">
        <w:t>Patti, P. J., Amble, K. B., &amp; Flory, M. J. (2005), 'Life events in older adults with intellectual disabilities: Differences between adults with and without Down syndrome'.</w:t>
      </w:r>
      <w:r w:rsidRPr="00D00607">
        <w:rPr>
          <w:b/>
        </w:rPr>
        <w:t xml:space="preserve"> Journal of Policy and Practice in Intellectual Disabilities</w:t>
      </w:r>
      <w:r w:rsidRPr="00D00607">
        <w:t xml:space="preserve">, 2(2), 149-155. </w:t>
      </w:r>
    </w:p>
    <w:p w14:paraId="052779C4" w14:textId="77777777" w:rsidR="00D00607" w:rsidRPr="00D00607" w:rsidRDefault="00D00607" w:rsidP="00D00607">
      <w:pPr>
        <w:pStyle w:val="EndNoteBibliography"/>
        <w:spacing w:after="0"/>
        <w:ind w:left="720" w:hanging="720"/>
      </w:pPr>
      <w:r w:rsidRPr="00D00607">
        <w:t>Pelleboer-Gunnink, H. A., Van Oorsouw, W. M. W. J., Van Weeghel, J., &amp; Embregts, P. J. C. M. (2017), 'Mainstream health professionals' stigmatising attitudes towards people with intellectual disabilities: a systematic review'.</w:t>
      </w:r>
      <w:r w:rsidRPr="00D00607">
        <w:rPr>
          <w:b/>
        </w:rPr>
        <w:t xml:space="preserve"> Journal of Intellectual Disability Research</w:t>
      </w:r>
      <w:r w:rsidRPr="00D00607">
        <w:t xml:space="preserve">, 61(5), 411-434. </w:t>
      </w:r>
    </w:p>
    <w:p w14:paraId="3E569868" w14:textId="77777777" w:rsidR="00D00607" w:rsidRPr="00D00607" w:rsidRDefault="00D00607" w:rsidP="00D00607">
      <w:pPr>
        <w:pStyle w:val="EndNoteBibliography"/>
        <w:spacing w:after="0"/>
        <w:ind w:left="720" w:hanging="720"/>
      </w:pPr>
      <w:r w:rsidRPr="00D00607">
        <w:t>Petry, K., Maes, B., &amp; Vlaskamp, C. (2009), 'Measuring the quality of life of people with profound multiple disabilities using the QOL-PMD: First results'.</w:t>
      </w:r>
      <w:r w:rsidRPr="00D00607">
        <w:rPr>
          <w:b/>
        </w:rPr>
        <w:t xml:space="preserve"> Research in Developmental Disabilities</w:t>
      </w:r>
      <w:r w:rsidRPr="00D00607">
        <w:t xml:space="preserve">, 30(6), 1394-1405. </w:t>
      </w:r>
    </w:p>
    <w:p w14:paraId="5A26A431" w14:textId="77777777" w:rsidR="00D00607" w:rsidRPr="00D00607" w:rsidRDefault="00D00607" w:rsidP="00D00607">
      <w:pPr>
        <w:pStyle w:val="EndNoteBibliography"/>
        <w:spacing w:after="0"/>
        <w:ind w:left="720" w:hanging="720"/>
      </w:pPr>
      <w:r w:rsidRPr="00D00607">
        <w:t>Powrie, E. (2003), 'Primary health care provision for adults with a learning disability'.</w:t>
      </w:r>
      <w:r w:rsidRPr="00D00607">
        <w:rPr>
          <w:b/>
        </w:rPr>
        <w:t xml:space="preserve"> Journal of advanced nursing</w:t>
      </w:r>
      <w:r w:rsidRPr="00D00607">
        <w:t xml:space="preserve">, 42(4), 413-423. </w:t>
      </w:r>
    </w:p>
    <w:p w14:paraId="1C70F326" w14:textId="073F8342" w:rsidR="00D00607" w:rsidRPr="00D00607" w:rsidRDefault="00D00607" w:rsidP="00D00607">
      <w:pPr>
        <w:pStyle w:val="EndNoteBibliography"/>
        <w:spacing w:after="0"/>
        <w:ind w:left="720" w:hanging="720"/>
      </w:pPr>
      <w:r w:rsidRPr="00D00607">
        <w:t xml:space="preserve">Primacare Living Solutions. (2022). </w:t>
      </w:r>
      <w:r w:rsidRPr="00D00607">
        <w:rPr>
          <w:b/>
        </w:rPr>
        <w:t>Innovations in Care</w:t>
      </w:r>
      <w:r w:rsidRPr="00D00607">
        <w:t xml:space="preserve">. </w:t>
      </w:r>
      <w:r w:rsidR="00B5335A" w:rsidRPr="00B5335A">
        <w:t xml:space="preserve">Available at: </w:t>
      </w:r>
      <w:hyperlink r:id="rId25" w:history="1">
        <w:r w:rsidR="00B5335A" w:rsidRPr="00B5335A">
          <w:rPr>
            <w:rStyle w:val="Hyperlink"/>
          </w:rPr>
          <w:t>https://www.primacareliving.com/butterfly-model-of-care</w:t>
        </w:r>
      </w:hyperlink>
      <w:r w:rsidR="00B5335A" w:rsidRPr="00B5335A">
        <w:t>.</w:t>
      </w:r>
      <w:r w:rsidRPr="00D00607">
        <w:t xml:space="preserve"> Accessed: 16/08/2022.</w:t>
      </w:r>
    </w:p>
    <w:p w14:paraId="2F93D672" w14:textId="77777777" w:rsidR="00D00607" w:rsidRPr="00D00607" w:rsidRDefault="00D00607" w:rsidP="00D00607">
      <w:pPr>
        <w:pStyle w:val="EndNoteBibliography"/>
        <w:spacing w:after="0"/>
        <w:ind w:left="720" w:hanging="720"/>
      </w:pPr>
      <w:r w:rsidRPr="00D00607">
        <w:t>Quilliam, C., &amp; Wilson, E. (2011),</w:t>
      </w:r>
      <w:r w:rsidRPr="00D00607">
        <w:rPr>
          <w:b/>
        </w:rPr>
        <w:t xml:space="preserve"> Literature Review Outcomes Measurement in Disability Services: A review of policy contexts, measurement approaches and selected measurement tools</w:t>
      </w:r>
      <w:r w:rsidRPr="00D00607">
        <w:t>. Melbourne: Deakin University.</w:t>
      </w:r>
    </w:p>
    <w:p w14:paraId="3E0F3604" w14:textId="77777777" w:rsidR="00D00607" w:rsidRPr="00D00607" w:rsidRDefault="00D00607" w:rsidP="00D00607">
      <w:pPr>
        <w:pStyle w:val="EndNoteBibliography"/>
        <w:spacing w:after="0"/>
        <w:ind w:left="720" w:hanging="720"/>
      </w:pPr>
      <w:r w:rsidRPr="00D00607">
        <w:t>Rand, S., &amp; Caiels, J. (2015),</w:t>
      </w:r>
      <w:r w:rsidRPr="00D00607">
        <w:rPr>
          <w:b/>
        </w:rPr>
        <w:t xml:space="preserve"> Using Proxies to asses Quality of Life: A Review of the Issues and Challanges. Discussion Paper</w:t>
      </w:r>
      <w:r w:rsidRPr="00D00607">
        <w:t>. U.K: Quality and Outcomes of person-centred care policy Research Unit (QORU), Univeristy of Kent.</w:t>
      </w:r>
    </w:p>
    <w:p w14:paraId="08BC5F41" w14:textId="77777777" w:rsidR="00D00607" w:rsidRPr="00D00607" w:rsidRDefault="00D00607" w:rsidP="00D00607">
      <w:pPr>
        <w:pStyle w:val="EndNoteBibliography"/>
        <w:spacing w:after="0"/>
        <w:ind w:left="720" w:hanging="720"/>
      </w:pPr>
      <w:r w:rsidRPr="00D00607">
        <w:t>Ratti, V., Hassiotis, A., Crabtree, J., Deb, S., Gallagher, P., &amp; Unwin, G. (2016), 'The effectiveness of person-centred planning for people with intellectual disabilities: A systematic review'.</w:t>
      </w:r>
      <w:r w:rsidRPr="00D00607">
        <w:rPr>
          <w:b/>
        </w:rPr>
        <w:t xml:space="preserve"> Research in Developmental Disabilities</w:t>
      </w:r>
      <w:r w:rsidRPr="00D00607">
        <w:t xml:space="preserve">, 57, 63-84. </w:t>
      </w:r>
    </w:p>
    <w:p w14:paraId="37C5C662" w14:textId="77777777" w:rsidR="00D00607" w:rsidRPr="00D00607" w:rsidRDefault="00D00607" w:rsidP="00D00607">
      <w:pPr>
        <w:pStyle w:val="EndNoteBibliography"/>
        <w:spacing w:after="0"/>
        <w:ind w:left="720" w:hanging="720"/>
      </w:pPr>
      <w:r w:rsidRPr="00D00607">
        <w:t>Regnard, C., Reynolds, J., Watson, B., Matthews, D., Gibson, L., &amp; Clarke, C. (2007), 'Understanding distress in people with severe communication difficulties: developing and assessing the Disability Distress Assessment Tool (DisDAT)'.</w:t>
      </w:r>
      <w:r w:rsidRPr="00D00607">
        <w:rPr>
          <w:b/>
        </w:rPr>
        <w:t xml:space="preserve"> Journal of Intellectual Disability Research</w:t>
      </w:r>
      <w:r w:rsidRPr="00D00607">
        <w:t xml:space="preserve">, 51(4), 277-292. </w:t>
      </w:r>
    </w:p>
    <w:p w14:paraId="33D566D2" w14:textId="77777777" w:rsidR="00D00607" w:rsidRPr="00D00607" w:rsidRDefault="00D00607" w:rsidP="00D00607">
      <w:pPr>
        <w:pStyle w:val="EndNoteBibliography"/>
        <w:spacing w:after="0"/>
        <w:ind w:left="720" w:hanging="720"/>
      </w:pPr>
      <w:r w:rsidRPr="00D00607">
        <w:t>Reppermund, S., Srasuebkul, P., Dean, K., &amp; Trollor, J. N. (2020), 'Factors associated with death in people with intellectual disability'.</w:t>
      </w:r>
      <w:r w:rsidRPr="00D00607">
        <w:rPr>
          <w:b/>
        </w:rPr>
        <w:t xml:space="preserve"> Journal of Applied Research in Intellectual Disabilities</w:t>
      </w:r>
      <w:r w:rsidRPr="00D00607">
        <w:t xml:space="preserve">, 33(3), 420-429. </w:t>
      </w:r>
    </w:p>
    <w:p w14:paraId="548BB8D1" w14:textId="77777777" w:rsidR="00D00607" w:rsidRPr="00D00607" w:rsidRDefault="00D00607" w:rsidP="00D00607">
      <w:pPr>
        <w:pStyle w:val="EndNoteBibliography"/>
        <w:spacing w:after="0"/>
        <w:ind w:left="720" w:hanging="720"/>
      </w:pPr>
      <w:r w:rsidRPr="00D00607">
        <w:t>Robertson, J., Emerson, E., Hatton, C., Elliott, J., McIntosh, B., Swift, P., Krinjen</w:t>
      </w:r>
      <w:r w:rsidRPr="00D00607">
        <w:rPr>
          <w:rFonts w:ascii="Cambria Math" w:hAnsi="Cambria Math" w:cs="Cambria Math"/>
        </w:rPr>
        <w:t>‐</w:t>
      </w:r>
      <w:r w:rsidRPr="00D00607">
        <w:t>Kemp, E., Towers, C., Romeo, R., &amp; Knapp, M. (2007), 'Person</w:t>
      </w:r>
      <w:r w:rsidRPr="00D00607">
        <w:rPr>
          <w:rFonts w:ascii="Cambria Math" w:hAnsi="Cambria Math" w:cs="Cambria Math"/>
        </w:rPr>
        <w:t>‐</w:t>
      </w:r>
      <w:r w:rsidRPr="00D00607">
        <w:t>centred planning: factors associated with successful outcomes for people with intellectual disabilities'.</w:t>
      </w:r>
      <w:r w:rsidRPr="00D00607">
        <w:rPr>
          <w:b/>
        </w:rPr>
        <w:t xml:space="preserve"> Journal of Intellectual Disability Research</w:t>
      </w:r>
      <w:r w:rsidRPr="00D00607">
        <w:t xml:space="preserve">, 51(3), 232-243. </w:t>
      </w:r>
    </w:p>
    <w:p w14:paraId="3F3DE1F5" w14:textId="77777777" w:rsidR="00D00607" w:rsidRPr="00D00607" w:rsidRDefault="00D00607" w:rsidP="00D00607">
      <w:pPr>
        <w:pStyle w:val="EndNoteBibliography"/>
        <w:spacing w:after="0"/>
        <w:ind w:left="720" w:hanging="720"/>
      </w:pPr>
      <w:r w:rsidRPr="00D00607">
        <w:t>Roebuck, M. (2021), 'Housing for People with Intellectual Disabilities: A Scoping Review'.</w:t>
      </w:r>
      <w:r w:rsidRPr="00D00607">
        <w:rPr>
          <w:b/>
        </w:rPr>
        <w:t xml:space="preserve"> Journal on Developmental Disabilities</w:t>
      </w:r>
      <w:r w:rsidRPr="00D00607">
        <w:t xml:space="preserve">, 26(2), 1-25. </w:t>
      </w:r>
    </w:p>
    <w:p w14:paraId="0BD41992" w14:textId="77777777" w:rsidR="00D00607" w:rsidRPr="00D00607" w:rsidRDefault="00D00607" w:rsidP="00D00607">
      <w:pPr>
        <w:pStyle w:val="EndNoteBibliography"/>
        <w:spacing w:after="0"/>
        <w:ind w:left="720" w:hanging="720"/>
      </w:pPr>
      <w:r w:rsidRPr="00D00607">
        <w:t>Rogne, L., &amp; McCune, S. L. (2013),</w:t>
      </w:r>
      <w:r w:rsidRPr="00D00607">
        <w:rPr>
          <w:b/>
        </w:rPr>
        <w:t xml:space="preserve"> Advance care planning: Communicating about matters of life and death</w:t>
      </w:r>
      <w:r w:rsidR="00B5335A" w:rsidRPr="00B5335A">
        <w:t>. New York: Springer Publishing Company.</w:t>
      </w:r>
      <w:r w:rsidRPr="00D00607">
        <w:t xml:space="preserve"> </w:t>
      </w:r>
    </w:p>
    <w:p w14:paraId="2DCCEC2E" w14:textId="77777777" w:rsidR="00D00607" w:rsidRPr="00D00607" w:rsidRDefault="00D00607" w:rsidP="00D00607">
      <w:pPr>
        <w:pStyle w:val="EndNoteBibliography"/>
        <w:spacing w:after="0"/>
        <w:ind w:left="720" w:hanging="720"/>
      </w:pPr>
      <w:r w:rsidRPr="00D00607">
        <w:t>Ross, H., Tod, A. M., &amp; Clarke, A. (2015), 'Understanding and achieving person</w:t>
      </w:r>
      <w:r w:rsidRPr="00D00607">
        <w:rPr>
          <w:rFonts w:ascii="Cambria Math" w:hAnsi="Cambria Math" w:cs="Cambria Math"/>
        </w:rPr>
        <w:t>‐</w:t>
      </w:r>
      <w:r w:rsidRPr="00D00607">
        <w:t>centred care: the nurse perspective'.</w:t>
      </w:r>
      <w:r w:rsidRPr="00D00607">
        <w:rPr>
          <w:b/>
        </w:rPr>
        <w:t xml:space="preserve"> Journal of Clinical Nursing</w:t>
      </w:r>
      <w:r w:rsidRPr="00D00607">
        <w:t xml:space="preserve">, 24(9-10), 1223-1233. </w:t>
      </w:r>
    </w:p>
    <w:p w14:paraId="5CAF6EE4" w14:textId="77777777" w:rsidR="00D00607" w:rsidRPr="00D00607" w:rsidRDefault="00D00607" w:rsidP="00D00607">
      <w:pPr>
        <w:pStyle w:val="EndNoteBibliography"/>
        <w:spacing w:after="0"/>
        <w:ind w:left="720" w:hanging="720"/>
      </w:pPr>
      <w:r w:rsidRPr="00D00607">
        <w:t>Ryan, A., Taggart, L., Truesdale-Kennedy, M., &amp; Slevin, E. (2014), 'Issues in caregiving for older people with intellectual disabilities and their ageing family carers: a review and commentary'.</w:t>
      </w:r>
      <w:r w:rsidRPr="00D00607">
        <w:rPr>
          <w:b/>
        </w:rPr>
        <w:t xml:space="preserve"> International Journal of Older People Nursing</w:t>
      </w:r>
      <w:r w:rsidRPr="00D00607">
        <w:t xml:space="preserve">, 9(3), 217-226. </w:t>
      </w:r>
    </w:p>
    <w:p w14:paraId="55D018A6" w14:textId="77777777" w:rsidR="00D00607" w:rsidRPr="00D00607" w:rsidRDefault="00D00607" w:rsidP="00D00607">
      <w:pPr>
        <w:pStyle w:val="EndNoteBibliography"/>
        <w:spacing w:after="0"/>
        <w:ind w:left="720" w:hanging="720"/>
      </w:pPr>
      <w:r w:rsidRPr="00D00607">
        <w:t>Ryan, K., Guerin, S., Dodd, P., &amp; McEvoy, J. (2011), 'End</w:t>
      </w:r>
      <w:r w:rsidRPr="00D00607">
        <w:rPr>
          <w:rFonts w:ascii="Cambria Math" w:hAnsi="Cambria Math" w:cs="Cambria Math"/>
        </w:rPr>
        <w:t>‐</w:t>
      </w:r>
      <w:r w:rsidRPr="00D00607">
        <w:t>of</w:t>
      </w:r>
      <w:r w:rsidRPr="00D00607">
        <w:rPr>
          <w:rFonts w:ascii="Cambria Math" w:hAnsi="Cambria Math" w:cs="Cambria Math"/>
        </w:rPr>
        <w:t>‐</w:t>
      </w:r>
      <w:r w:rsidRPr="00D00607">
        <w:t>life care for people with intellectual disabilities: paid carer perspectives'.</w:t>
      </w:r>
      <w:r w:rsidRPr="00D00607">
        <w:rPr>
          <w:b/>
        </w:rPr>
        <w:t xml:space="preserve"> Journal of Applied Research in Intellectual Disabilities</w:t>
      </w:r>
      <w:r w:rsidRPr="00D00607">
        <w:t xml:space="preserve">, 24(3), 199-207. </w:t>
      </w:r>
    </w:p>
    <w:p w14:paraId="61DC9677" w14:textId="77777777" w:rsidR="00D00607" w:rsidRPr="00D00607" w:rsidRDefault="00D00607" w:rsidP="00D00607">
      <w:pPr>
        <w:pStyle w:val="EndNoteBibliography"/>
        <w:spacing w:after="0"/>
        <w:ind w:left="720" w:hanging="720"/>
      </w:pPr>
      <w:r w:rsidRPr="00D00607">
        <w:t>Ryan, K., McEvoy, J., Guerin, S., &amp; Dodd, P. (2010), 'An exploration of the experience, confidence and attitudes of staff to the provision of palliative care to people with intellectual disabilities'.</w:t>
      </w:r>
      <w:r w:rsidRPr="00D00607">
        <w:rPr>
          <w:b/>
        </w:rPr>
        <w:t xml:space="preserve"> Palliative medicine</w:t>
      </w:r>
      <w:r w:rsidRPr="00D00607">
        <w:t xml:space="preserve">, 24(6), 566-572. </w:t>
      </w:r>
    </w:p>
    <w:p w14:paraId="1E7AD913" w14:textId="77777777" w:rsidR="00D00607" w:rsidRPr="00D00607" w:rsidRDefault="00D00607" w:rsidP="00D00607">
      <w:pPr>
        <w:pStyle w:val="EndNoteBibliography"/>
        <w:spacing w:after="0"/>
        <w:ind w:left="720" w:hanging="720"/>
      </w:pPr>
      <w:r w:rsidRPr="00D00607">
        <w:t>Ryan, K. R., &amp; McQuillan, R. (2005), 'Palliative care for disadvantaged groups: people with intellectual disabilities'.</w:t>
      </w:r>
      <w:r w:rsidRPr="00D00607">
        <w:rPr>
          <w:b/>
        </w:rPr>
        <w:t xml:space="preserve"> Progress in Palliative Care</w:t>
      </w:r>
      <w:r w:rsidRPr="00D00607">
        <w:t xml:space="preserve">, 13(2), 70-74. </w:t>
      </w:r>
    </w:p>
    <w:p w14:paraId="178B4434" w14:textId="77777777" w:rsidR="00D00607" w:rsidRPr="00D00607" w:rsidRDefault="00D00607" w:rsidP="00D00607">
      <w:pPr>
        <w:pStyle w:val="EndNoteBibliography"/>
        <w:spacing w:after="0"/>
        <w:ind w:left="720" w:hanging="720"/>
      </w:pPr>
      <w:r w:rsidRPr="00D00607">
        <w:t>Sanderson, H. (2000),</w:t>
      </w:r>
      <w:r w:rsidRPr="00D00607">
        <w:rPr>
          <w:b/>
        </w:rPr>
        <w:t xml:space="preserve"> Person-centred planning: Key features and approaches</w:t>
      </w:r>
      <w:r w:rsidRPr="00D00607">
        <w:t>. York: Joseph Rowntree Foundation.</w:t>
      </w:r>
    </w:p>
    <w:p w14:paraId="28BB0B6C" w14:textId="77777777" w:rsidR="00D00607" w:rsidRPr="00D00607" w:rsidRDefault="00D00607" w:rsidP="00D00607">
      <w:pPr>
        <w:pStyle w:val="EndNoteBibliography"/>
        <w:spacing w:after="0"/>
        <w:ind w:left="720" w:hanging="720"/>
      </w:pPr>
      <w:r w:rsidRPr="00D00607">
        <w:t>Schaap, F. D., Fokkens, A. S., Dijkstra, G. J., Reijneveld, S. A., &amp; Finnema, E. J. (2018), 'Dementia care mapping to support staff in the care of people with intellectual disability and dementia: a feasibility study'.</w:t>
      </w:r>
      <w:r w:rsidRPr="00D00607">
        <w:rPr>
          <w:b/>
        </w:rPr>
        <w:t xml:space="preserve"> Journal of Applied Research in Intellectual Disabilities</w:t>
      </w:r>
      <w:r w:rsidRPr="00D00607">
        <w:t xml:space="preserve">, 31(6), 1071-1082. </w:t>
      </w:r>
    </w:p>
    <w:p w14:paraId="5A25FD6A" w14:textId="77777777" w:rsidR="00D00607" w:rsidRPr="00D00607" w:rsidRDefault="00D00607" w:rsidP="00D00607">
      <w:pPr>
        <w:pStyle w:val="EndNoteBibliography"/>
        <w:spacing w:after="0"/>
        <w:ind w:left="720" w:hanging="720"/>
      </w:pPr>
      <w:r w:rsidRPr="00D00607">
        <w:t>Schepens, H. R. M. M., Van Puyenbroeck, J., &amp; Maes, B. (2019), 'How to improve the quality of life of elderly people with intellectual disability: A systematic literature review of support strategies'.</w:t>
      </w:r>
      <w:r w:rsidRPr="00D00607">
        <w:rPr>
          <w:b/>
        </w:rPr>
        <w:t xml:space="preserve"> Journal of Applied Research in Intellectual Disabilities</w:t>
      </w:r>
      <w:r w:rsidRPr="00D00607">
        <w:t xml:space="preserve">, 32, 483-521. </w:t>
      </w:r>
    </w:p>
    <w:p w14:paraId="286F1CEB" w14:textId="77777777" w:rsidR="00D00607" w:rsidRPr="00D00607" w:rsidRDefault="00D00607" w:rsidP="00D00607">
      <w:pPr>
        <w:pStyle w:val="EndNoteBibliography"/>
        <w:spacing w:after="0"/>
        <w:ind w:left="720" w:hanging="720"/>
      </w:pPr>
      <w:r w:rsidRPr="00D00607">
        <w:t>Scott, H. M., &amp; Havercamp, S. M. (2018), 'Promoting wellness in people with intellectual and developmental disabilities through relationships'.</w:t>
      </w:r>
      <w:r w:rsidRPr="00D00607">
        <w:rPr>
          <w:b/>
        </w:rPr>
        <w:t xml:space="preserve"> Current Developmental Disorders Reports</w:t>
      </w:r>
      <w:r w:rsidRPr="00D00607">
        <w:t xml:space="preserve">, 5(3), 150-156. </w:t>
      </w:r>
    </w:p>
    <w:p w14:paraId="5503A56D" w14:textId="77777777" w:rsidR="00D00607" w:rsidRPr="00D00607" w:rsidRDefault="00D00607" w:rsidP="00D00607">
      <w:pPr>
        <w:pStyle w:val="EndNoteBibliography"/>
        <w:spacing w:after="0"/>
        <w:ind w:left="720" w:hanging="720"/>
      </w:pPr>
      <w:r w:rsidRPr="00D00607">
        <w:t>Shaw, K., Cartwright, C., &amp; Craig, J. (2011), 'The housing and support needs of people with an intellectual disability into older age'.</w:t>
      </w:r>
      <w:r w:rsidRPr="00D00607">
        <w:rPr>
          <w:b/>
        </w:rPr>
        <w:t xml:space="preserve"> Journal of Intellectual Disability Research</w:t>
      </w:r>
      <w:r w:rsidRPr="00D00607">
        <w:t xml:space="preserve">, 55(9), 895-903. </w:t>
      </w:r>
    </w:p>
    <w:p w14:paraId="59308E63" w14:textId="77777777" w:rsidR="00D00607" w:rsidRPr="00D00607" w:rsidRDefault="00D00607" w:rsidP="00D00607">
      <w:pPr>
        <w:pStyle w:val="EndNoteBibliography"/>
        <w:spacing w:after="0"/>
        <w:ind w:left="720" w:hanging="720"/>
      </w:pPr>
      <w:r w:rsidRPr="00D00607">
        <w:t>Sheerin, F. (2004), 'Identifying the foci of interest to nurses in Irish intellectual disability services'.</w:t>
      </w:r>
      <w:r w:rsidRPr="00D00607">
        <w:rPr>
          <w:b/>
        </w:rPr>
        <w:t xml:space="preserve"> Journal of Learning Disabilities</w:t>
      </w:r>
      <w:r w:rsidRPr="00D00607">
        <w:t xml:space="preserve">, 8(2), 159-174. </w:t>
      </w:r>
    </w:p>
    <w:p w14:paraId="7C67E397" w14:textId="77777777" w:rsidR="00D00607" w:rsidRPr="00D00607" w:rsidRDefault="00D00607" w:rsidP="00D00607">
      <w:pPr>
        <w:pStyle w:val="EndNoteBibliography"/>
        <w:spacing w:after="0"/>
        <w:ind w:left="720" w:hanging="720"/>
      </w:pPr>
      <w:r w:rsidRPr="00D00607">
        <w:t>Sheerin, F., Fleming, S., Naseer, A., Foden, E., McCallion, P., &amp; McCarron, M. (2021a),</w:t>
      </w:r>
      <w:r w:rsidRPr="00D00607">
        <w:rPr>
          <w:b/>
        </w:rPr>
        <w:t xml:space="preserve"> Care of Older Adults with Intellectual Disabilities and Complex Age-Related Conditions: A Systematic Review Final Report [Unpublished Manuscript]</w:t>
      </w:r>
      <w:r w:rsidRPr="00D00607">
        <w:t xml:space="preserve">. Trinity Centre for Ageing and Intellectual Disability. </w:t>
      </w:r>
    </w:p>
    <w:p w14:paraId="5552D030" w14:textId="77777777" w:rsidR="00D00607" w:rsidRPr="00D00607" w:rsidRDefault="00D00607" w:rsidP="00D00607">
      <w:pPr>
        <w:pStyle w:val="EndNoteBibliography"/>
        <w:spacing w:after="0"/>
        <w:ind w:left="720" w:hanging="720"/>
      </w:pPr>
      <w:r w:rsidRPr="00D00607">
        <w:t xml:space="preserve">Sheerin, F., McCallion, P., &amp; McCarron, M. (2021b), Responding to Changing Workforce Realities: One Profession's Experience </w:t>
      </w:r>
      <w:r w:rsidRPr="00D00607">
        <w:rPr>
          <w:i/>
        </w:rPr>
        <w:t>In:</w:t>
      </w:r>
      <w:r w:rsidRPr="00D00607">
        <w:t xml:space="preserve"> M. Putman &amp; C. Bigby (eds.). </w:t>
      </w:r>
      <w:r w:rsidRPr="00D00607">
        <w:rPr>
          <w:b/>
        </w:rPr>
        <w:t>Handbook on Ageing with Disability</w:t>
      </w:r>
      <w:r w:rsidRPr="00D00607">
        <w:t>. Routledge</w:t>
      </w:r>
    </w:p>
    <w:p w14:paraId="7299A161" w14:textId="77777777" w:rsidR="00D00607" w:rsidRPr="00D00607" w:rsidRDefault="00D00607" w:rsidP="00D00607">
      <w:pPr>
        <w:pStyle w:val="EndNoteBibliography"/>
        <w:spacing w:after="0"/>
        <w:ind w:left="720" w:hanging="720"/>
      </w:pPr>
      <w:r w:rsidRPr="00D00607">
        <w:t xml:space="preserve">Sheerin, F., McCallion, P., McGlinchey, E., O’Dwyer, M., Reilly, E., &amp; McCarron, M. (2020), Aging with Intellectual Disability: Dementia and Cognitive Decline </w:t>
      </w:r>
      <w:r w:rsidRPr="00D00607">
        <w:rPr>
          <w:i/>
        </w:rPr>
        <w:t>In:</w:t>
      </w:r>
      <w:r w:rsidRPr="00D00607">
        <w:t xml:space="preserve"> E. Matson (ed.) </w:t>
      </w:r>
      <w:r w:rsidRPr="00D00607">
        <w:rPr>
          <w:b/>
        </w:rPr>
        <w:t>Handbook of Dual Diagnosis</w:t>
      </w:r>
      <w:r w:rsidRPr="00D00607">
        <w:t>. Switzerland: Springer</w:t>
      </w:r>
    </w:p>
    <w:p w14:paraId="7FFA4D4A" w14:textId="77777777" w:rsidR="00D00607" w:rsidRPr="00D00607" w:rsidRDefault="00D00607" w:rsidP="00D00607">
      <w:pPr>
        <w:pStyle w:val="EndNoteBibliography"/>
        <w:spacing w:after="0"/>
        <w:ind w:left="720" w:hanging="720"/>
      </w:pPr>
      <w:r w:rsidRPr="00D00607">
        <w:t>Slevin, E., Taggart, L., McConkey, R., Cousins, W., Truesdale-Kennedy, M., &amp; Dowling, S. (2011),</w:t>
      </w:r>
      <w:r w:rsidRPr="00D00607">
        <w:rPr>
          <w:b/>
        </w:rPr>
        <w:t xml:space="preserve"> Supporting people with Intellectual Disabilities who challege or who are ageing: A rapid review of evidence</w:t>
      </w:r>
      <w:r w:rsidRPr="00D00607">
        <w:t>. Belfast: Univeristy of Ulster.</w:t>
      </w:r>
    </w:p>
    <w:p w14:paraId="171C167D" w14:textId="77777777" w:rsidR="00D00607" w:rsidRPr="00D00607" w:rsidRDefault="00D00607" w:rsidP="00D00607">
      <w:pPr>
        <w:pStyle w:val="EndNoteBibliography"/>
        <w:spacing w:after="0"/>
        <w:ind w:left="720" w:hanging="720"/>
      </w:pPr>
      <w:r w:rsidRPr="00D00607">
        <w:t>Stancliffe, R. J., Bigby, C., Balandin, S., Wilson, N. J., &amp; Craig, D. (2015), 'Transition to retirement and participation in mainstream community groups using active mentoring: A feasibility and outcomes evaluation with a matched comparison group'.</w:t>
      </w:r>
      <w:r w:rsidRPr="00D00607">
        <w:rPr>
          <w:b/>
        </w:rPr>
        <w:t xml:space="preserve"> Journal of Intellectual Disability Research</w:t>
      </w:r>
      <w:r w:rsidRPr="00D00607">
        <w:t xml:space="preserve">, 59(8), 703-718. </w:t>
      </w:r>
    </w:p>
    <w:p w14:paraId="45CB816E" w14:textId="77777777" w:rsidR="00D00607" w:rsidRPr="00D00607" w:rsidRDefault="00D00607" w:rsidP="00D00607">
      <w:pPr>
        <w:pStyle w:val="EndNoteBibliography"/>
        <w:spacing w:after="0"/>
        <w:ind w:left="720" w:hanging="720"/>
      </w:pPr>
      <w:r w:rsidRPr="00D00607">
        <w:t>Strnadová, I. (2019), 'Transitions in the lives of older adults with intellectual disabilities:“Having a sense of dignity and independence”'.</w:t>
      </w:r>
      <w:r w:rsidRPr="00D00607">
        <w:rPr>
          <w:b/>
        </w:rPr>
        <w:t xml:space="preserve"> Journal of Policy and Practice in Intellectual Disabilities</w:t>
      </w:r>
      <w:r w:rsidRPr="00D00607">
        <w:t xml:space="preserve">, 16(1), 58-66. </w:t>
      </w:r>
    </w:p>
    <w:p w14:paraId="34AC1A3F" w14:textId="77777777" w:rsidR="00D00607" w:rsidRPr="00D00607" w:rsidRDefault="00D00607" w:rsidP="00D00607">
      <w:pPr>
        <w:pStyle w:val="EndNoteBibliography"/>
        <w:spacing w:after="0"/>
        <w:ind w:left="720" w:hanging="720"/>
      </w:pPr>
      <w:r w:rsidRPr="00D00607">
        <w:t>Strydom, A., Chan, T., King, M., Hassiotis, A., &amp; Livingston, G. (2013), 'Incidence of dementia in older adults with intellectual disabilities'.</w:t>
      </w:r>
      <w:r w:rsidRPr="00D00607">
        <w:rPr>
          <w:b/>
        </w:rPr>
        <w:t xml:space="preserve"> Research in Developmental Disabilities</w:t>
      </w:r>
      <w:r w:rsidRPr="00D00607">
        <w:t xml:space="preserve">, 34(6), 1881-1885. </w:t>
      </w:r>
    </w:p>
    <w:p w14:paraId="2374F6E3" w14:textId="77777777" w:rsidR="00D00607" w:rsidRPr="00D00607" w:rsidRDefault="00D00607" w:rsidP="00D00607">
      <w:pPr>
        <w:pStyle w:val="EndNoteBibliography"/>
        <w:spacing w:after="0"/>
        <w:ind w:left="720" w:hanging="720"/>
      </w:pPr>
      <w:r w:rsidRPr="00D00607">
        <w:t>Strydom, A., Shooshtari, S., Lee, L., Raykar, V., Torr, J., Tsiouris, J., Jokinen, N., Courtenay, K., Bass, N., &amp; Sinnema, M. (2010), 'Dementia in older adults with intellectual disabilities—epidemiology, presentation, and diagnosis'.</w:t>
      </w:r>
      <w:r w:rsidRPr="00D00607">
        <w:rPr>
          <w:b/>
        </w:rPr>
        <w:t xml:space="preserve"> Journal of Policy and Practice in Intellectual Disabilities</w:t>
      </w:r>
      <w:r w:rsidRPr="00D00607">
        <w:t xml:space="preserve">, 7(2), 96-110. </w:t>
      </w:r>
    </w:p>
    <w:p w14:paraId="44CE48FB" w14:textId="77777777" w:rsidR="00D00607" w:rsidRPr="00D00607" w:rsidRDefault="00D00607" w:rsidP="00D00607">
      <w:pPr>
        <w:pStyle w:val="EndNoteBibliography"/>
        <w:spacing w:after="0"/>
        <w:ind w:left="720" w:hanging="720"/>
      </w:pPr>
      <w:r w:rsidRPr="00D00607">
        <w:t>Taggart, L., &amp; Hanna-Trainor, L. (2017),</w:t>
      </w:r>
      <w:r w:rsidRPr="00D00607">
        <w:rPr>
          <w:b/>
        </w:rPr>
        <w:t xml:space="preserve"> Supporting older adults with a learning disability and their ageing family carers: A family and community support model (FULL REPORT)</w:t>
      </w:r>
      <w:r w:rsidRPr="00D00607">
        <w:t>.</w:t>
      </w:r>
    </w:p>
    <w:p w14:paraId="7CDC11E9" w14:textId="77777777" w:rsidR="00D00607" w:rsidRPr="00D00607" w:rsidRDefault="00D00607" w:rsidP="00D00607">
      <w:pPr>
        <w:pStyle w:val="EndNoteBibliography"/>
        <w:spacing w:after="0"/>
        <w:ind w:left="720" w:hanging="720"/>
      </w:pPr>
      <w:r w:rsidRPr="00D00607">
        <w:t>Taggart, L., Truesdale-Kennedy, M., Ryan, A., &amp; McConkey, R. (2012), 'Examining the support needs of ageing family carers in developing future plans for a relative with an intellectual disability'.</w:t>
      </w:r>
      <w:r w:rsidRPr="00D00607">
        <w:rPr>
          <w:b/>
        </w:rPr>
        <w:t xml:space="preserve"> Journal of Intellectual Disabilities</w:t>
      </w:r>
      <w:r w:rsidRPr="00D00607">
        <w:t xml:space="preserve">, 16(3), 217-234. </w:t>
      </w:r>
    </w:p>
    <w:p w14:paraId="019666BA" w14:textId="77777777" w:rsidR="00D00607" w:rsidRPr="00D00607" w:rsidRDefault="00D00607" w:rsidP="00D00607">
      <w:pPr>
        <w:pStyle w:val="EndNoteBibliography"/>
        <w:spacing w:after="0"/>
        <w:ind w:left="720" w:hanging="720"/>
      </w:pPr>
      <w:r w:rsidRPr="00D00607">
        <w:t>Todd, S., Bernal, J., Shearn, J., Worth, R., Jones, E., Lowe, K., Madden, P., Barr, O., Forrester Jones, R., &amp; Jarvis, P. (2020), 'Last months of life of people with intellectual disabilities: A UK population</w:t>
      </w:r>
      <w:r w:rsidRPr="00D00607">
        <w:rPr>
          <w:rFonts w:ascii="Cambria Math" w:hAnsi="Cambria Math" w:cs="Cambria Math"/>
        </w:rPr>
        <w:t>‐</w:t>
      </w:r>
      <w:r w:rsidRPr="00D00607">
        <w:t>based study of death and dying in intellectual disability community services'.</w:t>
      </w:r>
      <w:r w:rsidRPr="00D00607">
        <w:rPr>
          <w:b/>
        </w:rPr>
        <w:t xml:space="preserve"> Journal of Applied Research in Intellectual Disabilities</w:t>
      </w:r>
      <w:r w:rsidRPr="00D00607">
        <w:t xml:space="preserve">, 33(6), 1245-1258. </w:t>
      </w:r>
    </w:p>
    <w:p w14:paraId="38877BBC" w14:textId="77777777" w:rsidR="00D00607" w:rsidRPr="00D00607" w:rsidRDefault="00D00607" w:rsidP="00D00607">
      <w:pPr>
        <w:pStyle w:val="EndNoteBibliography"/>
        <w:spacing w:after="0"/>
        <w:ind w:left="720" w:hanging="720"/>
      </w:pPr>
      <w:r w:rsidRPr="00D00607">
        <w:t>Townsend</w:t>
      </w:r>
      <w:r w:rsidRPr="00D00607">
        <w:rPr>
          <w:rFonts w:ascii="Cambria Math" w:hAnsi="Cambria Math" w:cs="Cambria Math"/>
        </w:rPr>
        <w:t>‐</w:t>
      </w:r>
      <w:r w:rsidRPr="00D00607">
        <w:t>White, C., Pham, A., &amp; Vassos, M. (2012), 'A systematic review of quality of life measures for people with intellectual disabilities and challenging behaviours'.</w:t>
      </w:r>
      <w:r w:rsidRPr="00D00607">
        <w:rPr>
          <w:b/>
        </w:rPr>
        <w:t xml:space="preserve"> Journal of Intellectual Disability Research</w:t>
      </w:r>
      <w:r w:rsidRPr="00D00607">
        <w:t xml:space="preserve">, 56(3), 270-284. </w:t>
      </w:r>
    </w:p>
    <w:p w14:paraId="42C47E22" w14:textId="13532EC6" w:rsidR="00D00607" w:rsidRPr="00D00607" w:rsidRDefault="00D00607" w:rsidP="00D00607">
      <w:pPr>
        <w:pStyle w:val="EndNoteBibliography"/>
        <w:spacing w:after="0"/>
        <w:ind w:left="720" w:hanging="720"/>
      </w:pPr>
      <w:r w:rsidRPr="00D00607">
        <w:t xml:space="preserve">Trinity Centre for Ageing and Intellectual Disability. (2022, 25/04/2022). </w:t>
      </w:r>
      <w:r w:rsidRPr="00D00607">
        <w:rPr>
          <w:b/>
        </w:rPr>
        <w:t>The National Intellectual Disability Memory Service</w:t>
      </w:r>
      <w:r w:rsidRPr="00D00607">
        <w:t xml:space="preserve">. </w:t>
      </w:r>
      <w:r w:rsidR="00B5335A" w:rsidRPr="00B5335A">
        <w:t xml:space="preserve">Available at: </w:t>
      </w:r>
      <w:hyperlink r:id="rId26" w:history="1">
        <w:r w:rsidR="00B5335A" w:rsidRPr="00B5335A">
          <w:rPr>
            <w:rStyle w:val="Hyperlink"/>
          </w:rPr>
          <w:t>https://www.tcd.ie/tcaid/research/NIDMS.php</w:t>
        </w:r>
      </w:hyperlink>
      <w:r w:rsidR="00B5335A" w:rsidRPr="00B5335A">
        <w:t>.</w:t>
      </w:r>
      <w:r w:rsidRPr="00D00607">
        <w:t xml:space="preserve"> Accessed: 05/07/2022.</w:t>
      </w:r>
    </w:p>
    <w:p w14:paraId="0F786C33" w14:textId="77777777" w:rsidR="00D00607" w:rsidRPr="00D00607" w:rsidRDefault="00D00607" w:rsidP="00D00607">
      <w:pPr>
        <w:pStyle w:val="EndNoteBibliography"/>
        <w:spacing w:after="0"/>
        <w:ind w:left="720" w:hanging="720"/>
      </w:pPr>
      <w:r w:rsidRPr="00D00607">
        <w:t>Trollor, J., Srasuebkul, P., Xu, H., &amp; Howlett, S. (2017), 'Cause of death and potentially avoidable deaths in Australian adults with intellectual disability using retrospective linked data'.</w:t>
      </w:r>
      <w:r w:rsidRPr="00D00607">
        <w:rPr>
          <w:b/>
        </w:rPr>
        <w:t xml:space="preserve"> BMJ open</w:t>
      </w:r>
      <w:r w:rsidRPr="00D00607">
        <w:t xml:space="preserve">, 7(2), e013489. </w:t>
      </w:r>
    </w:p>
    <w:p w14:paraId="15A61CEA" w14:textId="77777777" w:rsidR="00D00607" w:rsidRPr="00D00607" w:rsidRDefault="00D00607" w:rsidP="00D00607">
      <w:pPr>
        <w:pStyle w:val="EndNoteBibliography"/>
        <w:spacing w:after="0"/>
        <w:ind w:left="720" w:hanging="720"/>
      </w:pPr>
      <w:r w:rsidRPr="00D00607">
        <w:t>Truesdale</w:t>
      </w:r>
      <w:r w:rsidRPr="00D00607">
        <w:rPr>
          <w:rFonts w:ascii="Cambria Math" w:hAnsi="Cambria Math" w:cs="Cambria Math"/>
        </w:rPr>
        <w:t>‐</w:t>
      </w:r>
      <w:r w:rsidRPr="00D00607">
        <w:t>Kennedy, M., Taggart, L., &amp; McIlfatrick, S. (2011), 'Breast cancer knowledge among women with intellectual disabilities and their experiences of receiving breast mammography'.</w:t>
      </w:r>
      <w:r w:rsidRPr="00D00607">
        <w:rPr>
          <w:b/>
        </w:rPr>
        <w:t xml:space="preserve"> Journal of advanced nursing</w:t>
      </w:r>
      <w:r w:rsidRPr="00D00607">
        <w:t xml:space="preserve">, 67(6), 1294-1304. </w:t>
      </w:r>
    </w:p>
    <w:p w14:paraId="6E66E46E" w14:textId="77777777" w:rsidR="00D00607" w:rsidRPr="00D00607" w:rsidRDefault="00D00607" w:rsidP="00D00607">
      <w:pPr>
        <w:pStyle w:val="EndNoteBibliography"/>
        <w:spacing w:after="0"/>
        <w:ind w:left="720" w:hanging="720"/>
      </w:pPr>
      <w:r w:rsidRPr="00D00607">
        <w:t>Tuffrey-Wijne, I., &amp; Davidson, J. (2018), 'Excellence in palliative and end-of-life care provision for people with intellectual disability'.</w:t>
      </w:r>
      <w:r w:rsidRPr="00D00607">
        <w:rPr>
          <w:b/>
        </w:rPr>
        <w:t xml:space="preserve"> International Journal of Palliative Nursing</w:t>
      </w:r>
      <w:r w:rsidRPr="00D00607">
        <w:t xml:space="preserve">, 24(12), 598-610. </w:t>
      </w:r>
    </w:p>
    <w:p w14:paraId="0F2DEDC4" w14:textId="77777777" w:rsidR="00D00607" w:rsidRPr="00D00607" w:rsidRDefault="00D00607" w:rsidP="00D00607">
      <w:pPr>
        <w:pStyle w:val="EndNoteBibliography"/>
        <w:spacing w:after="0"/>
        <w:ind w:left="720" w:hanging="720"/>
      </w:pPr>
      <w:r w:rsidRPr="00D00607">
        <w:t>Tuffrey</w:t>
      </w:r>
      <w:r w:rsidRPr="00D00607">
        <w:rPr>
          <w:rFonts w:ascii="Cambria Math" w:hAnsi="Cambria Math" w:cs="Cambria Math"/>
        </w:rPr>
        <w:t>‐</w:t>
      </w:r>
      <w:r w:rsidRPr="00D00607">
        <w:t>Wijne, I., Hogg, J., &amp; Curfs, L. (2007), 'End</w:t>
      </w:r>
      <w:r w:rsidRPr="00D00607">
        <w:rPr>
          <w:rFonts w:ascii="Cambria Math" w:hAnsi="Cambria Math" w:cs="Cambria Math"/>
        </w:rPr>
        <w:t>‐</w:t>
      </w:r>
      <w:r w:rsidRPr="00D00607">
        <w:t>of</w:t>
      </w:r>
      <w:r w:rsidRPr="00D00607">
        <w:rPr>
          <w:rFonts w:ascii="Cambria Math" w:hAnsi="Cambria Math" w:cs="Cambria Math"/>
        </w:rPr>
        <w:t>‐</w:t>
      </w:r>
      <w:r w:rsidRPr="00D00607">
        <w:t>life and palliative care for people with intellectual disabilities who have cancer or other life</w:t>
      </w:r>
      <w:r w:rsidRPr="00D00607">
        <w:rPr>
          <w:rFonts w:ascii="Cambria Math" w:hAnsi="Cambria Math" w:cs="Cambria Math"/>
        </w:rPr>
        <w:t>‐</w:t>
      </w:r>
      <w:r w:rsidRPr="00D00607">
        <w:t>limiting illness: a review of the literature and available resources'.</w:t>
      </w:r>
      <w:r w:rsidRPr="00D00607">
        <w:rPr>
          <w:b/>
        </w:rPr>
        <w:t xml:space="preserve"> Journal of Applied Research in Intellectual Disabilities</w:t>
      </w:r>
      <w:r w:rsidRPr="00D00607">
        <w:t xml:space="preserve">, 20(4), 331-344. </w:t>
      </w:r>
    </w:p>
    <w:p w14:paraId="61903C70" w14:textId="77777777" w:rsidR="00D00607" w:rsidRPr="00D00607" w:rsidRDefault="00D00607" w:rsidP="00D00607">
      <w:pPr>
        <w:pStyle w:val="EndNoteBibliography"/>
        <w:spacing w:after="0"/>
        <w:ind w:left="720" w:hanging="720"/>
      </w:pPr>
      <w:r w:rsidRPr="00D00607">
        <w:t>Tyrer, S. P. (2012), 'An innovative service but will it work in practice? Commentary on … Fair Horizons'.</w:t>
      </w:r>
      <w:r w:rsidRPr="00D00607">
        <w:rPr>
          <w:b/>
        </w:rPr>
        <w:t xml:space="preserve"> The Psychiatrist</w:t>
      </w:r>
      <w:r w:rsidRPr="00D00607">
        <w:t xml:space="preserve">, 36(1), 30-31. </w:t>
      </w:r>
    </w:p>
    <w:p w14:paraId="6968FB56" w14:textId="77777777" w:rsidR="00D00607" w:rsidRPr="00D00607" w:rsidRDefault="00D00607" w:rsidP="00D00607">
      <w:pPr>
        <w:pStyle w:val="EndNoteBibliography"/>
        <w:spacing w:after="0"/>
        <w:ind w:left="720" w:hanging="720"/>
      </w:pPr>
      <w:r w:rsidRPr="00D00607">
        <w:t>United Nations (2006),</w:t>
      </w:r>
      <w:r w:rsidRPr="00D00607">
        <w:rPr>
          <w:b/>
        </w:rPr>
        <w:t xml:space="preserve"> United Nations Convention on the Rights of Persons with Disabilities. </w:t>
      </w:r>
      <w:r w:rsidRPr="00D00607">
        <w:t>. Geneva: United Nations.</w:t>
      </w:r>
    </w:p>
    <w:p w14:paraId="32AD5D9D" w14:textId="77777777" w:rsidR="00D00607" w:rsidRPr="00D00607" w:rsidRDefault="00D00607" w:rsidP="00D00607">
      <w:pPr>
        <w:pStyle w:val="EndNoteBibliography"/>
        <w:spacing w:after="0"/>
        <w:ind w:left="720" w:hanging="720"/>
      </w:pPr>
      <w:r w:rsidRPr="00D00607">
        <w:t>Verdugo, M. A., Gómez, L. E., Arias, B., Navas, P., &amp; Schalock, R. L. (2014), 'Measuring quality of life in people with intellectual and multiple disabilities: Validation of the San Martín scale'.</w:t>
      </w:r>
      <w:r w:rsidRPr="00D00607">
        <w:rPr>
          <w:b/>
        </w:rPr>
        <w:t xml:space="preserve"> Research in Developmental Disabilities</w:t>
      </w:r>
      <w:r w:rsidRPr="00D00607">
        <w:t xml:space="preserve">, 35(1), 75-86. </w:t>
      </w:r>
    </w:p>
    <w:p w14:paraId="355A2063" w14:textId="77777777" w:rsidR="00D00607" w:rsidRPr="00D00607" w:rsidRDefault="00D00607" w:rsidP="00D00607">
      <w:pPr>
        <w:pStyle w:val="EndNoteBibliography"/>
        <w:spacing w:after="0"/>
        <w:ind w:left="720" w:hanging="720"/>
      </w:pPr>
      <w:r w:rsidRPr="00D00607">
        <w:t>Voss, H., Vogel, A., Wagemans, A. M., Francke, A. L., Metsemakers, J. F., Courtens, A. M., &amp; de Veer, A. J. (2020), 'What is important for advance care planning in the palliative phase of people with intellectual disabilities? A multi</w:t>
      </w:r>
      <w:r w:rsidRPr="00D00607">
        <w:rPr>
          <w:rFonts w:ascii="Cambria Math" w:hAnsi="Cambria Math" w:cs="Cambria Math"/>
        </w:rPr>
        <w:t>‐</w:t>
      </w:r>
      <w:r w:rsidRPr="00D00607">
        <w:t>perspective interview study'.</w:t>
      </w:r>
      <w:r w:rsidRPr="00D00607">
        <w:rPr>
          <w:b/>
        </w:rPr>
        <w:t xml:space="preserve"> Journal of Applied Research in Intellectual Disabilities</w:t>
      </w:r>
      <w:r w:rsidRPr="00D00607">
        <w:t xml:space="preserve">, 33(2), 160-171. </w:t>
      </w:r>
    </w:p>
    <w:p w14:paraId="355D93C6" w14:textId="77777777" w:rsidR="00D00607" w:rsidRPr="00D00607" w:rsidRDefault="00D00607" w:rsidP="00D00607">
      <w:pPr>
        <w:pStyle w:val="EndNoteBibliography"/>
        <w:spacing w:after="0"/>
        <w:ind w:left="720" w:hanging="720"/>
      </w:pPr>
      <w:r w:rsidRPr="00D00607">
        <w:t>Walker, R., &amp; Hutchinson, C. (2017), 'Planning for the future among older parents of adult offspring with intellectual disability living at home and in the community: A systematic review of qualitative studies'.</w:t>
      </w:r>
      <w:r w:rsidRPr="00D00607">
        <w:rPr>
          <w:b/>
        </w:rPr>
        <w:t xml:space="preserve"> Journal of Intellectual &amp;amp; Developmental Disability</w:t>
      </w:r>
      <w:r w:rsidRPr="00D00607">
        <w:t xml:space="preserve">, 43(4), 453-462. </w:t>
      </w:r>
    </w:p>
    <w:p w14:paraId="67BC3045" w14:textId="77777777" w:rsidR="00D00607" w:rsidRPr="00D00607" w:rsidRDefault="00D00607" w:rsidP="00D00607">
      <w:pPr>
        <w:pStyle w:val="EndNoteBibliography"/>
        <w:spacing w:after="0"/>
        <w:ind w:left="720" w:hanging="720"/>
      </w:pPr>
      <w:r w:rsidRPr="00D00607">
        <w:t>Webber, R., Bowers, B., &amp; Bigby, C. (2014), 'Residential aged care for people with intellectual disability: A matter of perspective'.</w:t>
      </w:r>
      <w:r w:rsidRPr="00D00607">
        <w:rPr>
          <w:b/>
        </w:rPr>
        <w:t xml:space="preserve"> Australasian Journal on Ageing</w:t>
      </w:r>
      <w:r w:rsidRPr="00D00607">
        <w:t xml:space="preserve">, 33(4), E36-E40. </w:t>
      </w:r>
    </w:p>
    <w:p w14:paraId="399FA8AA" w14:textId="77777777" w:rsidR="00D00607" w:rsidRPr="00D00607" w:rsidRDefault="00D00607" w:rsidP="00D00607">
      <w:pPr>
        <w:pStyle w:val="EndNoteBibliography"/>
        <w:spacing w:after="0"/>
        <w:ind w:left="720" w:hanging="720"/>
      </w:pPr>
      <w:r w:rsidRPr="00D00607">
        <w:t>Webber, R., Bowers, B., &amp; Bigby, C. (2016), 'Confidence of group home staff in supporting the health needs of older residents with intellectual disability'.</w:t>
      </w:r>
      <w:r w:rsidRPr="00D00607">
        <w:rPr>
          <w:b/>
        </w:rPr>
        <w:t xml:space="preserve"> Journal of Intellectual and Developmental Disability</w:t>
      </w:r>
      <w:r w:rsidRPr="00D00607">
        <w:t xml:space="preserve">, 41(2), 107-114. </w:t>
      </w:r>
    </w:p>
    <w:p w14:paraId="1AEB3412" w14:textId="77777777" w:rsidR="00D00607" w:rsidRPr="00D00607" w:rsidRDefault="00D00607" w:rsidP="00D00607">
      <w:pPr>
        <w:pStyle w:val="EndNoteBibliography"/>
        <w:spacing w:after="0"/>
        <w:ind w:left="720" w:hanging="720"/>
      </w:pPr>
      <w:r w:rsidRPr="00D00607">
        <w:t>Webber, R., Bowers, B., &amp; McKenzie-Green, B. (2010), 'Staff responses to age-related health changes in people with an intellectual disability in group homes'.</w:t>
      </w:r>
      <w:r w:rsidRPr="00D00607">
        <w:rPr>
          <w:b/>
        </w:rPr>
        <w:t xml:space="preserve"> Disability and Society</w:t>
      </w:r>
      <w:r w:rsidRPr="00D00607">
        <w:t xml:space="preserve">, 25(6), 657-671. </w:t>
      </w:r>
    </w:p>
    <w:p w14:paraId="4F127385" w14:textId="77777777" w:rsidR="00D00607" w:rsidRPr="00D00607" w:rsidRDefault="00D00607" w:rsidP="00D00607">
      <w:pPr>
        <w:pStyle w:val="EndNoteBibliography"/>
        <w:spacing w:after="0"/>
        <w:ind w:left="720" w:hanging="720"/>
      </w:pPr>
      <w:r w:rsidRPr="00D00607">
        <w:t>WHO (2007),</w:t>
      </w:r>
      <w:r w:rsidRPr="00D00607">
        <w:rPr>
          <w:b/>
        </w:rPr>
        <w:t xml:space="preserve"> Global age-friendly cities: A guide</w:t>
      </w:r>
      <w:r w:rsidRPr="00D00607">
        <w:t xml:space="preserve">. Switzerland: World Health Organization. </w:t>
      </w:r>
    </w:p>
    <w:p w14:paraId="2AC7EB07" w14:textId="77777777" w:rsidR="00D00607" w:rsidRPr="00D00607" w:rsidRDefault="00D00607" w:rsidP="00D00607">
      <w:pPr>
        <w:pStyle w:val="EndNoteBibliography"/>
        <w:spacing w:after="0"/>
        <w:ind w:left="720" w:hanging="720"/>
      </w:pPr>
      <w:r w:rsidRPr="00D00607">
        <w:t>Wiese, M., Stancliffe, R. J., Dew, A., Balandin, S., &amp; Howarth, G. (2014), 'What is talked about? Community living staff experiences of talking with older people with intellectual disability about dying and death'.</w:t>
      </w:r>
      <w:r w:rsidRPr="00D00607">
        <w:rPr>
          <w:b/>
        </w:rPr>
        <w:t xml:space="preserve"> Journal of Intellectual Disability Research</w:t>
      </w:r>
      <w:r w:rsidRPr="00D00607">
        <w:t xml:space="preserve">, 58(7), 679-690. </w:t>
      </w:r>
    </w:p>
    <w:p w14:paraId="7C9A3A81" w14:textId="77777777" w:rsidR="00D00607" w:rsidRPr="00D00607" w:rsidRDefault="00D00607" w:rsidP="00D00607">
      <w:pPr>
        <w:pStyle w:val="EndNoteBibliography"/>
        <w:spacing w:after="0"/>
        <w:ind w:left="720" w:hanging="720"/>
      </w:pPr>
      <w:r w:rsidRPr="00D00607">
        <w:t>Wigham, S., Robertson, J., Emerson, E., Hatton, C., Elliott, J., McIntosh, B., Swift, P., Krinjen-Kemp, E., Towers, C., &amp; Romeo, R. (2008), 'Reported goal setting and benefits of person centred planning for people with intellectual disabilities'.</w:t>
      </w:r>
      <w:r w:rsidRPr="00D00607">
        <w:rPr>
          <w:b/>
        </w:rPr>
        <w:t xml:space="preserve"> Journal of Intellectual Disabilities</w:t>
      </w:r>
      <w:r w:rsidRPr="00D00607">
        <w:t xml:space="preserve">, 12(2), 143-152. </w:t>
      </w:r>
    </w:p>
    <w:p w14:paraId="7E0AFD57" w14:textId="77777777" w:rsidR="00D00607" w:rsidRPr="00D00607" w:rsidRDefault="00D00607" w:rsidP="00D00607">
      <w:pPr>
        <w:pStyle w:val="EndNoteBibliography"/>
        <w:spacing w:after="0"/>
        <w:ind w:left="720" w:hanging="720"/>
      </w:pPr>
      <w:r w:rsidRPr="00D00607">
        <w:t>Williams, V., &amp; Robinson, C. (2001), '‘He will finish up caring for me’: people with learning disabilities and mutual care'.</w:t>
      </w:r>
      <w:r w:rsidRPr="00D00607">
        <w:rPr>
          <w:b/>
        </w:rPr>
        <w:t xml:space="preserve"> British Journal of Learning Disabilities</w:t>
      </w:r>
      <w:r w:rsidRPr="00D00607">
        <w:t xml:space="preserve">, 29(2), 56-62. </w:t>
      </w:r>
    </w:p>
    <w:p w14:paraId="1E197B80" w14:textId="77777777" w:rsidR="00D00607" w:rsidRPr="00D00607" w:rsidRDefault="00D00607" w:rsidP="00D00607">
      <w:pPr>
        <w:pStyle w:val="EndNoteBibliography"/>
        <w:spacing w:after="0"/>
        <w:ind w:left="720" w:hanging="720"/>
      </w:pPr>
      <w:r w:rsidRPr="00D00607">
        <w:t>Wilson, N. J., Riches, V. C., Riches, T., Durvasula, S., Rodrigues, R., &amp; Pinto, S. (2020), 'Complex support needs profile of an adult cohort with intellectual disability transitioning from state-based service provision to NDIS-funded residential support'.</w:t>
      </w:r>
      <w:r w:rsidRPr="00D00607">
        <w:rPr>
          <w:b/>
        </w:rPr>
        <w:t xml:space="preserve"> Journal of Intellectual and Developmental Disability</w:t>
      </w:r>
      <w:r w:rsidRPr="00D00607">
        <w:t xml:space="preserve">, 45(4), 355-364. </w:t>
      </w:r>
    </w:p>
    <w:p w14:paraId="3D86423C" w14:textId="77777777" w:rsidR="00D00607" w:rsidRPr="00D00607" w:rsidRDefault="00D00607" w:rsidP="00D00607">
      <w:pPr>
        <w:pStyle w:val="EndNoteBibliography"/>
        <w:spacing w:after="0"/>
        <w:ind w:left="720" w:hanging="720"/>
      </w:pPr>
      <w:r w:rsidRPr="00D00607">
        <w:t>Woodman, A. C., Mailick, M. R., Anderson, K. A., &amp; Esbensen, A. J. (2014), 'Residential transitions among adults with intellectual disability across 20 years'.</w:t>
      </w:r>
      <w:r w:rsidRPr="00D00607">
        <w:rPr>
          <w:b/>
        </w:rPr>
        <w:t xml:space="preserve"> American Journal on Intellectual and Developmental Disabilities</w:t>
      </w:r>
      <w:r w:rsidRPr="00D00607">
        <w:t xml:space="preserve">, 119(6), 496-515. </w:t>
      </w:r>
    </w:p>
    <w:p w14:paraId="7C405B1D" w14:textId="77777777" w:rsidR="00D00607" w:rsidRPr="00D00607" w:rsidRDefault="00D00607" w:rsidP="00D00607">
      <w:pPr>
        <w:pStyle w:val="EndNoteBibliography"/>
        <w:spacing w:after="0"/>
        <w:ind w:left="720" w:hanging="720"/>
      </w:pPr>
      <w:r w:rsidRPr="00D00607">
        <w:t>Wu, D., Gao, X., Xie, Z., &amp; Xu, Z. (2021), 'Understanding the unmet needs among community-dwelling disabled older people from a linkage perspective'.</w:t>
      </w:r>
      <w:r w:rsidRPr="00D00607">
        <w:rPr>
          <w:b/>
        </w:rPr>
        <w:t xml:space="preserve"> International Journal of Environmental Research and Public Health</w:t>
      </w:r>
      <w:r w:rsidRPr="00D00607">
        <w:t xml:space="preserve">, 18(2), 389. </w:t>
      </w:r>
    </w:p>
    <w:p w14:paraId="48E56B6D" w14:textId="77777777" w:rsidR="00D00607" w:rsidRPr="00D00607" w:rsidRDefault="00D00607" w:rsidP="00D00607">
      <w:pPr>
        <w:pStyle w:val="EndNoteBibliography"/>
        <w:spacing w:after="0"/>
        <w:ind w:left="720" w:hanging="720"/>
      </w:pPr>
      <w:r w:rsidRPr="00D00607">
        <w:t>Zigman, W. B., Schupf, N., Devenny, D. A., Miezejeski, C., Ryan, R., Urv, T. K., Schubert, R., &amp; Silverman, W. (2004), 'Incidence and prevalence of dementia in elderly adults with mental retardation without down syndrome'.</w:t>
      </w:r>
      <w:r w:rsidRPr="00D00607">
        <w:rPr>
          <w:b/>
        </w:rPr>
        <w:t xml:space="preserve"> Am J Ment Retard</w:t>
      </w:r>
      <w:r w:rsidRPr="00D00607">
        <w:t xml:space="preserve">, 109(2), 126-141. </w:t>
      </w:r>
    </w:p>
    <w:p w14:paraId="019BF932" w14:textId="77777777" w:rsidR="00D00607" w:rsidRPr="00D00607" w:rsidRDefault="00D00607" w:rsidP="00D00607">
      <w:pPr>
        <w:pStyle w:val="EndNoteBibliography"/>
        <w:ind w:left="720" w:hanging="720"/>
      </w:pPr>
      <w:r w:rsidRPr="00D00607">
        <w:t>Ziviani, J., Lennox, N., Allison, H., Lyons, M., &amp; Del Mar, C. (2004), 'Meeting in the middle: improving communication in primary health care consultations with people with an intellectual disability'.</w:t>
      </w:r>
      <w:r w:rsidRPr="00D00607">
        <w:rPr>
          <w:b/>
        </w:rPr>
        <w:t xml:space="preserve"> Journal of Intellectual and Developmental Disability</w:t>
      </w:r>
      <w:r w:rsidRPr="00D00607">
        <w:t xml:space="preserve">, 29(3), 211-225. </w:t>
      </w:r>
    </w:p>
    <w:p w14:paraId="0B9799DD" w14:textId="3BCEA4FB" w:rsidR="004409CE" w:rsidRDefault="00B702CB" w:rsidP="00C43251">
      <w:r>
        <w:fldChar w:fldCharType="end"/>
      </w:r>
    </w:p>
    <w:p w14:paraId="01ED1340" w14:textId="3555BC2D" w:rsidR="00AB7893" w:rsidRDefault="004409CE" w:rsidP="00AB7893">
      <w:pPr>
        <w:pStyle w:val="Heading1"/>
      </w:pPr>
      <w:r>
        <w:br w:type="page"/>
      </w:r>
      <w:r w:rsidR="007348D7">
        <w:rPr>
          <w:b w:val="0"/>
          <w:bCs w:val="0"/>
        </w:rPr>
        <w:t xml:space="preserve"> </w:t>
      </w:r>
      <w:bookmarkStart w:id="293" w:name="_Toc118555227"/>
      <w:bookmarkStart w:id="294" w:name="_Toc118558317"/>
      <w:bookmarkStart w:id="295" w:name="_Toc118558385"/>
      <w:bookmarkStart w:id="296" w:name="_Toc121830642"/>
      <w:r w:rsidR="007348D7">
        <w:t>Appendi</w:t>
      </w:r>
      <w:bookmarkStart w:id="297" w:name="_Toc118555228"/>
      <w:bookmarkStart w:id="298" w:name="_Toc118558318"/>
      <w:bookmarkStart w:id="299" w:name="_Toc118558386"/>
      <w:bookmarkEnd w:id="293"/>
      <w:bookmarkEnd w:id="294"/>
      <w:bookmarkEnd w:id="295"/>
      <w:r w:rsidR="007632DA">
        <w:t>x</w:t>
      </w:r>
      <w:bookmarkEnd w:id="296"/>
    </w:p>
    <w:p w14:paraId="4C8D8FD7" w14:textId="3520CBD6" w:rsidR="00AB7893" w:rsidRDefault="00AB7893" w:rsidP="00AB7893">
      <w:pPr>
        <w:pStyle w:val="Heading2"/>
      </w:pPr>
      <w:bookmarkStart w:id="300" w:name="_Toc118555234"/>
      <w:bookmarkStart w:id="301" w:name="_Toc118558323"/>
      <w:bookmarkStart w:id="302" w:name="_Toc118558391"/>
      <w:bookmarkStart w:id="303" w:name="_Toc121830643"/>
      <w:r>
        <w:t xml:space="preserve">Survey </w:t>
      </w:r>
      <w:r w:rsidR="005D364D">
        <w:t>f</w:t>
      </w:r>
      <w:r>
        <w:t>indings</w:t>
      </w:r>
      <w:bookmarkEnd w:id="300"/>
      <w:bookmarkEnd w:id="301"/>
      <w:bookmarkEnd w:id="302"/>
      <w:bookmarkEnd w:id="303"/>
    </w:p>
    <w:p w14:paraId="6DD41427" w14:textId="77777777" w:rsidR="00AB7893" w:rsidRDefault="00AB7893" w:rsidP="00AB7893">
      <w:pPr>
        <w:spacing w:after="0"/>
        <w:textAlignment w:val="baseline"/>
        <w:rPr>
          <w:rFonts w:ascii="Calibri" w:hAnsi="Calibri" w:cs="Calibri"/>
          <w:sz w:val="22"/>
          <w:szCs w:val="22"/>
          <w:lang w:eastAsia="en-IE"/>
        </w:rPr>
      </w:pPr>
    </w:p>
    <w:p w14:paraId="755710C2" w14:textId="6A84650F" w:rsidR="00AB7893" w:rsidRPr="00AB7893" w:rsidRDefault="00AB7893" w:rsidP="00C474B1">
      <w:pPr>
        <w:pStyle w:val="Heading3"/>
        <w:numPr>
          <w:ilvl w:val="0"/>
          <w:numId w:val="24"/>
        </w:numPr>
        <w:tabs>
          <w:tab w:val="num" w:pos="1492"/>
        </w:tabs>
        <w:spacing w:after="240"/>
        <w:ind w:left="1491" w:hanging="357"/>
        <w:rPr>
          <w:color w:val="auto"/>
          <w:lang w:eastAsia="en-IE"/>
        </w:rPr>
      </w:pPr>
      <w:bookmarkStart w:id="304" w:name="_Toc118558324"/>
      <w:r w:rsidRPr="00AB7893">
        <w:rPr>
          <w:color w:val="auto"/>
          <w:lang w:eastAsia="en-IE"/>
        </w:rPr>
        <w:t>Type of residential setting for service users</w:t>
      </w:r>
      <w:bookmarkEnd w:id="304"/>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17"/>
        <w:gridCol w:w="2605"/>
      </w:tblGrid>
      <w:tr w:rsidR="00AB7893" w:rsidRPr="00586D35" w14:paraId="676EE903" w14:textId="77777777" w:rsidTr="006E5E0B">
        <w:trPr>
          <w:trHeight w:val="482"/>
        </w:trPr>
        <w:tc>
          <w:tcPr>
            <w:tcW w:w="6360" w:type="dxa"/>
            <w:tcBorders>
              <w:top w:val="single" w:sz="6" w:space="0" w:color="000000"/>
              <w:left w:val="single" w:sz="6" w:space="0" w:color="000000"/>
              <w:bottom w:val="single" w:sz="6" w:space="0" w:color="000000"/>
              <w:right w:val="nil"/>
            </w:tcBorders>
            <w:shd w:val="clear" w:color="auto" w:fill="auto"/>
            <w:vAlign w:val="center"/>
            <w:hideMark/>
          </w:tcPr>
          <w:p w14:paraId="282ADD70" w14:textId="77777777" w:rsidR="00AB7893" w:rsidRPr="00586D35" w:rsidRDefault="00AB7893" w:rsidP="006E5E0B">
            <w:pPr>
              <w:spacing w:after="0"/>
              <w:textAlignment w:val="baseline"/>
              <w:rPr>
                <w:rFonts w:cs="Segoe UI"/>
                <w:sz w:val="18"/>
                <w:szCs w:val="18"/>
                <w:lang w:eastAsia="en-IE"/>
              </w:rPr>
            </w:pPr>
            <w:r w:rsidRPr="00586D35">
              <w:rPr>
                <w:rFonts w:cs="Calibri"/>
                <w:b/>
                <w:bCs/>
                <w:sz w:val="22"/>
                <w:szCs w:val="22"/>
                <w:lang w:eastAsia="en-IE"/>
              </w:rPr>
              <w:t>Type of residential setting</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nil"/>
              <w:bottom w:val="single" w:sz="6" w:space="0" w:color="000000"/>
              <w:right w:val="single" w:sz="6" w:space="0" w:color="000000"/>
            </w:tcBorders>
            <w:shd w:val="clear" w:color="auto" w:fill="auto"/>
            <w:vAlign w:val="center"/>
            <w:hideMark/>
          </w:tcPr>
          <w:p w14:paraId="0F7DC804" w14:textId="77777777" w:rsidR="00AB7893" w:rsidRPr="00586D35" w:rsidRDefault="00AB7893" w:rsidP="006E5E0B">
            <w:pPr>
              <w:spacing w:after="0"/>
              <w:textAlignment w:val="baseline"/>
              <w:rPr>
                <w:rFonts w:cs="Segoe UI"/>
                <w:sz w:val="18"/>
                <w:szCs w:val="18"/>
                <w:lang w:eastAsia="en-IE"/>
              </w:rPr>
            </w:pPr>
            <w:r w:rsidRPr="00586D35">
              <w:rPr>
                <w:rFonts w:cs="Calibri"/>
                <w:b/>
                <w:bCs/>
                <w:sz w:val="22"/>
                <w:szCs w:val="22"/>
                <w:lang w:eastAsia="en-IE"/>
              </w:rPr>
              <w:t>Percent &amp; number</w:t>
            </w:r>
            <w:r w:rsidRPr="00586D35">
              <w:rPr>
                <w:rFonts w:cs="Calibri"/>
                <w:sz w:val="22"/>
                <w:szCs w:val="22"/>
                <w:lang w:eastAsia="en-IE"/>
              </w:rPr>
              <w:t> </w:t>
            </w:r>
          </w:p>
        </w:tc>
      </w:tr>
      <w:tr w:rsidR="00AB7893" w:rsidRPr="00586D35" w14:paraId="06762403" w14:textId="77777777" w:rsidTr="006E5E0B">
        <w:trPr>
          <w:trHeight w:val="315"/>
        </w:trPr>
        <w:tc>
          <w:tcPr>
            <w:tcW w:w="6360" w:type="dxa"/>
            <w:tcBorders>
              <w:top w:val="single" w:sz="6" w:space="0" w:color="000000"/>
              <w:left w:val="single" w:sz="6" w:space="0" w:color="000000"/>
              <w:bottom w:val="single" w:sz="6" w:space="0" w:color="000000"/>
              <w:right w:val="nil"/>
            </w:tcBorders>
            <w:shd w:val="clear" w:color="auto" w:fill="D9E1F2"/>
            <w:vAlign w:val="center"/>
            <w:hideMark/>
          </w:tcPr>
          <w:p w14:paraId="24EE14B3" w14:textId="77777777" w:rsidR="00AB7893" w:rsidRPr="00586D35" w:rsidRDefault="00AB7893" w:rsidP="006E5E0B">
            <w:pPr>
              <w:spacing w:after="0"/>
              <w:textAlignment w:val="baseline"/>
              <w:rPr>
                <w:rFonts w:cs="Segoe UI"/>
                <w:sz w:val="18"/>
                <w:szCs w:val="18"/>
                <w:lang w:eastAsia="en-IE"/>
              </w:rPr>
            </w:pPr>
            <w:r w:rsidRPr="00586D35">
              <w:rPr>
                <w:rFonts w:cs="Calibri"/>
                <w:b/>
                <w:bCs/>
                <w:sz w:val="22"/>
                <w:szCs w:val="22"/>
                <w:lang w:eastAsia="en-IE"/>
              </w:rPr>
              <w:t>Congregated setting</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nil"/>
              <w:bottom w:val="single" w:sz="6" w:space="0" w:color="000000"/>
              <w:right w:val="single" w:sz="6" w:space="0" w:color="000000"/>
            </w:tcBorders>
            <w:shd w:val="clear" w:color="auto" w:fill="D9E1F2"/>
            <w:vAlign w:val="center"/>
            <w:hideMark/>
          </w:tcPr>
          <w:p w14:paraId="5C9CCD20" w14:textId="77777777" w:rsidR="00AB7893" w:rsidRPr="00586D35" w:rsidRDefault="00AB7893" w:rsidP="006E5E0B">
            <w:pPr>
              <w:spacing w:after="0"/>
              <w:textAlignment w:val="baseline"/>
              <w:rPr>
                <w:rFonts w:cs="Segoe UI"/>
                <w:sz w:val="18"/>
                <w:szCs w:val="18"/>
                <w:lang w:eastAsia="en-IE"/>
              </w:rPr>
            </w:pPr>
            <w:r w:rsidRPr="00586D35">
              <w:rPr>
                <w:rFonts w:ascii="Arial" w:hAnsi="Arial" w:cs="Arial"/>
                <w:b/>
                <w:bCs/>
                <w:sz w:val="22"/>
                <w:szCs w:val="22"/>
                <w:lang w:eastAsia="en-IE"/>
              </w:rPr>
              <w:t> </w:t>
            </w:r>
            <w:r w:rsidRPr="00586D35">
              <w:rPr>
                <w:rFonts w:cs="Calibri"/>
                <w:sz w:val="22"/>
                <w:szCs w:val="22"/>
                <w:lang w:eastAsia="en-IE"/>
              </w:rPr>
              <w:t> </w:t>
            </w:r>
          </w:p>
        </w:tc>
      </w:tr>
      <w:tr w:rsidR="00AB7893" w:rsidRPr="00586D35" w14:paraId="626CFB01" w14:textId="77777777" w:rsidTr="006E5E0B">
        <w:trPr>
          <w:trHeight w:val="180"/>
        </w:trPr>
        <w:tc>
          <w:tcPr>
            <w:tcW w:w="63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504354"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All</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000000"/>
              <w:right w:val="single" w:sz="6" w:space="0" w:color="000000"/>
            </w:tcBorders>
            <w:shd w:val="clear" w:color="auto" w:fill="D9E2F3"/>
            <w:vAlign w:val="center"/>
            <w:hideMark/>
          </w:tcPr>
          <w:p w14:paraId="0B33EF38"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37.5% (n=12)</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053B8D81" w14:textId="77777777" w:rsidTr="006E5E0B">
        <w:trPr>
          <w:trHeight w:val="315"/>
        </w:trPr>
        <w:tc>
          <w:tcPr>
            <w:tcW w:w="63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E63008"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Specialist</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000000"/>
              <w:right w:val="single" w:sz="6" w:space="0" w:color="000000"/>
            </w:tcBorders>
            <w:shd w:val="clear" w:color="auto" w:fill="D9E2F3"/>
            <w:vAlign w:val="center"/>
            <w:hideMark/>
          </w:tcPr>
          <w:p w14:paraId="5ECD4E23"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37.5% (n=6)</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77DCB81D" w14:textId="77777777" w:rsidTr="006E5E0B">
        <w:trPr>
          <w:trHeight w:val="315"/>
        </w:trPr>
        <w:tc>
          <w:tcPr>
            <w:tcW w:w="63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B039D8"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Non specialist</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000000"/>
              <w:right w:val="single" w:sz="6" w:space="0" w:color="000000"/>
            </w:tcBorders>
            <w:shd w:val="clear" w:color="auto" w:fill="D9E2F3"/>
            <w:vAlign w:val="center"/>
            <w:hideMark/>
          </w:tcPr>
          <w:p w14:paraId="7BA80535"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50% (n=5)</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0EFD7DAB" w14:textId="77777777" w:rsidTr="006E5E0B">
        <w:trPr>
          <w:trHeight w:val="315"/>
        </w:trPr>
        <w:tc>
          <w:tcPr>
            <w:tcW w:w="63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902618"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Other</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000000"/>
              <w:right w:val="single" w:sz="6" w:space="0" w:color="000000"/>
            </w:tcBorders>
            <w:shd w:val="clear" w:color="auto" w:fill="D9E2F3"/>
            <w:vAlign w:val="center"/>
            <w:hideMark/>
          </w:tcPr>
          <w:p w14:paraId="5A1266C5"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16.7% (n=1)</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77019AA1" w14:textId="77777777" w:rsidTr="006E5E0B">
        <w:trPr>
          <w:trHeight w:val="165"/>
        </w:trPr>
        <w:tc>
          <w:tcPr>
            <w:tcW w:w="6360" w:type="dxa"/>
            <w:tcBorders>
              <w:top w:val="single" w:sz="6" w:space="0" w:color="000000"/>
              <w:left w:val="single" w:sz="6" w:space="0" w:color="000000"/>
              <w:bottom w:val="single" w:sz="6" w:space="0" w:color="000000"/>
              <w:right w:val="nil"/>
            </w:tcBorders>
            <w:shd w:val="clear" w:color="auto" w:fill="D9E2F3"/>
            <w:vAlign w:val="center"/>
            <w:hideMark/>
          </w:tcPr>
          <w:p w14:paraId="2DCAC464" w14:textId="77777777" w:rsidR="00AB7893" w:rsidRPr="00586D35" w:rsidRDefault="00AB7893" w:rsidP="006E5E0B">
            <w:pPr>
              <w:spacing w:after="0"/>
              <w:textAlignment w:val="baseline"/>
              <w:rPr>
                <w:rFonts w:cs="Segoe UI"/>
                <w:sz w:val="18"/>
                <w:szCs w:val="18"/>
                <w:lang w:eastAsia="en-IE"/>
              </w:rPr>
            </w:pPr>
            <w:r w:rsidRPr="00586D35">
              <w:rPr>
                <w:rFonts w:cs="Calibri"/>
                <w:b/>
                <w:bCs/>
                <w:sz w:val="22"/>
                <w:szCs w:val="22"/>
                <w:lang w:eastAsia="en-IE"/>
              </w:rPr>
              <w:t>Individual homes in the community</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nil"/>
              <w:bottom w:val="single" w:sz="6" w:space="0" w:color="000000"/>
              <w:right w:val="single" w:sz="6" w:space="0" w:color="000000"/>
            </w:tcBorders>
            <w:shd w:val="clear" w:color="auto" w:fill="D9E2F3"/>
            <w:vAlign w:val="center"/>
            <w:hideMark/>
          </w:tcPr>
          <w:p w14:paraId="56DCFDCE" w14:textId="77777777" w:rsidR="00AB7893" w:rsidRPr="00586D35" w:rsidRDefault="00AB7893" w:rsidP="006E5E0B">
            <w:pPr>
              <w:spacing w:after="0"/>
              <w:textAlignment w:val="baseline"/>
              <w:rPr>
                <w:rFonts w:cs="Segoe UI"/>
                <w:sz w:val="18"/>
                <w:szCs w:val="18"/>
                <w:lang w:eastAsia="en-IE"/>
              </w:rPr>
            </w:pPr>
            <w:r w:rsidRPr="00586D35">
              <w:rPr>
                <w:rFonts w:ascii="Arial" w:hAnsi="Arial" w:cs="Arial"/>
                <w:b/>
                <w:bCs/>
                <w:sz w:val="22"/>
                <w:szCs w:val="22"/>
                <w:lang w:eastAsia="en-IE"/>
              </w:rPr>
              <w:t> </w:t>
            </w:r>
            <w:r w:rsidRPr="00586D35">
              <w:rPr>
                <w:rFonts w:cs="Calibri"/>
                <w:sz w:val="22"/>
                <w:szCs w:val="22"/>
                <w:lang w:eastAsia="en-IE"/>
              </w:rPr>
              <w:t> </w:t>
            </w:r>
          </w:p>
        </w:tc>
      </w:tr>
      <w:tr w:rsidR="00AB7893" w:rsidRPr="00586D35" w14:paraId="171618EC" w14:textId="77777777" w:rsidTr="006E5E0B">
        <w:trPr>
          <w:trHeight w:val="300"/>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139607AE"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All</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D9E2F3"/>
            <w:vAlign w:val="center"/>
            <w:hideMark/>
          </w:tcPr>
          <w:p w14:paraId="7DB154FB"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81.3% (n=26)</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2427A768" w14:textId="77777777" w:rsidTr="006E5E0B">
        <w:trPr>
          <w:trHeight w:val="300"/>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45C6D366"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Specialist</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D9E2F3"/>
            <w:vAlign w:val="center"/>
            <w:hideMark/>
          </w:tcPr>
          <w:p w14:paraId="77A8DCB3"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93.8% (n=15)</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4F75D92A" w14:textId="77777777" w:rsidTr="006E5E0B">
        <w:trPr>
          <w:trHeight w:val="315"/>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204DF54F"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Non specialist</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D9E2F3"/>
            <w:vAlign w:val="center"/>
            <w:hideMark/>
          </w:tcPr>
          <w:p w14:paraId="69C897D6"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70% (n=7)</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415B36DF" w14:textId="77777777" w:rsidTr="006E5E0B">
        <w:trPr>
          <w:trHeight w:val="315"/>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7718F3BA"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Other</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D9E2F3"/>
            <w:vAlign w:val="center"/>
            <w:hideMark/>
          </w:tcPr>
          <w:p w14:paraId="134B0DC0"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66.7% (n=4)</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467BF34E" w14:textId="77777777" w:rsidTr="006E5E0B">
        <w:trPr>
          <w:trHeight w:val="255"/>
        </w:trPr>
        <w:tc>
          <w:tcPr>
            <w:tcW w:w="6360" w:type="dxa"/>
            <w:tcBorders>
              <w:top w:val="single" w:sz="6" w:space="0" w:color="000000"/>
              <w:left w:val="single" w:sz="6" w:space="0" w:color="000000"/>
              <w:bottom w:val="single" w:sz="6" w:space="0" w:color="000000"/>
              <w:right w:val="nil"/>
            </w:tcBorders>
            <w:shd w:val="clear" w:color="auto" w:fill="D9E2F3"/>
            <w:vAlign w:val="center"/>
            <w:hideMark/>
          </w:tcPr>
          <w:p w14:paraId="6354E4B9" w14:textId="77777777" w:rsidR="00AB7893" w:rsidRPr="00586D35" w:rsidRDefault="00AB7893" w:rsidP="006E5E0B">
            <w:pPr>
              <w:spacing w:after="0"/>
              <w:textAlignment w:val="baseline"/>
              <w:rPr>
                <w:rFonts w:cs="Segoe UI"/>
                <w:sz w:val="18"/>
                <w:szCs w:val="18"/>
                <w:lang w:eastAsia="en-IE"/>
              </w:rPr>
            </w:pPr>
            <w:r w:rsidRPr="00586D35">
              <w:rPr>
                <w:rFonts w:cs="Calibri"/>
                <w:b/>
                <w:bCs/>
                <w:sz w:val="22"/>
                <w:szCs w:val="22"/>
                <w:lang w:eastAsia="en-IE"/>
              </w:rPr>
              <w:t>Clusters of homes in the community</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nil"/>
              <w:bottom w:val="single" w:sz="6" w:space="0" w:color="000000"/>
              <w:right w:val="single" w:sz="6" w:space="0" w:color="000000"/>
            </w:tcBorders>
            <w:shd w:val="clear" w:color="auto" w:fill="D9E2F3"/>
            <w:vAlign w:val="center"/>
            <w:hideMark/>
          </w:tcPr>
          <w:p w14:paraId="4AD773A2" w14:textId="77777777" w:rsidR="00AB7893" w:rsidRPr="00586D35" w:rsidRDefault="00AB7893" w:rsidP="006E5E0B">
            <w:pPr>
              <w:spacing w:after="0"/>
              <w:textAlignment w:val="baseline"/>
              <w:rPr>
                <w:rFonts w:cs="Segoe UI"/>
                <w:sz w:val="18"/>
                <w:szCs w:val="18"/>
                <w:lang w:eastAsia="en-IE"/>
              </w:rPr>
            </w:pPr>
            <w:r w:rsidRPr="00586D35">
              <w:rPr>
                <w:rFonts w:ascii="Arial" w:hAnsi="Arial" w:cs="Arial"/>
                <w:b/>
                <w:bCs/>
                <w:sz w:val="22"/>
                <w:szCs w:val="22"/>
                <w:lang w:eastAsia="en-IE"/>
              </w:rPr>
              <w:t> </w:t>
            </w:r>
            <w:r w:rsidRPr="00586D35">
              <w:rPr>
                <w:rFonts w:cs="Calibri"/>
                <w:sz w:val="22"/>
                <w:szCs w:val="22"/>
                <w:lang w:eastAsia="en-IE"/>
              </w:rPr>
              <w:t> </w:t>
            </w:r>
          </w:p>
        </w:tc>
      </w:tr>
      <w:tr w:rsidR="00AB7893" w:rsidRPr="00586D35" w14:paraId="45B2997C" w14:textId="77777777" w:rsidTr="006E5E0B">
        <w:trPr>
          <w:trHeight w:val="315"/>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1C31CEEE"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All</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D9E2F3"/>
            <w:vAlign w:val="center"/>
            <w:hideMark/>
          </w:tcPr>
          <w:p w14:paraId="3DDC40E6"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18.8% (n=6)</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2AB1D08C" w14:textId="77777777" w:rsidTr="006E5E0B">
        <w:trPr>
          <w:trHeight w:val="315"/>
        </w:trPr>
        <w:tc>
          <w:tcPr>
            <w:tcW w:w="63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B71365"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Specialist</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000000"/>
              <w:right w:val="single" w:sz="6" w:space="0" w:color="000000"/>
            </w:tcBorders>
            <w:shd w:val="clear" w:color="auto" w:fill="D9E2F3"/>
            <w:vAlign w:val="center"/>
            <w:hideMark/>
          </w:tcPr>
          <w:p w14:paraId="5D6FF25D"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18.8% (n=3)</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05EBAC00" w14:textId="77777777" w:rsidTr="006E5E0B">
        <w:trPr>
          <w:trHeight w:val="315"/>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029A60E2"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Non specialist</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D9E2F3"/>
            <w:vAlign w:val="center"/>
            <w:hideMark/>
          </w:tcPr>
          <w:p w14:paraId="77835F4B"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20% (n=2)</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4D40B4D1" w14:textId="77777777" w:rsidTr="006E5E0B">
        <w:trPr>
          <w:trHeight w:val="315"/>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3D3227D5"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Other</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D9E2F3"/>
            <w:vAlign w:val="center"/>
            <w:hideMark/>
          </w:tcPr>
          <w:p w14:paraId="482EFA2F"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16.7% (n=1)</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45DCD87E" w14:textId="77777777" w:rsidTr="006E5E0B">
        <w:trPr>
          <w:trHeight w:val="180"/>
        </w:trPr>
        <w:tc>
          <w:tcPr>
            <w:tcW w:w="6360" w:type="dxa"/>
            <w:tcBorders>
              <w:top w:val="single" w:sz="6" w:space="0" w:color="000000"/>
              <w:left w:val="single" w:sz="6" w:space="0" w:color="000000"/>
              <w:bottom w:val="single" w:sz="6" w:space="0" w:color="000000"/>
              <w:right w:val="nil"/>
            </w:tcBorders>
            <w:shd w:val="clear" w:color="auto" w:fill="D9E1F2"/>
            <w:vAlign w:val="center"/>
            <w:hideMark/>
          </w:tcPr>
          <w:p w14:paraId="4665844D" w14:textId="77777777" w:rsidR="00AB7893" w:rsidRPr="00586D35" w:rsidRDefault="00AB7893" w:rsidP="006E5E0B">
            <w:pPr>
              <w:spacing w:after="0"/>
              <w:textAlignment w:val="baseline"/>
              <w:rPr>
                <w:rFonts w:cs="Segoe UI"/>
                <w:sz w:val="18"/>
                <w:szCs w:val="18"/>
                <w:lang w:eastAsia="en-IE"/>
              </w:rPr>
            </w:pPr>
            <w:r w:rsidRPr="00586D35">
              <w:rPr>
                <w:rFonts w:cs="Calibri"/>
                <w:b/>
                <w:bCs/>
                <w:sz w:val="22"/>
                <w:szCs w:val="22"/>
                <w:lang w:eastAsia="en-IE"/>
              </w:rPr>
              <w:t>In a home with family members</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nil"/>
              <w:bottom w:val="single" w:sz="6" w:space="0" w:color="000000"/>
              <w:right w:val="single" w:sz="6" w:space="0" w:color="000000"/>
            </w:tcBorders>
            <w:shd w:val="clear" w:color="auto" w:fill="D9E1F2"/>
            <w:vAlign w:val="center"/>
            <w:hideMark/>
          </w:tcPr>
          <w:p w14:paraId="3F9157AA" w14:textId="77777777" w:rsidR="00AB7893" w:rsidRPr="00586D35" w:rsidRDefault="00AB7893" w:rsidP="006E5E0B">
            <w:pPr>
              <w:spacing w:after="0"/>
              <w:textAlignment w:val="baseline"/>
              <w:rPr>
                <w:rFonts w:cs="Segoe UI"/>
                <w:sz w:val="18"/>
                <w:szCs w:val="18"/>
                <w:lang w:eastAsia="en-IE"/>
              </w:rPr>
            </w:pPr>
            <w:r w:rsidRPr="00586D35">
              <w:rPr>
                <w:rFonts w:ascii="Arial" w:hAnsi="Arial" w:cs="Arial"/>
                <w:b/>
                <w:bCs/>
                <w:sz w:val="22"/>
                <w:szCs w:val="22"/>
                <w:lang w:eastAsia="en-IE"/>
              </w:rPr>
              <w:t> </w:t>
            </w:r>
            <w:r w:rsidRPr="00586D35">
              <w:rPr>
                <w:rFonts w:cs="Calibri"/>
                <w:sz w:val="22"/>
                <w:szCs w:val="22"/>
                <w:lang w:eastAsia="en-IE"/>
              </w:rPr>
              <w:t> </w:t>
            </w:r>
          </w:p>
        </w:tc>
      </w:tr>
      <w:tr w:rsidR="00AB7893" w:rsidRPr="00586D35" w14:paraId="551000C5" w14:textId="77777777" w:rsidTr="006E5E0B">
        <w:trPr>
          <w:trHeight w:val="180"/>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446A3B68"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All</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D9E2F3"/>
            <w:vAlign w:val="center"/>
            <w:hideMark/>
          </w:tcPr>
          <w:p w14:paraId="3A75D242"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34.4% (n=11)</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0CD637A0" w14:textId="77777777" w:rsidTr="006E5E0B">
        <w:trPr>
          <w:trHeight w:val="315"/>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61FA7AC1"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Specialist</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D9E2F3"/>
            <w:vAlign w:val="center"/>
            <w:hideMark/>
          </w:tcPr>
          <w:p w14:paraId="61441B3F"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43.8% (n=7)</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6AB40D22" w14:textId="77777777" w:rsidTr="006E5E0B">
        <w:trPr>
          <w:trHeight w:val="315"/>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1120B2A5"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Non specialist</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D9E2F3"/>
            <w:vAlign w:val="center"/>
            <w:hideMark/>
          </w:tcPr>
          <w:p w14:paraId="2E721C4A"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30% (n=3)</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4C9C290A" w14:textId="77777777" w:rsidTr="006E5E0B">
        <w:trPr>
          <w:trHeight w:val="315"/>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1868D1C8"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Other</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D9E2F3"/>
            <w:vAlign w:val="center"/>
            <w:hideMark/>
          </w:tcPr>
          <w:p w14:paraId="0844A5E0"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16.7% (n=1)</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4601062F" w14:textId="77777777" w:rsidTr="006E5E0B">
        <w:trPr>
          <w:trHeight w:val="165"/>
        </w:trPr>
        <w:tc>
          <w:tcPr>
            <w:tcW w:w="6360" w:type="dxa"/>
            <w:tcBorders>
              <w:top w:val="single" w:sz="6" w:space="0" w:color="000000"/>
              <w:left w:val="single" w:sz="6" w:space="0" w:color="000000"/>
              <w:bottom w:val="single" w:sz="6" w:space="0" w:color="000000"/>
              <w:right w:val="nil"/>
            </w:tcBorders>
            <w:shd w:val="clear" w:color="auto" w:fill="D9E2F3"/>
            <w:vAlign w:val="center"/>
            <w:hideMark/>
          </w:tcPr>
          <w:p w14:paraId="1DDF33FC" w14:textId="77777777" w:rsidR="00AB7893" w:rsidRPr="00586D35" w:rsidRDefault="00AB7893" w:rsidP="006E5E0B">
            <w:pPr>
              <w:spacing w:after="0"/>
              <w:textAlignment w:val="baseline"/>
              <w:rPr>
                <w:rFonts w:cs="Segoe UI"/>
                <w:sz w:val="18"/>
                <w:szCs w:val="18"/>
                <w:lang w:eastAsia="en-IE"/>
              </w:rPr>
            </w:pPr>
            <w:r w:rsidRPr="00586D35">
              <w:rPr>
                <w:rFonts w:cs="Calibri"/>
                <w:b/>
                <w:bCs/>
                <w:sz w:val="22"/>
                <w:szCs w:val="22"/>
                <w:lang w:eastAsia="en-IE"/>
              </w:rPr>
              <w:t>Nursing home for people with intellectual disability</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nil"/>
              <w:bottom w:val="single" w:sz="6" w:space="0" w:color="000000"/>
              <w:right w:val="single" w:sz="6" w:space="0" w:color="000000"/>
            </w:tcBorders>
            <w:shd w:val="clear" w:color="auto" w:fill="D9E2F3"/>
            <w:vAlign w:val="center"/>
            <w:hideMark/>
          </w:tcPr>
          <w:p w14:paraId="16DA0BBD" w14:textId="77777777" w:rsidR="00AB7893" w:rsidRPr="00586D35" w:rsidRDefault="00AB7893" w:rsidP="006E5E0B">
            <w:pPr>
              <w:spacing w:after="0"/>
              <w:textAlignment w:val="baseline"/>
              <w:rPr>
                <w:rFonts w:cs="Segoe UI"/>
                <w:sz w:val="18"/>
                <w:szCs w:val="18"/>
                <w:lang w:eastAsia="en-IE"/>
              </w:rPr>
            </w:pPr>
            <w:r w:rsidRPr="00586D35">
              <w:rPr>
                <w:rFonts w:ascii="Arial" w:hAnsi="Arial" w:cs="Arial"/>
                <w:b/>
                <w:bCs/>
                <w:sz w:val="22"/>
                <w:szCs w:val="22"/>
                <w:lang w:eastAsia="en-IE"/>
              </w:rPr>
              <w:t> </w:t>
            </w:r>
            <w:r w:rsidRPr="00586D35">
              <w:rPr>
                <w:rFonts w:cs="Calibri"/>
                <w:sz w:val="22"/>
                <w:szCs w:val="22"/>
                <w:lang w:eastAsia="en-IE"/>
              </w:rPr>
              <w:t> </w:t>
            </w:r>
          </w:p>
        </w:tc>
      </w:tr>
      <w:tr w:rsidR="00AB7893" w:rsidRPr="00586D35" w14:paraId="0E3B1020" w14:textId="77777777" w:rsidTr="006E5E0B">
        <w:trPr>
          <w:trHeight w:val="315"/>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30571F94"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All</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D9E2F3"/>
            <w:vAlign w:val="center"/>
            <w:hideMark/>
          </w:tcPr>
          <w:p w14:paraId="196336D4"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3.1% (n=1)</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206A7AD4" w14:textId="77777777" w:rsidTr="006E5E0B">
        <w:trPr>
          <w:trHeight w:val="315"/>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0AE65C71"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Specialist</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D9E2F3"/>
            <w:vAlign w:val="center"/>
            <w:hideMark/>
          </w:tcPr>
          <w:p w14:paraId="42751319"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0</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4B70CD6C" w14:textId="77777777" w:rsidTr="006E5E0B">
        <w:trPr>
          <w:trHeight w:val="315"/>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2FF6DB34"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Non specialist</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D9E2F3"/>
            <w:vAlign w:val="center"/>
            <w:hideMark/>
          </w:tcPr>
          <w:p w14:paraId="2C44189B"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0 </w:t>
            </w:r>
          </w:p>
        </w:tc>
      </w:tr>
      <w:tr w:rsidR="00AB7893" w:rsidRPr="00586D35" w14:paraId="32423BCA" w14:textId="77777777" w:rsidTr="006E5E0B">
        <w:trPr>
          <w:trHeight w:val="315"/>
        </w:trPr>
        <w:tc>
          <w:tcPr>
            <w:tcW w:w="63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857D47"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Other</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000000"/>
              <w:right w:val="single" w:sz="6" w:space="0" w:color="000000"/>
            </w:tcBorders>
            <w:shd w:val="clear" w:color="auto" w:fill="D9E2F3"/>
            <w:vAlign w:val="center"/>
            <w:hideMark/>
          </w:tcPr>
          <w:p w14:paraId="3923ECDA"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16.7% (n=1) </w:t>
            </w:r>
          </w:p>
        </w:tc>
      </w:tr>
      <w:tr w:rsidR="00AB7893" w:rsidRPr="00586D35" w14:paraId="33D49A95" w14:textId="77777777" w:rsidTr="006E5E0B">
        <w:trPr>
          <w:trHeight w:val="381"/>
        </w:trPr>
        <w:tc>
          <w:tcPr>
            <w:tcW w:w="6360" w:type="dxa"/>
            <w:tcBorders>
              <w:top w:val="single" w:sz="6" w:space="0" w:color="000000"/>
              <w:left w:val="single" w:sz="6" w:space="0" w:color="000000"/>
              <w:bottom w:val="single" w:sz="6" w:space="0" w:color="000000"/>
              <w:right w:val="nil"/>
            </w:tcBorders>
            <w:shd w:val="clear" w:color="auto" w:fill="D9E1F2"/>
            <w:vAlign w:val="center"/>
            <w:hideMark/>
          </w:tcPr>
          <w:p w14:paraId="31FC90FF" w14:textId="77777777" w:rsidR="00AB7893" w:rsidRPr="00586D35" w:rsidRDefault="00AB7893" w:rsidP="006E5E0B">
            <w:pPr>
              <w:spacing w:after="0"/>
              <w:textAlignment w:val="baseline"/>
              <w:rPr>
                <w:rFonts w:cs="Segoe UI"/>
                <w:sz w:val="18"/>
                <w:szCs w:val="18"/>
                <w:lang w:eastAsia="en-IE"/>
              </w:rPr>
            </w:pPr>
            <w:r w:rsidRPr="00586D35">
              <w:rPr>
                <w:rFonts w:cs="Calibri"/>
                <w:b/>
                <w:bCs/>
                <w:sz w:val="22"/>
                <w:szCs w:val="22"/>
                <w:lang w:eastAsia="en-IE"/>
              </w:rPr>
              <w:t>Specialised dementia residence</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nil"/>
              <w:bottom w:val="single" w:sz="6" w:space="0" w:color="000000"/>
              <w:right w:val="single" w:sz="6" w:space="0" w:color="000000"/>
            </w:tcBorders>
            <w:shd w:val="clear" w:color="auto" w:fill="D9E1F2"/>
            <w:vAlign w:val="center"/>
            <w:hideMark/>
          </w:tcPr>
          <w:p w14:paraId="41534D98" w14:textId="77777777" w:rsidR="00AB7893" w:rsidRPr="00586D35" w:rsidRDefault="00AB7893" w:rsidP="006E5E0B">
            <w:pPr>
              <w:spacing w:after="0"/>
              <w:textAlignment w:val="baseline"/>
              <w:rPr>
                <w:rFonts w:cs="Segoe UI"/>
                <w:sz w:val="18"/>
                <w:szCs w:val="18"/>
                <w:lang w:eastAsia="en-IE"/>
              </w:rPr>
            </w:pPr>
            <w:r w:rsidRPr="00586D35">
              <w:rPr>
                <w:rFonts w:ascii="Arial" w:hAnsi="Arial" w:cs="Arial"/>
                <w:b/>
                <w:bCs/>
                <w:sz w:val="22"/>
                <w:szCs w:val="22"/>
                <w:lang w:eastAsia="en-IE"/>
              </w:rPr>
              <w:t> </w:t>
            </w:r>
            <w:r w:rsidRPr="00586D35">
              <w:rPr>
                <w:rFonts w:cs="Calibri"/>
                <w:sz w:val="22"/>
                <w:szCs w:val="22"/>
                <w:lang w:eastAsia="en-IE"/>
              </w:rPr>
              <w:t> </w:t>
            </w:r>
          </w:p>
        </w:tc>
      </w:tr>
      <w:tr w:rsidR="00AB7893" w:rsidRPr="00586D35" w14:paraId="37232750" w14:textId="77777777" w:rsidTr="006E5E0B">
        <w:trPr>
          <w:trHeight w:val="135"/>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7E3B2236"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All</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3D9C7AE3"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21.9% (n=7)</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541E84CA" w14:textId="77777777" w:rsidTr="006E5E0B">
        <w:trPr>
          <w:trHeight w:val="315"/>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5AA80187"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Specialist</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D9E1F2"/>
            <w:vAlign w:val="center"/>
            <w:hideMark/>
          </w:tcPr>
          <w:p w14:paraId="7A4F6D3C"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25% (n=4) </w:t>
            </w:r>
          </w:p>
        </w:tc>
      </w:tr>
      <w:tr w:rsidR="00AB7893" w:rsidRPr="00586D35" w14:paraId="344E0D54" w14:textId="77777777" w:rsidTr="006E5E0B">
        <w:trPr>
          <w:trHeight w:val="315"/>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31D92C19"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Non specialist</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737D9871"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10% (n=1) </w:t>
            </w:r>
          </w:p>
        </w:tc>
      </w:tr>
      <w:tr w:rsidR="00AB7893" w:rsidRPr="00586D35" w14:paraId="4A13CB9A" w14:textId="77777777" w:rsidTr="006E5E0B">
        <w:trPr>
          <w:trHeight w:val="315"/>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3162271C"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Other</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D9E1F2"/>
            <w:vAlign w:val="center"/>
            <w:hideMark/>
          </w:tcPr>
          <w:p w14:paraId="1D831D9D"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33.3% (n=2)</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66793B21" w14:textId="77777777" w:rsidTr="006E5E0B">
        <w:trPr>
          <w:trHeight w:val="315"/>
        </w:trPr>
        <w:tc>
          <w:tcPr>
            <w:tcW w:w="6360" w:type="dxa"/>
            <w:tcBorders>
              <w:top w:val="single" w:sz="6" w:space="0" w:color="000000"/>
              <w:left w:val="single" w:sz="6" w:space="0" w:color="000000"/>
              <w:bottom w:val="single" w:sz="6" w:space="0" w:color="000000"/>
              <w:right w:val="nil"/>
            </w:tcBorders>
            <w:shd w:val="clear" w:color="auto" w:fill="D9E2F3"/>
            <w:vAlign w:val="center"/>
            <w:hideMark/>
          </w:tcPr>
          <w:p w14:paraId="7476BC4B" w14:textId="77777777" w:rsidR="00AB7893" w:rsidRPr="00586D35" w:rsidRDefault="00AB7893" w:rsidP="006E5E0B">
            <w:pPr>
              <w:spacing w:after="0"/>
              <w:textAlignment w:val="baseline"/>
              <w:rPr>
                <w:rFonts w:cs="Segoe UI"/>
                <w:sz w:val="18"/>
                <w:szCs w:val="18"/>
                <w:lang w:eastAsia="en-IE"/>
              </w:rPr>
            </w:pPr>
            <w:r w:rsidRPr="00586D35">
              <w:rPr>
                <w:rFonts w:cs="Calibri"/>
                <w:b/>
                <w:bCs/>
                <w:sz w:val="22"/>
                <w:szCs w:val="22"/>
                <w:lang w:eastAsia="en-IE"/>
              </w:rPr>
              <w:t>Mainstream nursing home</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nil"/>
              <w:bottom w:val="single" w:sz="6" w:space="0" w:color="000000"/>
              <w:right w:val="single" w:sz="6" w:space="0" w:color="000000"/>
            </w:tcBorders>
            <w:shd w:val="clear" w:color="auto" w:fill="D9E2F3"/>
            <w:vAlign w:val="center"/>
            <w:hideMark/>
          </w:tcPr>
          <w:p w14:paraId="0A2271ED" w14:textId="77777777" w:rsidR="00AB7893" w:rsidRPr="00586D35" w:rsidRDefault="00AB7893" w:rsidP="006E5E0B">
            <w:pPr>
              <w:spacing w:after="0"/>
              <w:textAlignment w:val="baseline"/>
              <w:rPr>
                <w:rFonts w:cs="Segoe UI"/>
                <w:sz w:val="18"/>
                <w:szCs w:val="18"/>
                <w:lang w:eastAsia="en-IE"/>
              </w:rPr>
            </w:pPr>
            <w:r w:rsidRPr="00586D35">
              <w:rPr>
                <w:rFonts w:ascii="Arial" w:hAnsi="Arial" w:cs="Arial"/>
                <w:b/>
                <w:bCs/>
                <w:sz w:val="22"/>
                <w:szCs w:val="22"/>
                <w:lang w:eastAsia="en-IE"/>
              </w:rPr>
              <w:t> </w:t>
            </w:r>
            <w:r w:rsidRPr="00586D35">
              <w:rPr>
                <w:rFonts w:cs="Calibri"/>
                <w:sz w:val="22"/>
                <w:szCs w:val="22"/>
                <w:lang w:eastAsia="en-IE"/>
              </w:rPr>
              <w:t> </w:t>
            </w:r>
          </w:p>
        </w:tc>
      </w:tr>
      <w:tr w:rsidR="00AB7893" w:rsidRPr="00586D35" w14:paraId="5DB7F0EC" w14:textId="77777777" w:rsidTr="006E5E0B">
        <w:trPr>
          <w:trHeight w:val="210"/>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53DE5D5E"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All</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D9E2F3"/>
            <w:vAlign w:val="center"/>
            <w:hideMark/>
          </w:tcPr>
          <w:p w14:paraId="14B0CD12"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21.9% (n=7)</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658A9723" w14:textId="77777777" w:rsidTr="006E5E0B">
        <w:trPr>
          <w:trHeight w:val="315"/>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74A26F37"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Specialist</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D9E2F3"/>
            <w:vAlign w:val="center"/>
            <w:hideMark/>
          </w:tcPr>
          <w:p w14:paraId="169176E3"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35.7% (n=6)</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2D6E748E" w14:textId="77777777" w:rsidTr="006E5E0B">
        <w:trPr>
          <w:trHeight w:val="315"/>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10D50E28"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Non specialist</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D9E2F3"/>
            <w:vAlign w:val="center"/>
            <w:hideMark/>
          </w:tcPr>
          <w:p w14:paraId="588CD259"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0% </w:t>
            </w:r>
          </w:p>
        </w:tc>
      </w:tr>
      <w:tr w:rsidR="00AB7893" w:rsidRPr="00586D35" w14:paraId="53B07F41" w14:textId="77777777" w:rsidTr="006E5E0B">
        <w:trPr>
          <w:trHeight w:val="315"/>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017A255C"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Other</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D9E2F3"/>
            <w:vAlign w:val="center"/>
            <w:hideMark/>
          </w:tcPr>
          <w:p w14:paraId="45F7EF9F"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16.7% (n=1)</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40BDB43B" w14:textId="77777777" w:rsidTr="006E5E0B">
        <w:trPr>
          <w:trHeight w:val="315"/>
        </w:trPr>
        <w:tc>
          <w:tcPr>
            <w:tcW w:w="6360" w:type="dxa"/>
            <w:tcBorders>
              <w:top w:val="single" w:sz="6" w:space="0" w:color="000000"/>
              <w:left w:val="single" w:sz="6" w:space="0" w:color="000000"/>
              <w:bottom w:val="single" w:sz="6" w:space="0" w:color="000000"/>
              <w:right w:val="nil"/>
            </w:tcBorders>
            <w:shd w:val="clear" w:color="auto" w:fill="D9E2F3"/>
            <w:vAlign w:val="center"/>
            <w:hideMark/>
          </w:tcPr>
          <w:p w14:paraId="350EB369" w14:textId="77777777" w:rsidR="00AB7893" w:rsidRPr="00586D35" w:rsidRDefault="00AB7893" w:rsidP="006E5E0B">
            <w:pPr>
              <w:spacing w:after="0"/>
              <w:textAlignment w:val="baseline"/>
              <w:rPr>
                <w:rFonts w:cs="Segoe UI"/>
                <w:sz w:val="18"/>
                <w:szCs w:val="18"/>
                <w:lang w:eastAsia="en-IE"/>
              </w:rPr>
            </w:pPr>
            <w:r w:rsidRPr="00586D35">
              <w:rPr>
                <w:rFonts w:cs="Calibri"/>
                <w:b/>
                <w:bCs/>
                <w:sz w:val="22"/>
                <w:szCs w:val="22"/>
                <w:lang w:eastAsia="en-IE"/>
              </w:rPr>
              <w:t>Other</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nil"/>
              <w:bottom w:val="single" w:sz="6" w:space="0" w:color="000000"/>
              <w:right w:val="single" w:sz="6" w:space="0" w:color="000000"/>
            </w:tcBorders>
            <w:shd w:val="clear" w:color="auto" w:fill="D9E2F3"/>
            <w:vAlign w:val="center"/>
            <w:hideMark/>
          </w:tcPr>
          <w:p w14:paraId="100591F9" w14:textId="77777777" w:rsidR="00AB7893" w:rsidRPr="00586D35" w:rsidRDefault="00AB7893" w:rsidP="006E5E0B">
            <w:pPr>
              <w:spacing w:after="0"/>
              <w:textAlignment w:val="baseline"/>
              <w:rPr>
                <w:rFonts w:cs="Segoe UI"/>
                <w:sz w:val="18"/>
                <w:szCs w:val="18"/>
                <w:lang w:eastAsia="en-IE"/>
              </w:rPr>
            </w:pPr>
            <w:r w:rsidRPr="00586D35">
              <w:rPr>
                <w:rFonts w:ascii="Arial" w:hAnsi="Arial" w:cs="Arial"/>
                <w:b/>
                <w:bCs/>
                <w:sz w:val="22"/>
                <w:szCs w:val="22"/>
                <w:lang w:eastAsia="en-IE"/>
              </w:rPr>
              <w:t> </w:t>
            </w:r>
            <w:r w:rsidRPr="00586D35">
              <w:rPr>
                <w:rFonts w:cs="Calibri"/>
                <w:sz w:val="22"/>
                <w:szCs w:val="22"/>
                <w:lang w:eastAsia="en-IE"/>
              </w:rPr>
              <w:t> </w:t>
            </w:r>
          </w:p>
        </w:tc>
      </w:tr>
      <w:tr w:rsidR="00AB7893" w:rsidRPr="00586D35" w14:paraId="66373130" w14:textId="77777777" w:rsidTr="006E5E0B">
        <w:trPr>
          <w:trHeight w:val="315"/>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48B80CCE"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All</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8EA9DB"/>
              <w:right w:val="single" w:sz="6" w:space="0" w:color="000000"/>
            </w:tcBorders>
            <w:shd w:val="clear" w:color="auto" w:fill="D9E2F3"/>
            <w:vAlign w:val="center"/>
            <w:hideMark/>
          </w:tcPr>
          <w:p w14:paraId="57D01EB7"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9.4% (n=3)</w:t>
            </w:r>
            <w:r w:rsidRPr="00586D35">
              <w:rPr>
                <w:rFonts w:ascii="Arial" w:hAnsi="Arial" w:cs="Arial"/>
                <w:sz w:val="22"/>
                <w:szCs w:val="22"/>
                <w:lang w:eastAsia="en-IE"/>
              </w:rPr>
              <w:t> </w:t>
            </w:r>
            <w:r w:rsidRPr="00586D35">
              <w:rPr>
                <w:rFonts w:cs="Calibri"/>
                <w:sz w:val="22"/>
                <w:szCs w:val="22"/>
                <w:lang w:eastAsia="en-IE"/>
              </w:rPr>
              <w:t> </w:t>
            </w:r>
          </w:p>
        </w:tc>
      </w:tr>
      <w:tr w:rsidR="00AB7893" w:rsidRPr="00586D35" w14:paraId="25D78689" w14:textId="77777777" w:rsidTr="006E5E0B">
        <w:trPr>
          <w:trHeight w:val="315"/>
        </w:trPr>
        <w:tc>
          <w:tcPr>
            <w:tcW w:w="6360" w:type="dxa"/>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6E66EF0D"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Specialist </w:t>
            </w:r>
          </w:p>
        </w:tc>
        <w:tc>
          <w:tcPr>
            <w:tcW w:w="2640" w:type="dxa"/>
            <w:tcBorders>
              <w:top w:val="single" w:sz="6" w:space="0" w:color="000000"/>
              <w:left w:val="single" w:sz="6" w:space="0" w:color="000000"/>
              <w:bottom w:val="single" w:sz="6" w:space="0" w:color="8EA9DB"/>
              <w:right w:val="single" w:sz="6" w:space="0" w:color="000000"/>
            </w:tcBorders>
            <w:shd w:val="clear" w:color="auto" w:fill="D9E2F3"/>
            <w:vAlign w:val="center"/>
            <w:hideMark/>
          </w:tcPr>
          <w:p w14:paraId="7DEDC625" w14:textId="77777777" w:rsidR="00AB7893" w:rsidRPr="00586D35" w:rsidRDefault="00AB7893" w:rsidP="006E5E0B">
            <w:pPr>
              <w:spacing w:after="0"/>
              <w:textAlignment w:val="baseline"/>
              <w:rPr>
                <w:rFonts w:cs="Segoe UI"/>
                <w:sz w:val="18"/>
                <w:szCs w:val="18"/>
                <w:lang w:eastAsia="en-IE"/>
              </w:rPr>
            </w:pPr>
            <w:r w:rsidRPr="00586D35">
              <w:rPr>
                <w:rFonts w:ascii="Arial" w:hAnsi="Arial" w:cs="Arial"/>
                <w:sz w:val="22"/>
                <w:szCs w:val="22"/>
                <w:lang w:eastAsia="en-IE"/>
              </w:rPr>
              <w:t> </w:t>
            </w:r>
            <w:r w:rsidRPr="00586D35">
              <w:rPr>
                <w:rFonts w:cs="Calibri"/>
                <w:sz w:val="22"/>
                <w:szCs w:val="22"/>
                <w:lang w:eastAsia="en-IE"/>
              </w:rPr>
              <w:t>0% </w:t>
            </w:r>
          </w:p>
        </w:tc>
      </w:tr>
      <w:tr w:rsidR="00AB7893" w:rsidRPr="00586D35" w14:paraId="2DAD0514" w14:textId="77777777" w:rsidTr="006E5E0B">
        <w:trPr>
          <w:trHeight w:val="315"/>
        </w:trPr>
        <w:tc>
          <w:tcPr>
            <w:tcW w:w="63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50EA71"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Non specialist</w:t>
            </w:r>
            <w:r w:rsidRPr="00586D35">
              <w:rPr>
                <w:rFonts w:ascii="Arial" w:hAnsi="Arial" w:cs="Arial"/>
                <w:sz w:val="22"/>
                <w:szCs w:val="22"/>
                <w:lang w:eastAsia="en-IE"/>
              </w:rPr>
              <w:t> </w:t>
            </w:r>
            <w:r w:rsidRPr="00586D35">
              <w:rPr>
                <w:rFonts w:cs="Calibri"/>
                <w:sz w:val="22"/>
                <w:szCs w:val="22"/>
                <w:lang w:eastAsia="en-IE"/>
              </w:rPr>
              <w:t> </w:t>
            </w:r>
          </w:p>
        </w:tc>
        <w:tc>
          <w:tcPr>
            <w:tcW w:w="2640" w:type="dxa"/>
            <w:tcBorders>
              <w:top w:val="single" w:sz="6" w:space="0" w:color="000000"/>
              <w:left w:val="single" w:sz="6" w:space="0" w:color="000000"/>
              <w:bottom w:val="single" w:sz="6" w:space="0" w:color="000000"/>
              <w:right w:val="single" w:sz="6" w:space="0" w:color="000000"/>
            </w:tcBorders>
            <w:shd w:val="clear" w:color="auto" w:fill="D9E2F3"/>
            <w:vAlign w:val="center"/>
            <w:hideMark/>
          </w:tcPr>
          <w:p w14:paraId="333EE57E" w14:textId="77777777" w:rsidR="00AB7893" w:rsidRPr="00586D35" w:rsidRDefault="00AB7893" w:rsidP="006E5E0B">
            <w:pPr>
              <w:spacing w:after="0"/>
              <w:textAlignment w:val="baseline"/>
              <w:rPr>
                <w:rFonts w:cs="Segoe UI"/>
                <w:sz w:val="18"/>
                <w:szCs w:val="18"/>
                <w:lang w:eastAsia="en-IE"/>
              </w:rPr>
            </w:pPr>
            <w:r w:rsidRPr="00586D35">
              <w:rPr>
                <w:rFonts w:ascii="Arial" w:hAnsi="Arial" w:cs="Arial"/>
                <w:sz w:val="22"/>
                <w:szCs w:val="22"/>
                <w:lang w:eastAsia="en-IE"/>
              </w:rPr>
              <w:t> </w:t>
            </w:r>
            <w:r w:rsidRPr="00586D35">
              <w:rPr>
                <w:rFonts w:cs="Calibri"/>
                <w:sz w:val="22"/>
                <w:szCs w:val="22"/>
                <w:lang w:eastAsia="en-IE"/>
              </w:rPr>
              <w:t>10% (n=1) </w:t>
            </w:r>
          </w:p>
          <w:p w14:paraId="0EF6D098"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“day services” </w:t>
            </w:r>
          </w:p>
        </w:tc>
      </w:tr>
      <w:tr w:rsidR="00AB7893" w:rsidRPr="00586D35" w14:paraId="78088F57" w14:textId="77777777" w:rsidTr="006E5E0B">
        <w:trPr>
          <w:trHeight w:val="972"/>
        </w:trPr>
        <w:tc>
          <w:tcPr>
            <w:tcW w:w="9015" w:type="dxa"/>
            <w:gridSpan w:val="2"/>
            <w:tcBorders>
              <w:top w:val="single" w:sz="6" w:space="0" w:color="000000"/>
              <w:left w:val="single" w:sz="6" w:space="0" w:color="000000"/>
              <w:bottom w:val="single" w:sz="6" w:space="0" w:color="8EA9DB"/>
              <w:right w:val="single" w:sz="6" w:space="0" w:color="000000"/>
            </w:tcBorders>
            <w:shd w:val="clear" w:color="auto" w:fill="auto"/>
            <w:vAlign w:val="center"/>
            <w:hideMark/>
          </w:tcPr>
          <w:p w14:paraId="61A88A09" w14:textId="77777777" w:rsidR="00AB7893" w:rsidRPr="00586D35" w:rsidRDefault="00AB7893" w:rsidP="006E5E0B">
            <w:pPr>
              <w:spacing w:after="0"/>
              <w:textAlignment w:val="baseline"/>
              <w:rPr>
                <w:rFonts w:cs="Segoe UI"/>
                <w:sz w:val="18"/>
                <w:szCs w:val="18"/>
                <w:lang w:eastAsia="en-IE"/>
              </w:rPr>
            </w:pPr>
            <w:r w:rsidRPr="00586D35">
              <w:rPr>
                <w:rFonts w:cs="Calibri"/>
                <w:b/>
                <w:bCs/>
                <w:sz w:val="22"/>
                <w:szCs w:val="22"/>
                <w:lang w:eastAsia="en-IE"/>
              </w:rPr>
              <w:t xml:space="preserve">Other responses: </w:t>
            </w:r>
            <w:r w:rsidRPr="00586D35">
              <w:rPr>
                <w:rFonts w:cs="Calibri"/>
                <w:sz w:val="22"/>
                <w:szCs w:val="22"/>
                <w:lang w:eastAsia="en-IE"/>
              </w:rPr>
              <w:t>33.3% (n=2) </w:t>
            </w:r>
          </w:p>
          <w:p w14:paraId="19C456D6"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“Homes in the community/ bungalows on a campus setting” </w:t>
            </w:r>
          </w:p>
          <w:p w14:paraId="1C4401DF" w14:textId="77777777" w:rsidR="00AB7893" w:rsidRPr="00586D35" w:rsidRDefault="00AB7893" w:rsidP="006E5E0B">
            <w:pPr>
              <w:spacing w:after="0"/>
              <w:textAlignment w:val="baseline"/>
              <w:rPr>
                <w:rFonts w:cs="Segoe UI"/>
                <w:sz w:val="18"/>
                <w:szCs w:val="18"/>
                <w:lang w:eastAsia="en-IE"/>
              </w:rPr>
            </w:pPr>
            <w:r w:rsidRPr="00586D35">
              <w:rPr>
                <w:rFonts w:cs="Calibri"/>
                <w:sz w:val="22"/>
                <w:szCs w:val="22"/>
                <w:lang w:eastAsia="en-IE"/>
              </w:rPr>
              <w:t>“Residential type bungalows with 6 residents with ID” </w:t>
            </w:r>
          </w:p>
        </w:tc>
      </w:tr>
    </w:tbl>
    <w:p w14:paraId="7B6FF9CF" w14:textId="77777777" w:rsidR="00AB7893" w:rsidRPr="00586D35" w:rsidRDefault="00AB7893" w:rsidP="00AB7893">
      <w:pPr>
        <w:rPr>
          <w:lang w:eastAsia="en-IE"/>
        </w:rPr>
      </w:pPr>
    </w:p>
    <w:p w14:paraId="11CF681F" w14:textId="77777777" w:rsidR="00AB7893" w:rsidRPr="00AB7893" w:rsidRDefault="00AB7893" w:rsidP="002A24F0">
      <w:pPr>
        <w:pStyle w:val="Heading3"/>
        <w:numPr>
          <w:ilvl w:val="0"/>
          <w:numId w:val="24"/>
        </w:numPr>
        <w:tabs>
          <w:tab w:val="num" w:pos="1492"/>
        </w:tabs>
        <w:ind w:left="1492"/>
        <w:rPr>
          <w:color w:val="auto"/>
          <w:lang w:eastAsia="en-IE"/>
        </w:rPr>
      </w:pPr>
      <w:bookmarkStart w:id="305" w:name="_Toc118558325"/>
      <w:r w:rsidRPr="00AB7893">
        <w:rPr>
          <w:color w:val="auto"/>
          <w:lang w:eastAsia="en-IE"/>
        </w:rPr>
        <w:t>Most important components of specialist ageing service</w:t>
      </w:r>
      <w:bookmarkEnd w:id="305"/>
    </w:p>
    <w:p w14:paraId="39D8A54B" w14:textId="77777777" w:rsidR="00AB7893" w:rsidRPr="00103893" w:rsidRDefault="00AB7893" w:rsidP="00AB7893">
      <w:pPr>
        <w:rPr>
          <w:lang w:eastAsia="en-IE"/>
        </w:rPr>
      </w:pPr>
      <w:r w:rsidRPr="00103893">
        <w:rPr>
          <w:lang w:eastAsia="en-IE"/>
        </w:rPr>
        <w:t>The</w:t>
      </w:r>
      <w:r w:rsidRPr="00103893">
        <w:rPr>
          <w:rFonts w:ascii="Arial" w:hAnsi="Arial" w:cs="Arial"/>
          <w:lang w:eastAsia="en-IE"/>
        </w:rPr>
        <w:t> </w:t>
      </w:r>
      <w:r w:rsidRPr="00103893">
        <w:rPr>
          <w:lang w:eastAsia="en-IE"/>
        </w:rPr>
        <w:t>most important components of a specialist ageing service for older people with intellectual disability and complex needs ranked in order</w:t>
      </w:r>
      <w:r>
        <w:rPr>
          <w:lang w:eastAsia="en-IE"/>
        </w:rPr>
        <w:t xml:space="preserve"> </w:t>
      </w:r>
      <w:r w:rsidRPr="00103893">
        <w:rPr>
          <w:lang w:eastAsia="en-IE"/>
        </w:rPr>
        <w:t>of importance with 1 being the most important.</w:t>
      </w:r>
      <w:r w:rsidRPr="00103893">
        <w:rPr>
          <w:rFonts w:ascii="Arial" w:hAnsi="Arial" w:cs="Arial"/>
          <w:lang w:eastAsia="en-IE"/>
        </w:rPr>
        <w:t> </w:t>
      </w:r>
    </w:p>
    <w:tbl>
      <w:tblPr>
        <w:tblW w:w="5000" w:type="pct"/>
        <w:tblLook w:val="04A0" w:firstRow="1" w:lastRow="0" w:firstColumn="1" w:lastColumn="0" w:noHBand="0" w:noVBand="1"/>
      </w:tblPr>
      <w:tblGrid>
        <w:gridCol w:w="1908"/>
        <w:gridCol w:w="744"/>
        <w:gridCol w:w="743"/>
        <w:gridCol w:w="743"/>
        <w:gridCol w:w="743"/>
        <w:gridCol w:w="743"/>
        <w:gridCol w:w="743"/>
        <w:gridCol w:w="766"/>
        <w:gridCol w:w="869"/>
        <w:gridCol w:w="826"/>
      </w:tblGrid>
      <w:tr w:rsidR="00AB7893" w:rsidRPr="00530D74" w14:paraId="73B0DCCD" w14:textId="77777777" w:rsidTr="006E5E0B">
        <w:trPr>
          <w:trHeight w:val="417"/>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tcPr>
          <w:p w14:paraId="474A1007" w14:textId="77777777" w:rsidR="00AB7893" w:rsidRPr="009E7840" w:rsidRDefault="00AB7893" w:rsidP="006E5E0B">
            <w:pPr>
              <w:spacing w:after="0"/>
              <w:contextualSpacing/>
              <w:jc w:val="center"/>
              <w:rPr>
                <w:rFonts w:cs="Calibri"/>
                <w:b/>
                <w:bCs/>
                <w:sz w:val="22"/>
                <w:szCs w:val="22"/>
                <w:lang w:eastAsia="en-IE"/>
              </w:rPr>
            </w:pPr>
            <w:r w:rsidRPr="009E7840">
              <w:rPr>
                <w:rFonts w:cs="Calibri"/>
                <w:b/>
                <w:bCs/>
                <w:sz w:val="22"/>
                <w:szCs w:val="22"/>
                <w:lang w:eastAsia="en-IE"/>
              </w:rPr>
              <w:t>Ranking %</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tcPr>
          <w:p w14:paraId="7F55B7F4" w14:textId="77777777" w:rsidR="00AB7893" w:rsidRPr="009E7840" w:rsidRDefault="00AB7893" w:rsidP="006E5E0B">
            <w:pPr>
              <w:spacing w:after="0"/>
              <w:contextualSpacing/>
              <w:jc w:val="center"/>
              <w:rPr>
                <w:rFonts w:cs="Calibri"/>
                <w:b/>
                <w:bCs/>
                <w:sz w:val="22"/>
                <w:szCs w:val="22"/>
                <w:lang w:eastAsia="en-IE"/>
              </w:rPr>
            </w:pPr>
            <w:r w:rsidRPr="009E7840">
              <w:rPr>
                <w:rFonts w:cs="Calibri"/>
                <w:b/>
                <w:bCs/>
                <w:sz w:val="22"/>
                <w:szCs w:val="22"/>
                <w:lang w:eastAsia="en-IE"/>
              </w:rPr>
              <w:t>1</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tcPr>
          <w:p w14:paraId="167EFC8F" w14:textId="77777777" w:rsidR="00AB7893" w:rsidRPr="009E7840" w:rsidRDefault="00AB7893" w:rsidP="006E5E0B">
            <w:pPr>
              <w:spacing w:after="0"/>
              <w:contextualSpacing/>
              <w:jc w:val="center"/>
              <w:rPr>
                <w:rFonts w:cs="Calibri"/>
                <w:b/>
                <w:bCs/>
                <w:sz w:val="22"/>
                <w:szCs w:val="22"/>
                <w:lang w:eastAsia="en-IE"/>
              </w:rPr>
            </w:pPr>
            <w:r w:rsidRPr="009E7840">
              <w:rPr>
                <w:rFonts w:cs="Calibri"/>
                <w:b/>
                <w:bCs/>
                <w:sz w:val="22"/>
                <w:szCs w:val="22"/>
                <w:lang w:eastAsia="en-IE"/>
              </w:rPr>
              <w:t>2</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tcPr>
          <w:p w14:paraId="20ABC99A" w14:textId="77777777" w:rsidR="00AB7893" w:rsidRPr="009E7840" w:rsidRDefault="00AB7893" w:rsidP="006E5E0B">
            <w:pPr>
              <w:spacing w:after="0"/>
              <w:contextualSpacing/>
              <w:jc w:val="center"/>
              <w:rPr>
                <w:rFonts w:cs="Calibri"/>
                <w:b/>
                <w:bCs/>
                <w:sz w:val="22"/>
                <w:szCs w:val="22"/>
                <w:lang w:eastAsia="en-IE"/>
              </w:rPr>
            </w:pPr>
            <w:r w:rsidRPr="009E7840">
              <w:rPr>
                <w:rFonts w:cs="Calibri"/>
                <w:b/>
                <w:bCs/>
                <w:sz w:val="22"/>
                <w:szCs w:val="22"/>
                <w:lang w:eastAsia="en-IE"/>
              </w:rPr>
              <w:t>3</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tcPr>
          <w:p w14:paraId="7961CFA4" w14:textId="77777777" w:rsidR="00AB7893" w:rsidRPr="009E7840" w:rsidRDefault="00AB7893" w:rsidP="006E5E0B">
            <w:pPr>
              <w:spacing w:after="0"/>
              <w:contextualSpacing/>
              <w:jc w:val="center"/>
              <w:rPr>
                <w:rFonts w:cs="Calibri"/>
                <w:b/>
                <w:bCs/>
                <w:sz w:val="22"/>
                <w:szCs w:val="22"/>
                <w:lang w:eastAsia="en-IE"/>
              </w:rPr>
            </w:pPr>
            <w:r w:rsidRPr="009E7840">
              <w:rPr>
                <w:rFonts w:cs="Calibri"/>
                <w:b/>
                <w:bCs/>
                <w:sz w:val="22"/>
                <w:szCs w:val="22"/>
                <w:lang w:eastAsia="en-IE"/>
              </w:rPr>
              <w:t>4</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tcPr>
          <w:p w14:paraId="3867B759" w14:textId="77777777" w:rsidR="00AB7893" w:rsidRPr="009E7840" w:rsidRDefault="00AB7893" w:rsidP="006E5E0B">
            <w:pPr>
              <w:spacing w:after="0"/>
              <w:contextualSpacing/>
              <w:jc w:val="center"/>
              <w:rPr>
                <w:rFonts w:cs="Calibri"/>
                <w:b/>
                <w:bCs/>
                <w:sz w:val="22"/>
                <w:szCs w:val="22"/>
                <w:lang w:eastAsia="en-IE"/>
              </w:rPr>
            </w:pPr>
            <w:r w:rsidRPr="009E7840">
              <w:rPr>
                <w:rFonts w:cs="Calibri"/>
                <w:b/>
                <w:bCs/>
                <w:sz w:val="22"/>
                <w:szCs w:val="22"/>
                <w:lang w:eastAsia="en-IE"/>
              </w:rPr>
              <w:t>5</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tcPr>
          <w:p w14:paraId="7DF1930A" w14:textId="77777777" w:rsidR="00AB7893" w:rsidRPr="009E7840" w:rsidRDefault="00AB7893" w:rsidP="006E5E0B">
            <w:pPr>
              <w:spacing w:after="0"/>
              <w:contextualSpacing/>
              <w:jc w:val="center"/>
              <w:rPr>
                <w:rFonts w:cs="Calibri"/>
                <w:b/>
                <w:bCs/>
                <w:sz w:val="22"/>
                <w:szCs w:val="22"/>
                <w:lang w:eastAsia="en-IE"/>
              </w:rPr>
            </w:pPr>
            <w:r w:rsidRPr="009E7840">
              <w:rPr>
                <w:rFonts w:cs="Calibri"/>
                <w:b/>
                <w:bCs/>
                <w:sz w:val="22"/>
                <w:szCs w:val="22"/>
                <w:lang w:eastAsia="en-IE"/>
              </w:rPr>
              <w:t>6</w:t>
            </w:r>
          </w:p>
        </w:tc>
        <w:tc>
          <w:tcPr>
            <w:tcW w:w="434"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tcPr>
          <w:p w14:paraId="37A2F24D" w14:textId="77777777" w:rsidR="00AB7893" w:rsidRPr="009E7840" w:rsidRDefault="00AB7893" w:rsidP="006E5E0B">
            <w:pPr>
              <w:spacing w:after="0"/>
              <w:contextualSpacing/>
              <w:jc w:val="center"/>
              <w:rPr>
                <w:rFonts w:cs="Calibri"/>
                <w:b/>
                <w:bCs/>
                <w:sz w:val="22"/>
                <w:szCs w:val="22"/>
                <w:lang w:eastAsia="en-IE"/>
              </w:rPr>
            </w:pPr>
            <w:r w:rsidRPr="009E7840">
              <w:rPr>
                <w:rFonts w:cs="Calibri"/>
                <w:b/>
                <w:bCs/>
                <w:sz w:val="22"/>
                <w:szCs w:val="22"/>
                <w:lang w:eastAsia="en-IE"/>
              </w:rPr>
              <w:t>7</w:t>
            </w:r>
          </w:p>
        </w:tc>
        <w:tc>
          <w:tcPr>
            <w:tcW w:w="492"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tcPr>
          <w:p w14:paraId="01363DA2" w14:textId="77777777" w:rsidR="00AB7893" w:rsidRPr="009E7840" w:rsidRDefault="00AB7893" w:rsidP="006E5E0B">
            <w:pPr>
              <w:spacing w:after="0"/>
              <w:contextualSpacing/>
              <w:jc w:val="center"/>
              <w:rPr>
                <w:rFonts w:cs="Calibri"/>
                <w:b/>
                <w:bCs/>
                <w:sz w:val="22"/>
                <w:szCs w:val="22"/>
                <w:lang w:eastAsia="en-IE"/>
              </w:rPr>
            </w:pPr>
            <w:r w:rsidRPr="009E7840">
              <w:rPr>
                <w:rFonts w:cs="Calibri"/>
                <w:b/>
                <w:bCs/>
                <w:sz w:val="22"/>
                <w:szCs w:val="22"/>
                <w:lang w:eastAsia="en-IE"/>
              </w:rPr>
              <w:t>8</w:t>
            </w:r>
          </w:p>
        </w:tc>
        <w:tc>
          <w:tcPr>
            <w:tcW w:w="466" w:type="pct"/>
            <w:tcBorders>
              <w:top w:val="single" w:sz="4" w:space="0" w:color="8EA9DB"/>
              <w:left w:val="single" w:sz="8" w:space="0" w:color="000000"/>
              <w:bottom w:val="single" w:sz="4" w:space="0" w:color="8EA9DB"/>
              <w:right w:val="single" w:sz="4" w:space="0" w:color="000000"/>
            </w:tcBorders>
            <w:shd w:val="clear" w:color="auto" w:fill="DEEAF6" w:themeFill="accent1" w:themeFillTint="33"/>
            <w:vAlign w:val="center"/>
          </w:tcPr>
          <w:p w14:paraId="18E7122C" w14:textId="77777777" w:rsidR="00AB7893" w:rsidRPr="009E7840" w:rsidRDefault="00AB7893" w:rsidP="006E5E0B">
            <w:pPr>
              <w:spacing w:after="0"/>
              <w:contextualSpacing/>
              <w:jc w:val="center"/>
              <w:rPr>
                <w:rFonts w:cs="Calibri"/>
                <w:b/>
                <w:bCs/>
                <w:sz w:val="22"/>
                <w:szCs w:val="22"/>
                <w:lang w:eastAsia="en-IE"/>
              </w:rPr>
            </w:pPr>
            <w:r w:rsidRPr="009E7840">
              <w:rPr>
                <w:rFonts w:cs="Calibri"/>
                <w:b/>
                <w:bCs/>
                <w:sz w:val="22"/>
                <w:szCs w:val="22"/>
                <w:lang w:eastAsia="en-IE"/>
              </w:rPr>
              <w:t>9</w:t>
            </w:r>
          </w:p>
        </w:tc>
      </w:tr>
      <w:tr w:rsidR="00AB7893" w:rsidRPr="00530D74" w14:paraId="1A1838EE" w14:textId="77777777" w:rsidTr="006E5E0B">
        <w:trPr>
          <w:trHeight w:val="417"/>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tcPr>
          <w:p w14:paraId="6313A05D" w14:textId="77777777" w:rsidR="00AB7893" w:rsidRDefault="00AB7893" w:rsidP="006E5E0B">
            <w:pPr>
              <w:spacing w:after="0"/>
              <w:contextualSpacing/>
              <w:rPr>
                <w:rFonts w:cs="Calibri"/>
                <w:sz w:val="22"/>
                <w:szCs w:val="22"/>
                <w:lang w:eastAsia="en-IE"/>
              </w:rPr>
            </w:pPr>
            <w:r>
              <w:rPr>
                <w:rFonts w:cs="Calibri"/>
                <w:sz w:val="22"/>
                <w:szCs w:val="22"/>
                <w:lang w:eastAsia="en-IE"/>
              </w:rPr>
              <w:t>Ageing in Place</w:t>
            </w:r>
          </w:p>
        </w:tc>
        <w:tc>
          <w:tcPr>
            <w:tcW w:w="3920" w:type="pct"/>
            <w:gridSpan w:val="9"/>
            <w:tcBorders>
              <w:top w:val="single" w:sz="4" w:space="0" w:color="8EA9DB"/>
              <w:left w:val="single" w:sz="8" w:space="0" w:color="000000"/>
              <w:bottom w:val="single" w:sz="4" w:space="0" w:color="8EA9DB"/>
              <w:right w:val="single" w:sz="4" w:space="0" w:color="000000"/>
            </w:tcBorders>
            <w:shd w:val="clear" w:color="auto" w:fill="DEEAF6" w:themeFill="accent1" w:themeFillTint="33"/>
          </w:tcPr>
          <w:p w14:paraId="02FC09FF" w14:textId="77777777" w:rsidR="00AB7893" w:rsidRDefault="00AB7893" w:rsidP="006E5E0B">
            <w:pPr>
              <w:spacing w:after="0"/>
              <w:contextualSpacing/>
              <w:jc w:val="center"/>
              <w:rPr>
                <w:rFonts w:cs="Calibri"/>
                <w:sz w:val="22"/>
                <w:szCs w:val="22"/>
                <w:lang w:eastAsia="en-IE"/>
              </w:rPr>
            </w:pPr>
          </w:p>
        </w:tc>
      </w:tr>
      <w:tr w:rsidR="00AB7893" w:rsidRPr="00530D74" w14:paraId="63A88C21" w14:textId="77777777" w:rsidTr="006E5E0B">
        <w:trPr>
          <w:trHeight w:val="417"/>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2E4CCC45"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All </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53453A53"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22.2% (n=6)</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21DB5207"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14.8 (n=4)</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75E6A225"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3.7 (n=1)</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2BE749D9"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14.8 (n=4)</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6308CC97"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3.7 (n=1)</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639DB6F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14.8 (n=4)</w:t>
            </w:r>
          </w:p>
        </w:tc>
        <w:tc>
          <w:tcPr>
            <w:tcW w:w="434"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3481E499"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7.4 (n=2)</w:t>
            </w:r>
          </w:p>
        </w:tc>
        <w:tc>
          <w:tcPr>
            <w:tcW w:w="492"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762B8F8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7.4 (n=2)</w:t>
            </w:r>
          </w:p>
        </w:tc>
        <w:tc>
          <w:tcPr>
            <w:tcW w:w="466" w:type="pct"/>
            <w:tcBorders>
              <w:top w:val="single" w:sz="4" w:space="0" w:color="8EA9DB"/>
              <w:left w:val="single" w:sz="8" w:space="0" w:color="000000"/>
              <w:bottom w:val="single" w:sz="4" w:space="0" w:color="8EA9DB"/>
              <w:right w:val="single" w:sz="4" w:space="0" w:color="000000"/>
            </w:tcBorders>
            <w:shd w:val="clear" w:color="auto" w:fill="DEEAF6" w:themeFill="accent1" w:themeFillTint="33"/>
            <w:hideMark/>
          </w:tcPr>
          <w:p w14:paraId="002D4479"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11.1 (n=3)</w:t>
            </w:r>
          </w:p>
        </w:tc>
      </w:tr>
      <w:tr w:rsidR="00AB7893" w:rsidRPr="00530D74" w14:paraId="08E5FE1B" w14:textId="77777777" w:rsidTr="006E5E0B">
        <w:trPr>
          <w:trHeight w:val="323"/>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5414B457"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Specialist </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39575A7A"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38.5% (n=5)</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6736D13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3D05DF9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25604455"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792A307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629333C7"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15.4 (n=2)</w:t>
            </w:r>
          </w:p>
        </w:tc>
        <w:tc>
          <w:tcPr>
            <w:tcW w:w="434"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4436499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92"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71B2CA39"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66" w:type="pct"/>
            <w:tcBorders>
              <w:top w:val="single" w:sz="4" w:space="0" w:color="8EA9DB"/>
              <w:left w:val="single" w:sz="8" w:space="0" w:color="000000"/>
              <w:bottom w:val="single" w:sz="4" w:space="0" w:color="8EA9DB"/>
              <w:right w:val="single" w:sz="4" w:space="0" w:color="000000"/>
            </w:tcBorders>
            <w:shd w:val="clear" w:color="auto" w:fill="DEEAF6" w:themeFill="accent1" w:themeFillTint="33"/>
            <w:hideMark/>
          </w:tcPr>
          <w:p w14:paraId="7304E3C4"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w:t>
            </w:r>
          </w:p>
          <w:p w14:paraId="1DA2C82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(n=1)</w:t>
            </w:r>
          </w:p>
        </w:tc>
      </w:tr>
      <w:tr w:rsidR="00AB7893" w:rsidRPr="00530D74" w14:paraId="5B1D0D2F" w14:textId="77777777" w:rsidTr="006E5E0B">
        <w:trPr>
          <w:trHeight w:val="417"/>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7A51F52C"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Non specialist </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35378EFF"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2F75A9C6"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25% (n=2)</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4FFEE24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003C87DB"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25 (n=2)</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2D3494E8"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(n=1)</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55415289"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25 (n=2)</w:t>
            </w:r>
          </w:p>
        </w:tc>
        <w:tc>
          <w:tcPr>
            <w:tcW w:w="434"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46083A38"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(n=1)</w:t>
            </w:r>
          </w:p>
        </w:tc>
        <w:tc>
          <w:tcPr>
            <w:tcW w:w="492"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hideMark/>
          </w:tcPr>
          <w:p w14:paraId="44AE582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66" w:type="pct"/>
            <w:tcBorders>
              <w:top w:val="single" w:sz="4" w:space="0" w:color="8EA9DB"/>
              <w:left w:val="single" w:sz="8" w:space="0" w:color="000000"/>
              <w:bottom w:val="single" w:sz="4" w:space="0" w:color="8EA9DB"/>
              <w:right w:val="single" w:sz="4" w:space="0" w:color="000000"/>
            </w:tcBorders>
            <w:shd w:val="clear" w:color="auto" w:fill="DEEAF6" w:themeFill="accent1" w:themeFillTint="33"/>
            <w:hideMark/>
          </w:tcPr>
          <w:p w14:paraId="6F779F09"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r>
      <w:tr w:rsidR="00AB7893" w:rsidRPr="00530D74" w14:paraId="650E6F2F" w14:textId="77777777" w:rsidTr="006E5E0B">
        <w:trPr>
          <w:trHeight w:val="369"/>
        </w:trPr>
        <w:tc>
          <w:tcPr>
            <w:tcW w:w="1080" w:type="pct"/>
            <w:tcBorders>
              <w:top w:val="single" w:sz="8" w:space="0" w:color="000000"/>
              <w:left w:val="single" w:sz="4" w:space="0" w:color="000000"/>
              <w:bottom w:val="single" w:sz="8" w:space="0" w:color="000000"/>
              <w:right w:val="single" w:sz="8" w:space="0" w:color="000000"/>
            </w:tcBorders>
            <w:shd w:val="clear" w:color="auto" w:fill="auto"/>
            <w:vAlign w:val="center"/>
            <w:hideMark/>
          </w:tcPr>
          <w:p w14:paraId="048FBA17"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Other </w:t>
            </w:r>
          </w:p>
        </w:tc>
        <w:tc>
          <w:tcPr>
            <w:tcW w:w="421" w:type="pct"/>
            <w:tcBorders>
              <w:top w:val="single" w:sz="4" w:space="0" w:color="8EA9DB"/>
              <w:left w:val="single" w:sz="8" w:space="0" w:color="000000"/>
              <w:bottom w:val="single" w:sz="8" w:space="0" w:color="000000"/>
              <w:right w:val="single" w:sz="8" w:space="0" w:color="000000"/>
            </w:tcBorders>
            <w:shd w:val="clear" w:color="auto" w:fill="DEEAF6" w:themeFill="accent1" w:themeFillTint="33"/>
            <w:hideMark/>
          </w:tcPr>
          <w:p w14:paraId="18E2BB0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21" w:type="pct"/>
            <w:tcBorders>
              <w:top w:val="single" w:sz="4" w:space="0" w:color="8EA9DB"/>
              <w:left w:val="single" w:sz="8" w:space="0" w:color="000000"/>
              <w:bottom w:val="single" w:sz="8" w:space="0" w:color="000000"/>
              <w:right w:val="single" w:sz="8" w:space="0" w:color="000000"/>
            </w:tcBorders>
            <w:shd w:val="clear" w:color="auto" w:fill="DEEAF6" w:themeFill="accent1" w:themeFillTint="33"/>
            <w:hideMark/>
          </w:tcPr>
          <w:p w14:paraId="4D2ED27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21" w:type="pct"/>
            <w:tcBorders>
              <w:top w:val="single" w:sz="4" w:space="0" w:color="8EA9DB"/>
              <w:left w:val="single" w:sz="8" w:space="0" w:color="000000"/>
              <w:bottom w:val="single" w:sz="8" w:space="0" w:color="000000"/>
              <w:right w:val="single" w:sz="8" w:space="0" w:color="000000"/>
            </w:tcBorders>
            <w:shd w:val="clear" w:color="auto" w:fill="DEEAF6" w:themeFill="accent1" w:themeFillTint="33"/>
            <w:hideMark/>
          </w:tcPr>
          <w:p w14:paraId="184DED6A"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8" w:space="0" w:color="000000"/>
              <w:right w:val="single" w:sz="8" w:space="0" w:color="000000"/>
            </w:tcBorders>
            <w:shd w:val="clear" w:color="auto" w:fill="DEEAF6" w:themeFill="accent1" w:themeFillTint="33"/>
            <w:hideMark/>
          </w:tcPr>
          <w:p w14:paraId="0099B37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21" w:type="pct"/>
            <w:tcBorders>
              <w:top w:val="single" w:sz="4" w:space="0" w:color="8EA9DB"/>
              <w:left w:val="single" w:sz="8" w:space="0" w:color="000000"/>
              <w:bottom w:val="single" w:sz="8" w:space="0" w:color="000000"/>
              <w:right w:val="single" w:sz="8" w:space="0" w:color="000000"/>
            </w:tcBorders>
            <w:shd w:val="clear" w:color="auto" w:fill="DEEAF6" w:themeFill="accent1" w:themeFillTint="33"/>
            <w:hideMark/>
          </w:tcPr>
          <w:p w14:paraId="23874376"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8" w:space="0" w:color="000000"/>
              <w:right w:val="single" w:sz="8" w:space="0" w:color="000000"/>
            </w:tcBorders>
            <w:shd w:val="clear" w:color="auto" w:fill="DEEAF6" w:themeFill="accent1" w:themeFillTint="33"/>
            <w:hideMark/>
          </w:tcPr>
          <w:p w14:paraId="1733CE2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34" w:type="pct"/>
            <w:tcBorders>
              <w:top w:val="single" w:sz="4" w:space="0" w:color="8EA9DB"/>
              <w:left w:val="single" w:sz="8" w:space="0" w:color="000000"/>
              <w:bottom w:val="single" w:sz="8" w:space="0" w:color="000000"/>
              <w:right w:val="single" w:sz="8" w:space="0" w:color="000000"/>
            </w:tcBorders>
            <w:shd w:val="clear" w:color="auto" w:fill="DEEAF6" w:themeFill="accent1" w:themeFillTint="33"/>
            <w:hideMark/>
          </w:tcPr>
          <w:p w14:paraId="39795E3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92" w:type="pct"/>
            <w:tcBorders>
              <w:top w:val="single" w:sz="4" w:space="0" w:color="8EA9DB"/>
              <w:left w:val="single" w:sz="8" w:space="0" w:color="000000"/>
              <w:bottom w:val="single" w:sz="8" w:space="0" w:color="000000"/>
              <w:right w:val="single" w:sz="8" w:space="0" w:color="000000"/>
            </w:tcBorders>
            <w:shd w:val="clear" w:color="auto" w:fill="DEEAF6" w:themeFill="accent1" w:themeFillTint="33"/>
            <w:hideMark/>
          </w:tcPr>
          <w:p w14:paraId="001F44BA"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66" w:type="pct"/>
            <w:tcBorders>
              <w:top w:val="single" w:sz="4" w:space="0" w:color="8EA9DB"/>
              <w:left w:val="single" w:sz="8" w:space="0" w:color="000000"/>
              <w:bottom w:val="single" w:sz="8" w:space="0" w:color="000000"/>
              <w:right w:val="single" w:sz="4" w:space="0" w:color="000000"/>
            </w:tcBorders>
            <w:shd w:val="clear" w:color="auto" w:fill="DEEAF6" w:themeFill="accent1" w:themeFillTint="33"/>
            <w:hideMark/>
          </w:tcPr>
          <w:p w14:paraId="4A9C30F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33.3 (n=2)</w:t>
            </w:r>
          </w:p>
        </w:tc>
      </w:tr>
      <w:tr w:rsidR="00AB7893" w:rsidRPr="00530D74" w14:paraId="36D77A30" w14:textId="77777777" w:rsidTr="006E5E0B">
        <w:trPr>
          <w:trHeight w:val="274"/>
        </w:trPr>
        <w:tc>
          <w:tcPr>
            <w:tcW w:w="5000" w:type="pct"/>
            <w:gridSpan w:val="10"/>
            <w:tcBorders>
              <w:top w:val="single" w:sz="8" w:space="0" w:color="000000"/>
              <w:left w:val="single" w:sz="4" w:space="0" w:color="000000"/>
              <w:bottom w:val="single" w:sz="4" w:space="0" w:color="8EA9DB"/>
              <w:right w:val="single" w:sz="4" w:space="0" w:color="000000"/>
            </w:tcBorders>
            <w:shd w:val="clear" w:color="D9E1F2" w:fill="D9E1F2"/>
            <w:vAlign w:val="center"/>
            <w:hideMark/>
          </w:tcPr>
          <w:p w14:paraId="75CC39EF" w14:textId="77777777" w:rsidR="00AB7893" w:rsidRPr="00530D74" w:rsidRDefault="00AB7893" w:rsidP="006E5E0B">
            <w:pPr>
              <w:spacing w:after="0"/>
              <w:contextualSpacing/>
              <w:rPr>
                <w:rFonts w:cs="Calibri"/>
                <w:b/>
                <w:sz w:val="22"/>
                <w:szCs w:val="22"/>
                <w:lang w:eastAsia="en-IE"/>
              </w:rPr>
            </w:pPr>
            <w:r w:rsidRPr="00530D74">
              <w:rPr>
                <w:rFonts w:cs="Calibri"/>
                <w:b/>
                <w:sz w:val="22"/>
                <w:szCs w:val="22"/>
                <w:lang w:eastAsia="en-IE"/>
              </w:rPr>
              <w:t>Person</w:t>
            </w:r>
            <w:r>
              <w:rPr>
                <w:rFonts w:cs="Calibri"/>
                <w:b/>
                <w:bCs/>
                <w:sz w:val="22"/>
                <w:szCs w:val="22"/>
                <w:lang w:eastAsia="en-IE"/>
              </w:rPr>
              <w:t>-</w:t>
            </w:r>
            <w:r w:rsidRPr="00530D74">
              <w:rPr>
                <w:rFonts w:cs="Calibri"/>
                <w:b/>
                <w:sz w:val="22"/>
                <w:szCs w:val="22"/>
                <w:lang w:eastAsia="en-IE"/>
              </w:rPr>
              <w:t>centred support </w:t>
            </w:r>
          </w:p>
        </w:tc>
      </w:tr>
      <w:tr w:rsidR="00AB7893" w:rsidRPr="00530D74" w14:paraId="068A0BA1" w14:textId="77777777" w:rsidTr="006E5E0B">
        <w:trPr>
          <w:trHeight w:val="300"/>
        </w:trPr>
        <w:tc>
          <w:tcPr>
            <w:tcW w:w="1080" w:type="pct"/>
            <w:tcBorders>
              <w:top w:val="single" w:sz="8" w:space="0" w:color="000000"/>
              <w:left w:val="single" w:sz="4" w:space="0" w:color="000000"/>
              <w:bottom w:val="single" w:sz="4" w:space="0" w:color="8EA9DB"/>
              <w:right w:val="single" w:sz="8" w:space="0" w:color="000000"/>
            </w:tcBorders>
            <w:shd w:val="clear" w:color="auto" w:fill="FFFFFF" w:themeFill="background1"/>
            <w:vAlign w:val="center"/>
            <w:hideMark/>
          </w:tcPr>
          <w:p w14:paraId="037760BA"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All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5C67885"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29.6% (n=8)</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A0A3B96"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18.5% (n=5)</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59CEF5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25.9% (n=7)</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095B9CA"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11.1% (n=3)</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B05394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7.4%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2720EF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3.7% (n=1)</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CB3D9F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3.7% (n=1)</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ABE9FB8"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0E023A7A"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r>
      <w:tr w:rsidR="00AB7893" w:rsidRPr="00530D74" w14:paraId="5D3905EA" w14:textId="77777777" w:rsidTr="006E5E0B">
        <w:trPr>
          <w:trHeight w:val="406"/>
        </w:trPr>
        <w:tc>
          <w:tcPr>
            <w:tcW w:w="1080" w:type="pct"/>
            <w:tcBorders>
              <w:top w:val="single" w:sz="8" w:space="0" w:color="000000"/>
              <w:left w:val="single" w:sz="4" w:space="0" w:color="000000"/>
              <w:bottom w:val="single" w:sz="4" w:space="0" w:color="8EA9DB"/>
              <w:right w:val="single" w:sz="8" w:space="0" w:color="000000"/>
            </w:tcBorders>
            <w:shd w:val="clear" w:color="auto" w:fill="FFFFFF" w:themeFill="background1"/>
            <w:vAlign w:val="center"/>
            <w:hideMark/>
          </w:tcPr>
          <w:p w14:paraId="78ECC087"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Specialist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DA2FF38"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23.1% (n=3)</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125CAB4"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15.4%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1DE408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23.1% (n=3)</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65EF694"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15.4%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4265CB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EBEC36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3.7% (n=1)</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75A01E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3.7% (n=1)</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30703E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1F2EB095"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r>
      <w:tr w:rsidR="00AB7893" w:rsidRPr="00530D74" w14:paraId="4EDC59A9" w14:textId="77777777" w:rsidTr="006E5E0B">
        <w:trPr>
          <w:trHeight w:val="641"/>
        </w:trPr>
        <w:tc>
          <w:tcPr>
            <w:tcW w:w="1080" w:type="pct"/>
            <w:tcBorders>
              <w:top w:val="single" w:sz="8" w:space="0" w:color="000000"/>
              <w:left w:val="single" w:sz="4" w:space="0" w:color="000000"/>
              <w:bottom w:val="single" w:sz="4" w:space="0" w:color="8EA9DB"/>
              <w:right w:val="single" w:sz="8" w:space="0" w:color="000000"/>
            </w:tcBorders>
            <w:shd w:val="clear" w:color="auto" w:fill="FFFFFF" w:themeFill="background1"/>
            <w:vAlign w:val="center"/>
            <w:hideMark/>
          </w:tcPr>
          <w:p w14:paraId="6FA4CE47"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Non specialist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08A65B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25%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86C005A"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25%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25680B8"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37.3% (n=3)</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B94EEC8"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B9943A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1C42A38"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D9458B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F1B80E7"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4D2CE865"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r>
      <w:tr w:rsidR="00AB7893" w:rsidRPr="00530D74" w14:paraId="38887B52" w14:textId="77777777" w:rsidTr="006E5E0B">
        <w:trPr>
          <w:trHeight w:val="413"/>
        </w:trPr>
        <w:tc>
          <w:tcPr>
            <w:tcW w:w="1080" w:type="pct"/>
            <w:tcBorders>
              <w:top w:val="single" w:sz="8" w:space="0" w:color="000000"/>
              <w:left w:val="single" w:sz="4" w:space="0" w:color="000000"/>
              <w:bottom w:val="single" w:sz="4" w:space="0" w:color="8EA9DB"/>
              <w:right w:val="single" w:sz="8" w:space="0" w:color="000000"/>
            </w:tcBorders>
            <w:shd w:val="clear" w:color="auto" w:fill="FFFFFF" w:themeFill="background1"/>
            <w:vAlign w:val="center"/>
            <w:hideMark/>
          </w:tcPr>
          <w:p w14:paraId="7668829B"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Other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26768D3"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50% (n=3)</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42D2B8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3EB17A9"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CF7649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9D9F507"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999EC2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510663FF"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D370BD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43CD5D7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r>
      <w:tr w:rsidR="00AB7893" w:rsidRPr="00530D74" w14:paraId="1AF44AB4" w14:textId="77777777" w:rsidTr="006E5E0B">
        <w:trPr>
          <w:trHeight w:val="161"/>
        </w:trPr>
        <w:tc>
          <w:tcPr>
            <w:tcW w:w="5000" w:type="pct"/>
            <w:gridSpan w:val="10"/>
            <w:tcBorders>
              <w:top w:val="single" w:sz="8" w:space="0" w:color="000000"/>
              <w:left w:val="single" w:sz="4" w:space="0" w:color="000000"/>
              <w:bottom w:val="single" w:sz="4" w:space="0" w:color="8EA9DB"/>
              <w:right w:val="single" w:sz="4" w:space="0" w:color="000000"/>
            </w:tcBorders>
            <w:shd w:val="clear" w:color="D9E1F2" w:fill="D9E1F2"/>
            <w:vAlign w:val="center"/>
            <w:hideMark/>
          </w:tcPr>
          <w:p w14:paraId="66EFDCBE" w14:textId="77777777" w:rsidR="00AB7893" w:rsidRPr="00530D74" w:rsidRDefault="00AB7893" w:rsidP="006E5E0B">
            <w:pPr>
              <w:spacing w:after="0"/>
              <w:contextualSpacing/>
              <w:rPr>
                <w:rFonts w:cs="Calibri"/>
                <w:b/>
                <w:sz w:val="22"/>
                <w:szCs w:val="22"/>
                <w:lang w:eastAsia="en-IE"/>
              </w:rPr>
            </w:pPr>
            <w:r w:rsidRPr="00530D74">
              <w:rPr>
                <w:rFonts w:cs="Calibri"/>
                <w:b/>
                <w:sz w:val="22"/>
                <w:szCs w:val="22"/>
                <w:lang w:eastAsia="en-IE"/>
              </w:rPr>
              <w:t>Responsive to needs </w:t>
            </w:r>
            <w:r w:rsidRPr="00530D74">
              <w:rPr>
                <w:rFonts w:cs="Calibri"/>
                <w:sz w:val="22"/>
                <w:szCs w:val="22"/>
                <w:lang w:eastAsia="en-IE"/>
              </w:rPr>
              <w:t> </w:t>
            </w:r>
          </w:p>
        </w:tc>
      </w:tr>
      <w:tr w:rsidR="00AB7893" w:rsidRPr="00530D74" w14:paraId="4F5B3827" w14:textId="77777777" w:rsidTr="006E5E0B">
        <w:trPr>
          <w:trHeight w:val="600"/>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28E2A186"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All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95B6C1F"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11.1% (n=3)</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34F9DF4"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18.5% (n=5)</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06B786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22.2% (n=6)</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35F7BED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22.2% (n=6)</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C60543B"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7.4%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68C4DDA"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14.8% (n=4)</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F9365C3"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4B39AD7"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2948225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3.7% (n=1)</w:t>
            </w:r>
          </w:p>
        </w:tc>
      </w:tr>
      <w:tr w:rsidR="00AB7893" w:rsidRPr="00530D74" w14:paraId="4A640B6C" w14:textId="77777777" w:rsidTr="006E5E0B">
        <w:trPr>
          <w:trHeight w:val="518"/>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79861F5C"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Specialist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96DFB8B"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B57C55B"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30.8% (n=4)</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13B274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55F768A"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30.8% (n=4)</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3A533D36"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15.4%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660197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15.4% (n=2)</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FBE6DDB"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57895328"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4A48154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r>
      <w:tr w:rsidR="00AB7893" w:rsidRPr="00530D74" w14:paraId="3DAB045F" w14:textId="77777777" w:rsidTr="006E5E0B">
        <w:trPr>
          <w:trHeight w:val="598"/>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7B16F989"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Non specialist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3B6FEBAA"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20%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FB0AC0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7C374A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25%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305E55A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25%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E07AEBF"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7C7A42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0F0A8E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B8BBBB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6AAE5976"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(n=1)</w:t>
            </w:r>
          </w:p>
        </w:tc>
      </w:tr>
      <w:tr w:rsidR="00AB7893" w:rsidRPr="00530D74" w14:paraId="5E3EA4F6" w14:textId="77777777" w:rsidTr="006E5E0B">
        <w:trPr>
          <w:trHeight w:val="399"/>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64D377B1"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Other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FA3B09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5B9A0C3"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D593CDF"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50% (n=3)</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380FD4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6820EA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677C493"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33.3% (n=2)</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BBD1AEF"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0BF335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62227064"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r>
      <w:tr w:rsidR="00AB7893" w:rsidRPr="00530D74" w14:paraId="7A1AA4B2" w14:textId="77777777" w:rsidTr="006E5E0B">
        <w:trPr>
          <w:trHeight w:val="347"/>
        </w:trPr>
        <w:tc>
          <w:tcPr>
            <w:tcW w:w="5000" w:type="pct"/>
            <w:gridSpan w:val="10"/>
            <w:tcBorders>
              <w:top w:val="single" w:sz="8" w:space="0" w:color="000000"/>
              <w:left w:val="single" w:sz="4" w:space="0" w:color="000000"/>
              <w:bottom w:val="single" w:sz="8" w:space="0" w:color="000000"/>
              <w:right w:val="single" w:sz="4" w:space="0" w:color="000000"/>
            </w:tcBorders>
            <w:shd w:val="clear" w:color="D9E1F2" w:fill="D9E1F2"/>
            <w:vAlign w:val="center"/>
            <w:hideMark/>
          </w:tcPr>
          <w:p w14:paraId="244B5C24" w14:textId="77777777" w:rsidR="00AB7893" w:rsidRPr="00530D74" w:rsidRDefault="00AB7893" w:rsidP="006E5E0B">
            <w:pPr>
              <w:spacing w:after="0"/>
              <w:contextualSpacing/>
              <w:rPr>
                <w:rFonts w:cs="Calibri"/>
                <w:b/>
                <w:sz w:val="22"/>
                <w:szCs w:val="22"/>
                <w:lang w:eastAsia="en-IE"/>
              </w:rPr>
            </w:pPr>
            <w:r w:rsidRPr="00530D74">
              <w:rPr>
                <w:rFonts w:cs="Calibri"/>
                <w:b/>
                <w:sz w:val="22"/>
                <w:szCs w:val="22"/>
                <w:lang w:eastAsia="en-IE"/>
              </w:rPr>
              <w:t>Social involvement / networking </w:t>
            </w:r>
            <w:r w:rsidRPr="00530D74">
              <w:rPr>
                <w:rFonts w:cs="Calibri"/>
                <w:sz w:val="22"/>
                <w:szCs w:val="22"/>
                <w:lang w:eastAsia="en-IE"/>
              </w:rPr>
              <w:t> </w:t>
            </w:r>
          </w:p>
        </w:tc>
      </w:tr>
      <w:tr w:rsidR="00AB7893" w:rsidRPr="00530D74" w14:paraId="1270ED34" w14:textId="77777777" w:rsidTr="006E5E0B">
        <w:trPr>
          <w:trHeight w:val="257"/>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6B2D35C6"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All </w:t>
            </w:r>
          </w:p>
        </w:tc>
        <w:tc>
          <w:tcPr>
            <w:tcW w:w="421" w:type="pct"/>
            <w:tcBorders>
              <w:top w:val="single" w:sz="4" w:space="0" w:color="8EA9DB"/>
              <w:left w:val="single" w:sz="8" w:space="0" w:color="000000"/>
              <w:bottom w:val="single" w:sz="4" w:space="0" w:color="8EA9DB"/>
              <w:right w:val="single" w:sz="8" w:space="0" w:color="000000"/>
            </w:tcBorders>
            <w:shd w:val="clear" w:color="auto" w:fill="auto"/>
            <w:vAlign w:val="center"/>
            <w:hideMark/>
          </w:tcPr>
          <w:p w14:paraId="4074E989"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auto" w:fill="auto"/>
            <w:vAlign w:val="center"/>
            <w:hideMark/>
          </w:tcPr>
          <w:p w14:paraId="6030094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auto" w:fill="auto"/>
            <w:vAlign w:val="center"/>
            <w:hideMark/>
          </w:tcPr>
          <w:p w14:paraId="2DE1DBB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3.7% (n=1)</w:t>
            </w:r>
          </w:p>
        </w:tc>
        <w:tc>
          <w:tcPr>
            <w:tcW w:w="421" w:type="pct"/>
            <w:tcBorders>
              <w:top w:val="single" w:sz="4" w:space="0" w:color="8EA9DB"/>
              <w:left w:val="single" w:sz="8" w:space="0" w:color="000000"/>
              <w:bottom w:val="single" w:sz="4" w:space="0" w:color="8EA9DB"/>
              <w:right w:val="single" w:sz="8" w:space="0" w:color="000000"/>
            </w:tcBorders>
            <w:shd w:val="clear" w:color="auto" w:fill="auto"/>
            <w:vAlign w:val="center"/>
            <w:hideMark/>
          </w:tcPr>
          <w:p w14:paraId="4CB5CD6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auto" w:fill="auto"/>
            <w:vAlign w:val="center"/>
            <w:hideMark/>
          </w:tcPr>
          <w:p w14:paraId="759683F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14.8% (n=4)</w:t>
            </w:r>
          </w:p>
        </w:tc>
        <w:tc>
          <w:tcPr>
            <w:tcW w:w="421" w:type="pct"/>
            <w:tcBorders>
              <w:top w:val="single" w:sz="4" w:space="0" w:color="8EA9DB"/>
              <w:left w:val="single" w:sz="8" w:space="0" w:color="000000"/>
              <w:bottom w:val="single" w:sz="4" w:space="0" w:color="8EA9DB"/>
              <w:right w:val="single" w:sz="8" w:space="0" w:color="000000"/>
            </w:tcBorders>
            <w:shd w:val="clear" w:color="auto" w:fill="auto"/>
            <w:vAlign w:val="center"/>
            <w:hideMark/>
          </w:tcPr>
          <w:p w14:paraId="2A50C158"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3.7% (n=1)</w:t>
            </w:r>
          </w:p>
        </w:tc>
        <w:tc>
          <w:tcPr>
            <w:tcW w:w="434" w:type="pct"/>
            <w:tcBorders>
              <w:top w:val="single" w:sz="4" w:space="0" w:color="8EA9DB"/>
              <w:left w:val="single" w:sz="8" w:space="0" w:color="000000"/>
              <w:bottom w:val="single" w:sz="4" w:space="0" w:color="8EA9DB"/>
              <w:right w:val="single" w:sz="8" w:space="0" w:color="000000"/>
            </w:tcBorders>
            <w:shd w:val="clear" w:color="auto" w:fill="auto"/>
            <w:vAlign w:val="center"/>
            <w:hideMark/>
          </w:tcPr>
          <w:p w14:paraId="77160C2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29.6% (n=8)</w:t>
            </w:r>
          </w:p>
        </w:tc>
        <w:tc>
          <w:tcPr>
            <w:tcW w:w="492" w:type="pct"/>
            <w:tcBorders>
              <w:top w:val="single" w:sz="4" w:space="0" w:color="8EA9DB"/>
              <w:left w:val="single" w:sz="8" w:space="0" w:color="000000"/>
              <w:bottom w:val="single" w:sz="4" w:space="0" w:color="8EA9DB"/>
              <w:right w:val="single" w:sz="8" w:space="0" w:color="000000"/>
            </w:tcBorders>
            <w:shd w:val="clear" w:color="auto" w:fill="auto"/>
            <w:vAlign w:val="center"/>
            <w:hideMark/>
          </w:tcPr>
          <w:p w14:paraId="23DC52EA"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25.9% (n=7)</w:t>
            </w:r>
          </w:p>
        </w:tc>
        <w:tc>
          <w:tcPr>
            <w:tcW w:w="466" w:type="pct"/>
            <w:tcBorders>
              <w:top w:val="single" w:sz="4" w:space="0" w:color="8EA9DB"/>
              <w:left w:val="single" w:sz="8" w:space="0" w:color="000000"/>
              <w:bottom w:val="single" w:sz="4" w:space="0" w:color="8EA9DB"/>
              <w:right w:val="single" w:sz="4" w:space="0" w:color="000000"/>
            </w:tcBorders>
            <w:shd w:val="clear" w:color="auto" w:fill="auto"/>
            <w:vAlign w:val="center"/>
            <w:hideMark/>
          </w:tcPr>
          <w:p w14:paraId="56659779"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22.2% (n=6)</w:t>
            </w:r>
          </w:p>
        </w:tc>
      </w:tr>
      <w:tr w:rsidR="00AB7893" w:rsidRPr="00530D74" w14:paraId="717BD07A" w14:textId="77777777" w:rsidTr="006E5E0B">
        <w:trPr>
          <w:trHeight w:val="407"/>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11489B1E"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Specialist </w:t>
            </w:r>
          </w:p>
        </w:tc>
        <w:tc>
          <w:tcPr>
            <w:tcW w:w="421" w:type="pct"/>
            <w:tcBorders>
              <w:top w:val="single" w:sz="4" w:space="0" w:color="8EA9DB"/>
              <w:left w:val="single" w:sz="8" w:space="0" w:color="000000"/>
              <w:bottom w:val="single" w:sz="4" w:space="0" w:color="8EA9DB"/>
              <w:right w:val="single" w:sz="8" w:space="0" w:color="000000"/>
            </w:tcBorders>
            <w:shd w:val="clear" w:color="auto" w:fill="auto"/>
            <w:vAlign w:val="center"/>
            <w:hideMark/>
          </w:tcPr>
          <w:p w14:paraId="29737C5B"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auto" w:fill="auto"/>
            <w:vAlign w:val="center"/>
            <w:hideMark/>
          </w:tcPr>
          <w:p w14:paraId="4E767A36"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auto" w:fill="auto"/>
            <w:vAlign w:val="center"/>
            <w:hideMark/>
          </w:tcPr>
          <w:p w14:paraId="323B4A93"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21" w:type="pct"/>
            <w:tcBorders>
              <w:top w:val="single" w:sz="4" w:space="0" w:color="8EA9DB"/>
              <w:left w:val="single" w:sz="8" w:space="0" w:color="000000"/>
              <w:bottom w:val="single" w:sz="4" w:space="0" w:color="8EA9DB"/>
              <w:right w:val="single" w:sz="8" w:space="0" w:color="000000"/>
            </w:tcBorders>
            <w:shd w:val="clear" w:color="auto" w:fill="auto"/>
            <w:vAlign w:val="center"/>
            <w:hideMark/>
          </w:tcPr>
          <w:p w14:paraId="27A8C4E4"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auto" w:fill="auto"/>
            <w:vAlign w:val="center"/>
            <w:hideMark/>
          </w:tcPr>
          <w:p w14:paraId="1096305A"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21" w:type="pct"/>
            <w:tcBorders>
              <w:top w:val="single" w:sz="4" w:space="0" w:color="8EA9DB"/>
              <w:left w:val="single" w:sz="8" w:space="0" w:color="000000"/>
              <w:bottom w:val="single" w:sz="4" w:space="0" w:color="8EA9DB"/>
              <w:right w:val="single" w:sz="8" w:space="0" w:color="000000"/>
            </w:tcBorders>
            <w:shd w:val="clear" w:color="auto" w:fill="auto"/>
            <w:vAlign w:val="center"/>
            <w:hideMark/>
          </w:tcPr>
          <w:p w14:paraId="6CC9B825"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34" w:type="pct"/>
            <w:tcBorders>
              <w:top w:val="single" w:sz="4" w:space="0" w:color="8EA9DB"/>
              <w:left w:val="single" w:sz="8" w:space="0" w:color="000000"/>
              <w:bottom w:val="single" w:sz="4" w:space="0" w:color="8EA9DB"/>
              <w:right w:val="single" w:sz="8" w:space="0" w:color="000000"/>
            </w:tcBorders>
            <w:shd w:val="clear" w:color="auto" w:fill="auto"/>
            <w:vAlign w:val="center"/>
            <w:hideMark/>
          </w:tcPr>
          <w:p w14:paraId="11AA6046"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23.1% (n=3)</w:t>
            </w:r>
          </w:p>
        </w:tc>
        <w:tc>
          <w:tcPr>
            <w:tcW w:w="492" w:type="pct"/>
            <w:tcBorders>
              <w:top w:val="single" w:sz="4" w:space="0" w:color="8EA9DB"/>
              <w:left w:val="single" w:sz="8" w:space="0" w:color="000000"/>
              <w:bottom w:val="single" w:sz="4" w:space="0" w:color="8EA9DB"/>
              <w:right w:val="single" w:sz="8" w:space="0" w:color="000000"/>
            </w:tcBorders>
            <w:shd w:val="clear" w:color="auto" w:fill="auto"/>
            <w:vAlign w:val="center"/>
            <w:hideMark/>
          </w:tcPr>
          <w:p w14:paraId="503C2895"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30.8% (n=4)</w:t>
            </w:r>
          </w:p>
        </w:tc>
        <w:tc>
          <w:tcPr>
            <w:tcW w:w="466" w:type="pct"/>
            <w:tcBorders>
              <w:top w:val="single" w:sz="4" w:space="0" w:color="8EA9DB"/>
              <w:left w:val="single" w:sz="8" w:space="0" w:color="000000"/>
              <w:bottom w:val="single" w:sz="4" w:space="0" w:color="8EA9DB"/>
              <w:right w:val="single" w:sz="4" w:space="0" w:color="000000"/>
            </w:tcBorders>
            <w:shd w:val="clear" w:color="auto" w:fill="auto"/>
            <w:vAlign w:val="center"/>
            <w:hideMark/>
          </w:tcPr>
          <w:p w14:paraId="2EEDBD16"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30.8% (n=4)</w:t>
            </w:r>
          </w:p>
        </w:tc>
      </w:tr>
      <w:tr w:rsidR="00AB7893" w:rsidRPr="00530D74" w14:paraId="02F0B41F" w14:textId="77777777" w:rsidTr="006E5E0B">
        <w:trPr>
          <w:trHeight w:val="501"/>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35F9D035"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Non specialist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BB54CB5"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54C923A"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5925FB5"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3B6E9C23"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D68CE7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58C4BC3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E744FF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50% (n=4)</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F2B5D24"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37.5% (n=3)</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5DA0F555"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3.3% (n=2)</w:t>
            </w:r>
          </w:p>
        </w:tc>
      </w:tr>
      <w:tr w:rsidR="00AB7893" w:rsidRPr="00530D74" w14:paraId="3F65A033" w14:textId="77777777" w:rsidTr="006E5E0B">
        <w:trPr>
          <w:trHeight w:val="300"/>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673AAE80"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Other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514548E8"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A0AC60B"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3A5C851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A699454"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F6C020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33.3%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3D95AFA3"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327FE0C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EDFD11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1B665207"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r>
      <w:tr w:rsidR="00AB7893" w:rsidRPr="00530D74" w14:paraId="27990B70" w14:textId="77777777" w:rsidTr="006E5E0B">
        <w:trPr>
          <w:trHeight w:val="406"/>
        </w:trPr>
        <w:tc>
          <w:tcPr>
            <w:tcW w:w="5000" w:type="pct"/>
            <w:gridSpan w:val="10"/>
            <w:tcBorders>
              <w:top w:val="single" w:sz="8" w:space="0" w:color="000000"/>
              <w:left w:val="single" w:sz="4" w:space="0" w:color="000000"/>
              <w:bottom w:val="single" w:sz="4" w:space="0" w:color="8EA9DB"/>
              <w:right w:val="single" w:sz="4" w:space="0" w:color="000000"/>
            </w:tcBorders>
            <w:shd w:val="clear" w:color="D9E1F2" w:fill="D9E1F2"/>
            <w:vAlign w:val="center"/>
            <w:hideMark/>
          </w:tcPr>
          <w:p w14:paraId="38BF8D35" w14:textId="77777777" w:rsidR="00AB7893" w:rsidRPr="00530D74" w:rsidRDefault="00AB7893" w:rsidP="006E5E0B">
            <w:pPr>
              <w:spacing w:after="0"/>
              <w:contextualSpacing/>
              <w:rPr>
                <w:rFonts w:cs="Calibri"/>
                <w:b/>
                <w:sz w:val="22"/>
                <w:szCs w:val="22"/>
                <w:lang w:eastAsia="en-IE"/>
              </w:rPr>
            </w:pPr>
            <w:r w:rsidRPr="00530D74">
              <w:rPr>
                <w:rFonts w:cs="Calibri"/>
                <w:b/>
                <w:sz w:val="22"/>
                <w:szCs w:val="22"/>
                <w:lang w:eastAsia="en-IE"/>
              </w:rPr>
              <w:t>Proactive future planning</w:t>
            </w:r>
            <w:r w:rsidRPr="00530D74">
              <w:rPr>
                <w:rFonts w:cs="Calibri"/>
                <w:sz w:val="22"/>
                <w:szCs w:val="22"/>
                <w:lang w:eastAsia="en-IE"/>
              </w:rPr>
              <w:t> </w:t>
            </w:r>
          </w:p>
        </w:tc>
      </w:tr>
      <w:tr w:rsidR="00AB7893" w:rsidRPr="00530D74" w14:paraId="5C53FF10" w14:textId="77777777" w:rsidTr="006E5E0B">
        <w:trPr>
          <w:trHeight w:val="443"/>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355891B8"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All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1DB050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18.5% (n=5)</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A5BC3F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22.2% (n=6)</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5D78C074"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C7BFC0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7.4%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3B817DBA"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14.8% (n=4)</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1C11DE9"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22.2% (n=6)</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8A56F94"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11.1% (n=3)</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DB64507"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3.7% (n=1)</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7482E339"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r>
      <w:tr w:rsidR="00AB7893" w:rsidRPr="00530D74" w14:paraId="154F92AA" w14:textId="77777777" w:rsidTr="006E5E0B">
        <w:trPr>
          <w:trHeight w:val="600"/>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1D6CDE4F"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Specialist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49939D6"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23.1% (n=3)</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354CCF56"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15.4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5EBAF52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55C9E8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D39AEE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15.4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8F8A1C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23.1 (n=3)</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563F7E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15.4 (n=2)</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72B6A29"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779474B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r>
      <w:tr w:rsidR="00AB7893" w:rsidRPr="00530D74" w14:paraId="1985E303" w14:textId="77777777" w:rsidTr="006E5E0B">
        <w:trPr>
          <w:trHeight w:val="758"/>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28BA3E21"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Non specialist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BEE3E93"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25%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DE344E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2D8026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53E1F0A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DD932F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30843B5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37.5% (n=3)</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5BE45E4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300B68F"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2D6868B6"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r>
      <w:tr w:rsidR="00AB7893" w:rsidRPr="00530D74" w14:paraId="3D6621F8" w14:textId="77777777" w:rsidTr="006E5E0B">
        <w:trPr>
          <w:trHeight w:val="403"/>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4062BC36"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Other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6DB4075"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4447E0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50% (n=3)</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2A2BA5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7D45F0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94D34F9"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1F63A95"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E321EFF"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3DC17AB"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0D84DEDB"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r>
      <w:tr w:rsidR="00AB7893" w:rsidRPr="00530D74" w14:paraId="2240EF2C" w14:textId="77777777" w:rsidTr="006E5E0B">
        <w:trPr>
          <w:trHeight w:val="343"/>
        </w:trPr>
        <w:tc>
          <w:tcPr>
            <w:tcW w:w="5000" w:type="pct"/>
            <w:gridSpan w:val="10"/>
            <w:tcBorders>
              <w:top w:val="single" w:sz="8" w:space="0" w:color="000000"/>
              <w:left w:val="single" w:sz="4" w:space="0" w:color="000000"/>
              <w:bottom w:val="single" w:sz="4" w:space="0" w:color="8EA9DB"/>
              <w:right w:val="single" w:sz="4" w:space="0" w:color="000000"/>
            </w:tcBorders>
            <w:shd w:val="clear" w:color="D9E1F2" w:fill="D9E1F2"/>
            <w:vAlign w:val="center"/>
            <w:hideMark/>
          </w:tcPr>
          <w:p w14:paraId="1231F998" w14:textId="77777777" w:rsidR="00AB7893" w:rsidRPr="00530D74" w:rsidRDefault="00AB7893" w:rsidP="006E5E0B">
            <w:pPr>
              <w:spacing w:after="0"/>
              <w:contextualSpacing/>
              <w:rPr>
                <w:rFonts w:cs="Calibri"/>
                <w:b/>
                <w:sz w:val="22"/>
                <w:szCs w:val="22"/>
                <w:lang w:eastAsia="en-IE"/>
              </w:rPr>
            </w:pPr>
            <w:r w:rsidRPr="00530D74">
              <w:rPr>
                <w:rFonts w:cs="Calibri"/>
                <w:b/>
                <w:sz w:val="22"/>
                <w:szCs w:val="22"/>
                <w:lang w:eastAsia="en-IE"/>
              </w:rPr>
              <w:t>Family involvement / networking </w:t>
            </w:r>
            <w:r w:rsidRPr="00530D74">
              <w:rPr>
                <w:rFonts w:cs="Calibri"/>
                <w:sz w:val="22"/>
                <w:szCs w:val="22"/>
                <w:lang w:eastAsia="en-IE"/>
              </w:rPr>
              <w:t> </w:t>
            </w:r>
          </w:p>
        </w:tc>
      </w:tr>
      <w:tr w:rsidR="00AB7893" w:rsidRPr="00530D74" w14:paraId="0C7158C9" w14:textId="77777777" w:rsidTr="006E5E0B">
        <w:trPr>
          <w:trHeight w:val="417"/>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3024323E"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All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7A84465"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D54C8A9"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3.7%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8A2B984"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5B3A05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7.4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371A397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7.4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41A5AC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7.4 (n=2)</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2184228"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37% (10)</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7AEBA2A"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22.2% (n=6)</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0528E1F6"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14.8 (n=4)</w:t>
            </w:r>
          </w:p>
        </w:tc>
      </w:tr>
      <w:tr w:rsidR="00AB7893" w:rsidRPr="00530D74" w14:paraId="29BE0E9D" w14:textId="77777777" w:rsidTr="006E5E0B">
        <w:trPr>
          <w:trHeight w:val="511"/>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7367D642"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Specialist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193878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3C23E7F"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DE477D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0D71814"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6C372F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331EFE78"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7152207"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38.5 (n=5)</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0C7379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30.8 (n=4)</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45AD7068"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15.4 (n=2)</w:t>
            </w:r>
          </w:p>
        </w:tc>
      </w:tr>
      <w:tr w:rsidR="00AB7893" w:rsidRPr="00530D74" w14:paraId="398A75D0" w14:textId="77777777" w:rsidTr="006E5E0B">
        <w:trPr>
          <w:trHeight w:val="900"/>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7B4365CA"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Non specialist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3A4DE88"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6F9F3D4"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E0BDF7B"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8897F3A"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3DE28C3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25%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37290F84"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3D44FB04"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25% (n=2)</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A5EADE9"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(n=1)</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3D4274DF"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25 (n=2)</w:t>
            </w:r>
          </w:p>
        </w:tc>
      </w:tr>
      <w:tr w:rsidR="00AB7893" w:rsidRPr="00530D74" w14:paraId="7505BCBE" w14:textId="77777777" w:rsidTr="006E5E0B">
        <w:trPr>
          <w:trHeight w:val="600"/>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0FD68E7F"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Other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3525612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60BCAEF"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3D752983"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52C655A3"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DD0404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593DE8F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50% (n=3)</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371FF08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25% (n=2)</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5F5C255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(n=1)</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6D12605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r>
      <w:tr w:rsidR="00AB7893" w:rsidRPr="00530D74" w14:paraId="0229D6AB" w14:textId="77777777" w:rsidTr="006E5E0B">
        <w:trPr>
          <w:trHeight w:val="155"/>
        </w:trPr>
        <w:tc>
          <w:tcPr>
            <w:tcW w:w="5000" w:type="pct"/>
            <w:gridSpan w:val="10"/>
            <w:tcBorders>
              <w:top w:val="single" w:sz="8" w:space="0" w:color="000000"/>
              <w:left w:val="single" w:sz="4" w:space="0" w:color="000000"/>
              <w:bottom w:val="single" w:sz="4" w:space="0" w:color="8EA9DB"/>
              <w:right w:val="single" w:sz="4" w:space="0" w:color="000000"/>
            </w:tcBorders>
            <w:shd w:val="clear" w:color="D9E1F2" w:fill="D9E1F2"/>
            <w:vAlign w:val="center"/>
            <w:hideMark/>
          </w:tcPr>
          <w:p w14:paraId="7826C393" w14:textId="77777777" w:rsidR="00AB7893" w:rsidRPr="00530D74" w:rsidRDefault="00AB7893" w:rsidP="006E5E0B">
            <w:pPr>
              <w:spacing w:after="0"/>
              <w:contextualSpacing/>
              <w:rPr>
                <w:rFonts w:cs="Calibri"/>
                <w:b/>
                <w:sz w:val="22"/>
                <w:szCs w:val="22"/>
                <w:lang w:eastAsia="en-IE"/>
              </w:rPr>
            </w:pPr>
            <w:r w:rsidRPr="00530D74">
              <w:rPr>
                <w:rFonts w:cs="Calibri"/>
                <w:b/>
                <w:sz w:val="22"/>
                <w:szCs w:val="22"/>
                <w:lang w:eastAsia="en-IE"/>
              </w:rPr>
              <w:t>Effective links to general and specialist services </w:t>
            </w:r>
            <w:r w:rsidRPr="00530D74">
              <w:rPr>
                <w:rFonts w:cs="Calibri"/>
                <w:sz w:val="22"/>
                <w:szCs w:val="22"/>
                <w:lang w:eastAsia="en-IE"/>
              </w:rPr>
              <w:t> </w:t>
            </w:r>
          </w:p>
        </w:tc>
      </w:tr>
      <w:tr w:rsidR="00AB7893" w:rsidRPr="00530D74" w14:paraId="300CFBF4" w14:textId="77777777" w:rsidTr="006E5E0B">
        <w:trPr>
          <w:trHeight w:val="490"/>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1A1CFFC4"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All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58CCB09"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555F807"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E1903A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11.1% (n=3)</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0ACFE39"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11.1 (n=3)</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57A1962A"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25.9% (n=7)</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D0AB1B5"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7.4% (n=2)</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E504E89"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3.7% (n=1)</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9E1B94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22.2% (n=6)</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638CEA7F"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18.6% (n=5)</w:t>
            </w:r>
          </w:p>
        </w:tc>
      </w:tr>
      <w:tr w:rsidR="00AB7893" w:rsidRPr="00530D74" w14:paraId="652A3FCE" w14:textId="77777777" w:rsidTr="006E5E0B">
        <w:trPr>
          <w:trHeight w:val="583"/>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tcPr>
          <w:p w14:paraId="7D2A961B"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Specialist</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tcPr>
          <w:p w14:paraId="65CD7B2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tcPr>
          <w:p w14:paraId="16FB407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tcPr>
          <w:p w14:paraId="3FE419C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tcPr>
          <w:p w14:paraId="2CBCA767"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15.4%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tcPr>
          <w:p w14:paraId="5C6EED4A"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38.5% (n=5)</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tcPr>
          <w:p w14:paraId="269205A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15.4% (n=2)</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tcPr>
          <w:p w14:paraId="4AF096D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tcPr>
          <w:p w14:paraId="0AD86E09"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tcPr>
          <w:p w14:paraId="2C020944"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23.1% (n=3)</w:t>
            </w:r>
          </w:p>
        </w:tc>
      </w:tr>
      <w:tr w:rsidR="00AB7893" w:rsidRPr="00530D74" w14:paraId="206BBED1" w14:textId="77777777" w:rsidTr="006E5E0B">
        <w:trPr>
          <w:trHeight w:val="510"/>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20DEB454"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Non specialist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AB8C2F9"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3D1C96B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CCF80B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25%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F88CA57"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DC71C63"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A98BEF5"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0E2914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(n=1)</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EECF7B6"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37.5% (n=3)</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73E7D88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(n=1)</w:t>
            </w:r>
          </w:p>
        </w:tc>
      </w:tr>
      <w:tr w:rsidR="00AB7893" w:rsidRPr="00530D74" w14:paraId="284D7D6B" w14:textId="77777777" w:rsidTr="006E5E0B">
        <w:trPr>
          <w:trHeight w:val="376"/>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60841BE2"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Other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72EA3A3"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3488BB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123D938"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75123F8"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EDDA6DA"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856D728"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688EAD5"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DA5A3E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50% (n=3)</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068E9DEF"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r>
      <w:tr w:rsidR="00AB7893" w:rsidRPr="00530D74" w14:paraId="572DA682" w14:textId="77777777" w:rsidTr="006E5E0B">
        <w:trPr>
          <w:trHeight w:val="246"/>
        </w:trPr>
        <w:tc>
          <w:tcPr>
            <w:tcW w:w="5000" w:type="pct"/>
            <w:gridSpan w:val="10"/>
            <w:tcBorders>
              <w:top w:val="single" w:sz="8" w:space="0" w:color="000000"/>
              <w:left w:val="single" w:sz="4" w:space="0" w:color="000000"/>
              <w:bottom w:val="single" w:sz="4" w:space="0" w:color="8EA9DB"/>
              <w:right w:val="single" w:sz="4" w:space="0" w:color="000000"/>
            </w:tcBorders>
            <w:shd w:val="clear" w:color="D9E1F2" w:fill="D9E1F2"/>
            <w:vAlign w:val="center"/>
            <w:hideMark/>
          </w:tcPr>
          <w:p w14:paraId="3FD13010" w14:textId="77777777" w:rsidR="00AB7893" w:rsidRPr="00530D74" w:rsidRDefault="00AB7893" w:rsidP="006E5E0B">
            <w:pPr>
              <w:spacing w:after="0"/>
              <w:contextualSpacing/>
              <w:rPr>
                <w:rFonts w:cs="Calibri"/>
                <w:b/>
                <w:sz w:val="22"/>
                <w:szCs w:val="22"/>
                <w:lang w:eastAsia="en-IE"/>
              </w:rPr>
            </w:pPr>
            <w:r w:rsidRPr="00530D74">
              <w:rPr>
                <w:rFonts w:cs="Calibri"/>
                <w:b/>
                <w:sz w:val="22"/>
                <w:szCs w:val="22"/>
                <w:lang w:eastAsia="en-IE"/>
              </w:rPr>
              <w:t>Skilled staff </w:t>
            </w:r>
            <w:r w:rsidRPr="00530D74">
              <w:rPr>
                <w:rFonts w:cs="Calibri"/>
                <w:sz w:val="22"/>
                <w:szCs w:val="22"/>
                <w:lang w:eastAsia="en-IE"/>
              </w:rPr>
              <w:t> </w:t>
            </w:r>
          </w:p>
        </w:tc>
      </w:tr>
      <w:tr w:rsidR="00AB7893" w:rsidRPr="00530D74" w14:paraId="13494AEE" w14:textId="77777777" w:rsidTr="006E5E0B">
        <w:trPr>
          <w:trHeight w:val="600"/>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0D59BB1F"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All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66C4B55"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3.7%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392E92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11.1% (n=3)</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6064404"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22.2% (n=6)</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96C5406"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14.8% (n=4)</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BE04CB5"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11.1% (n=3)</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6EBB67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18.5% (n=5)</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BC4A143"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7.4% (n=2)</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16B8EF6"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7.4% (n=2)</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56584483"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3.7% (n=1)</w:t>
            </w:r>
          </w:p>
        </w:tc>
      </w:tr>
      <w:tr w:rsidR="00AB7893" w:rsidRPr="00530D74" w14:paraId="71491F77" w14:textId="77777777" w:rsidTr="006E5E0B">
        <w:trPr>
          <w:trHeight w:val="600"/>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7DCC512B"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Specialist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252CE1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5DBA132A"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15.4%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67E09E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38.4% (n=5)</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C4F908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15.4%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36782A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50CEA35"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B81D869"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0F57F004"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3B9F81F3"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r>
      <w:tr w:rsidR="00AB7893" w:rsidRPr="00530D74" w14:paraId="3A4179B5" w14:textId="77777777" w:rsidTr="006E5E0B">
        <w:trPr>
          <w:trHeight w:val="563"/>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1D49106B"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Non specialist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70799D6"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9A56CBA"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A48E81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59FBE5D6"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FAD20C7"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FCF4A9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37.5% (n=3)</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E6C28B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663BDD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(n=1)</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7B77B40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(n=1)</w:t>
            </w:r>
          </w:p>
        </w:tc>
      </w:tr>
      <w:tr w:rsidR="00AB7893" w:rsidRPr="00530D74" w14:paraId="772F956F" w14:textId="77777777" w:rsidTr="006E5E0B">
        <w:trPr>
          <w:trHeight w:val="401"/>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7CE6EB98"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Other </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1E9141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25B38EB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7477DC3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35476DD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33.3% (n=2)</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104CA3F3"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21"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673A5D85"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34"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452292A7"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92" w:type="pct"/>
            <w:tcBorders>
              <w:top w:val="single" w:sz="4" w:space="0" w:color="8EA9DB"/>
              <w:left w:val="single" w:sz="8" w:space="0" w:color="000000"/>
              <w:bottom w:val="single" w:sz="4" w:space="0" w:color="8EA9DB"/>
              <w:right w:val="single" w:sz="8" w:space="0" w:color="000000"/>
            </w:tcBorders>
            <w:shd w:val="clear" w:color="D9E1F2" w:fill="D9E1F2"/>
            <w:vAlign w:val="center"/>
            <w:hideMark/>
          </w:tcPr>
          <w:p w14:paraId="5A60FA9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66" w:type="pct"/>
            <w:tcBorders>
              <w:top w:val="single" w:sz="4" w:space="0" w:color="8EA9DB"/>
              <w:left w:val="single" w:sz="8" w:space="0" w:color="000000"/>
              <w:bottom w:val="single" w:sz="4" w:space="0" w:color="8EA9DB"/>
              <w:right w:val="single" w:sz="4" w:space="0" w:color="000000"/>
            </w:tcBorders>
            <w:shd w:val="clear" w:color="D9E1F2" w:fill="D9E1F2"/>
            <w:vAlign w:val="center"/>
            <w:hideMark/>
          </w:tcPr>
          <w:p w14:paraId="557B5318"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r>
      <w:tr w:rsidR="00AB7893" w:rsidRPr="00530D74" w14:paraId="3A22F13E" w14:textId="77777777" w:rsidTr="006E5E0B">
        <w:trPr>
          <w:trHeight w:val="305"/>
        </w:trPr>
        <w:tc>
          <w:tcPr>
            <w:tcW w:w="5000" w:type="pct"/>
            <w:gridSpan w:val="10"/>
            <w:tcBorders>
              <w:top w:val="single" w:sz="8" w:space="0" w:color="000000"/>
              <w:left w:val="single" w:sz="4" w:space="0" w:color="000000"/>
              <w:bottom w:val="single" w:sz="8" w:space="0" w:color="000000"/>
              <w:right w:val="single" w:sz="4" w:space="0" w:color="000000"/>
            </w:tcBorders>
            <w:shd w:val="clear" w:color="D9E1F2" w:fill="D9E1F2"/>
            <w:vAlign w:val="center"/>
            <w:hideMark/>
          </w:tcPr>
          <w:p w14:paraId="7784BBBB" w14:textId="77777777" w:rsidR="00AB7893" w:rsidRPr="00530D74" w:rsidRDefault="00AB7893" w:rsidP="006E5E0B">
            <w:pPr>
              <w:spacing w:after="0"/>
              <w:contextualSpacing/>
              <w:rPr>
                <w:rFonts w:cs="Calibri"/>
                <w:b/>
                <w:sz w:val="22"/>
                <w:szCs w:val="22"/>
                <w:lang w:eastAsia="en-IE"/>
              </w:rPr>
            </w:pPr>
            <w:r w:rsidRPr="00530D74">
              <w:rPr>
                <w:rFonts w:cs="Calibri"/>
                <w:b/>
                <w:sz w:val="22"/>
                <w:szCs w:val="22"/>
                <w:lang w:eastAsia="en-IE"/>
              </w:rPr>
              <w:t>Physical / built environment </w:t>
            </w:r>
            <w:r w:rsidRPr="00530D74">
              <w:rPr>
                <w:rFonts w:cs="Calibri"/>
                <w:sz w:val="22"/>
                <w:szCs w:val="22"/>
                <w:lang w:eastAsia="en-IE"/>
              </w:rPr>
              <w:t> </w:t>
            </w:r>
          </w:p>
        </w:tc>
      </w:tr>
      <w:tr w:rsidR="00AB7893" w:rsidRPr="00530D74" w14:paraId="48FF2BD7" w14:textId="77777777" w:rsidTr="006E5E0B">
        <w:trPr>
          <w:trHeight w:val="513"/>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698D982F"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All </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781439E8"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11.1% (n=3)</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3AFE7CA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11.1% (n=3)</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5000165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11.1% (n=3)</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2E66BA83"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11.1% (n=3)</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360E0D6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7.4% (n=2)</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542606A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7.4% (n=2)</w:t>
            </w:r>
          </w:p>
        </w:tc>
        <w:tc>
          <w:tcPr>
            <w:tcW w:w="434"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51D94E3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92"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189B6EC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11.1% (n=3)</w:t>
            </w:r>
          </w:p>
        </w:tc>
        <w:tc>
          <w:tcPr>
            <w:tcW w:w="466" w:type="pct"/>
            <w:tcBorders>
              <w:top w:val="single" w:sz="4" w:space="0" w:color="8EA9DB"/>
              <w:left w:val="single" w:sz="8" w:space="0" w:color="000000"/>
              <w:bottom w:val="single" w:sz="4" w:space="0" w:color="8EA9DB"/>
              <w:right w:val="single" w:sz="4" w:space="0" w:color="000000"/>
            </w:tcBorders>
            <w:shd w:val="clear" w:color="auto" w:fill="DEEAF6" w:themeFill="accent1" w:themeFillTint="33"/>
            <w:vAlign w:val="center"/>
            <w:hideMark/>
          </w:tcPr>
          <w:p w14:paraId="1DF4878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25.9% ( n=7)</w:t>
            </w:r>
          </w:p>
        </w:tc>
      </w:tr>
      <w:tr w:rsidR="00AB7893" w:rsidRPr="00530D74" w14:paraId="628A5812" w14:textId="77777777" w:rsidTr="006E5E0B">
        <w:trPr>
          <w:trHeight w:val="379"/>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0041B7FE"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Specialist </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743C396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4574069B"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15.4% (n=2)</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0F2E41DA"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7CA0FDF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473CE326"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05E2F59C"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7.7% (n=1)</w:t>
            </w:r>
          </w:p>
        </w:tc>
        <w:tc>
          <w:tcPr>
            <w:tcW w:w="434"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6EF51C1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92"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4C447873"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15.4% (n=2)</w:t>
            </w:r>
          </w:p>
        </w:tc>
        <w:tc>
          <w:tcPr>
            <w:tcW w:w="466" w:type="pct"/>
            <w:tcBorders>
              <w:top w:val="single" w:sz="4" w:space="0" w:color="8EA9DB"/>
              <w:left w:val="single" w:sz="8" w:space="0" w:color="000000"/>
              <w:bottom w:val="single" w:sz="4" w:space="0" w:color="8EA9DB"/>
              <w:right w:val="single" w:sz="4" w:space="0" w:color="000000"/>
            </w:tcBorders>
            <w:shd w:val="clear" w:color="auto" w:fill="DEEAF6" w:themeFill="accent1" w:themeFillTint="33"/>
            <w:vAlign w:val="center"/>
            <w:hideMark/>
          </w:tcPr>
          <w:p w14:paraId="79CDAD9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23.1% (n=3)</w:t>
            </w:r>
          </w:p>
        </w:tc>
      </w:tr>
      <w:tr w:rsidR="00AB7893" w:rsidRPr="00530D74" w14:paraId="4EED0DE1" w14:textId="77777777" w:rsidTr="006E5E0B">
        <w:trPr>
          <w:trHeight w:val="542"/>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70618413"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Non specialist </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6814CF6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016672A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5248186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32DDDF3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(1)</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04C85F0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15F3400E"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34"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2FED13C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92"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351BB59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66" w:type="pct"/>
            <w:tcBorders>
              <w:top w:val="single" w:sz="4" w:space="0" w:color="8EA9DB"/>
              <w:left w:val="single" w:sz="8" w:space="0" w:color="000000"/>
              <w:bottom w:val="single" w:sz="4" w:space="0" w:color="8EA9DB"/>
              <w:right w:val="single" w:sz="4" w:space="0" w:color="000000"/>
            </w:tcBorders>
            <w:shd w:val="clear" w:color="auto" w:fill="DEEAF6" w:themeFill="accent1" w:themeFillTint="33"/>
            <w:vAlign w:val="center"/>
            <w:hideMark/>
          </w:tcPr>
          <w:p w14:paraId="03116F7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37.5% (n=3)</w:t>
            </w:r>
          </w:p>
        </w:tc>
      </w:tr>
      <w:tr w:rsidR="00AB7893" w:rsidRPr="00530D74" w14:paraId="2EB57CBA" w14:textId="77777777" w:rsidTr="006E5E0B">
        <w:trPr>
          <w:trHeight w:val="600"/>
        </w:trPr>
        <w:tc>
          <w:tcPr>
            <w:tcW w:w="1080" w:type="pct"/>
            <w:tcBorders>
              <w:top w:val="single" w:sz="8" w:space="0" w:color="000000"/>
              <w:left w:val="single" w:sz="4" w:space="0" w:color="000000"/>
              <w:bottom w:val="single" w:sz="4" w:space="0" w:color="8EA9DB"/>
              <w:right w:val="single" w:sz="8" w:space="0" w:color="000000"/>
            </w:tcBorders>
            <w:shd w:val="clear" w:color="auto" w:fill="auto"/>
            <w:vAlign w:val="center"/>
            <w:hideMark/>
          </w:tcPr>
          <w:p w14:paraId="773A43AF" w14:textId="77777777" w:rsidR="00AB7893" w:rsidRPr="00530D74" w:rsidRDefault="00AB7893" w:rsidP="006E5E0B">
            <w:pPr>
              <w:spacing w:after="0"/>
              <w:contextualSpacing/>
              <w:rPr>
                <w:rFonts w:cs="Calibri"/>
                <w:sz w:val="22"/>
                <w:szCs w:val="22"/>
                <w:lang w:eastAsia="en-IE"/>
              </w:rPr>
            </w:pPr>
            <w:r w:rsidRPr="00530D74">
              <w:rPr>
                <w:rFonts w:cs="Calibri"/>
                <w:sz w:val="22"/>
                <w:szCs w:val="22"/>
                <w:lang w:eastAsia="en-IE"/>
              </w:rPr>
              <w:t>Other </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11438457"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25% (n=2)</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6638C981"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12.5% (n=1)</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2B975A24"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33.3% (n=2)</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6869EFB7"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431E3B1D"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21"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79CE9622"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34"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056284F3"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0%</w:t>
            </w:r>
          </w:p>
        </w:tc>
        <w:tc>
          <w:tcPr>
            <w:tcW w:w="492" w:type="pct"/>
            <w:tcBorders>
              <w:top w:val="single" w:sz="4" w:space="0" w:color="8EA9DB"/>
              <w:left w:val="single" w:sz="8" w:space="0" w:color="000000"/>
              <w:bottom w:val="single" w:sz="4" w:space="0" w:color="8EA9DB"/>
              <w:right w:val="single" w:sz="8" w:space="0" w:color="000000"/>
            </w:tcBorders>
            <w:shd w:val="clear" w:color="auto" w:fill="DEEAF6" w:themeFill="accent1" w:themeFillTint="33"/>
            <w:vAlign w:val="center"/>
            <w:hideMark/>
          </w:tcPr>
          <w:p w14:paraId="2F9315A7"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c>
          <w:tcPr>
            <w:tcW w:w="466" w:type="pct"/>
            <w:tcBorders>
              <w:top w:val="single" w:sz="4" w:space="0" w:color="8EA9DB"/>
              <w:left w:val="single" w:sz="8" w:space="0" w:color="000000"/>
              <w:bottom w:val="single" w:sz="4" w:space="0" w:color="8EA9DB"/>
              <w:right w:val="single" w:sz="4" w:space="0" w:color="000000"/>
            </w:tcBorders>
            <w:shd w:val="clear" w:color="auto" w:fill="DEEAF6" w:themeFill="accent1" w:themeFillTint="33"/>
            <w:vAlign w:val="center"/>
            <w:hideMark/>
          </w:tcPr>
          <w:p w14:paraId="38B26410" w14:textId="77777777" w:rsidR="00AB7893" w:rsidRPr="00530D74" w:rsidRDefault="00AB7893" w:rsidP="006E5E0B">
            <w:pPr>
              <w:spacing w:after="0"/>
              <w:contextualSpacing/>
              <w:jc w:val="center"/>
              <w:rPr>
                <w:rFonts w:cs="Calibri"/>
                <w:sz w:val="22"/>
                <w:szCs w:val="22"/>
                <w:lang w:eastAsia="en-IE"/>
              </w:rPr>
            </w:pPr>
            <w:r w:rsidRPr="00530D74">
              <w:rPr>
                <w:rFonts w:cs="Calibri"/>
                <w:sz w:val="22"/>
                <w:szCs w:val="22"/>
                <w:lang w:eastAsia="en-IE"/>
              </w:rPr>
              <w:t>16.7% (n=1)</w:t>
            </w:r>
          </w:p>
        </w:tc>
      </w:tr>
    </w:tbl>
    <w:p w14:paraId="037EA6EB" w14:textId="77777777" w:rsidR="00AB7893" w:rsidRDefault="00AB7893" w:rsidP="00AB7893">
      <w:pPr>
        <w:spacing w:after="0"/>
        <w:rPr>
          <w:lang w:eastAsia="en-IE"/>
        </w:rPr>
      </w:pPr>
    </w:p>
    <w:p w14:paraId="2CD63374" w14:textId="1ADD65BC" w:rsidR="00AB7893" w:rsidRPr="00AB7893" w:rsidRDefault="00AB7893" w:rsidP="002A24F0">
      <w:pPr>
        <w:pStyle w:val="Heading3"/>
        <w:numPr>
          <w:ilvl w:val="0"/>
          <w:numId w:val="24"/>
        </w:numPr>
        <w:tabs>
          <w:tab w:val="num" w:pos="1492"/>
        </w:tabs>
        <w:ind w:left="1492"/>
        <w:rPr>
          <w:color w:val="auto"/>
          <w:lang w:eastAsia="en-IE"/>
        </w:rPr>
      </w:pPr>
      <w:bookmarkStart w:id="306" w:name="_Toc118558326"/>
      <w:r w:rsidRPr="00AB7893">
        <w:rPr>
          <w:color w:val="auto"/>
          <w:lang w:eastAsia="en-IE"/>
        </w:rPr>
        <w:t xml:space="preserve">Presence of </w:t>
      </w:r>
      <w:r w:rsidR="00536D5A">
        <w:rPr>
          <w:color w:val="auto"/>
          <w:lang w:eastAsia="en-IE"/>
        </w:rPr>
        <w:t>s</w:t>
      </w:r>
      <w:r w:rsidRPr="00AB7893">
        <w:rPr>
          <w:color w:val="auto"/>
          <w:lang w:eastAsia="en-IE"/>
        </w:rPr>
        <w:t xml:space="preserve">ervice </w:t>
      </w:r>
      <w:r w:rsidR="00536D5A">
        <w:rPr>
          <w:color w:val="auto"/>
          <w:lang w:eastAsia="en-IE"/>
        </w:rPr>
        <w:t>p</w:t>
      </w:r>
      <w:r w:rsidRPr="00AB7893">
        <w:rPr>
          <w:color w:val="auto"/>
          <w:lang w:eastAsia="en-IE"/>
        </w:rPr>
        <w:t xml:space="preserve">athways for </w:t>
      </w:r>
      <w:r w:rsidR="00536D5A">
        <w:rPr>
          <w:color w:val="auto"/>
          <w:lang w:eastAsia="en-IE"/>
        </w:rPr>
        <w:t>s</w:t>
      </w:r>
      <w:r w:rsidRPr="00AB7893">
        <w:rPr>
          <w:color w:val="auto"/>
          <w:lang w:eastAsia="en-IE"/>
        </w:rPr>
        <w:t xml:space="preserve">pecified </w:t>
      </w:r>
      <w:r w:rsidR="00536D5A">
        <w:rPr>
          <w:color w:val="auto"/>
          <w:lang w:eastAsia="en-IE"/>
        </w:rPr>
        <w:t>h</w:t>
      </w:r>
      <w:r w:rsidRPr="00AB7893">
        <w:rPr>
          <w:color w:val="auto"/>
          <w:lang w:eastAsia="en-IE"/>
        </w:rPr>
        <w:t xml:space="preserve">ealth </w:t>
      </w:r>
      <w:r w:rsidR="00536D5A">
        <w:rPr>
          <w:color w:val="auto"/>
          <w:lang w:eastAsia="en-IE"/>
        </w:rPr>
        <w:t>i</w:t>
      </w:r>
      <w:r w:rsidRPr="00AB7893">
        <w:rPr>
          <w:color w:val="auto"/>
          <w:lang w:eastAsia="en-IE"/>
        </w:rPr>
        <w:t>ssues</w:t>
      </w:r>
      <w:bookmarkEnd w:id="306"/>
    </w:p>
    <w:p w14:paraId="2C2A513E" w14:textId="59348209" w:rsidR="00AB7893" w:rsidRPr="00AB7893" w:rsidRDefault="00AB7893" w:rsidP="00AB7893">
      <w:pPr>
        <w:rPr>
          <w:lang w:eastAsia="en-IE"/>
        </w:rPr>
      </w:pPr>
      <w:r>
        <w:rPr>
          <w:lang w:eastAsia="en-IE"/>
        </w:rPr>
        <w:t xml:space="preserve">Extent of formal pathway through which services can support adults with health issues by service type.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0"/>
        <w:gridCol w:w="2243"/>
        <w:gridCol w:w="1889"/>
        <w:gridCol w:w="1990"/>
      </w:tblGrid>
      <w:tr w:rsidR="00AB7893" w:rsidRPr="00F21227" w14:paraId="6D98CF62" w14:textId="77777777" w:rsidTr="006E5E0B">
        <w:trPr>
          <w:trHeight w:val="315"/>
        </w:trPr>
        <w:tc>
          <w:tcPr>
            <w:tcW w:w="4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7B744A" w14:textId="77777777" w:rsidR="00AB7893" w:rsidRPr="00F21227" w:rsidRDefault="00AB7893" w:rsidP="006E5E0B">
            <w:pPr>
              <w:spacing w:after="0"/>
              <w:jc w:val="center"/>
              <w:textAlignment w:val="baseline"/>
              <w:rPr>
                <w:sz w:val="24"/>
                <w:lang w:eastAsia="en-IE"/>
              </w:rPr>
            </w:pPr>
            <w:r w:rsidRPr="00F21227">
              <w:rPr>
                <w:rFonts w:cs="Calibri"/>
                <w:b/>
                <w:bCs/>
                <w:sz w:val="22"/>
                <w:szCs w:val="22"/>
                <w:lang w:eastAsia="en-IE"/>
              </w:rPr>
              <w:t>Condition</w:t>
            </w:r>
            <w:r w:rsidRPr="00F21227">
              <w:rPr>
                <w:rFonts w:cs="Calibri"/>
                <w:sz w:val="22"/>
                <w:szCs w:val="22"/>
                <w:lang w:eastAsia="en-IE"/>
              </w:rPr>
              <w:t> </w:t>
            </w:r>
          </w:p>
        </w:tc>
        <w:tc>
          <w:tcPr>
            <w:tcW w:w="3645" w:type="dxa"/>
            <w:tcBorders>
              <w:top w:val="single" w:sz="6" w:space="0" w:color="auto"/>
              <w:left w:val="nil"/>
              <w:bottom w:val="single" w:sz="6" w:space="0" w:color="auto"/>
              <w:right w:val="single" w:sz="6" w:space="0" w:color="auto"/>
            </w:tcBorders>
            <w:shd w:val="clear" w:color="auto" w:fill="auto"/>
            <w:vAlign w:val="center"/>
            <w:hideMark/>
          </w:tcPr>
          <w:p w14:paraId="112920A3" w14:textId="77777777" w:rsidR="00AB7893" w:rsidRPr="00F21227" w:rsidRDefault="00AB7893" w:rsidP="006E5E0B">
            <w:pPr>
              <w:spacing w:after="0"/>
              <w:jc w:val="center"/>
              <w:textAlignment w:val="baseline"/>
              <w:rPr>
                <w:sz w:val="24"/>
                <w:lang w:eastAsia="en-IE"/>
              </w:rPr>
            </w:pPr>
            <w:r w:rsidRPr="00F21227">
              <w:rPr>
                <w:rFonts w:cs="Calibri"/>
                <w:b/>
                <w:bCs/>
                <w:sz w:val="22"/>
                <w:szCs w:val="22"/>
                <w:lang w:eastAsia="en-IE"/>
              </w:rPr>
              <w:t>Non-existent pathway</w:t>
            </w:r>
            <w:r w:rsidRPr="00F21227">
              <w:rPr>
                <w:rFonts w:cs="Calibri"/>
                <w:sz w:val="22"/>
                <w:szCs w:val="22"/>
                <w:lang w:eastAsia="en-IE"/>
              </w:rPr>
              <w:t> </w:t>
            </w:r>
          </w:p>
        </w:tc>
        <w:tc>
          <w:tcPr>
            <w:tcW w:w="2910" w:type="dxa"/>
            <w:tcBorders>
              <w:top w:val="single" w:sz="6" w:space="0" w:color="auto"/>
              <w:left w:val="nil"/>
              <w:bottom w:val="single" w:sz="6" w:space="0" w:color="auto"/>
              <w:right w:val="single" w:sz="6" w:space="0" w:color="auto"/>
            </w:tcBorders>
            <w:shd w:val="clear" w:color="auto" w:fill="auto"/>
            <w:vAlign w:val="center"/>
            <w:hideMark/>
          </w:tcPr>
          <w:p w14:paraId="71D5DA77" w14:textId="77777777" w:rsidR="00AB7893" w:rsidRPr="00F21227" w:rsidRDefault="00AB7893" w:rsidP="006E5E0B">
            <w:pPr>
              <w:spacing w:after="0"/>
              <w:jc w:val="center"/>
              <w:textAlignment w:val="baseline"/>
              <w:rPr>
                <w:sz w:val="24"/>
                <w:lang w:eastAsia="en-IE"/>
              </w:rPr>
            </w:pPr>
            <w:r w:rsidRPr="00F21227">
              <w:rPr>
                <w:rFonts w:cs="Calibri"/>
                <w:b/>
                <w:bCs/>
                <w:sz w:val="22"/>
                <w:szCs w:val="22"/>
                <w:lang w:eastAsia="en-IE"/>
              </w:rPr>
              <w:t>Limited pathway</w:t>
            </w:r>
            <w:r w:rsidRPr="00F21227">
              <w:rPr>
                <w:rFonts w:cs="Calibri"/>
                <w:sz w:val="22"/>
                <w:szCs w:val="22"/>
                <w:lang w:eastAsia="en-IE"/>
              </w:rPr>
              <w:t> </w:t>
            </w:r>
          </w:p>
        </w:tc>
        <w:tc>
          <w:tcPr>
            <w:tcW w:w="3105" w:type="dxa"/>
            <w:tcBorders>
              <w:top w:val="single" w:sz="6" w:space="0" w:color="auto"/>
              <w:left w:val="nil"/>
              <w:bottom w:val="single" w:sz="6" w:space="0" w:color="auto"/>
              <w:right w:val="single" w:sz="6" w:space="0" w:color="auto"/>
            </w:tcBorders>
            <w:shd w:val="clear" w:color="auto" w:fill="auto"/>
            <w:vAlign w:val="center"/>
            <w:hideMark/>
          </w:tcPr>
          <w:p w14:paraId="342AEB7C" w14:textId="77777777" w:rsidR="00AB7893" w:rsidRPr="00F21227" w:rsidRDefault="00AB7893" w:rsidP="006E5E0B">
            <w:pPr>
              <w:spacing w:after="0"/>
              <w:jc w:val="center"/>
              <w:textAlignment w:val="baseline"/>
              <w:rPr>
                <w:sz w:val="24"/>
                <w:lang w:eastAsia="en-IE"/>
              </w:rPr>
            </w:pPr>
            <w:r w:rsidRPr="00F21227">
              <w:rPr>
                <w:rFonts w:cs="Calibri"/>
                <w:b/>
                <w:bCs/>
                <w:sz w:val="22"/>
                <w:szCs w:val="22"/>
                <w:lang w:eastAsia="en-IE"/>
              </w:rPr>
              <w:t>Effective pathway</w:t>
            </w:r>
            <w:r w:rsidRPr="00F21227">
              <w:rPr>
                <w:rFonts w:cs="Calibri"/>
                <w:sz w:val="22"/>
                <w:szCs w:val="22"/>
                <w:lang w:eastAsia="en-IE"/>
              </w:rPr>
              <w:t> </w:t>
            </w:r>
          </w:p>
        </w:tc>
      </w:tr>
      <w:tr w:rsidR="00AB7893" w:rsidRPr="00F21227" w14:paraId="5BAC1111" w14:textId="77777777" w:rsidTr="006E5E0B">
        <w:trPr>
          <w:trHeight w:val="315"/>
        </w:trPr>
        <w:tc>
          <w:tcPr>
            <w:tcW w:w="13935" w:type="dxa"/>
            <w:gridSpan w:val="4"/>
            <w:tcBorders>
              <w:top w:val="single" w:sz="6" w:space="0" w:color="8EA9DB"/>
              <w:left w:val="single" w:sz="6" w:space="0" w:color="auto"/>
              <w:bottom w:val="single" w:sz="4" w:space="0" w:color="auto"/>
              <w:right w:val="single" w:sz="6" w:space="0" w:color="auto"/>
            </w:tcBorders>
            <w:shd w:val="clear" w:color="auto" w:fill="auto"/>
            <w:vAlign w:val="center"/>
            <w:hideMark/>
          </w:tcPr>
          <w:p w14:paraId="1A58CC8E" w14:textId="77777777" w:rsidR="00AB7893" w:rsidRPr="00F21227" w:rsidRDefault="00AB7893" w:rsidP="006E5E0B">
            <w:pPr>
              <w:spacing w:after="0"/>
              <w:textAlignment w:val="baseline"/>
              <w:rPr>
                <w:sz w:val="24"/>
                <w:lang w:eastAsia="en-IE"/>
              </w:rPr>
            </w:pPr>
            <w:r w:rsidRPr="00F21227">
              <w:rPr>
                <w:rFonts w:cs="Calibri"/>
                <w:b/>
                <w:bCs/>
                <w:color w:val="000000"/>
                <w:sz w:val="22"/>
                <w:szCs w:val="22"/>
                <w:lang w:eastAsia="en-IE"/>
              </w:rPr>
              <w:t>Dementia</w:t>
            </w:r>
            <w:r w:rsidRPr="00F21227">
              <w:rPr>
                <w:rFonts w:cs="Calibri"/>
                <w:color w:val="000000"/>
                <w:sz w:val="22"/>
                <w:szCs w:val="22"/>
                <w:lang w:eastAsia="en-IE"/>
              </w:rPr>
              <w:t> </w:t>
            </w:r>
          </w:p>
        </w:tc>
      </w:tr>
      <w:tr w:rsidR="00AB7893" w:rsidRPr="00F21227" w14:paraId="27D17011" w14:textId="77777777" w:rsidTr="006E5E0B">
        <w:trPr>
          <w:trHeight w:val="75"/>
        </w:trPr>
        <w:tc>
          <w:tcPr>
            <w:tcW w:w="4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79CD4" w14:textId="77777777" w:rsidR="00AB7893" w:rsidRPr="00F21227" w:rsidRDefault="00AB7893" w:rsidP="006E5E0B">
            <w:pPr>
              <w:spacing w:after="0"/>
              <w:textAlignment w:val="baseline"/>
              <w:rPr>
                <w:sz w:val="24"/>
                <w:lang w:eastAsia="en-IE"/>
              </w:rPr>
            </w:pPr>
            <w:r>
              <w:rPr>
                <w:rFonts w:cs="Calibri"/>
                <w:color w:val="000000"/>
                <w:sz w:val="22"/>
                <w:szCs w:val="22"/>
                <w:lang w:eastAsia="en-IE"/>
              </w:rPr>
              <w:t xml:space="preserve"> </w:t>
            </w:r>
            <w:r w:rsidRPr="00F21227">
              <w:rPr>
                <w:rFonts w:cs="Calibri"/>
                <w:color w:val="000000"/>
                <w:sz w:val="22"/>
                <w:szCs w:val="22"/>
                <w:lang w:eastAsia="en-IE"/>
              </w:rPr>
              <w:t>All </w:t>
            </w:r>
          </w:p>
        </w:tc>
        <w:tc>
          <w:tcPr>
            <w:tcW w:w="36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BE8612E"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6.2% (</w:t>
            </w:r>
            <w:r>
              <w:rPr>
                <w:rFonts w:cs="Calibri"/>
                <w:color w:val="000000"/>
                <w:sz w:val="22"/>
                <w:szCs w:val="22"/>
                <w:lang w:eastAsia="en-IE"/>
              </w:rPr>
              <w:t>n=</w:t>
            </w:r>
            <w:r w:rsidRPr="00F21227">
              <w:rPr>
                <w:rFonts w:cs="Calibri"/>
                <w:color w:val="000000"/>
                <w:sz w:val="22"/>
                <w:szCs w:val="22"/>
                <w:lang w:eastAsia="en-IE"/>
              </w:rPr>
              <w:t>2) </w:t>
            </w:r>
          </w:p>
        </w:tc>
        <w:tc>
          <w:tcPr>
            <w:tcW w:w="2910"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CE51EC4"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38.7% (n=12)</w:t>
            </w:r>
            <w:r w:rsidRPr="00F21227">
              <w:rPr>
                <w:rFonts w:ascii="Arial" w:hAnsi="Arial" w:cs="Arial"/>
                <w:color w:val="000000"/>
                <w:sz w:val="22"/>
                <w:szCs w:val="22"/>
                <w:lang w:eastAsia="en-IE"/>
              </w:rPr>
              <w:t> </w:t>
            </w:r>
            <w:r w:rsidRPr="00F21227">
              <w:rPr>
                <w:rFonts w:cs="Calibri"/>
                <w:color w:val="000000"/>
                <w:sz w:val="22"/>
                <w:szCs w:val="22"/>
                <w:lang w:eastAsia="en-IE"/>
              </w:rPr>
              <w:t> </w:t>
            </w:r>
          </w:p>
        </w:tc>
        <w:tc>
          <w:tcPr>
            <w:tcW w:w="310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CDA2531"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54.8% (n=17) </w:t>
            </w:r>
          </w:p>
        </w:tc>
      </w:tr>
      <w:tr w:rsidR="00AB7893" w:rsidRPr="00F21227" w14:paraId="77B58CFB" w14:textId="77777777" w:rsidTr="006E5E0B">
        <w:trPr>
          <w:trHeight w:val="75"/>
        </w:trPr>
        <w:tc>
          <w:tcPr>
            <w:tcW w:w="4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4F68C" w14:textId="77777777" w:rsidR="00AB7893" w:rsidRPr="00F21227" w:rsidRDefault="00AB7893" w:rsidP="006E5E0B">
            <w:pPr>
              <w:spacing w:after="0"/>
              <w:textAlignment w:val="baseline"/>
              <w:rPr>
                <w:sz w:val="24"/>
                <w:lang w:eastAsia="en-IE"/>
              </w:rPr>
            </w:pPr>
            <w:r>
              <w:rPr>
                <w:rFonts w:cs="Calibri"/>
                <w:color w:val="000000"/>
                <w:sz w:val="22"/>
                <w:szCs w:val="22"/>
                <w:lang w:eastAsia="en-IE"/>
              </w:rPr>
              <w:t xml:space="preserve"> </w:t>
            </w:r>
            <w:r w:rsidRPr="00F21227">
              <w:rPr>
                <w:rFonts w:cs="Calibri"/>
                <w:color w:val="000000"/>
                <w:sz w:val="22"/>
                <w:szCs w:val="22"/>
                <w:lang w:eastAsia="en-IE"/>
              </w:rPr>
              <w:t>Specialist </w:t>
            </w:r>
          </w:p>
        </w:tc>
        <w:tc>
          <w:tcPr>
            <w:tcW w:w="36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7331F72"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0% </w:t>
            </w:r>
          </w:p>
        </w:tc>
        <w:tc>
          <w:tcPr>
            <w:tcW w:w="2910"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F4A0FEF"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33.3% (n=5) </w:t>
            </w:r>
          </w:p>
        </w:tc>
        <w:tc>
          <w:tcPr>
            <w:tcW w:w="310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7523485"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66.7% (10) </w:t>
            </w:r>
          </w:p>
        </w:tc>
      </w:tr>
      <w:tr w:rsidR="00AB7893" w:rsidRPr="00F21227" w14:paraId="269B5D1B" w14:textId="77777777" w:rsidTr="006E5E0B">
        <w:trPr>
          <w:trHeight w:val="75"/>
        </w:trPr>
        <w:tc>
          <w:tcPr>
            <w:tcW w:w="4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E8202" w14:textId="77777777" w:rsidR="00AB7893" w:rsidRPr="00F21227" w:rsidRDefault="00AB7893" w:rsidP="006E5E0B">
            <w:pPr>
              <w:spacing w:after="0"/>
              <w:textAlignment w:val="baseline"/>
              <w:rPr>
                <w:sz w:val="24"/>
                <w:lang w:eastAsia="en-IE"/>
              </w:rPr>
            </w:pPr>
            <w:r>
              <w:rPr>
                <w:rFonts w:cs="Calibri"/>
                <w:color w:val="000000"/>
                <w:sz w:val="22"/>
                <w:szCs w:val="22"/>
                <w:lang w:eastAsia="en-IE"/>
              </w:rPr>
              <w:t xml:space="preserve"> </w:t>
            </w:r>
            <w:r w:rsidRPr="00F21227">
              <w:rPr>
                <w:rFonts w:cs="Calibri"/>
                <w:color w:val="000000"/>
                <w:sz w:val="22"/>
                <w:szCs w:val="22"/>
                <w:lang w:eastAsia="en-IE"/>
              </w:rPr>
              <w:t>Non-specialist </w:t>
            </w:r>
          </w:p>
        </w:tc>
        <w:tc>
          <w:tcPr>
            <w:tcW w:w="36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AFE2DE9"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20% (n=2) </w:t>
            </w:r>
          </w:p>
        </w:tc>
        <w:tc>
          <w:tcPr>
            <w:tcW w:w="2910"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43443C7"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40% (n=4) </w:t>
            </w:r>
          </w:p>
        </w:tc>
        <w:tc>
          <w:tcPr>
            <w:tcW w:w="310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418CDC8"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40% (4) </w:t>
            </w:r>
          </w:p>
        </w:tc>
      </w:tr>
      <w:tr w:rsidR="00AB7893" w:rsidRPr="00F21227" w14:paraId="2BC38898" w14:textId="77777777" w:rsidTr="006E5E0B">
        <w:trPr>
          <w:trHeight w:val="75"/>
        </w:trPr>
        <w:tc>
          <w:tcPr>
            <w:tcW w:w="4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F9A6B" w14:textId="77777777" w:rsidR="00AB7893" w:rsidRPr="00F21227" w:rsidRDefault="00AB7893" w:rsidP="006E5E0B">
            <w:pPr>
              <w:spacing w:after="0"/>
              <w:textAlignment w:val="baseline"/>
              <w:rPr>
                <w:sz w:val="24"/>
                <w:lang w:eastAsia="en-IE"/>
              </w:rPr>
            </w:pPr>
            <w:r>
              <w:rPr>
                <w:rFonts w:cs="Calibri"/>
                <w:color w:val="000000"/>
                <w:sz w:val="22"/>
                <w:szCs w:val="22"/>
                <w:lang w:eastAsia="en-IE"/>
              </w:rPr>
              <w:t xml:space="preserve"> </w:t>
            </w:r>
            <w:r w:rsidRPr="00F21227">
              <w:rPr>
                <w:rFonts w:cs="Calibri"/>
                <w:color w:val="000000"/>
                <w:sz w:val="22"/>
                <w:szCs w:val="22"/>
                <w:lang w:eastAsia="en-IE"/>
              </w:rPr>
              <w:t>Other </w:t>
            </w:r>
          </w:p>
        </w:tc>
        <w:tc>
          <w:tcPr>
            <w:tcW w:w="36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5E3CAE5"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0% </w:t>
            </w:r>
          </w:p>
        </w:tc>
        <w:tc>
          <w:tcPr>
            <w:tcW w:w="2910"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EEB8CBC"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50% (n=3) </w:t>
            </w:r>
          </w:p>
        </w:tc>
        <w:tc>
          <w:tcPr>
            <w:tcW w:w="310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D82BE18"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50% (n=3) </w:t>
            </w:r>
          </w:p>
        </w:tc>
      </w:tr>
      <w:tr w:rsidR="00AB7893" w:rsidRPr="00F21227" w14:paraId="338F431D" w14:textId="77777777" w:rsidTr="006E5E0B">
        <w:trPr>
          <w:trHeight w:val="315"/>
        </w:trPr>
        <w:tc>
          <w:tcPr>
            <w:tcW w:w="4260" w:type="dxa"/>
            <w:tcBorders>
              <w:top w:val="single" w:sz="4" w:space="0" w:color="auto"/>
              <w:left w:val="single" w:sz="6" w:space="0" w:color="auto"/>
              <w:bottom w:val="single" w:sz="4" w:space="0" w:color="auto"/>
              <w:right w:val="nil"/>
            </w:tcBorders>
            <w:shd w:val="clear" w:color="auto" w:fill="auto"/>
            <w:vAlign w:val="center"/>
            <w:hideMark/>
          </w:tcPr>
          <w:p w14:paraId="075BFBF3" w14:textId="77777777" w:rsidR="00AB7893" w:rsidRPr="00F21227" w:rsidRDefault="00AB7893" w:rsidP="006E5E0B">
            <w:pPr>
              <w:spacing w:after="0"/>
              <w:textAlignment w:val="baseline"/>
              <w:rPr>
                <w:sz w:val="24"/>
                <w:lang w:eastAsia="en-IE"/>
              </w:rPr>
            </w:pPr>
            <w:r w:rsidRPr="00F21227">
              <w:rPr>
                <w:rFonts w:cs="Calibri"/>
                <w:b/>
                <w:bCs/>
                <w:color w:val="000000"/>
                <w:sz w:val="22"/>
                <w:szCs w:val="22"/>
                <w:lang w:eastAsia="en-IE"/>
              </w:rPr>
              <w:t>Mental health</w:t>
            </w:r>
            <w:r w:rsidRPr="00F21227">
              <w:rPr>
                <w:rFonts w:cs="Calibri"/>
                <w:color w:val="000000"/>
                <w:sz w:val="22"/>
                <w:szCs w:val="22"/>
                <w:lang w:eastAsia="en-IE"/>
              </w:rPr>
              <w:t> </w:t>
            </w:r>
          </w:p>
        </w:tc>
        <w:tc>
          <w:tcPr>
            <w:tcW w:w="3645" w:type="dxa"/>
            <w:tcBorders>
              <w:top w:val="single" w:sz="4" w:space="0" w:color="auto"/>
              <w:left w:val="nil"/>
              <w:bottom w:val="single" w:sz="4" w:space="0" w:color="auto"/>
              <w:right w:val="nil"/>
            </w:tcBorders>
            <w:shd w:val="clear" w:color="auto" w:fill="auto"/>
            <w:vAlign w:val="center"/>
            <w:hideMark/>
          </w:tcPr>
          <w:p w14:paraId="6EDD4CC0" w14:textId="77777777" w:rsidR="00AB7893" w:rsidRPr="00F21227" w:rsidRDefault="00AB7893" w:rsidP="006E5E0B">
            <w:pPr>
              <w:spacing w:after="0"/>
              <w:jc w:val="right"/>
              <w:textAlignment w:val="baseline"/>
              <w:rPr>
                <w:sz w:val="24"/>
                <w:lang w:eastAsia="en-IE"/>
              </w:rPr>
            </w:pPr>
            <w:r w:rsidRPr="00F21227">
              <w:rPr>
                <w:rFonts w:ascii="Arial" w:hAnsi="Arial" w:cs="Arial"/>
                <w:b/>
                <w:bCs/>
                <w:color w:val="000000"/>
                <w:sz w:val="22"/>
                <w:szCs w:val="22"/>
                <w:lang w:eastAsia="en-IE"/>
              </w:rPr>
              <w:t> </w:t>
            </w:r>
            <w:r w:rsidRPr="00F21227">
              <w:rPr>
                <w:rFonts w:cs="Calibri"/>
                <w:color w:val="000000"/>
                <w:sz w:val="22"/>
                <w:szCs w:val="22"/>
                <w:lang w:eastAsia="en-IE"/>
              </w:rPr>
              <w:t> </w:t>
            </w:r>
          </w:p>
        </w:tc>
        <w:tc>
          <w:tcPr>
            <w:tcW w:w="2910" w:type="dxa"/>
            <w:tcBorders>
              <w:top w:val="single" w:sz="4" w:space="0" w:color="auto"/>
              <w:left w:val="nil"/>
              <w:bottom w:val="single" w:sz="4" w:space="0" w:color="auto"/>
              <w:right w:val="nil"/>
            </w:tcBorders>
            <w:shd w:val="clear" w:color="auto" w:fill="auto"/>
            <w:vAlign w:val="center"/>
            <w:hideMark/>
          </w:tcPr>
          <w:p w14:paraId="3AD659C9" w14:textId="77777777" w:rsidR="00AB7893" w:rsidRPr="00F21227" w:rsidRDefault="00AB7893" w:rsidP="006E5E0B">
            <w:pPr>
              <w:spacing w:after="0"/>
              <w:jc w:val="right"/>
              <w:textAlignment w:val="baseline"/>
              <w:rPr>
                <w:sz w:val="24"/>
                <w:lang w:eastAsia="en-IE"/>
              </w:rPr>
            </w:pPr>
            <w:r w:rsidRPr="00F21227">
              <w:rPr>
                <w:rFonts w:ascii="Arial" w:hAnsi="Arial" w:cs="Arial"/>
                <w:b/>
                <w:bCs/>
                <w:color w:val="000000"/>
                <w:sz w:val="22"/>
                <w:szCs w:val="22"/>
                <w:lang w:eastAsia="en-IE"/>
              </w:rPr>
              <w:t> </w:t>
            </w:r>
            <w:r w:rsidRPr="00F21227">
              <w:rPr>
                <w:rFonts w:cs="Calibri"/>
                <w:color w:val="000000"/>
                <w:sz w:val="22"/>
                <w:szCs w:val="22"/>
                <w:lang w:eastAsia="en-IE"/>
              </w:rPr>
              <w:t> </w:t>
            </w:r>
          </w:p>
        </w:tc>
        <w:tc>
          <w:tcPr>
            <w:tcW w:w="3105" w:type="dxa"/>
            <w:tcBorders>
              <w:top w:val="single" w:sz="4" w:space="0" w:color="auto"/>
              <w:left w:val="nil"/>
              <w:bottom w:val="single" w:sz="4" w:space="0" w:color="auto"/>
              <w:right w:val="single" w:sz="6" w:space="0" w:color="auto"/>
            </w:tcBorders>
            <w:shd w:val="clear" w:color="auto" w:fill="auto"/>
            <w:vAlign w:val="center"/>
            <w:hideMark/>
          </w:tcPr>
          <w:p w14:paraId="4C3F4D8F" w14:textId="77777777" w:rsidR="00AB7893" w:rsidRPr="00F21227" w:rsidRDefault="00AB7893" w:rsidP="006E5E0B">
            <w:pPr>
              <w:spacing w:after="0"/>
              <w:jc w:val="right"/>
              <w:textAlignment w:val="baseline"/>
              <w:rPr>
                <w:sz w:val="24"/>
                <w:lang w:eastAsia="en-IE"/>
              </w:rPr>
            </w:pPr>
            <w:r w:rsidRPr="00F21227">
              <w:rPr>
                <w:rFonts w:ascii="Arial" w:hAnsi="Arial" w:cs="Arial"/>
                <w:b/>
                <w:bCs/>
                <w:color w:val="000000"/>
                <w:sz w:val="22"/>
                <w:szCs w:val="22"/>
                <w:lang w:eastAsia="en-IE"/>
              </w:rPr>
              <w:t> </w:t>
            </w:r>
            <w:r w:rsidRPr="00F21227">
              <w:rPr>
                <w:rFonts w:cs="Calibri"/>
                <w:color w:val="000000"/>
                <w:sz w:val="22"/>
                <w:szCs w:val="22"/>
                <w:lang w:eastAsia="en-IE"/>
              </w:rPr>
              <w:t> </w:t>
            </w:r>
          </w:p>
        </w:tc>
      </w:tr>
      <w:tr w:rsidR="00AB7893" w:rsidRPr="00F21227" w14:paraId="643D621C" w14:textId="77777777" w:rsidTr="006E5E0B">
        <w:trPr>
          <w:trHeight w:val="75"/>
        </w:trPr>
        <w:tc>
          <w:tcPr>
            <w:tcW w:w="4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E730C" w14:textId="77777777" w:rsidR="00AB7893" w:rsidRPr="00F21227" w:rsidRDefault="00AB7893" w:rsidP="006E5E0B">
            <w:pPr>
              <w:spacing w:after="0"/>
              <w:textAlignment w:val="baseline"/>
              <w:rPr>
                <w:sz w:val="24"/>
                <w:lang w:eastAsia="en-IE"/>
              </w:rPr>
            </w:pPr>
            <w:r w:rsidRPr="00F21227">
              <w:rPr>
                <w:rFonts w:cs="Calibri"/>
                <w:color w:val="000000"/>
                <w:sz w:val="22"/>
                <w:szCs w:val="22"/>
                <w:lang w:eastAsia="en-IE"/>
              </w:rPr>
              <w:t> All </w:t>
            </w:r>
          </w:p>
        </w:tc>
        <w:tc>
          <w:tcPr>
            <w:tcW w:w="3645"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37606016"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6.5% (n=2)</w:t>
            </w:r>
            <w:r w:rsidRPr="00F21227">
              <w:rPr>
                <w:rFonts w:ascii="Arial" w:hAnsi="Arial" w:cs="Arial"/>
                <w:color w:val="000000"/>
                <w:sz w:val="22"/>
                <w:szCs w:val="22"/>
                <w:lang w:eastAsia="en-IE"/>
              </w:rPr>
              <w:t> </w:t>
            </w:r>
            <w:r w:rsidRPr="00F21227">
              <w:rPr>
                <w:rFonts w:cs="Calibri"/>
                <w:color w:val="000000"/>
                <w:sz w:val="22"/>
                <w:szCs w:val="22"/>
                <w:lang w:eastAsia="en-IE"/>
              </w:rPr>
              <w:t> </w:t>
            </w:r>
          </w:p>
        </w:tc>
        <w:tc>
          <w:tcPr>
            <w:tcW w:w="2910"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075305D6"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29% (n=9)</w:t>
            </w:r>
            <w:r w:rsidRPr="00F21227">
              <w:rPr>
                <w:rFonts w:ascii="Arial" w:hAnsi="Arial" w:cs="Arial"/>
                <w:color w:val="000000"/>
                <w:sz w:val="22"/>
                <w:szCs w:val="22"/>
                <w:lang w:eastAsia="en-IE"/>
              </w:rPr>
              <w:t> </w:t>
            </w:r>
            <w:r w:rsidRPr="00F21227">
              <w:rPr>
                <w:rFonts w:cs="Calibri"/>
                <w:color w:val="000000"/>
                <w:sz w:val="22"/>
                <w:szCs w:val="22"/>
                <w:lang w:eastAsia="en-IE"/>
              </w:rPr>
              <w:t> </w:t>
            </w:r>
          </w:p>
        </w:tc>
        <w:tc>
          <w:tcPr>
            <w:tcW w:w="3105"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17138E0E"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64.5% (n=20) </w:t>
            </w:r>
          </w:p>
        </w:tc>
      </w:tr>
      <w:tr w:rsidR="00AB7893" w:rsidRPr="00F21227" w14:paraId="1A0C62E2" w14:textId="77777777" w:rsidTr="006E5E0B">
        <w:trPr>
          <w:trHeight w:val="75"/>
        </w:trPr>
        <w:tc>
          <w:tcPr>
            <w:tcW w:w="4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9C0C3" w14:textId="77777777" w:rsidR="00AB7893" w:rsidRPr="00F21227" w:rsidRDefault="00AB7893" w:rsidP="006E5E0B">
            <w:pPr>
              <w:spacing w:after="0"/>
              <w:textAlignment w:val="baseline"/>
              <w:rPr>
                <w:sz w:val="24"/>
                <w:lang w:eastAsia="en-IE"/>
              </w:rPr>
            </w:pPr>
            <w:r w:rsidRPr="00F21227">
              <w:rPr>
                <w:rFonts w:cs="Calibri"/>
                <w:color w:val="000000"/>
                <w:sz w:val="22"/>
                <w:szCs w:val="22"/>
                <w:lang w:eastAsia="en-IE"/>
              </w:rPr>
              <w:t> Specialist </w:t>
            </w:r>
          </w:p>
        </w:tc>
        <w:tc>
          <w:tcPr>
            <w:tcW w:w="3645"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1F94C498"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0% </w:t>
            </w:r>
          </w:p>
        </w:tc>
        <w:tc>
          <w:tcPr>
            <w:tcW w:w="2910"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2946C733"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40% (n=6) </w:t>
            </w:r>
          </w:p>
        </w:tc>
        <w:tc>
          <w:tcPr>
            <w:tcW w:w="3105"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1B54AA0D"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60% (n=9) </w:t>
            </w:r>
          </w:p>
        </w:tc>
      </w:tr>
      <w:tr w:rsidR="00AB7893" w:rsidRPr="00F21227" w14:paraId="48AB51DD" w14:textId="77777777" w:rsidTr="006E5E0B">
        <w:trPr>
          <w:trHeight w:val="75"/>
        </w:trPr>
        <w:tc>
          <w:tcPr>
            <w:tcW w:w="4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A2761" w14:textId="77777777" w:rsidR="00AB7893" w:rsidRPr="00F21227" w:rsidRDefault="00AB7893" w:rsidP="006E5E0B">
            <w:pPr>
              <w:spacing w:after="0"/>
              <w:textAlignment w:val="baseline"/>
              <w:rPr>
                <w:sz w:val="24"/>
                <w:lang w:eastAsia="en-IE"/>
              </w:rPr>
            </w:pPr>
            <w:r w:rsidRPr="00F21227">
              <w:rPr>
                <w:rFonts w:cs="Calibri"/>
                <w:color w:val="000000"/>
                <w:sz w:val="22"/>
                <w:szCs w:val="22"/>
                <w:lang w:eastAsia="en-IE"/>
              </w:rPr>
              <w:t> Non-specialist </w:t>
            </w:r>
          </w:p>
        </w:tc>
        <w:tc>
          <w:tcPr>
            <w:tcW w:w="3645"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1A05A5AF"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10% (n=1) </w:t>
            </w:r>
          </w:p>
        </w:tc>
        <w:tc>
          <w:tcPr>
            <w:tcW w:w="2910"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65B1DE33"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30% (n=3) </w:t>
            </w:r>
          </w:p>
        </w:tc>
        <w:tc>
          <w:tcPr>
            <w:tcW w:w="3105"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73A62A22"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60% (n=6) </w:t>
            </w:r>
          </w:p>
        </w:tc>
      </w:tr>
      <w:tr w:rsidR="00AB7893" w:rsidRPr="00F21227" w14:paraId="29DA6C78" w14:textId="77777777" w:rsidTr="006E5E0B">
        <w:trPr>
          <w:trHeight w:val="75"/>
        </w:trPr>
        <w:tc>
          <w:tcPr>
            <w:tcW w:w="4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05A55" w14:textId="77777777" w:rsidR="00AB7893" w:rsidRPr="00F21227" w:rsidRDefault="00AB7893" w:rsidP="006E5E0B">
            <w:pPr>
              <w:spacing w:after="0"/>
              <w:textAlignment w:val="baseline"/>
              <w:rPr>
                <w:sz w:val="24"/>
                <w:lang w:eastAsia="en-IE"/>
              </w:rPr>
            </w:pPr>
            <w:r w:rsidRPr="00F21227">
              <w:rPr>
                <w:rFonts w:cs="Calibri"/>
                <w:color w:val="000000"/>
                <w:sz w:val="22"/>
                <w:szCs w:val="22"/>
                <w:lang w:eastAsia="en-IE"/>
              </w:rPr>
              <w:t> Other </w:t>
            </w:r>
          </w:p>
        </w:tc>
        <w:tc>
          <w:tcPr>
            <w:tcW w:w="3645"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444660EB"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16.7% (n=1) </w:t>
            </w:r>
          </w:p>
        </w:tc>
        <w:tc>
          <w:tcPr>
            <w:tcW w:w="2910"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5B0102E4"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0% </w:t>
            </w:r>
          </w:p>
        </w:tc>
        <w:tc>
          <w:tcPr>
            <w:tcW w:w="3105"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50D8D7C4"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83.5% (n=5) </w:t>
            </w:r>
          </w:p>
        </w:tc>
      </w:tr>
      <w:tr w:rsidR="00AB7893" w:rsidRPr="00F21227" w14:paraId="0EE70AB1" w14:textId="77777777" w:rsidTr="006E5E0B">
        <w:trPr>
          <w:trHeight w:val="315"/>
        </w:trPr>
        <w:tc>
          <w:tcPr>
            <w:tcW w:w="4260" w:type="dxa"/>
            <w:tcBorders>
              <w:top w:val="single" w:sz="4" w:space="0" w:color="auto"/>
              <w:left w:val="single" w:sz="6" w:space="0" w:color="auto"/>
              <w:bottom w:val="single" w:sz="4" w:space="0" w:color="auto"/>
              <w:right w:val="nil"/>
            </w:tcBorders>
            <w:shd w:val="clear" w:color="auto" w:fill="auto"/>
            <w:vAlign w:val="center"/>
            <w:hideMark/>
          </w:tcPr>
          <w:p w14:paraId="3B801182" w14:textId="77777777" w:rsidR="00AB7893" w:rsidRPr="00F21227" w:rsidRDefault="00AB7893" w:rsidP="006E5E0B">
            <w:pPr>
              <w:spacing w:after="0"/>
              <w:textAlignment w:val="baseline"/>
              <w:rPr>
                <w:sz w:val="24"/>
                <w:lang w:eastAsia="en-IE"/>
              </w:rPr>
            </w:pPr>
            <w:r w:rsidRPr="00F21227">
              <w:rPr>
                <w:rFonts w:cs="Calibri"/>
                <w:b/>
                <w:bCs/>
                <w:color w:val="000000"/>
                <w:sz w:val="22"/>
                <w:szCs w:val="22"/>
                <w:lang w:eastAsia="en-IE"/>
              </w:rPr>
              <w:t>Behaviours</w:t>
            </w:r>
            <w:r w:rsidRPr="00F21227">
              <w:rPr>
                <w:rFonts w:cs="Calibri"/>
                <w:color w:val="000000"/>
                <w:sz w:val="22"/>
                <w:szCs w:val="22"/>
                <w:lang w:eastAsia="en-IE"/>
              </w:rPr>
              <w:t> </w:t>
            </w:r>
          </w:p>
        </w:tc>
        <w:tc>
          <w:tcPr>
            <w:tcW w:w="3645" w:type="dxa"/>
            <w:tcBorders>
              <w:top w:val="single" w:sz="4" w:space="0" w:color="auto"/>
              <w:left w:val="nil"/>
              <w:bottom w:val="single" w:sz="4" w:space="0" w:color="auto"/>
              <w:right w:val="nil"/>
            </w:tcBorders>
            <w:shd w:val="clear" w:color="auto" w:fill="auto"/>
            <w:vAlign w:val="center"/>
            <w:hideMark/>
          </w:tcPr>
          <w:p w14:paraId="3B2C80DE" w14:textId="77777777" w:rsidR="00AB7893" w:rsidRPr="00F21227" w:rsidRDefault="00AB7893" w:rsidP="006E5E0B">
            <w:pPr>
              <w:spacing w:after="0"/>
              <w:jc w:val="right"/>
              <w:textAlignment w:val="baseline"/>
              <w:rPr>
                <w:sz w:val="24"/>
                <w:lang w:eastAsia="en-IE"/>
              </w:rPr>
            </w:pPr>
            <w:r w:rsidRPr="00F21227">
              <w:rPr>
                <w:rFonts w:ascii="Arial" w:hAnsi="Arial" w:cs="Arial"/>
                <w:b/>
                <w:bCs/>
                <w:color w:val="000000"/>
                <w:sz w:val="22"/>
                <w:szCs w:val="22"/>
                <w:lang w:eastAsia="en-IE"/>
              </w:rPr>
              <w:t> </w:t>
            </w:r>
            <w:r w:rsidRPr="00F21227">
              <w:rPr>
                <w:rFonts w:cs="Calibri"/>
                <w:color w:val="000000"/>
                <w:sz w:val="22"/>
                <w:szCs w:val="22"/>
                <w:lang w:eastAsia="en-IE"/>
              </w:rPr>
              <w:t> </w:t>
            </w:r>
          </w:p>
        </w:tc>
        <w:tc>
          <w:tcPr>
            <w:tcW w:w="2910" w:type="dxa"/>
            <w:tcBorders>
              <w:top w:val="single" w:sz="4" w:space="0" w:color="auto"/>
              <w:left w:val="nil"/>
              <w:bottom w:val="single" w:sz="4" w:space="0" w:color="auto"/>
              <w:right w:val="nil"/>
            </w:tcBorders>
            <w:shd w:val="clear" w:color="auto" w:fill="auto"/>
            <w:vAlign w:val="center"/>
            <w:hideMark/>
          </w:tcPr>
          <w:p w14:paraId="355899EB" w14:textId="77777777" w:rsidR="00AB7893" w:rsidRPr="00F21227" w:rsidRDefault="00AB7893" w:rsidP="006E5E0B">
            <w:pPr>
              <w:spacing w:after="0"/>
              <w:jc w:val="right"/>
              <w:textAlignment w:val="baseline"/>
              <w:rPr>
                <w:sz w:val="24"/>
                <w:lang w:eastAsia="en-IE"/>
              </w:rPr>
            </w:pPr>
            <w:r w:rsidRPr="00F21227">
              <w:rPr>
                <w:rFonts w:ascii="Arial" w:hAnsi="Arial" w:cs="Arial"/>
                <w:b/>
                <w:bCs/>
                <w:color w:val="000000"/>
                <w:sz w:val="22"/>
                <w:szCs w:val="22"/>
                <w:lang w:eastAsia="en-IE"/>
              </w:rPr>
              <w:t> </w:t>
            </w:r>
            <w:r w:rsidRPr="00F21227">
              <w:rPr>
                <w:rFonts w:cs="Calibri"/>
                <w:color w:val="000000"/>
                <w:sz w:val="22"/>
                <w:szCs w:val="22"/>
                <w:lang w:eastAsia="en-IE"/>
              </w:rPr>
              <w:t> </w:t>
            </w:r>
          </w:p>
        </w:tc>
        <w:tc>
          <w:tcPr>
            <w:tcW w:w="3105" w:type="dxa"/>
            <w:tcBorders>
              <w:top w:val="single" w:sz="4" w:space="0" w:color="auto"/>
              <w:left w:val="nil"/>
              <w:bottom w:val="single" w:sz="4" w:space="0" w:color="auto"/>
              <w:right w:val="single" w:sz="6" w:space="0" w:color="auto"/>
            </w:tcBorders>
            <w:shd w:val="clear" w:color="auto" w:fill="auto"/>
            <w:vAlign w:val="center"/>
            <w:hideMark/>
          </w:tcPr>
          <w:p w14:paraId="23159AF9" w14:textId="77777777" w:rsidR="00AB7893" w:rsidRPr="00F21227" w:rsidRDefault="00AB7893" w:rsidP="006E5E0B">
            <w:pPr>
              <w:spacing w:after="0"/>
              <w:jc w:val="right"/>
              <w:textAlignment w:val="baseline"/>
              <w:rPr>
                <w:sz w:val="24"/>
                <w:lang w:eastAsia="en-IE"/>
              </w:rPr>
            </w:pPr>
            <w:r w:rsidRPr="00F21227">
              <w:rPr>
                <w:rFonts w:ascii="Arial" w:hAnsi="Arial" w:cs="Arial"/>
                <w:b/>
                <w:bCs/>
                <w:color w:val="000000"/>
                <w:sz w:val="22"/>
                <w:szCs w:val="22"/>
                <w:lang w:eastAsia="en-IE"/>
              </w:rPr>
              <w:t> </w:t>
            </w:r>
            <w:r w:rsidRPr="00F21227">
              <w:rPr>
                <w:rFonts w:cs="Calibri"/>
                <w:color w:val="000000"/>
                <w:sz w:val="22"/>
                <w:szCs w:val="22"/>
                <w:lang w:eastAsia="en-IE"/>
              </w:rPr>
              <w:t> </w:t>
            </w:r>
          </w:p>
        </w:tc>
      </w:tr>
      <w:tr w:rsidR="00AB7893" w:rsidRPr="00F21227" w14:paraId="73E18C59" w14:textId="77777777" w:rsidTr="006E5E0B">
        <w:trPr>
          <w:trHeight w:val="75"/>
        </w:trPr>
        <w:tc>
          <w:tcPr>
            <w:tcW w:w="4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1DFAC" w14:textId="77777777" w:rsidR="00AB7893" w:rsidRPr="00F21227" w:rsidRDefault="00AB7893" w:rsidP="006E5E0B">
            <w:pPr>
              <w:spacing w:after="0"/>
              <w:textAlignment w:val="baseline"/>
              <w:rPr>
                <w:sz w:val="24"/>
                <w:lang w:eastAsia="en-IE"/>
              </w:rPr>
            </w:pPr>
            <w:r>
              <w:rPr>
                <w:rFonts w:cs="Calibri"/>
                <w:color w:val="000000"/>
                <w:sz w:val="22"/>
                <w:szCs w:val="22"/>
                <w:lang w:eastAsia="en-IE"/>
              </w:rPr>
              <w:t xml:space="preserve"> </w:t>
            </w:r>
            <w:r w:rsidRPr="00F21227">
              <w:rPr>
                <w:rFonts w:cs="Calibri"/>
                <w:color w:val="000000"/>
                <w:sz w:val="22"/>
                <w:szCs w:val="22"/>
                <w:lang w:eastAsia="en-IE"/>
              </w:rPr>
              <w:t>All  </w:t>
            </w:r>
          </w:p>
        </w:tc>
        <w:tc>
          <w:tcPr>
            <w:tcW w:w="36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73EAC3E"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0%</w:t>
            </w:r>
            <w:r w:rsidRPr="00F21227">
              <w:rPr>
                <w:rFonts w:ascii="Arial" w:hAnsi="Arial" w:cs="Arial"/>
                <w:color w:val="000000"/>
                <w:sz w:val="22"/>
                <w:szCs w:val="22"/>
                <w:lang w:eastAsia="en-IE"/>
              </w:rPr>
              <w:t> </w:t>
            </w:r>
            <w:r w:rsidRPr="00F21227">
              <w:rPr>
                <w:rFonts w:cs="Calibri"/>
                <w:color w:val="000000"/>
                <w:sz w:val="22"/>
                <w:szCs w:val="22"/>
                <w:lang w:eastAsia="en-IE"/>
              </w:rPr>
              <w:t> </w:t>
            </w:r>
          </w:p>
        </w:tc>
        <w:tc>
          <w:tcPr>
            <w:tcW w:w="2910"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A628970"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32.3% (n=10)</w:t>
            </w:r>
            <w:r w:rsidRPr="00F21227">
              <w:rPr>
                <w:rFonts w:ascii="Arial" w:hAnsi="Arial" w:cs="Arial"/>
                <w:color w:val="000000"/>
                <w:sz w:val="22"/>
                <w:szCs w:val="22"/>
                <w:lang w:eastAsia="en-IE"/>
              </w:rPr>
              <w:t> </w:t>
            </w:r>
            <w:r w:rsidRPr="00F21227">
              <w:rPr>
                <w:rFonts w:cs="Calibri"/>
                <w:color w:val="000000"/>
                <w:sz w:val="22"/>
                <w:szCs w:val="22"/>
                <w:lang w:eastAsia="en-IE"/>
              </w:rPr>
              <w:t> </w:t>
            </w:r>
          </w:p>
        </w:tc>
        <w:tc>
          <w:tcPr>
            <w:tcW w:w="310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13F4909"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67.7% (n=21) </w:t>
            </w:r>
          </w:p>
        </w:tc>
      </w:tr>
      <w:tr w:rsidR="00AB7893" w:rsidRPr="00F21227" w14:paraId="7A2F94DD" w14:textId="77777777" w:rsidTr="006E5E0B">
        <w:trPr>
          <w:trHeight w:val="75"/>
        </w:trPr>
        <w:tc>
          <w:tcPr>
            <w:tcW w:w="4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2275F" w14:textId="77777777" w:rsidR="00AB7893" w:rsidRPr="00F21227" w:rsidRDefault="00AB7893" w:rsidP="006E5E0B">
            <w:pPr>
              <w:spacing w:after="0"/>
              <w:textAlignment w:val="baseline"/>
              <w:rPr>
                <w:sz w:val="24"/>
                <w:lang w:eastAsia="en-IE"/>
              </w:rPr>
            </w:pPr>
            <w:r w:rsidRPr="00F21227">
              <w:rPr>
                <w:rFonts w:cs="Calibri"/>
                <w:color w:val="000000"/>
                <w:sz w:val="22"/>
                <w:szCs w:val="22"/>
                <w:lang w:eastAsia="en-IE"/>
              </w:rPr>
              <w:t> Specialist </w:t>
            </w:r>
          </w:p>
        </w:tc>
        <w:tc>
          <w:tcPr>
            <w:tcW w:w="3645" w:type="dxa"/>
            <w:tcBorders>
              <w:top w:val="single" w:sz="4" w:space="0" w:color="auto"/>
              <w:left w:val="single" w:sz="4" w:space="0" w:color="auto"/>
              <w:bottom w:val="single" w:sz="4" w:space="0" w:color="auto"/>
              <w:right w:val="single" w:sz="4" w:space="0" w:color="auto"/>
            </w:tcBorders>
            <w:shd w:val="clear" w:color="auto" w:fill="D9E2F3"/>
            <w:hideMark/>
          </w:tcPr>
          <w:p w14:paraId="4F3D4240"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0%</w:t>
            </w:r>
            <w:r w:rsidRPr="00F21227">
              <w:rPr>
                <w:rFonts w:ascii="Arial" w:hAnsi="Arial" w:cs="Arial"/>
                <w:color w:val="000000"/>
                <w:sz w:val="22"/>
                <w:szCs w:val="22"/>
                <w:lang w:eastAsia="en-IE"/>
              </w:rPr>
              <w:t> </w:t>
            </w:r>
            <w:r w:rsidRPr="00F21227">
              <w:rPr>
                <w:rFonts w:cs="Calibri"/>
                <w:color w:val="000000"/>
                <w:sz w:val="22"/>
                <w:szCs w:val="22"/>
                <w:lang w:eastAsia="en-IE"/>
              </w:rPr>
              <w:t> </w:t>
            </w:r>
          </w:p>
        </w:tc>
        <w:tc>
          <w:tcPr>
            <w:tcW w:w="2910"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C2369D0"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40% (n=6) </w:t>
            </w:r>
          </w:p>
        </w:tc>
        <w:tc>
          <w:tcPr>
            <w:tcW w:w="310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59F4539"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60% (n=9) </w:t>
            </w:r>
          </w:p>
        </w:tc>
      </w:tr>
      <w:tr w:rsidR="00AB7893" w:rsidRPr="00F21227" w14:paraId="07ACFE15" w14:textId="77777777" w:rsidTr="006E5E0B">
        <w:trPr>
          <w:trHeight w:val="75"/>
        </w:trPr>
        <w:tc>
          <w:tcPr>
            <w:tcW w:w="4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ED78D" w14:textId="77777777" w:rsidR="00AB7893" w:rsidRPr="00F21227" w:rsidRDefault="00AB7893" w:rsidP="006E5E0B">
            <w:pPr>
              <w:spacing w:after="0"/>
              <w:textAlignment w:val="baseline"/>
              <w:rPr>
                <w:sz w:val="24"/>
                <w:lang w:eastAsia="en-IE"/>
              </w:rPr>
            </w:pPr>
            <w:r w:rsidRPr="00F21227">
              <w:rPr>
                <w:rFonts w:cs="Calibri"/>
                <w:color w:val="000000"/>
                <w:sz w:val="22"/>
                <w:szCs w:val="22"/>
                <w:lang w:eastAsia="en-IE"/>
              </w:rPr>
              <w:t> Non-specialist </w:t>
            </w:r>
          </w:p>
        </w:tc>
        <w:tc>
          <w:tcPr>
            <w:tcW w:w="3645" w:type="dxa"/>
            <w:tcBorders>
              <w:top w:val="single" w:sz="4" w:space="0" w:color="auto"/>
              <w:left w:val="single" w:sz="4" w:space="0" w:color="auto"/>
              <w:bottom w:val="single" w:sz="4" w:space="0" w:color="auto"/>
              <w:right w:val="single" w:sz="4" w:space="0" w:color="auto"/>
            </w:tcBorders>
            <w:shd w:val="clear" w:color="auto" w:fill="D9E2F3"/>
            <w:hideMark/>
          </w:tcPr>
          <w:p w14:paraId="4D4FFA0A"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0%</w:t>
            </w:r>
            <w:r w:rsidRPr="00F21227">
              <w:rPr>
                <w:rFonts w:ascii="Arial" w:hAnsi="Arial" w:cs="Arial"/>
                <w:color w:val="000000"/>
                <w:sz w:val="22"/>
                <w:szCs w:val="22"/>
                <w:lang w:eastAsia="en-IE"/>
              </w:rPr>
              <w:t> </w:t>
            </w:r>
            <w:r w:rsidRPr="00F21227">
              <w:rPr>
                <w:rFonts w:cs="Calibri"/>
                <w:color w:val="000000"/>
                <w:sz w:val="22"/>
                <w:szCs w:val="22"/>
                <w:lang w:eastAsia="en-IE"/>
              </w:rPr>
              <w:t> </w:t>
            </w:r>
          </w:p>
        </w:tc>
        <w:tc>
          <w:tcPr>
            <w:tcW w:w="2910"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03825DB"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40% (n=4) </w:t>
            </w:r>
          </w:p>
        </w:tc>
        <w:tc>
          <w:tcPr>
            <w:tcW w:w="310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510FC54"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60% (n=6) </w:t>
            </w:r>
          </w:p>
        </w:tc>
      </w:tr>
      <w:tr w:rsidR="00AB7893" w:rsidRPr="00F21227" w14:paraId="23DE6C1A" w14:textId="77777777" w:rsidTr="006E5E0B">
        <w:trPr>
          <w:trHeight w:val="75"/>
        </w:trPr>
        <w:tc>
          <w:tcPr>
            <w:tcW w:w="4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C1DC2" w14:textId="77777777" w:rsidR="00AB7893" w:rsidRPr="00F21227" w:rsidRDefault="00AB7893" w:rsidP="006E5E0B">
            <w:pPr>
              <w:spacing w:after="0"/>
              <w:textAlignment w:val="baseline"/>
              <w:rPr>
                <w:sz w:val="24"/>
                <w:lang w:eastAsia="en-IE"/>
              </w:rPr>
            </w:pPr>
            <w:r w:rsidRPr="00F21227">
              <w:rPr>
                <w:rFonts w:cs="Calibri"/>
                <w:color w:val="000000"/>
                <w:sz w:val="22"/>
                <w:szCs w:val="22"/>
                <w:lang w:eastAsia="en-IE"/>
              </w:rPr>
              <w:t> Other </w:t>
            </w:r>
          </w:p>
        </w:tc>
        <w:tc>
          <w:tcPr>
            <w:tcW w:w="3645" w:type="dxa"/>
            <w:tcBorders>
              <w:top w:val="single" w:sz="4" w:space="0" w:color="auto"/>
              <w:left w:val="single" w:sz="4" w:space="0" w:color="auto"/>
              <w:bottom w:val="single" w:sz="4" w:space="0" w:color="auto"/>
              <w:right w:val="single" w:sz="4" w:space="0" w:color="auto"/>
            </w:tcBorders>
            <w:shd w:val="clear" w:color="auto" w:fill="D9E2F3"/>
            <w:hideMark/>
          </w:tcPr>
          <w:p w14:paraId="0A2E62D0"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0%</w:t>
            </w:r>
            <w:r w:rsidRPr="00F21227">
              <w:rPr>
                <w:rFonts w:ascii="Arial" w:hAnsi="Arial" w:cs="Arial"/>
                <w:color w:val="000000"/>
                <w:sz w:val="22"/>
                <w:szCs w:val="22"/>
                <w:lang w:eastAsia="en-IE"/>
              </w:rPr>
              <w:t> </w:t>
            </w:r>
            <w:r w:rsidRPr="00F21227">
              <w:rPr>
                <w:rFonts w:cs="Calibri"/>
                <w:color w:val="000000"/>
                <w:sz w:val="22"/>
                <w:szCs w:val="22"/>
                <w:lang w:eastAsia="en-IE"/>
              </w:rPr>
              <w:t> </w:t>
            </w:r>
          </w:p>
        </w:tc>
        <w:tc>
          <w:tcPr>
            <w:tcW w:w="2910"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091760B"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0% </w:t>
            </w:r>
          </w:p>
        </w:tc>
        <w:tc>
          <w:tcPr>
            <w:tcW w:w="310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76A4B7A"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100% (n=6) </w:t>
            </w:r>
          </w:p>
        </w:tc>
      </w:tr>
      <w:tr w:rsidR="00AB7893" w:rsidRPr="00F21227" w14:paraId="1EC62C4E" w14:textId="77777777" w:rsidTr="006E5E0B">
        <w:trPr>
          <w:trHeight w:val="315"/>
        </w:trPr>
        <w:tc>
          <w:tcPr>
            <w:tcW w:w="4260" w:type="dxa"/>
            <w:tcBorders>
              <w:top w:val="single" w:sz="4" w:space="0" w:color="auto"/>
              <w:left w:val="single" w:sz="6" w:space="0" w:color="auto"/>
              <w:bottom w:val="single" w:sz="4" w:space="0" w:color="auto"/>
              <w:right w:val="nil"/>
            </w:tcBorders>
            <w:shd w:val="clear" w:color="auto" w:fill="auto"/>
            <w:vAlign w:val="center"/>
            <w:hideMark/>
          </w:tcPr>
          <w:p w14:paraId="26E5E0B0" w14:textId="77777777" w:rsidR="00AB7893" w:rsidRPr="00F21227" w:rsidRDefault="00AB7893" w:rsidP="006E5E0B">
            <w:pPr>
              <w:spacing w:after="0"/>
              <w:textAlignment w:val="baseline"/>
              <w:rPr>
                <w:sz w:val="24"/>
                <w:lang w:eastAsia="en-IE"/>
              </w:rPr>
            </w:pPr>
            <w:r w:rsidRPr="00F21227">
              <w:rPr>
                <w:rFonts w:cs="Calibri"/>
                <w:b/>
                <w:bCs/>
                <w:color w:val="000000"/>
                <w:sz w:val="22"/>
                <w:szCs w:val="22"/>
                <w:lang w:eastAsia="en-IE"/>
              </w:rPr>
              <w:t>Frailty</w:t>
            </w:r>
            <w:r w:rsidRPr="00F21227">
              <w:rPr>
                <w:rFonts w:cs="Calibri"/>
                <w:color w:val="000000"/>
                <w:sz w:val="22"/>
                <w:szCs w:val="22"/>
                <w:lang w:eastAsia="en-IE"/>
              </w:rPr>
              <w:t> </w:t>
            </w:r>
          </w:p>
        </w:tc>
        <w:tc>
          <w:tcPr>
            <w:tcW w:w="3645" w:type="dxa"/>
            <w:tcBorders>
              <w:top w:val="single" w:sz="4" w:space="0" w:color="auto"/>
              <w:left w:val="nil"/>
              <w:bottom w:val="single" w:sz="4" w:space="0" w:color="auto"/>
              <w:right w:val="nil"/>
            </w:tcBorders>
            <w:shd w:val="clear" w:color="auto" w:fill="auto"/>
            <w:vAlign w:val="center"/>
            <w:hideMark/>
          </w:tcPr>
          <w:p w14:paraId="5BE97F1A" w14:textId="77777777" w:rsidR="00AB7893" w:rsidRPr="00F21227" w:rsidRDefault="00AB7893" w:rsidP="006E5E0B">
            <w:pPr>
              <w:spacing w:after="0"/>
              <w:jc w:val="right"/>
              <w:textAlignment w:val="baseline"/>
              <w:rPr>
                <w:sz w:val="24"/>
                <w:lang w:eastAsia="en-IE"/>
              </w:rPr>
            </w:pPr>
            <w:r w:rsidRPr="00F21227">
              <w:rPr>
                <w:rFonts w:ascii="Arial" w:hAnsi="Arial" w:cs="Arial"/>
                <w:b/>
                <w:bCs/>
                <w:color w:val="000000"/>
                <w:sz w:val="22"/>
                <w:szCs w:val="22"/>
                <w:lang w:eastAsia="en-IE"/>
              </w:rPr>
              <w:t> </w:t>
            </w:r>
            <w:r w:rsidRPr="00F21227">
              <w:rPr>
                <w:rFonts w:cs="Calibri"/>
                <w:color w:val="000000"/>
                <w:sz w:val="22"/>
                <w:szCs w:val="22"/>
                <w:lang w:eastAsia="en-IE"/>
              </w:rPr>
              <w:t> </w:t>
            </w:r>
          </w:p>
        </w:tc>
        <w:tc>
          <w:tcPr>
            <w:tcW w:w="2910" w:type="dxa"/>
            <w:tcBorders>
              <w:top w:val="single" w:sz="4" w:space="0" w:color="auto"/>
              <w:left w:val="nil"/>
              <w:bottom w:val="single" w:sz="4" w:space="0" w:color="auto"/>
              <w:right w:val="nil"/>
            </w:tcBorders>
            <w:shd w:val="clear" w:color="auto" w:fill="auto"/>
            <w:vAlign w:val="center"/>
            <w:hideMark/>
          </w:tcPr>
          <w:p w14:paraId="27BDE702" w14:textId="77777777" w:rsidR="00AB7893" w:rsidRPr="00F21227" w:rsidRDefault="00AB7893" w:rsidP="006E5E0B">
            <w:pPr>
              <w:spacing w:after="0"/>
              <w:jc w:val="right"/>
              <w:textAlignment w:val="baseline"/>
              <w:rPr>
                <w:sz w:val="24"/>
                <w:lang w:eastAsia="en-IE"/>
              </w:rPr>
            </w:pPr>
            <w:r w:rsidRPr="00F21227">
              <w:rPr>
                <w:rFonts w:ascii="Arial" w:hAnsi="Arial" w:cs="Arial"/>
                <w:b/>
                <w:bCs/>
                <w:color w:val="000000"/>
                <w:sz w:val="22"/>
                <w:szCs w:val="22"/>
                <w:lang w:eastAsia="en-IE"/>
              </w:rPr>
              <w:t> </w:t>
            </w:r>
            <w:r w:rsidRPr="00F21227">
              <w:rPr>
                <w:rFonts w:cs="Calibri"/>
                <w:color w:val="000000"/>
                <w:sz w:val="22"/>
                <w:szCs w:val="22"/>
                <w:lang w:eastAsia="en-IE"/>
              </w:rPr>
              <w:t> </w:t>
            </w:r>
          </w:p>
        </w:tc>
        <w:tc>
          <w:tcPr>
            <w:tcW w:w="3105" w:type="dxa"/>
            <w:tcBorders>
              <w:top w:val="single" w:sz="4" w:space="0" w:color="auto"/>
              <w:left w:val="nil"/>
              <w:bottom w:val="single" w:sz="4" w:space="0" w:color="auto"/>
              <w:right w:val="single" w:sz="6" w:space="0" w:color="auto"/>
            </w:tcBorders>
            <w:shd w:val="clear" w:color="auto" w:fill="auto"/>
            <w:vAlign w:val="center"/>
            <w:hideMark/>
          </w:tcPr>
          <w:p w14:paraId="3B53F40B" w14:textId="77777777" w:rsidR="00AB7893" w:rsidRPr="00F21227" w:rsidRDefault="00AB7893" w:rsidP="006E5E0B">
            <w:pPr>
              <w:spacing w:after="0"/>
              <w:jc w:val="right"/>
              <w:textAlignment w:val="baseline"/>
              <w:rPr>
                <w:sz w:val="24"/>
                <w:lang w:eastAsia="en-IE"/>
              </w:rPr>
            </w:pPr>
            <w:r w:rsidRPr="00F21227">
              <w:rPr>
                <w:rFonts w:ascii="Arial" w:hAnsi="Arial" w:cs="Arial"/>
                <w:b/>
                <w:bCs/>
                <w:color w:val="000000"/>
                <w:sz w:val="22"/>
                <w:szCs w:val="22"/>
                <w:lang w:eastAsia="en-IE"/>
              </w:rPr>
              <w:t> </w:t>
            </w:r>
            <w:r w:rsidRPr="00F21227">
              <w:rPr>
                <w:rFonts w:cs="Calibri"/>
                <w:color w:val="000000"/>
                <w:sz w:val="22"/>
                <w:szCs w:val="22"/>
                <w:lang w:eastAsia="en-IE"/>
              </w:rPr>
              <w:t> </w:t>
            </w:r>
          </w:p>
        </w:tc>
      </w:tr>
      <w:tr w:rsidR="00AB7893" w:rsidRPr="00F21227" w14:paraId="03B3D28E" w14:textId="77777777" w:rsidTr="006E5E0B">
        <w:trPr>
          <w:trHeight w:val="248"/>
        </w:trPr>
        <w:tc>
          <w:tcPr>
            <w:tcW w:w="4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E6BCD" w14:textId="77777777" w:rsidR="00AB7893" w:rsidRPr="00F21227" w:rsidRDefault="00AB7893" w:rsidP="006E5E0B">
            <w:pPr>
              <w:spacing w:after="0"/>
              <w:textAlignment w:val="baseline"/>
              <w:rPr>
                <w:sz w:val="24"/>
                <w:lang w:eastAsia="en-IE"/>
              </w:rPr>
            </w:pPr>
            <w:r w:rsidRPr="00F21227">
              <w:rPr>
                <w:rFonts w:cs="Calibri"/>
                <w:color w:val="000000"/>
                <w:sz w:val="22"/>
                <w:szCs w:val="22"/>
                <w:lang w:eastAsia="en-IE"/>
              </w:rPr>
              <w:t> All </w:t>
            </w:r>
          </w:p>
        </w:tc>
        <w:tc>
          <w:tcPr>
            <w:tcW w:w="3645"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5F9A6B8A" w14:textId="77777777" w:rsidR="00AB7893" w:rsidRPr="00F21227" w:rsidRDefault="00AB7893" w:rsidP="006E5E0B">
            <w:pPr>
              <w:spacing w:after="0"/>
              <w:jc w:val="right"/>
              <w:textAlignment w:val="baseline"/>
              <w:rPr>
                <w:sz w:val="24"/>
                <w:lang w:eastAsia="en-IE"/>
              </w:rPr>
            </w:pPr>
            <w:r w:rsidRPr="00F21227">
              <w:rPr>
                <w:rFonts w:ascii="Arial" w:hAnsi="Arial" w:cs="Arial"/>
                <w:color w:val="000000"/>
                <w:sz w:val="22"/>
                <w:szCs w:val="22"/>
                <w:lang w:eastAsia="en-IE"/>
              </w:rPr>
              <w:t> </w:t>
            </w:r>
            <w:r w:rsidRPr="00F21227">
              <w:rPr>
                <w:rFonts w:cs="Calibri"/>
                <w:color w:val="000000"/>
                <w:sz w:val="22"/>
                <w:szCs w:val="22"/>
                <w:lang w:eastAsia="en-IE"/>
              </w:rPr>
              <w:t>16.7% (</w:t>
            </w:r>
            <w:r>
              <w:rPr>
                <w:rFonts w:cs="Calibri"/>
                <w:color w:val="000000"/>
                <w:sz w:val="22"/>
                <w:szCs w:val="22"/>
                <w:lang w:eastAsia="en-IE"/>
              </w:rPr>
              <w:t>n=</w:t>
            </w:r>
            <w:r w:rsidRPr="00F21227">
              <w:rPr>
                <w:rFonts w:cs="Calibri"/>
                <w:color w:val="000000"/>
                <w:sz w:val="22"/>
                <w:szCs w:val="22"/>
                <w:lang w:eastAsia="en-IE"/>
              </w:rPr>
              <w:t>5) </w:t>
            </w:r>
          </w:p>
        </w:tc>
        <w:tc>
          <w:tcPr>
            <w:tcW w:w="2910"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421C85B1"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50% (</w:t>
            </w:r>
            <w:r>
              <w:rPr>
                <w:rFonts w:cs="Calibri"/>
                <w:color w:val="000000"/>
                <w:sz w:val="22"/>
                <w:szCs w:val="22"/>
                <w:lang w:eastAsia="en-IE"/>
              </w:rPr>
              <w:t>n=</w:t>
            </w:r>
            <w:r w:rsidRPr="00F21227">
              <w:rPr>
                <w:rFonts w:cs="Calibri"/>
                <w:color w:val="000000"/>
                <w:sz w:val="22"/>
                <w:szCs w:val="22"/>
                <w:lang w:eastAsia="en-IE"/>
              </w:rPr>
              <w:t>15)</w:t>
            </w:r>
            <w:r w:rsidRPr="00F21227">
              <w:rPr>
                <w:rFonts w:ascii="Arial" w:hAnsi="Arial" w:cs="Arial"/>
                <w:color w:val="000000"/>
                <w:sz w:val="22"/>
                <w:szCs w:val="22"/>
                <w:lang w:eastAsia="en-IE"/>
              </w:rPr>
              <w:t>  </w:t>
            </w:r>
            <w:r w:rsidRPr="00F21227">
              <w:rPr>
                <w:rFonts w:cs="Calibri"/>
                <w:color w:val="000000"/>
                <w:sz w:val="22"/>
                <w:szCs w:val="22"/>
                <w:lang w:eastAsia="en-IE"/>
              </w:rPr>
              <w:t> </w:t>
            </w:r>
          </w:p>
        </w:tc>
        <w:tc>
          <w:tcPr>
            <w:tcW w:w="3105"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5B41BB1B"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33.3% (10)</w:t>
            </w:r>
            <w:r w:rsidRPr="00F21227">
              <w:rPr>
                <w:rFonts w:ascii="Arial" w:hAnsi="Arial" w:cs="Arial"/>
                <w:color w:val="000000"/>
                <w:sz w:val="22"/>
                <w:szCs w:val="22"/>
                <w:lang w:eastAsia="en-IE"/>
              </w:rPr>
              <w:t>  </w:t>
            </w:r>
            <w:r w:rsidRPr="00F21227">
              <w:rPr>
                <w:rFonts w:cs="Calibri"/>
                <w:color w:val="000000"/>
                <w:sz w:val="22"/>
                <w:szCs w:val="22"/>
                <w:lang w:eastAsia="en-IE"/>
              </w:rPr>
              <w:t> </w:t>
            </w:r>
          </w:p>
        </w:tc>
      </w:tr>
      <w:tr w:rsidR="00AB7893" w:rsidRPr="00F21227" w14:paraId="1EA6694E" w14:textId="77777777" w:rsidTr="006E5E0B">
        <w:trPr>
          <w:trHeight w:val="75"/>
        </w:trPr>
        <w:tc>
          <w:tcPr>
            <w:tcW w:w="4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1399A" w14:textId="77777777" w:rsidR="00AB7893" w:rsidRPr="00F21227" w:rsidRDefault="00AB7893" w:rsidP="006E5E0B">
            <w:pPr>
              <w:spacing w:after="0"/>
              <w:textAlignment w:val="baseline"/>
              <w:rPr>
                <w:sz w:val="24"/>
                <w:lang w:eastAsia="en-IE"/>
              </w:rPr>
            </w:pPr>
            <w:r w:rsidRPr="00F21227">
              <w:rPr>
                <w:rFonts w:cs="Calibri"/>
                <w:color w:val="000000"/>
                <w:sz w:val="22"/>
                <w:szCs w:val="22"/>
                <w:lang w:eastAsia="en-IE"/>
              </w:rPr>
              <w:t> Specialist </w:t>
            </w:r>
          </w:p>
        </w:tc>
        <w:tc>
          <w:tcPr>
            <w:tcW w:w="3645"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582B7C45"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7.1% (n=1) </w:t>
            </w:r>
          </w:p>
        </w:tc>
        <w:tc>
          <w:tcPr>
            <w:tcW w:w="2910"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174B4D2B"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64.3% (n=9) </w:t>
            </w:r>
          </w:p>
        </w:tc>
        <w:tc>
          <w:tcPr>
            <w:tcW w:w="3105"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3EDC25E4"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28.6% (n=4) </w:t>
            </w:r>
          </w:p>
        </w:tc>
      </w:tr>
      <w:tr w:rsidR="00AB7893" w:rsidRPr="00F21227" w14:paraId="373158C0" w14:textId="77777777" w:rsidTr="006E5E0B">
        <w:trPr>
          <w:trHeight w:val="75"/>
        </w:trPr>
        <w:tc>
          <w:tcPr>
            <w:tcW w:w="4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2A821" w14:textId="77777777" w:rsidR="00AB7893" w:rsidRPr="00F21227" w:rsidRDefault="00AB7893" w:rsidP="006E5E0B">
            <w:pPr>
              <w:spacing w:after="0"/>
              <w:textAlignment w:val="baseline"/>
              <w:rPr>
                <w:sz w:val="24"/>
                <w:lang w:eastAsia="en-IE"/>
              </w:rPr>
            </w:pPr>
            <w:r w:rsidRPr="00F21227">
              <w:rPr>
                <w:rFonts w:cs="Calibri"/>
                <w:color w:val="000000"/>
                <w:sz w:val="22"/>
                <w:szCs w:val="22"/>
                <w:lang w:eastAsia="en-IE"/>
              </w:rPr>
              <w:t> Non-specialist </w:t>
            </w:r>
          </w:p>
        </w:tc>
        <w:tc>
          <w:tcPr>
            <w:tcW w:w="3645"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5998EF2D"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40% (</w:t>
            </w:r>
            <w:r>
              <w:rPr>
                <w:rFonts w:cs="Calibri"/>
                <w:color w:val="000000"/>
                <w:sz w:val="22"/>
                <w:szCs w:val="22"/>
                <w:lang w:eastAsia="en-IE"/>
              </w:rPr>
              <w:t>n=</w:t>
            </w:r>
            <w:r w:rsidRPr="00F21227">
              <w:rPr>
                <w:rFonts w:cs="Calibri"/>
                <w:color w:val="000000"/>
                <w:sz w:val="22"/>
                <w:szCs w:val="22"/>
                <w:lang w:eastAsia="en-IE"/>
              </w:rPr>
              <w:t>4) </w:t>
            </w:r>
          </w:p>
        </w:tc>
        <w:tc>
          <w:tcPr>
            <w:tcW w:w="2910"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5B1C6E7B"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40% (n=4) </w:t>
            </w:r>
          </w:p>
        </w:tc>
        <w:tc>
          <w:tcPr>
            <w:tcW w:w="3105"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6CC75C6B"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20% (n=2) </w:t>
            </w:r>
          </w:p>
        </w:tc>
      </w:tr>
      <w:tr w:rsidR="00AB7893" w:rsidRPr="00F21227" w14:paraId="4DAB587A" w14:textId="77777777" w:rsidTr="006E5E0B">
        <w:trPr>
          <w:trHeight w:val="75"/>
        </w:trPr>
        <w:tc>
          <w:tcPr>
            <w:tcW w:w="4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69C88" w14:textId="77777777" w:rsidR="00AB7893" w:rsidRPr="00F21227" w:rsidRDefault="00AB7893" w:rsidP="006E5E0B">
            <w:pPr>
              <w:spacing w:after="0"/>
              <w:textAlignment w:val="baseline"/>
              <w:rPr>
                <w:sz w:val="24"/>
                <w:lang w:eastAsia="en-IE"/>
              </w:rPr>
            </w:pPr>
            <w:r w:rsidRPr="00F21227">
              <w:rPr>
                <w:rFonts w:cs="Calibri"/>
                <w:color w:val="000000"/>
                <w:sz w:val="22"/>
                <w:szCs w:val="22"/>
                <w:lang w:eastAsia="en-IE"/>
              </w:rPr>
              <w:t xml:space="preserve"> Other </w:t>
            </w:r>
          </w:p>
        </w:tc>
        <w:tc>
          <w:tcPr>
            <w:tcW w:w="3645"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135004FF"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0% </w:t>
            </w:r>
          </w:p>
        </w:tc>
        <w:tc>
          <w:tcPr>
            <w:tcW w:w="2910"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7FDC5A36"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20% (n=2) </w:t>
            </w:r>
          </w:p>
        </w:tc>
        <w:tc>
          <w:tcPr>
            <w:tcW w:w="3105"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437DD6EF"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66.7% (n=4) </w:t>
            </w:r>
          </w:p>
        </w:tc>
      </w:tr>
      <w:tr w:rsidR="00AB7893" w:rsidRPr="00F21227" w14:paraId="5D2C3E98" w14:textId="77777777" w:rsidTr="006E5E0B">
        <w:trPr>
          <w:trHeight w:val="315"/>
        </w:trPr>
        <w:tc>
          <w:tcPr>
            <w:tcW w:w="4260" w:type="dxa"/>
            <w:tcBorders>
              <w:top w:val="single" w:sz="4" w:space="0" w:color="auto"/>
              <w:left w:val="single" w:sz="6" w:space="0" w:color="auto"/>
              <w:bottom w:val="single" w:sz="6" w:space="0" w:color="auto"/>
              <w:right w:val="nil"/>
            </w:tcBorders>
            <w:shd w:val="clear" w:color="auto" w:fill="auto"/>
            <w:vAlign w:val="center"/>
            <w:hideMark/>
          </w:tcPr>
          <w:p w14:paraId="416E2F5D" w14:textId="77777777" w:rsidR="00AB7893" w:rsidRPr="00F21227" w:rsidRDefault="00AB7893" w:rsidP="006E5E0B">
            <w:pPr>
              <w:spacing w:after="0"/>
              <w:textAlignment w:val="baseline"/>
              <w:rPr>
                <w:sz w:val="24"/>
                <w:lang w:eastAsia="en-IE"/>
              </w:rPr>
            </w:pPr>
            <w:r w:rsidRPr="00F21227">
              <w:rPr>
                <w:rFonts w:cs="Calibri"/>
                <w:b/>
                <w:bCs/>
                <w:color w:val="000000"/>
                <w:sz w:val="22"/>
                <w:szCs w:val="22"/>
                <w:lang w:eastAsia="en-IE"/>
              </w:rPr>
              <w:t>Multi-morbidities</w:t>
            </w:r>
            <w:r w:rsidRPr="00F21227">
              <w:rPr>
                <w:rFonts w:cs="Calibri"/>
                <w:color w:val="000000"/>
                <w:sz w:val="22"/>
                <w:szCs w:val="22"/>
                <w:lang w:eastAsia="en-IE"/>
              </w:rPr>
              <w:t> </w:t>
            </w:r>
          </w:p>
        </w:tc>
        <w:tc>
          <w:tcPr>
            <w:tcW w:w="3645" w:type="dxa"/>
            <w:tcBorders>
              <w:top w:val="single" w:sz="4" w:space="0" w:color="auto"/>
              <w:left w:val="nil"/>
              <w:bottom w:val="single" w:sz="4" w:space="0" w:color="auto"/>
              <w:right w:val="nil"/>
            </w:tcBorders>
            <w:shd w:val="clear" w:color="auto" w:fill="auto"/>
            <w:vAlign w:val="center"/>
            <w:hideMark/>
          </w:tcPr>
          <w:p w14:paraId="3B1BE3F8" w14:textId="77777777" w:rsidR="00AB7893" w:rsidRPr="00F21227" w:rsidRDefault="00AB7893" w:rsidP="006E5E0B">
            <w:pPr>
              <w:spacing w:after="0"/>
              <w:jc w:val="right"/>
              <w:textAlignment w:val="baseline"/>
              <w:rPr>
                <w:sz w:val="24"/>
                <w:lang w:eastAsia="en-IE"/>
              </w:rPr>
            </w:pPr>
            <w:r w:rsidRPr="00F21227">
              <w:rPr>
                <w:rFonts w:ascii="Arial" w:hAnsi="Arial" w:cs="Arial"/>
                <w:b/>
                <w:bCs/>
                <w:color w:val="000000"/>
                <w:sz w:val="22"/>
                <w:szCs w:val="22"/>
                <w:lang w:eastAsia="en-IE"/>
              </w:rPr>
              <w:t> </w:t>
            </w:r>
            <w:r w:rsidRPr="00F21227">
              <w:rPr>
                <w:rFonts w:cs="Calibri"/>
                <w:color w:val="000000"/>
                <w:sz w:val="22"/>
                <w:szCs w:val="22"/>
                <w:lang w:eastAsia="en-IE"/>
              </w:rPr>
              <w:t> </w:t>
            </w:r>
          </w:p>
        </w:tc>
        <w:tc>
          <w:tcPr>
            <w:tcW w:w="2910" w:type="dxa"/>
            <w:tcBorders>
              <w:top w:val="single" w:sz="4" w:space="0" w:color="auto"/>
              <w:left w:val="nil"/>
              <w:bottom w:val="single" w:sz="4" w:space="0" w:color="auto"/>
              <w:right w:val="nil"/>
            </w:tcBorders>
            <w:shd w:val="clear" w:color="auto" w:fill="auto"/>
            <w:vAlign w:val="center"/>
            <w:hideMark/>
          </w:tcPr>
          <w:p w14:paraId="38056B20" w14:textId="77777777" w:rsidR="00AB7893" w:rsidRPr="00F21227" w:rsidRDefault="00AB7893" w:rsidP="006E5E0B">
            <w:pPr>
              <w:spacing w:after="0"/>
              <w:jc w:val="right"/>
              <w:textAlignment w:val="baseline"/>
              <w:rPr>
                <w:sz w:val="24"/>
                <w:lang w:eastAsia="en-IE"/>
              </w:rPr>
            </w:pPr>
            <w:r w:rsidRPr="00F21227">
              <w:rPr>
                <w:rFonts w:ascii="Arial" w:hAnsi="Arial" w:cs="Arial"/>
                <w:b/>
                <w:bCs/>
                <w:color w:val="000000"/>
                <w:sz w:val="22"/>
                <w:szCs w:val="22"/>
                <w:lang w:eastAsia="en-IE"/>
              </w:rPr>
              <w:t> </w:t>
            </w:r>
            <w:r w:rsidRPr="00F21227">
              <w:rPr>
                <w:rFonts w:cs="Calibri"/>
                <w:color w:val="000000"/>
                <w:sz w:val="22"/>
                <w:szCs w:val="22"/>
                <w:lang w:eastAsia="en-IE"/>
              </w:rPr>
              <w:t> </w:t>
            </w:r>
          </w:p>
        </w:tc>
        <w:tc>
          <w:tcPr>
            <w:tcW w:w="3105" w:type="dxa"/>
            <w:tcBorders>
              <w:top w:val="single" w:sz="4" w:space="0" w:color="auto"/>
              <w:left w:val="nil"/>
              <w:bottom w:val="single" w:sz="4" w:space="0" w:color="auto"/>
              <w:right w:val="single" w:sz="6" w:space="0" w:color="auto"/>
            </w:tcBorders>
            <w:shd w:val="clear" w:color="auto" w:fill="auto"/>
            <w:vAlign w:val="center"/>
            <w:hideMark/>
          </w:tcPr>
          <w:p w14:paraId="42EB6FC9" w14:textId="77777777" w:rsidR="00AB7893" w:rsidRPr="00F21227" w:rsidRDefault="00AB7893" w:rsidP="006E5E0B">
            <w:pPr>
              <w:spacing w:after="0"/>
              <w:jc w:val="right"/>
              <w:textAlignment w:val="baseline"/>
              <w:rPr>
                <w:sz w:val="24"/>
                <w:lang w:eastAsia="en-IE"/>
              </w:rPr>
            </w:pPr>
            <w:r w:rsidRPr="00F21227">
              <w:rPr>
                <w:rFonts w:ascii="Arial" w:hAnsi="Arial" w:cs="Arial"/>
                <w:b/>
                <w:bCs/>
                <w:color w:val="000000"/>
                <w:sz w:val="22"/>
                <w:szCs w:val="22"/>
                <w:lang w:eastAsia="en-IE"/>
              </w:rPr>
              <w:t> </w:t>
            </w:r>
            <w:r w:rsidRPr="00F21227">
              <w:rPr>
                <w:rFonts w:cs="Calibri"/>
                <w:color w:val="000000"/>
                <w:sz w:val="22"/>
                <w:szCs w:val="22"/>
                <w:lang w:eastAsia="en-IE"/>
              </w:rPr>
              <w:t> </w:t>
            </w:r>
          </w:p>
        </w:tc>
      </w:tr>
      <w:tr w:rsidR="00AB7893" w:rsidRPr="00F21227" w14:paraId="03E77D3E" w14:textId="77777777" w:rsidTr="006E5E0B">
        <w:trPr>
          <w:trHeight w:val="75"/>
        </w:trPr>
        <w:tc>
          <w:tcPr>
            <w:tcW w:w="4260" w:type="dxa"/>
            <w:tcBorders>
              <w:top w:val="single" w:sz="6" w:space="0" w:color="8EA9DB"/>
              <w:left w:val="single" w:sz="6" w:space="0" w:color="auto"/>
              <w:bottom w:val="single" w:sz="6" w:space="0" w:color="auto"/>
              <w:right w:val="single" w:sz="4" w:space="0" w:color="auto"/>
            </w:tcBorders>
            <w:shd w:val="clear" w:color="auto" w:fill="auto"/>
            <w:vAlign w:val="center"/>
            <w:hideMark/>
          </w:tcPr>
          <w:p w14:paraId="056A3F7D" w14:textId="77777777" w:rsidR="00AB7893" w:rsidRPr="00F21227" w:rsidRDefault="00AB7893" w:rsidP="006E5E0B">
            <w:pPr>
              <w:spacing w:after="0"/>
              <w:textAlignment w:val="baseline"/>
              <w:rPr>
                <w:sz w:val="24"/>
                <w:lang w:eastAsia="en-IE"/>
              </w:rPr>
            </w:pPr>
            <w:r w:rsidRPr="00F21227">
              <w:rPr>
                <w:rFonts w:cs="Calibri"/>
                <w:color w:val="000000"/>
                <w:sz w:val="22"/>
                <w:szCs w:val="22"/>
                <w:lang w:eastAsia="en-IE"/>
              </w:rPr>
              <w:t> All </w:t>
            </w:r>
          </w:p>
        </w:tc>
        <w:tc>
          <w:tcPr>
            <w:tcW w:w="36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81251F6"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16.7% ( n=5)</w:t>
            </w:r>
            <w:r w:rsidRPr="00F21227">
              <w:rPr>
                <w:rFonts w:ascii="Arial" w:hAnsi="Arial" w:cs="Arial"/>
                <w:color w:val="000000"/>
                <w:sz w:val="22"/>
                <w:szCs w:val="22"/>
                <w:lang w:eastAsia="en-IE"/>
              </w:rPr>
              <w:t>  </w:t>
            </w:r>
            <w:r w:rsidRPr="00F21227">
              <w:rPr>
                <w:rFonts w:cs="Calibri"/>
                <w:color w:val="000000"/>
                <w:sz w:val="22"/>
                <w:szCs w:val="22"/>
                <w:lang w:eastAsia="en-IE"/>
              </w:rPr>
              <w:t> </w:t>
            </w:r>
          </w:p>
        </w:tc>
        <w:tc>
          <w:tcPr>
            <w:tcW w:w="2910"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1DF2302"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51.6% (n=16)</w:t>
            </w:r>
            <w:r w:rsidRPr="00F21227">
              <w:rPr>
                <w:rFonts w:ascii="Arial" w:hAnsi="Arial" w:cs="Arial"/>
                <w:color w:val="000000"/>
                <w:sz w:val="22"/>
                <w:szCs w:val="22"/>
                <w:lang w:eastAsia="en-IE"/>
              </w:rPr>
              <w:t>  </w:t>
            </w:r>
            <w:r w:rsidRPr="00F21227">
              <w:rPr>
                <w:rFonts w:cs="Calibri"/>
                <w:color w:val="000000"/>
                <w:sz w:val="22"/>
                <w:szCs w:val="22"/>
                <w:lang w:eastAsia="en-IE"/>
              </w:rPr>
              <w:t> </w:t>
            </w:r>
          </w:p>
        </w:tc>
        <w:tc>
          <w:tcPr>
            <w:tcW w:w="310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84ED8FE"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32.3% (n=10)</w:t>
            </w:r>
            <w:r w:rsidRPr="00F21227">
              <w:rPr>
                <w:rFonts w:ascii="Arial" w:hAnsi="Arial" w:cs="Arial"/>
                <w:color w:val="000000"/>
                <w:sz w:val="22"/>
                <w:szCs w:val="22"/>
                <w:lang w:eastAsia="en-IE"/>
              </w:rPr>
              <w:t>  </w:t>
            </w:r>
            <w:r w:rsidRPr="00F21227">
              <w:rPr>
                <w:rFonts w:cs="Calibri"/>
                <w:color w:val="000000"/>
                <w:sz w:val="22"/>
                <w:szCs w:val="22"/>
                <w:lang w:eastAsia="en-IE"/>
              </w:rPr>
              <w:t> </w:t>
            </w:r>
          </w:p>
        </w:tc>
      </w:tr>
      <w:tr w:rsidR="00AB7893" w:rsidRPr="00F21227" w14:paraId="5A936939" w14:textId="77777777" w:rsidTr="006E5E0B">
        <w:trPr>
          <w:trHeight w:val="75"/>
        </w:trPr>
        <w:tc>
          <w:tcPr>
            <w:tcW w:w="4260" w:type="dxa"/>
            <w:tcBorders>
              <w:top w:val="single" w:sz="6" w:space="0" w:color="8EA9DB"/>
              <w:left w:val="single" w:sz="6" w:space="0" w:color="auto"/>
              <w:bottom w:val="single" w:sz="6" w:space="0" w:color="auto"/>
              <w:right w:val="single" w:sz="4" w:space="0" w:color="auto"/>
            </w:tcBorders>
            <w:shd w:val="clear" w:color="auto" w:fill="auto"/>
            <w:vAlign w:val="center"/>
            <w:hideMark/>
          </w:tcPr>
          <w:p w14:paraId="62BC5577" w14:textId="77777777" w:rsidR="00AB7893" w:rsidRPr="00F21227" w:rsidRDefault="00AB7893" w:rsidP="006E5E0B">
            <w:pPr>
              <w:spacing w:after="0"/>
              <w:textAlignment w:val="baseline"/>
              <w:rPr>
                <w:sz w:val="24"/>
                <w:lang w:eastAsia="en-IE"/>
              </w:rPr>
            </w:pPr>
            <w:r w:rsidRPr="00F21227">
              <w:rPr>
                <w:rFonts w:cs="Calibri"/>
                <w:color w:val="000000"/>
                <w:sz w:val="22"/>
                <w:szCs w:val="22"/>
                <w:lang w:eastAsia="en-IE"/>
              </w:rPr>
              <w:t> Specialist </w:t>
            </w:r>
          </w:p>
        </w:tc>
        <w:tc>
          <w:tcPr>
            <w:tcW w:w="36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E279AEE"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13.3% (n=2)</w:t>
            </w:r>
            <w:r w:rsidRPr="00F21227">
              <w:rPr>
                <w:rFonts w:ascii="Arial" w:hAnsi="Arial" w:cs="Arial"/>
                <w:color w:val="000000"/>
                <w:sz w:val="22"/>
                <w:szCs w:val="22"/>
                <w:lang w:eastAsia="en-IE"/>
              </w:rPr>
              <w:t>  </w:t>
            </w:r>
            <w:r w:rsidRPr="00F21227">
              <w:rPr>
                <w:rFonts w:cs="Calibri"/>
                <w:color w:val="000000"/>
                <w:sz w:val="22"/>
                <w:szCs w:val="22"/>
                <w:lang w:eastAsia="en-IE"/>
              </w:rPr>
              <w:t> </w:t>
            </w:r>
          </w:p>
        </w:tc>
        <w:tc>
          <w:tcPr>
            <w:tcW w:w="2910"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06FA176"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60% (n=9)</w:t>
            </w:r>
            <w:r w:rsidRPr="00F21227">
              <w:rPr>
                <w:rFonts w:ascii="Arial" w:hAnsi="Arial" w:cs="Arial"/>
                <w:color w:val="000000"/>
                <w:sz w:val="22"/>
                <w:szCs w:val="22"/>
                <w:lang w:eastAsia="en-IE"/>
              </w:rPr>
              <w:t>  </w:t>
            </w:r>
            <w:r w:rsidRPr="00F21227">
              <w:rPr>
                <w:rFonts w:cs="Calibri"/>
                <w:color w:val="000000"/>
                <w:sz w:val="22"/>
                <w:szCs w:val="22"/>
                <w:lang w:eastAsia="en-IE"/>
              </w:rPr>
              <w:t> </w:t>
            </w:r>
          </w:p>
        </w:tc>
        <w:tc>
          <w:tcPr>
            <w:tcW w:w="310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591EF3A"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26.7% (n=4)</w:t>
            </w:r>
            <w:r w:rsidRPr="00F21227">
              <w:rPr>
                <w:rFonts w:ascii="Arial" w:hAnsi="Arial" w:cs="Arial"/>
                <w:color w:val="000000"/>
                <w:sz w:val="22"/>
                <w:szCs w:val="22"/>
                <w:lang w:eastAsia="en-IE"/>
              </w:rPr>
              <w:t>  </w:t>
            </w:r>
            <w:r w:rsidRPr="00F21227">
              <w:rPr>
                <w:rFonts w:cs="Calibri"/>
                <w:color w:val="000000"/>
                <w:sz w:val="22"/>
                <w:szCs w:val="22"/>
                <w:lang w:eastAsia="en-IE"/>
              </w:rPr>
              <w:t> </w:t>
            </w:r>
          </w:p>
        </w:tc>
      </w:tr>
      <w:tr w:rsidR="00AB7893" w:rsidRPr="00F21227" w14:paraId="1891300B" w14:textId="77777777" w:rsidTr="006E5E0B">
        <w:trPr>
          <w:trHeight w:val="75"/>
        </w:trPr>
        <w:tc>
          <w:tcPr>
            <w:tcW w:w="4260" w:type="dxa"/>
            <w:tcBorders>
              <w:top w:val="single" w:sz="6" w:space="0" w:color="8EA9DB"/>
              <w:left w:val="single" w:sz="6" w:space="0" w:color="auto"/>
              <w:bottom w:val="single" w:sz="6" w:space="0" w:color="auto"/>
              <w:right w:val="single" w:sz="4" w:space="0" w:color="auto"/>
            </w:tcBorders>
            <w:shd w:val="clear" w:color="auto" w:fill="auto"/>
            <w:vAlign w:val="center"/>
            <w:hideMark/>
          </w:tcPr>
          <w:p w14:paraId="64389D40" w14:textId="77777777" w:rsidR="00AB7893" w:rsidRPr="00F21227" w:rsidRDefault="00AB7893" w:rsidP="006E5E0B">
            <w:pPr>
              <w:spacing w:after="0"/>
              <w:textAlignment w:val="baseline"/>
              <w:rPr>
                <w:sz w:val="24"/>
                <w:lang w:eastAsia="en-IE"/>
              </w:rPr>
            </w:pPr>
            <w:r w:rsidRPr="00F21227">
              <w:rPr>
                <w:rFonts w:cs="Calibri"/>
                <w:color w:val="000000"/>
                <w:sz w:val="22"/>
                <w:szCs w:val="22"/>
                <w:lang w:eastAsia="en-IE"/>
              </w:rPr>
              <w:t> Non-specialist </w:t>
            </w:r>
          </w:p>
        </w:tc>
        <w:tc>
          <w:tcPr>
            <w:tcW w:w="36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AF58F84"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30% (n=3) </w:t>
            </w:r>
          </w:p>
        </w:tc>
        <w:tc>
          <w:tcPr>
            <w:tcW w:w="2910"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98FB10A"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40% (n=4) </w:t>
            </w:r>
          </w:p>
        </w:tc>
        <w:tc>
          <w:tcPr>
            <w:tcW w:w="310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887B0A9" w14:textId="77777777" w:rsidR="00AB7893" w:rsidRPr="00F21227" w:rsidRDefault="00AB7893" w:rsidP="006E5E0B">
            <w:pPr>
              <w:spacing w:after="0"/>
              <w:jc w:val="right"/>
              <w:textAlignment w:val="baseline"/>
              <w:rPr>
                <w:sz w:val="24"/>
                <w:lang w:eastAsia="en-IE"/>
              </w:rPr>
            </w:pPr>
            <w:r w:rsidRPr="00F21227">
              <w:rPr>
                <w:rFonts w:ascii="Arial" w:hAnsi="Arial" w:cs="Arial"/>
                <w:color w:val="000000"/>
                <w:sz w:val="22"/>
                <w:szCs w:val="22"/>
                <w:lang w:eastAsia="en-IE"/>
              </w:rPr>
              <w:t> </w:t>
            </w:r>
            <w:r w:rsidRPr="00F21227">
              <w:rPr>
                <w:rFonts w:cs="Calibri"/>
                <w:color w:val="000000"/>
                <w:sz w:val="22"/>
                <w:szCs w:val="22"/>
                <w:lang w:eastAsia="en-IE"/>
              </w:rPr>
              <w:t>30% (n=3)</w:t>
            </w:r>
            <w:r w:rsidRPr="00F21227">
              <w:rPr>
                <w:rFonts w:ascii="Arial" w:hAnsi="Arial" w:cs="Arial"/>
                <w:color w:val="000000"/>
                <w:sz w:val="22"/>
                <w:szCs w:val="22"/>
                <w:lang w:eastAsia="en-IE"/>
              </w:rPr>
              <w:t> </w:t>
            </w:r>
            <w:r w:rsidRPr="00F21227">
              <w:rPr>
                <w:rFonts w:cs="Calibri"/>
                <w:color w:val="000000"/>
                <w:sz w:val="22"/>
                <w:szCs w:val="22"/>
                <w:lang w:eastAsia="en-IE"/>
              </w:rPr>
              <w:t> </w:t>
            </w:r>
          </w:p>
        </w:tc>
      </w:tr>
      <w:tr w:rsidR="00AB7893" w:rsidRPr="00F21227" w14:paraId="4437AF11" w14:textId="77777777" w:rsidTr="006E5E0B">
        <w:trPr>
          <w:trHeight w:val="75"/>
        </w:trPr>
        <w:tc>
          <w:tcPr>
            <w:tcW w:w="4260" w:type="dxa"/>
            <w:tcBorders>
              <w:top w:val="single" w:sz="6" w:space="0" w:color="8EA9DB"/>
              <w:left w:val="single" w:sz="6" w:space="0" w:color="auto"/>
              <w:bottom w:val="single" w:sz="6" w:space="0" w:color="auto"/>
              <w:right w:val="single" w:sz="4" w:space="0" w:color="auto"/>
            </w:tcBorders>
            <w:shd w:val="clear" w:color="auto" w:fill="auto"/>
            <w:vAlign w:val="center"/>
            <w:hideMark/>
          </w:tcPr>
          <w:p w14:paraId="14ECD803" w14:textId="77777777" w:rsidR="00AB7893" w:rsidRPr="00F21227" w:rsidRDefault="00AB7893" w:rsidP="006E5E0B">
            <w:pPr>
              <w:spacing w:after="0"/>
              <w:textAlignment w:val="baseline"/>
              <w:rPr>
                <w:sz w:val="24"/>
                <w:lang w:eastAsia="en-IE"/>
              </w:rPr>
            </w:pPr>
            <w:r w:rsidRPr="00F21227">
              <w:rPr>
                <w:rFonts w:cs="Calibri"/>
                <w:color w:val="000000"/>
                <w:sz w:val="22"/>
                <w:szCs w:val="22"/>
                <w:lang w:eastAsia="en-IE"/>
              </w:rPr>
              <w:t> Other </w:t>
            </w:r>
          </w:p>
        </w:tc>
        <w:tc>
          <w:tcPr>
            <w:tcW w:w="36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D279F8A"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0% </w:t>
            </w:r>
          </w:p>
        </w:tc>
        <w:tc>
          <w:tcPr>
            <w:tcW w:w="2910"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42050AA" w14:textId="77777777" w:rsidR="00AB7893" w:rsidRPr="00F21227" w:rsidRDefault="00AB7893" w:rsidP="006E5E0B">
            <w:pPr>
              <w:spacing w:after="0"/>
              <w:jc w:val="right"/>
              <w:textAlignment w:val="baseline"/>
              <w:rPr>
                <w:sz w:val="24"/>
                <w:lang w:eastAsia="en-IE"/>
              </w:rPr>
            </w:pPr>
            <w:r w:rsidRPr="00F21227">
              <w:rPr>
                <w:rFonts w:cs="Calibri"/>
                <w:color w:val="000000"/>
                <w:sz w:val="22"/>
                <w:szCs w:val="22"/>
                <w:lang w:eastAsia="en-IE"/>
              </w:rPr>
              <w:t>50% (n=3)</w:t>
            </w:r>
            <w:r w:rsidRPr="00F21227">
              <w:rPr>
                <w:rFonts w:ascii="Arial" w:hAnsi="Arial" w:cs="Arial"/>
                <w:color w:val="000000"/>
                <w:sz w:val="22"/>
                <w:szCs w:val="22"/>
                <w:lang w:eastAsia="en-IE"/>
              </w:rPr>
              <w:t>  </w:t>
            </w:r>
            <w:r w:rsidRPr="00F21227">
              <w:rPr>
                <w:rFonts w:cs="Calibri"/>
                <w:color w:val="000000"/>
                <w:sz w:val="22"/>
                <w:szCs w:val="22"/>
                <w:lang w:eastAsia="en-IE"/>
              </w:rPr>
              <w:t> </w:t>
            </w:r>
          </w:p>
        </w:tc>
        <w:tc>
          <w:tcPr>
            <w:tcW w:w="310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6C37A4C" w14:textId="77777777" w:rsidR="00AB7893" w:rsidRPr="00F21227" w:rsidRDefault="00AB7893" w:rsidP="006E5E0B">
            <w:pPr>
              <w:spacing w:after="0"/>
              <w:jc w:val="right"/>
              <w:textAlignment w:val="baseline"/>
              <w:rPr>
                <w:sz w:val="24"/>
                <w:lang w:eastAsia="en-IE"/>
              </w:rPr>
            </w:pPr>
            <w:r w:rsidRPr="00F21227">
              <w:rPr>
                <w:rFonts w:ascii="Arial" w:hAnsi="Arial" w:cs="Arial"/>
                <w:color w:val="000000"/>
                <w:sz w:val="22"/>
                <w:szCs w:val="22"/>
                <w:lang w:eastAsia="en-IE"/>
              </w:rPr>
              <w:t> </w:t>
            </w:r>
            <w:r w:rsidRPr="00F21227">
              <w:rPr>
                <w:rFonts w:cs="Calibri"/>
                <w:color w:val="000000"/>
                <w:sz w:val="22"/>
                <w:szCs w:val="22"/>
                <w:lang w:eastAsia="en-IE"/>
              </w:rPr>
              <w:t>50% (n=3)</w:t>
            </w:r>
            <w:r w:rsidRPr="00F21227">
              <w:rPr>
                <w:rFonts w:ascii="Arial" w:hAnsi="Arial" w:cs="Arial"/>
                <w:color w:val="000000"/>
                <w:sz w:val="22"/>
                <w:szCs w:val="22"/>
                <w:lang w:eastAsia="en-IE"/>
              </w:rPr>
              <w:t> </w:t>
            </w:r>
            <w:r w:rsidRPr="00F21227">
              <w:rPr>
                <w:rFonts w:cs="Calibri"/>
                <w:color w:val="000000"/>
                <w:sz w:val="22"/>
                <w:szCs w:val="22"/>
                <w:lang w:eastAsia="en-IE"/>
              </w:rPr>
              <w:t> </w:t>
            </w:r>
          </w:p>
        </w:tc>
      </w:tr>
    </w:tbl>
    <w:p w14:paraId="274409F3" w14:textId="77777777" w:rsidR="00AB7893" w:rsidRDefault="00AB7893" w:rsidP="00AB7893"/>
    <w:p w14:paraId="783E82E5" w14:textId="77777777" w:rsidR="00AB7893" w:rsidRPr="00AB7893" w:rsidRDefault="00AB7893" w:rsidP="002A24F0">
      <w:pPr>
        <w:pStyle w:val="Heading3"/>
        <w:numPr>
          <w:ilvl w:val="0"/>
          <w:numId w:val="24"/>
        </w:numPr>
        <w:rPr>
          <w:color w:val="auto"/>
        </w:rPr>
      </w:pPr>
      <w:bookmarkStart w:id="307" w:name="_Toc118558327"/>
      <w:r w:rsidRPr="00AB7893">
        <w:rPr>
          <w:color w:val="auto"/>
        </w:rPr>
        <w:t>Most important components for meeting needs</w:t>
      </w:r>
      <w:bookmarkEnd w:id="307"/>
      <w:r w:rsidRPr="00AB7893">
        <w:rPr>
          <w:color w:val="auto"/>
        </w:rPr>
        <w:t xml:space="preserve"> </w:t>
      </w:r>
    </w:p>
    <w:p w14:paraId="0CB70695" w14:textId="77777777" w:rsidR="00AB7893" w:rsidRPr="009E7840" w:rsidRDefault="00AB7893" w:rsidP="00AB7893">
      <w:pPr>
        <w:textAlignment w:val="baseline"/>
        <w:rPr>
          <w:rFonts w:eastAsiaTheme="minorEastAsia"/>
          <w:shd w:val="clear" w:color="auto" w:fill="FFFFFF"/>
        </w:rPr>
      </w:pPr>
      <w:r>
        <w:rPr>
          <w:rStyle w:val="eop"/>
          <w:rFonts w:eastAsiaTheme="minorEastAsia"/>
          <w:shd w:val="clear" w:color="auto" w:fill="FFFFFF"/>
        </w:rPr>
        <w:t>Participants were asked to rank the most important issues for meeting the needs of older people with intellectual disabilities as they age,</w:t>
      </w:r>
      <w:r w:rsidRPr="0019395C">
        <w:rPr>
          <w:rStyle w:val="eop"/>
          <w:rFonts w:eastAsiaTheme="minorEastAsia"/>
          <w:shd w:val="clear" w:color="auto" w:fill="FFFFFF"/>
        </w:rPr>
        <w:t xml:space="preserve"> in order of </w:t>
      </w:r>
      <w:r>
        <w:rPr>
          <w:rStyle w:val="eop"/>
          <w:rFonts w:eastAsiaTheme="minorEastAsia"/>
          <w:shd w:val="clear" w:color="auto" w:fill="FFFFFF"/>
        </w:rPr>
        <w:t xml:space="preserve">importance </w:t>
      </w:r>
      <w:r w:rsidRPr="002600CC">
        <w:rPr>
          <w:rStyle w:val="eop"/>
          <w:rFonts w:eastAsiaTheme="minorEastAsia"/>
          <w:shd w:val="clear" w:color="auto" w:fill="FFFFFF"/>
        </w:rPr>
        <w:t>from</w:t>
      </w:r>
      <w:r w:rsidRPr="00454E06">
        <w:rPr>
          <w:rStyle w:val="eop"/>
          <w:rFonts w:eastAsiaTheme="minorEastAsia"/>
          <w:shd w:val="clear" w:color="auto" w:fill="FFFFFF"/>
        </w:rPr>
        <w:t xml:space="preserve"> 1 to 12. </w:t>
      </w:r>
      <w:r>
        <w:rPr>
          <w:rStyle w:val="eop"/>
          <w:rFonts w:eastAsiaTheme="minorEastAsia"/>
          <w:shd w:val="clear" w:color="auto" w:fill="FFFFFF"/>
        </w:rPr>
        <w:t xml:space="preserve">The table below presents the </w:t>
      </w:r>
      <w:r w:rsidRPr="002600CC">
        <w:rPr>
          <w:rStyle w:val="eop"/>
          <w:rFonts w:eastAsiaTheme="minorEastAsia"/>
          <w:shd w:val="clear" w:color="auto" w:fill="FFFFFF"/>
        </w:rPr>
        <w:t>scores</w:t>
      </w:r>
      <w:r w:rsidRPr="00454E06">
        <w:rPr>
          <w:rStyle w:val="eop"/>
          <w:rFonts w:eastAsiaTheme="minorEastAsia"/>
          <w:shd w:val="clear" w:color="auto" w:fill="FFFFFF"/>
        </w:rPr>
        <w:t xml:space="preserve"> 1 to 5 on each item. </w:t>
      </w:r>
    </w:p>
    <w:tbl>
      <w:tblPr>
        <w:tblW w:w="5000" w:type="pct"/>
        <w:tblLayout w:type="fixed"/>
        <w:tblLook w:val="04A0" w:firstRow="1" w:lastRow="0" w:firstColumn="1" w:lastColumn="0" w:noHBand="0" w:noVBand="1"/>
      </w:tblPr>
      <w:tblGrid>
        <w:gridCol w:w="1470"/>
        <w:gridCol w:w="1470"/>
        <w:gridCol w:w="1473"/>
        <w:gridCol w:w="1471"/>
        <w:gridCol w:w="1471"/>
        <w:gridCol w:w="1473"/>
      </w:tblGrid>
      <w:tr w:rsidR="00AB7893" w:rsidRPr="00290763" w14:paraId="07F0C38E"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6484383A" w14:textId="77777777" w:rsidR="00AB7893" w:rsidRPr="0023027C" w:rsidRDefault="00AB7893" w:rsidP="006E5E0B">
            <w:pPr>
              <w:jc w:val="right"/>
              <w:rPr>
                <w:b/>
                <w:sz w:val="22"/>
                <w:szCs w:val="22"/>
              </w:rPr>
            </w:pP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3F6DE874" w14:textId="77777777" w:rsidR="00AB7893" w:rsidRPr="0023027C" w:rsidRDefault="00AB7893" w:rsidP="006E5E0B">
            <w:pPr>
              <w:jc w:val="center"/>
              <w:rPr>
                <w:b/>
                <w:sz w:val="22"/>
                <w:szCs w:val="22"/>
              </w:rPr>
            </w:pPr>
            <w:r w:rsidRPr="0023027C">
              <w:rPr>
                <w:b/>
                <w:sz w:val="22"/>
                <w:szCs w:val="22"/>
              </w:rPr>
              <w:t>1</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767B8CBE" w14:textId="77777777" w:rsidR="00AB7893" w:rsidRPr="0023027C" w:rsidRDefault="00AB7893" w:rsidP="006E5E0B">
            <w:pPr>
              <w:jc w:val="center"/>
              <w:rPr>
                <w:b/>
                <w:sz w:val="22"/>
                <w:szCs w:val="22"/>
              </w:rPr>
            </w:pPr>
            <w:r w:rsidRPr="0023027C">
              <w:rPr>
                <w:b/>
                <w:sz w:val="22"/>
                <w:szCs w:val="22"/>
              </w:rPr>
              <w:t>2</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7CD356B9" w14:textId="77777777" w:rsidR="00AB7893" w:rsidRPr="0023027C" w:rsidRDefault="00AB7893" w:rsidP="006E5E0B">
            <w:pPr>
              <w:jc w:val="center"/>
              <w:rPr>
                <w:b/>
                <w:sz w:val="22"/>
                <w:szCs w:val="22"/>
              </w:rPr>
            </w:pPr>
            <w:r w:rsidRPr="0023027C">
              <w:rPr>
                <w:b/>
                <w:sz w:val="22"/>
                <w:szCs w:val="22"/>
              </w:rPr>
              <w:t>3</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52B2E13B" w14:textId="77777777" w:rsidR="00AB7893" w:rsidRPr="0023027C" w:rsidRDefault="00AB7893" w:rsidP="006E5E0B">
            <w:pPr>
              <w:jc w:val="center"/>
              <w:rPr>
                <w:b/>
                <w:sz w:val="22"/>
                <w:szCs w:val="22"/>
              </w:rPr>
            </w:pPr>
            <w:r w:rsidRPr="0023027C">
              <w:rPr>
                <w:b/>
                <w:sz w:val="22"/>
                <w:szCs w:val="22"/>
              </w:rPr>
              <w:t>4</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33776F2C" w14:textId="77777777" w:rsidR="00AB7893" w:rsidRPr="0023027C" w:rsidRDefault="00AB7893" w:rsidP="006E5E0B">
            <w:pPr>
              <w:jc w:val="center"/>
              <w:rPr>
                <w:b/>
                <w:sz w:val="22"/>
                <w:szCs w:val="22"/>
              </w:rPr>
            </w:pPr>
            <w:r w:rsidRPr="0023027C">
              <w:rPr>
                <w:b/>
                <w:sz w:val="22"/>
                <w:szCs w:val="22"/>
              </w:rPr>
              <w:t>5</w:t>
            </w:r>
          </w:p>
        </w:tc>
      </w:tr>
      <w:tr w:rsidR="00AB7893" w:rsidRPr="00290763" w14:paraId="78EED566" w14:textId="77777777" w:rsidTr="006E5E0B">
        <w:trPr>
          <w:trHeight w:hRule="exact" w:val="397"/>
        </w:trPr>
        <w:tc>
          <w:tcPr>
            <w:tcW w:w="5000" w:type="pct"/>
            <w:gridSpan w:val="6"/>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3A8AC686" w14:textId="77777777" w:rsidR="00AB7893" w:rsidRPr="0023027C" w:rsidRDefault="00AB7893" w:rsidP="006E5E0B">
            <w:pPr>
              <w:rPr>
                <w:b/>
                <w:sz w:val="22"/>
                <w:szCs w:val="22"/>
              </w:rPr>
            </w:pPr>
            <w:r w:rsidRPr="0023027C">
              <w:rPr>
                <w:b/>
                <w:sz w:val="22"/>
                <w:szCs w:val="22"/>
              </w:rPr>
              <w:t>Appropriate staff skills </w:t>
            </w:r>
          </w:p>
        </w:tc>
      </w:tr>
      <w:tr w:rsidR="00AB7893" w:rsidRPr="00290763" w14:paraId="7F4B3DE5"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7D7D9845" w14:textId="77777777" w:rsidR="00AB7893" w:rsidRPr="0023027C" w:rsidRDefault="00AB7893" w:rsidP="006E5E0B">
            <w:pPr>
              <w:jc w:val="right"/>
              <w:rPr>
                <w:b/>
                <w:sz w:val="22"/>
                <w:szCs w:val="22"/>
              </w:rPr>
            </w:pPr>
            <w:r w:rsidRPr="0023027C">
              <w:rPr>
                <w:sz w:val="22"/>
                <w:szCs w:val="22"/>
              </w:rPr>
              <w:t>All</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64796C3" w14:textId="77777777" w:rsidR="00AB7893" w:rsidRPr="0023027C" w:rsidRDefault="00AB7893" w:rsidP="006E5E0B">
            <w:pPr>
              <w:jc w:val="right"/>
              <w:rPr>
                <w:b/>
                <w:sz w:val="22"/>
                <w:szCs w:val="22"/>
              </w:rPr>
            </w:pPr>
            <w:r w:rsidRPr="0023027C">
              <w:rPr>
                <w:sz w:val="22"/>
                <w:szCs w:val="22"/>
              </w:rPr>
              <w:t>13.8%  (n=4)</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36F8EE2" w14:textId="77777777" w:rsidR="00AB7893" w:rsidRPr="0023027C" w:rsidRDefault="00AB7893" w:rsidP="006E5E0B">
            <w:pPr>
              <w:jc w:val="right"/>
              <w:rPr>
                <w:b/>
                <w:sz w:val="22"/>
                <w:szCs w:val="22"/>
              </w:rPr>
            </w:pPr>
            <w:r w:rsidRPr="0023027C">
              <w:rPr>
                <w:sz w:val="22"/>
                <w:szCs w:val="22"/>
              </w:rPr>
              <w:t>20.7% (n=6)</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9C937FD" w14:textId="77777777" w:rsidR="00AB7893" w:rsidRPr="0023027C" w:rsidRDefault="00AB7893" w:rsidP="006E5E0B">
            <w:pPr>
              <w:jc w:val="right"/>
              <w:rPr>
                <w:b/>
                <w:sz w:val="22"/>
                <w:szCs w:val="22"/>
              </w:rPr>
            </w:pPr>
            <w:r w:rsidRPr="0023027C">
              <w:rPr>
                <w:sz w:val="22"/>
                <w:szCs w:val="22"/>
              </w:rPr>
              <w:t>13.8% (n=4)</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775AE1D" w14:textId="77777777" w:rsidR="00AB7893" w:rsidRPr="0023027C" w:rsidRDefault="00AB7893" w:rsidP="006E5E0B">
            <w:pPr>
              <w:jc w:val="right"/>
              <w:rPr>
                <w:b/>
                <w:sz w:val="22"/>
                <w:szCs w:val="22"/>
              </w:rPr>
            </w:pPr>
            <w:r w:rsidRPr="0023027C">
              <w:rPr>
                <w:sz w:val="22"/>
                <w:szCs w:val="22"/>
              </w:rPr>
              <w:t>3.4% (n=1)</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8A57A21" w14:textId="77777777" w:rsidR="00AB7893" w:rsidRPr="0023027C" w:rsidRDefault="00AB7893" w:rsidP="006E5E0B">
            <w:pPr>
              <w:jc w:val="right"/>
              <w:rPr>
                <w:b/>
                <w:sz w:val="22"/>
                <w:szCs w:val="22"/>
              </w:rPr>
            </w:pPr>
            <w:r w:rsidRPr="0023027C">
              <w:rPr>
                <w:sz w:val="22"/>
                <w:szCs w:val="22"/>
              </w:rPr>
              <w:t>17.2% (n=5)</w:t>
            </w:r>
          </w:p>
        </w:tc>
      </w:tr>
      <w:tr w:rsidR="00AB7893" w:rsidRPr="00290763" w14:paraId="0DDD343F"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0492686A" w14:textId="77777777" w:rsidR="00AB7893" w:rsidRPr="0023027C" w:rsidRDefault="00AB7893" w:rsidP="006E5E0B">
            <w:pPr>
              <w:jc w:val="right"/>
              <w:rPr>
                <w:b/>
                <w:sz w:val="22"/>
                <w:szCs w:val="22"/>
              </w:rPr>
            </w:pPr>
            <w:r w:rsidRPr="0023027C">
              <w:rPr>
                <w:sz w:val="22"/>
                <w:szCs w:val="22"/>
              </w:rPr>
              <w:t>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FBC6579" w14:textId="77777777" w:rsidR="00AB7893" w:rsidRPr="001B3C2C" w:rsidRDefault="00AB7893" w:rsidP="006E5E0B">
            <w:pPr>
              <w:jc w:val="right"/>
              <w:rPr>
                <w:b/>
                <w:sz w:val="22"/>
                <w:szCs w:val="22"/>
              </w:rPr>
            </w:pPr>
            <w:r w:rsidRPr="001B3C2C">
              <w:rPr>
                <w:rFonts w:cs="Calibri"/>
                <w:sz w:val="22"/>
                <w:szCs w:val="22"/>
                <w:lang w:eastAsia="en-IE"/>
              </w:rPr>
              <w:t>21.4% (</w:t>
            </w:r>
            <w:r w:rsidRPr="001B3C2C">
              <w:rPr>
                <w:sz w:val="22"/>
                <w:szCs w:val="22"/>
              </w:rPr>
              <w:t>n=</w:t>
            </w:r>
            <w:r w:rsidRPr="001B3C2C">
              <w:rPr>
                <w:rFonts w:cs="Calibri"/>
                <w:sz w:val="22"/>
                <w:szCs w:val="22"/>
                <w:lang w:eastAsia="en-IE"/>
              </w:rPr>
              <w:t>3)</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98DD148" w14:textId="77777777" w:rsidR="00AB7893" w:rsidRPr="001B3C2C" w:rsidRDefault="00AB7893" w:rsidP="006E5E0B">
            <w:pPr>
              <w:jc w:val="right"/>
              <w:rPr>
                <w:b/>
                <w:sz w:val="22"/>
                <w:szCs w:val="22"/>
              </w:rPr>
            </w:pPr>
            <w:r w:rsidRPr="001B3C2C">
              <w:rPr>
                <w:sz w:val="22"/>
                <w:szCs w:val="22"/>
              </w:rPr>
              <w:t>14.3% (n=2)</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0A2C0F3" w14:textId="77777777" w:rsidR="00AB7893" w:rsidRPr="001B3C2C" w:rsidRDefault="00AB7893" w:rsidP="006E5E0B">
            <w:pPr>
              <w:jc w:val="right"/>
              <w:rPr>
                <w:b/>
                <w:sz w:val="22"/>
                <w:szCs w:val="22"/>
              </w:rPr>
            </w:pPr>
            <w:r w:rsidRPr="001B3C2C">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ED1059E" w14:textId="77777777" w:rsidR="00AB7893" w:rsidRPr="001B3C2C" w:rsidRDefault="00AB7893" w:rsidP="006E5E0B">
            <w:pPr>
              <w:jc w:val="right"/>
              <w:rPr>
                <w:b/>
                <w:sz w:val="22"/>
                <w:szCs w:val="22"/>
              </w:rPr>
            </w:pPr>
            <w:r w:rsidRPr="001B3C2C">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3D141FD" w14:textId="77777777" w:rsidR="00AB7893" w:rsidRPr="001B3C2C" w:rsidRDefault="00AB7893" w:rsidP="006E5E0B">
            <w:pPr>
              <w:jc w:val="right"/>
              <w:rPr>
                <w:b/>
                <w:sz w:val="22"/>
                <w:szCs w:val="22"/>
              </w:rPr>
            </w:pPr>
            <w:r w:rsidRPr="001B3C2C">
              <w:rPr>
                <w:sz w:val="22"/>
                <w:szCs w:val="22"/>
              </w:rPr>
              <w:t>14.3% (n=2)</w:t>
            </w:r>
          </w:p>
        </w:tc>
      </w:tr>
      <w:tr w:rsidR="00AB7893" w:rsidRPr="00290763" w14:paraId="4A35F833" w14:textId="77777777" w:rsidTr="006E5E0B">
        <w:trPr>
          <w:trHeight w:hRule="exact" w:val="496"/>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7A2A043D" w14:textId="77777777" w:rsidR="00AB7893" w:rsidRPr="001B3C2C" w:rsidRDefault="00AB7893" w:rsidP="006E5E0B">
            <w:pPr>
              <w:jc w:val="right"/>
              <w:rPr>
                <w:b/>
                <w:sz w:val="22"/>
                <w:szCs w:val="22"/>
              </w:rPr>
            </w:pPr>
            <w:r w:rsidRPr="001B3C2C">
              <w:rPr>
                <w:sz w:val="22"/>
                <w:szCs w:val="22"/>
              </w:rPr>
              <w:t>Non-specialist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8F19092" w14:textId="77777777" w:rsidR="00AB7893" w:rsidRPr="001B3C2C" w:rsidRDefault="00AB7893" w:rsidP="006E5E0B">
            <w:pPr>
              <w:jc w:val="right"/>
              <w:rPr>
                <w:b/>
                <w:sz w:val="22"/>
                <w:szCs w:val="22"/>
              </w:rPr>
            </w:pPr>
            <w:r w:rsidRPr="001B3C2C">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64406FC" w14:textId="77777777" w:rsidR="00AB7893" w:rsidRPr="001B3C2C" w:rsidRDefault="00AB7893" w:rsidP="006E5E0B">
            <w:pPr>
              <w:jc w:val="right"/>
              <w:rPr>
                <w:b/>
                <w:sz w:val="22"/>
                <w:szCs w:val="22"/>
              </w:rPr>
            </w:pPr>
            <w:r w:rsidRPr="001B3C2C">
              <w:rPr>
                <w:sz w:val="22"/>
                <w:szCs w:val="22"/>
              </w:rPr>
              <w:t>22.2% (2)</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ACCB223" w14:textId="77777777" w:rsidR="00AB7893" w:rsidRPr="001B3C2C" w:rsidRDefault="00AB7893" w:rsidP="006E5E0B">
            <w:pPr>
              <w:jc w:val="right"/>
              <w:rPr>
                <w:b/>
                <w:sz w:val="22"/>
                <w:szCs w:val="22"/>
              </w:rPr>
            </w:pPr>
            <w:r w:rsidRPr="001B3C2C">
              <w:rPr>
                <w:rFonts w:cs="Calibri"/>
                <w:color w:val="010205"/>
                <w:sz w:val="22"/>
                <w:szCs w:val="22"/>
                <w:lang w:eastAsia="en-IE"/>
              </w:rPr>
              <w:t>33.3% (3)</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9DAB238" w14:textId="77777777" w:rsidR="00AB7893" w:rsidRPr="001B3C2C" w:rsidRDefault="00AB7893" w:rsidP="006E5E0B">
            <w:pPr>
              <w:jc w:val="right"/>
              <w:rPr>
                <w:b/>
                <w:sz w:val="22"/>
                <w:szCs w:val="22"/>
              </w:rPr>
            </w:pPr>
            <w:r w:rsidRPr="001B3C2C">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5F3EF74" w14:textId="77777777" w:rsidR="00AB7893" w:rsidRPr="001B3C2C" w:rsidRDefault="00AB7893" w:rsidP="006E5E0B">
            <w:pPr>
              <w:jc w:val="right"/>
              <w:rPr>
                <w:b/>
                <w:sz w:val="22"/>
                <w:szCs w:val="22"/>
              </w:rPr>
            </w:pPr>
            <w:r w:rsidRPr="001B3C2C">
              <w:rPr>
                <w:sz w:val="22"/>
                <w:szCs w:val="22"/>
              </w:rPr>
              <w:t>22.2% (n=2)</w:t>
            </w:r>
          </w:p>
        </w:tc>
      </w:tr>
      <w:tr w:rsidR="00AB7893" w:rsidRPr="00290763" w14:paraId="2CE7441D"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137FAC2C" w14:textId="77777777" w:rsidR="00AB7893" w:rsidRPr="001B3C2C" w:rsidRDefault="00AB7893" w:rsidP="006E5E0B">
            <w:pPr>
              <w:jc w:val="right"/>
              <w:rPr>
                <w:b/>
                <w:sz w:val="22"/>
                <w:szCs w:val="22"/>
              </w:rPr>
            </w:pPr>
            <w:r w:rsidRPr="001B3C2C">
              <w:rPr>
                <w:sz w:val="22"/>
                <w:szCs w:val="22"/>
              </w:rPr>
              <w:t>Other</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3FCE030" w14:textId="77777777" w:rsidR="00AB7893" w:rsidRPr="0049742A" w:rsidRDefault="00AB7893" w:rsidP="006E5E0B">
            <w:pPr>
              <w:jc w:val="right"/>
              <w:rPr>
                <w:b/>
                <w:sz w:val="22"/>
                <w:szCs w:val="22"/>
              </w:rPr>
            </w:pPr>
            <w:r w:rsidRPr="0049742A">
              <w:rPr>
                <w:rFonts w:cs="Calibri"/>
                <w:sz w:val="22"/>
                <w:szCs w:val="22"/>
                <w:lang w:eastAsia="en-IE"/>
              </w:rPr>
              <w:t>16.7% (</w:t>
            </w:r>
            <w:r w:rsidRPr="0049742A">
              <w:rPr>
                <w:sz w:val="22"/>
                <w:szCs w:val="22"/>
              </w:rPr>
              <w:t>n=</w:t>
            </w:r>
            <w:r w:rsidRPr="0049742A">
              <w:rPr>
                <w:rFonts w:cs="Calibri"/>
                <w:sz w:val="22"/>
                <w:szCs w:val="22"/>
                <w:lang w:eastAsia="en-IE"/>
              </w:rPr>
              <w:t>1)</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73160DD" w14:textId="77777777" w:rsidR="00AB7893" w:rsidRPr="0049742A" w:rsidRDefault="00AB7893" w:rsidP="006E5E0B">
            <w:pPr>
              <w:jc w:val="right"/>
              <w:rPr>
                <w:b/>
                <w:sz w:val="22"/>
                <w:szCs w:val="22"/>
              </w:rPr>
            </w:pPr>
            <w:r w:rsidRPr="0049742A">
              <w:rPr>
                <w:sz w:val="22"/>
                <w:szCs w:val="22"/>
              </w:rPr>
              <w:t>33.3% (n=2)</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C5DC670" w14:textId="77777777" w:rsidR="00AB7893" w:rsidRPr="0049742A" w:rsidRDefault="00AB7893" w:rsidP="006E5E0B">
            <w:pPr>
              <w:jc w:val="right"/>
              <w:rPr>
                <w:b/>
                <w:sz w:val="22"/>
                <w:szCs w:val="22"/>
              </w:rPr>
            </w:pPr>
            <w:r w:rsidRPr="0049742A">
              <w:rPr>
                <w:rFonts w:cs="Calibri"/>
                <w:sz w:val="22"/>
                <w:szCs w:val="22"/>
                <w:lang w:eastAsia="en-IE"/>
              </w:rPr>
              <w:t>16.7% (</w:t>
            </w:r>
            <w:r w:rsidRPr="0049742A">
              <w:rPr>
                <w:sz w:val="22"/>
                <w:szCs w:val="22"/>
              </w:rPr>
              <w:t>n=</w:t>
            </w:r>
            <w:r w:rsidRPr="0049742A">
              <w:rPr>
                <w:rFonts w:cs="Calibri"/>
                <w:sz w:val="22"/>
                <w:szCs w:val="22"/>
                <w:lang w:eastAsia="en-IE"/>
              </w:rPr>
              <w:t>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492B3D2" w14:textId="77777777" w:rsidR="00AB7893" w:rsidRPr="0049742A" w:rsidRDefault="00AB7893" w:rsidP="006E5E0B">
            <w:pPr>
              <w:jc w:val="right"/>
              <w:rPr>
                <w:b/>
                <w:sz w:val="22"/>
                <w:szCs w:val="22"/>
              </w:rPr>
            </w:pPr>
            <w:r w:rsidRPr="0049742A">
              <w:rPr>
                <w:rFonts w:cs="Calibri"/>
                <w:sz w:val="22"/>
                <w:szCs w:val="22"/>
                <w:lang w:eastAsia="en-IE"/>
              </w:rPr>
              <w:t>16.7% (</w:t>
            </w:r>
            <w:r w:rsidRPr="0049742A">
              <w:rPr>
                <w:sz w:val="22"/>
                <w:szCs w:val="22"/>
              </w:rPr>
              <w:t>n=</w:t>
            </w:r>
            <w:r w:rsidRPr="0049742A">
              <w:rPr>
                <w:rFonts w:cs="Calibri"/>
                <w:sz w:val="22"/>
                <w:szCs w:val="22"/>
                <w:lang w:eastAsia="en-IE"/>
              </w:rPr>
              <w:t>1)</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B093FF3" w14:textId="77777777" w:rsidR="00AB7893" w:rsidRPr="0049742A" w:rsidRDefault="00AB7893" w:rsidP="006E5E0B">
            <w:pPr>
              <w:jc w:val="right"/>
              <w:rPr>
                <w:b/>
                <w:sz w:val="22"/>
                <w:szCs w:val="22"/>
              </w:rPr>
            </w:pPr>
            <w:r w:rsidRPr="0049742A">
              <w:rPr>
                <w:rFonts w:cs="Calibri"/>
                <w:sz w:val="22"/>
                <w:szCs w:val="22"/>
                <w:lang w:eastAsia="en-IE"/>
              </w:rPr>
              <w:t>16.7% (</w:t>
            </w:r>
            <w:r w:rsidRPr="0049742A">
              <w:rPr>
                <w:sz w:val="22"/>
                <w:szCs w:val="22"/>
              </w:rPr>
              <w:t>n=</w:t>
            </w:r>
            <w:r w:rsidRPr="0049742A">
              <w:rPr>
                <w:rFonts w:cs="Calibri"/>
                <w:sz w:val="22"/>
                <w:szCs w:val="22"/>
                <w:lang w:eastAsia="en-IE"/>
              </w:rPr>
              <w:t>1)</w:t>
            </w:r>
          </w:p>
        </w:tc>
      </w:tr>
      <w:tr w:rsidR="00AB7893" w:rsidRPr="00290763" w14:paraId="390D3CDB" w14:textId="77777777" w:rsidTr="006E5E0B">
        <w:trPr>
          <w:trHeight w:hRule="exact" w:val="397"/>
        </w:trPr>
        <w:tc>
          <w:tcPr>
            <w:tcW w:w="5000" w:type="pct"/>
            <w:gridSpan w:val="6"/>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3F2CE9AC" w14:textId="77777777" w:rsidR="00AB7893" w:rsidRPr="0049742A" w:rsidRDefault="00AB7893" w:rsidP="006E5E0B">
            <w:pPr>
              <w:rPr>
                <w:b/>
                <w:sz w:val="22"/>
                <w:szCs w:val="22"/>
              </w:rPr>
            </w:pPr>
            <w:r w:rsidRPr="0049742A">
              <w:rPr>
                <w:sz w:val="22"/>
                <w:szCs w:val="22"/>
              </w:rPr>
              <w:t> </w:t>
            </w:r>
            <w:r w:rsidRPr="0049742A">
              <w:rPr>
                <w:b/>
                <w:sz w:val="22"/>
                <w:szCs w:val="22"/>
              </w:rPr>
              <w:t>Adequate staff mix </w:t>
            </w:r>
          </w:p>
        </w:tc>
      </w:tr>
      <w:tr w:rsidR="00AB7893" w:rsidRPr="00290763" w14:paraId="730025E7"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4BE48170" w14:textId="77777777" w:rsidR="00AB7893" w:rsidRPr="0049742A" w:rsidRDefault="00AB7893" w:rsidP="006E5E0B">
            <w:pPr>
              <w:jc w:val="right"/>
              <w:rPr>
                <w:sz w:val="22"/>
                <w:szCs w:val="22"/>
              </w:rPr>
            </w:pPr>
            <w:r w:rsidRPr="0049742A">
              <w:rPr>
                <w:sz w:val="22"/>
                <w:szCs w:val="22"/>
              </w:rPr>
              <w:t>All</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8468466" w14:textId="77777777" w:rsidR="00AB7893" w:rsidRPr="0049742A" w:rsidRDefault="00AB7893" w:rsidP="006E5E0B">
            <w:pPr>
              <w:jc w:val="right"/>
              <w:rPr>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6452074F" w14:textId="77777777" w:rsidR="00AB7893" w:rsidRPr="0049742A" w:rsidRDefault="00AB7893" w:rsidP="006E5E0B">
            <w:pPr>
              <w:jc w:val="right"/>
              <w:rPr>
                <w:sz w:val="22"/>
                <w:szCs w:val="22"/>
              </w:rPr>
            </w:pPr>
            <w:r w:rsidRPr="0049742A">
              <w:rPr>
                <w:sz w:val="22"/>
                <w:szCs w:val="22"/>
              </w:rPr>
              <w:t>17.2% (n=5)</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9EF3BC4" w14:textId="77777777" w:rsidR="00AB7893" w:rsidRPr="0049742A" w:rsidRDefault="00AB7893" w:rsidP="006E5E0B">
            <w:pPr>
              <w:jc w:val="right"/>
              <w:rPr>
                <w:sz w:val="22"/>
                <w:szCs w:val="22"/>
              </w:rPr>
            </w:pPr>
            <w:r w:rsidRPr="0049742A">
              <w:rPr>
                <w:sz w:val="22"/>
                <w:szCs w:val="22"/>
              </w:rPr>
              <w:t>17.2% (n=5)</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9D48E6B" w14:textId="77777777" w:rsidR="00AB7893" w:rsidRPr="0049742A" w:rsidRDefault="00AB7893" w:rsidP="006E5E0B">
            <w:pPr>
              <w:jc w:val="right"/>
              <w:rPr>
                <w:sz w:val="22"/>
                <w:szCs w:val="22"/>
              </w:rPr>
            </w:pPr>
            <w:r w:rsidRPr="0049742A">
              <w:rPr>
                <w:sz w:val="22"/>
                <w:szCs w:val="22"/>
              </w:rPr>
              <w:t>24.1% (n=7)</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A686BE5" w14:textId="77777777" w:rsidR="00AB7893" w:rsidRPr="0049742A" w:rsidRDefault="00AB7893" w:rsidP="006E5E0B">
            <w:pPr>
              <w:jc w:val="right"/>
              <w:rPr>
                <w:sz w:val="22"/>
                <w:szCs w:val="22"/>
              </w:rPr>
            </w:pPr>
            <w:r w:rsidRPr="0049742A">
              <w:rPr>
                <w:sz w:val="22"/>
                <w:szCs w:val="22"/>
              </w:rPr>
              <w:t>10.3% (n=3)</w:t>
            </w:r>
          </w:p>
        </w:tc>
      </w:tr>
      <w:tr w:rsidR="00AB7893" w:rsidRPr="00290763" w14:paraId="3B9D4558"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67BAF677" w14:textId="77777777" w:rsidR="00AB7893" w:rsidRPr="0049742A" w:rsidRDefault="00AB7893" w:rsidP="006E5E0B">
            <w:pPr>
              <w:jc w:val="right"/>
              <w:rPr>
                <w:sz w:val="22"/>
                <w:szCs w:val="22"/>
              </w:rPr>
            </w:pPr>
            <w:r w:rsidRPr="0049742A">
              <w:rPr>
                <w:sz w:val="22"/>
                <w:szCs w:val="22"/>
              </w:rPr>
              <w:t>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A8E34A3" w14:textId="77777777" w:rsidR="00AB7893" w:rsidRPr="0049742A" w:rsidRDefault="00AB7893" w:rsidP="006E5E0B">
            <w:pPr>
              <w:jc w:val="right"/>
              <w:rPr>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C85F8EE" w14:textId="77777777" w:rsidR="00AB7893" w:rsidRPr="0049742A" w:rsidRDefault="00AB7893" w:rsidP="006E5E0B">
            <w:pPr>
              <w:jc w:val="right"/>
              <w:rPr>
                <w:sz w:val="22"/>
                <w:szCs w:val="22"/>
              </w:rPr>
            </w:pPr>
            <w:r w:rsidRPr="0049742A">
              <w:rPr>
                <w:sz w:val="22"/>
                <w:szCs w:val="22"/>
              </w:rPr>
              <w:t>28.6% (n=4)</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AAB8048" w14:textId="77777777" w:rsidR="00AB7893" w:rsidRPr="0049742A" w:rsidRDefault="00AB7893" w:rsidP="006E5E0B">
            <w:pPr>
              <w:jc w:val="right"/>
              <w:rPr>
                <w:sz w:val="22"/>
                <w:szCs w:val="22"/>
              </w:rPr>
            </w:pPr>
            <w:r w:rsidRPr="0049742A">
              <w:rPr>
                <w:rFonts w:cs="Calibri"/>
                <w:sz w:val="22"/>
                <w:szCs w:val="22"/>
                <w:lang w:eastAsia="en-IE"/>
              </w:rPr>
              <w:t>7.1% (</w:t>
            </w:r>
            <w:r w:rsidRPr="0049742A">
              <w:rPr>
                <w:sz w:val="22"/>
                <w:szCs w:val="22"/>
              </w:rPr>
              <w:t>n=</w:t>
            </w:r>
            <w:r w:rsidRPr="0049742A">
              <w:rPr>
                <w:rFonts w:cs="Calibri"/>
                <w:sz w:val="22"/>
                <w:szCs w:val="22"/>
                <w:lang w:eastAsia="en-IE"/>
              </w:rPr>
              <w:t>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064F802" w14:textId="77777777" w:rsidR="00AB7893" w:rsidRPr="0049742A" w:rsidRDefault="00AB7893" w:rsidP="006E5E0B">
            <w:pPr>
              <w:jc w:val="right"/>
              <w:rPr>
                <w:sz w:val="22"/>
                <w:szCs w:val="22"/>
              </w:rPr>
            </w:pPr>
            <w:r w:rsidRPr="0049742A">
              <w:rPr>
                <w:rFonts w:cs="Calibri"/>
                <w:sz w:val="22"/>
                <w:szCs w:val="22"/>
                <w:lang w:eastAsia="en-IE"/>
              </w:rPr>
              <w:t>21.4% (</w:t>
            </w:r>
            <w:r w:rsidRPr="0049742A">
              <w:rPr>
                <w:sz w:val="22"/>
                <w:szCs w:val="22"/>
              </w:rPr>
              <w:t>n=</w:t>
            </w:r>
            <w:r w:rsidRPr="0049742A">
              <w:rPr>
                <w:rFonts w:cs="Calibri"/>
                <w:sz w:val="22"/>
                <w:szCs w:val="22"/>
                <w:lang w:eastAsia="en-IE"/>
              </w:rPr>
              <w:t>3)</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6C8B6B38" w14:textId="77777777" w:rsidR="00AB7893" w:rsidRPr="0049742A" w:rsidRDefault="00AB7893" w:rsidP="006E5E0B">
            <w:pPr>
              <w:jc w:val="right"/>
              <w:rPr>
                <w:sz w:val="22"/>
                <w:szCs w:val="22"/>
              </w:rPr>
            </w:pPr>
            <w:r w:rsidRPr="0049742A">
              <w:rPr>
                <w:sz w:val="22"/>
                <w:szCs w:val="22"/>
              </w:rPr>
              <w:t>0%</w:t>
            </w:r>
          </w:p>
        </w:tc>
      </w:tr>
      <w:tr w:rsidR="00AB7893" w:rsidRPr="00290763" w14:paraId="7C3BE232" w14:textId="77777777" w:rsidTr="006E5E0B">
        <w:trPr>
          <w:trHeight w:hRule="exact" w:val="652"/>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1B7A2081" w14:textId="77777777" w:rsidR="00AB7893" w:rsidRPr="0049742A" w:rsidRDefault="00AB7893" w:rsidP="006E5E0B">
            <w:pPr>
              <w:jc w:val="right"/>
              <w:rPr>
                <w:sz w:val="22"/>
                <w:szCs w:val="22"/>
              </w:rPr>
            </w:pPr>
            <w:r w:rsidRPr="0049742A">
              <w:rPr>
                <w:sz w:val="22"/>
                <w:szCs w:val="22"/>
              </w:rPr>
              <w:t>Non-specialist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73DBF0B" w14:textId="77777777" w:rsidR="00AB7893" w:rsidRPr="0049742A" w:rsidRDefault="00AB7893" w:rsidP="006E5E0B">
            <w:pPr>
              <w:jc w:val="right"/>
              <w:rPr>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6D6DC17" w14:textId="77777777" w:rsidR="00AB7893" w:rsidRPr="0049742A" w:rsidRDefault="00AB7893" w:rsidP="006E5E0B">
            <w:pPr>
              <w:jc w:val="right"/>
              <w:rPr>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BC6490F" w14:textId="77777777" w:rsidR="00AB7893" w:rsidRPr="0049742A" w:rsidRDefault="00AB7893" w:rsidP="006E5E0B">
            <w:pPr>
              <w:jc w:val="right"/>
              <w:rPr>
                <w:sz w:val="22"/>
                <w:szCs w:val="22"/>
              </w:rPr>
            </w:pPr>
            <w:r w:rsidRPr="0049742A">
              <w:rPr>
                <w:rFonts w:cs="Calibri"/>
                <w:sz w:val="22"/>
                <w:szCs w:val="22"/>
                <w:lang w:eastAsia="en-IE"/>
              </w:rPr>
              <w:t>33.3% (</w:t>
            </w:r>
            <w:r w:rsidRPr="0049742A">
              <w:rPr>
                <w:sz w:val="22"/>
                <w:szCs w:val="22"/>
              </w:rPr>
              <w:t>n=</w:t>
            </w:r>
            <w:r w:rsidRPr="0049742A">
              <w:rPr>
                <w:rFonts w:cs="Calibri"/>
                <w:sz w:val="22"/>
                <w:szCs w:val="22"/>
                <w:lang w:eastAsia="en-IE"/>
              </w:rPr>
              <w:t>3)</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0ED6ABD" w14:textId="77777777" w:rsidR="00AB7893" w:rsidRPr="0049742A" w:rsidRDefault="00AB7893" w:rsidP="006E5E0B">
            <w:pPr>
              <w:jc w:val="right"/>
              <w:rPr>
                <w:sz w:val="22"/>
                <w:szCs w:val="22"/>
              </w:rPr>
            </w:pPr>
            <w:r w:rsidRPr="0049742A">
              <w:rPr>
                <w:rFonts w:cs="Calibri"/>
                <w:sz w:val="22"/>
                <w:szCs w:val="22"/>
                <w:lang w:eastAsia="en-IE"/>
              </w:rPr>
              <w:t>22.2% (</w:t>
            </w:r>
            <w:r w:rsidRPr="0049742A">
              <w:rPr>
                <w:sz w:val="22"/>
                <w:szCs w:val="22"/>
              </w:rPr>
              <w:t>n=</w:t>
            </w:r>
            <w:r w:rsidRPr="0049742A">
              <w:rPr>
                <w:rFonts w:cs="Calibri"/>
                <w:sz w:val="22"/>
                <w:szCs w:val="22"/>
                <w:lang w:eastAsia="en-IE"/>
              </w:rPr>
              <w:t>2)</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F24A788" w14:textId="77777777" w:rsidR="00AB7893" w:rsidRPr="0049742A" w:rsidRDefault="00AB7893" w:rsidP="006E5E0B">
            <w:pPr>
              <w:jc w:val="right"/>
              <w:rPr>
                <w:sz w:val="22"/>
                <w:szCs w:val="22"/>
              </w:rPr>
            </w:pPr>
            <w:r w:rsidRPr="0049742A">
              <w:rPr>
                <w:rFonts w:cs="Calibri"/>
                <w:sz w:val="22"/>
                <w:szCs w:val="22"/>
                <w:lang w:eastAsia="en-IE"/>
              </w:rPr>
              <w:t>22.2% (</w:t>
            </w:r>
            <w:r w:rsidRPr="0049742A">
              <w:rPr>
                <w:sz w:val="22"/>
                <w:szCs w:val="22"/>
              </w:rPr>
              <w:t>n=</w:t>
            </w:r>
            <w:r w:rsidRPr="0049742A">
              <w:rPr>
                <w:rFonts w:cs="Calibri"/>
                <w:sz w:val="22"/>
                <w:szCs w:val="22"/>
                <w:lang w:eastAsia="en-IE"/>
              </w:rPr>
              <w:t>2)</w:t>
            </w:r>
          </w:p>
        </w:tc>
      </w:tr>
      <w:tr w:rsidR="00AB7893" w:rsidRPr="00290763" w14:paraId="681907B9"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2061978B" w14:textId="77777777" w:rsidR="00AB7893" w:rsidRPr="0049742A" w:rsidRDefault="00AB7893" w:rsidP="006E5E0B">
            <w:pPr>
              <w:jc w:val="right"/>
              <w:rPr>
                <w:sz w:val="22"/>
                <w:szCs w:val="22"/>
              </w:rPr>
            </w:pPr>
            <w:r w:rsidRPr="0049742A">
              <w:rPr>
                <w:sz w:val="22"/>
                <w:szCs w:val="22"/>
              </w:rPr>
              <w:t>Other</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AFF813E" w14:textId="77777777" w:rsidR="00AB7893" w:rsidRPr="0049742A" w:rsidRDefault="00AB7893" w:rsidP="006E5E0B">
            <w:pPr>
              <w:jc w:val="right"/>
              <w:rPr>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70E07E2" w14:textId="77777777" w:rsidR="00AB7893" w:rsidRPr="0049742A" w:rsidRDefault="00AB7893" w:rsidP="006E5E0B">
            <w:pPr>
              <w:jc w:val="right"/>
              <w:rPr>
                <w:sz w:val="22"/>
                <w:szCs w:val="22"/>
              </w:rPr>
            </w:pPr>
            <w:r w:rsidRPr="0049742A">
              <w:rPr>
                <w:sz w:val="22"/>
                <w:szCs w:val="22"/>
              </w:rPr>
              <w:t>16.7% (n=1)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0513335" w14:textId="77777777" w:rsidR="00AB7893" w:rsidRPr="0049742A" w:rsidRDefault="00AB7893" w:rsidP="006E5E0B">
            <w:pPr>
              <w:jc w:val="right"/>
              <w:rPr>
                <w:sz w:val="22"/>
                <w:szCs w:val="22"/>
              </w:rPr>
            </w:pPr>
            <w:r w:rsidRPr="0049742A">
              <w:rPr>
                <w:sz w:val="22"/>
                <w:szCs w:val="22"/>
              </w:rPr>
              <w:t>16.7% (n=1)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6264462" w14:textId="77777777" w:rsidR="00AB7893" w:rsidRPr="0049742A" w:rsidRDefault="00AB7893" w:rsidP="006E5E0B">
            <w:pPr>
              <w:jc w:val="right"/>
              <w:rPr>
                <w:sz w:val="22"/>
                <w:szCs w:val="22"/>
              </w:rPr>
            </w:pPr>
            <w:r w:rsidRPr="0049742A">
              <w:rPr>
                <w:sz w:val="22"/>
                <w:szCs w:val="22"/>
              </w:rPr>
              <w:t>33.3% (n=3)</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51A2C0E" w14:textId="77777777" w:rsidR="00AB7893" w:rsidRPr="0049742A" w:rsidRDefault="00AB7893" w:rsidP="006E5E0B">
            <w:pPr>
              <w:jc w:val="right"/>
              <w:rPr>
                <w:sz w:val="22"/>
                <w:szCs w:val="22"/>
              </w:rPr>
            </w:pPr>
            <w:r w:rsidRPr="0049742A">
              <w:rPr>
                <w:sz w:val="22"/>
                <w:szCs w:val="22"/>
              </w:rPr>
              <w:t>16.7% (n=1)</w:t>
            </w:r>
          </w:p>
        </w:tc>
      </w:tr>
      <w:tr w:rsidR="00AB7893" w:rsidRPr="00290763" w14:paraId="72AB07C3" w14:textId="77777777" w:rsidTr="006E5E0B">
        <w:trPr>
          <w:trHeight w:hRule="exact" w:val="397"/>
        </w:trPr>
        <w:tc>
          <w:tcPr>
            <w:tcW w:w="5000" w:type="pct"/>
            <w:gridSpan w:val="6"/>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234A40F7" w14:textId="77777777" w:rsidR="00AB7893" w:rsidRPr="0049742A" w:rsidRDefault="00AB7893" w:rsidP="006E5E0B">
            <w:pPr>
              <w:rPr>
                <w:b/>
                <w:sz w:val="22"/>
                <w:szCs w:val="22"/>
              </w:rPr>
            </w:pPr>
            <w:r w:rsidRPr="0049742A">
              <w:rPr>
                <w:b/>
                <w:sz w:val="22"/>
                <w:szCs w:val="22"/>
              </w:rPr>
              <w:t>Staff education / training </w:t>
            </w:r>
          </w:p>
        </w:tc>
      </w:tr>
      <w:tr w:rsidR="00AB7893" w:rsidRPr="00290763" w14:paraId="30AE5AAB"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2655C159" w14:textId="77777777" w:rsidR="00AB7893" w:rsidRPr="0049742A" w:rsidRDefault="00AB7893" w:rsidP="006E5E0B">
            <w:pPr>
              <w:jc w:val="right"/>
              <w:rPr>
                <w:b/>
                <w:sz w:val="22"/>
                <w:szCs w:val="22"/>
              </w:rPr>
            </w:pPr>
            <w:r w:rsidRPr="0049742A">
              <w:rPr>
                <w:sz w:val="22"/>
                <w:szCs w:val="22"/>
              </w:rPr>
              <w:t>All</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2E73066" w14:textId="77777777" w:rsidR="00AB7893" w:rsidRPr="0049742A" w:rsidRDefault="00AB7893" w:rsidP="006E5E0B">
            <w:pPr>
              <w:jc w:val="right"/>
              <w:rPr>
                <w:b/>
                <w:sz w:val="22"/>
                <w:szCs w:val="22"/>
              </w:rPr>
            </w:pPr>
            <w:r w:rsidRPr="0049742A">
              <w:rPr>
                <w:sz w:val="22"/>
                <w:szCs w:val="22"/>
              </w:rPr>
              <w:t>3.4% (n=1)</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A389451" w14:textId="77777777" w:rsidR="00AB7893" w:rsidRPr="0049742A" w:rsidRDefault="00AB7893" w:rsidP="006E5E0B">
            <w:pPr>
              <w:jc w:val="right"/>
              <w:rPr>
                <w:b/>
                <w:sz w:val="22"/>
                <w:szCs w:val="22"/>
              </w:rPr>
            </w:pPr>
            <w:r w:rsidRPr="0049742A">
              <w:rPr>
                <w:sz w:val="22"/>
                <w:szCs w:val="22"/>
              </w:rPr>
              <w:t>3.4% (n=1)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79ECA68" w14:textId="77777777" w:rsidR="00AB7893" w:rsidRPr="0049742A" w:rsidRDefault="00AB7893" w:rsidP="006E5E0B">
            <w:pPr>
              <w:jc w:val="right"/>
              <w:rPr>
                <w:b/>
                <w:sz w:val="22"/>
                <w:szCs w:val="22"/>
              </w:rPr>
            </w:pPr>
            <w:r w:rsidRPr="0049742A">
              <w:rPr>
                <w:sz w:val="22"/>
                <w:szCs w:val="22"/>
              </w:rPr>
              <w:t>3.4% (n=1)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1C7CF9A" w14:textId="77777777" w:rsidR="00AB7893" w:rsidRPr="0049742A" w:rsidRDefault="00AB7893" w:rsidP="006E5E0B">
            <w:pPr>
              <w:jc w:val="right"/>
              <w:rPr>
                <w:b/>
                <w:sz w:val="22"/>
                <w:szCs w:val="22"/>
              </w:rPr>
            </w:pPr>
            <w:r w:rsidRPr="0049742A">
              <w:rPr>
                <w:sz w:val="22"/>
                <w:szCs w:val="22"/>
              </w:rPr>
              <w:t>17.2% (n=5)</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973F5ED" w14:textId="77777777" w:rsidR="00AB7893" w:rsidRPr="0049742A" w:rsidRDefault="00AB7893" w:rsidP="006E5E0B">
            <w:pPr>
              <w:jc w:val="right"/>
              <w:rPr>
                <w:b/>
                <w:sz w:val="22"/>
                <w:szCs w:val="22"/>
              </w:rPr>
            </w:pPr>
            <w:r w:rsidRPr="0049742A">
              <w:rPr>
                <w:sz w:val="22"/>
                <w:szCs w:val="22"/>
              </w:rPr>
              <w:t>13.8% (n=4)</w:t>
            </w:r>
          </w:p>
        </w:tc>
      </w:tr>
      <w:tr w:rsidR="00AB7893" w:rsidRPr="00290763" w14:paraId="0C5739ED"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2BD9163C" w14:textId="77777777" w:rsidR="00AB7893" w:rsidRPr="0049742A" w:rsidRDefault="00AB7893" w:rsidP="006E5E0B">
            <w:pPr>
              <w:jc w:val="right"/>
              <w:rPr>
                <w:b/>
                <w:sz w:val="22"/>
                <w:szCs w:val="22"/>
              </w:rPr>
            </w:pPr>
            <w:r w:rsidRPr="0049742A">
              <w:rPr>
                <w:sz w:val="22"/>
                <w:szCs w:val="22"/>
              </w:rPr>
              <w:t>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236B38B"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792BABB" w14:textId="77777777" w:rsidR="00AB7893" w:rsidRPr="0049742A" w:rsidRDefault="00AB7893" w:rsidP="006E5E0B">
            <w:pPr>
              <w:spacing w:after="0"/>
              <w:jc w:val="right"/>
              <w:textAlignment w:val="baseline"/>
              <w:rPr>
                <w:rFonts w:cs="Segoe UI"/>
                <w:sz w:val="22"/>
                <w:szCs w:val="22"/>
                <w:lang w:eastAsia="en-IE"/>
              </w:rPr>
            </w:pPr>
            <w:r w:rsidRPr="0049742A">
              <w:rPr>
                <w:rFonts w:cs="Calibri"/>
                <w:sz w:val="22"/>
                <w:szCs w:val="22"/>
                <w:lang w:eastAsia="en-IE"/>
              </w:rPr>
              <w:t>7.1% (</w:t>
            </w:r>
            <w:r w:rsidRPr="0049742A">
              <w:rPr>
                <w:sz w:val="22"/>
                <w:szCs w:val="22"/>
              </w:rPr>
              <w:t>n=</w:t>
            </w:r>
            <w:r w:rsidRPr="0049742A">
              <w:rPr>
                <w:rFonts w:cs="Calibri"/>
                <w:sz w:val="22"/>
                <w:szCs w:val="22"/>
                <w:lang w:eastAsia="en-IE"/>
              </w:rPr>
              <w:t>1)</w:t>
            </w:r>
          </w:p>
          <w:p w14:paraId="63126C9A" w14:textId="77777777" w:rsidR="00AB7893" w:rsidRPr="0049742A" w:rsidRDefault="00AB7893" w:rsidP="006E5E0B">
            <w:pPr>
              <w:jc w:val="right"/>
              <w:rPr>
                <w:b/>
                <w:sz w:val="22"/>
                <w:szCs w:val="22"/>
              </w:rPr>
            </w:pP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4DD3386" w14:textId="77777777" w:rsidR="00AB7893" w:rsidRPr="0049742A" w:rsidRDefault="00AB7893" w:rsidP="006E5E0B">
            <w:pPr>
              <w:spacing w:after="0"/>
              <w:jc w:val="right"/>
              <w:textAlignment w:val="baseline"/>
              <w:rPr>
                <w:rFonts w:cs="Segoe UI"/>
                <w:sz w:val="22"/>
                <w:szCs w:val="22"/>
                <w:lang w:eastAsia="en-IE"/>
              </w:rPr>
            </w:pPr>
            <w:r w:rsidRPr="0049742A">
              <w:rPr>
                <w:rFonts w:cs="Calibri"/>
                <w:sz w:val="22"/>
                <w:szCs w:val="22"/>
                <w:lang w:eastAsia="en-IE"/>
              </w:rPr>
              <w:t>7.1% (</w:t>
            </w:r>
            <w:r w:rsidRPr="0049742A">
              <w:rPr>
                <w:sz w:val="22"/>
                <w:szCs w:val="22"/>
              </w:rPr>
              <w:t>n=</w:t>
            </w:r>
            <w:r w:rsidRPr="0049742A">
              <w:rPr>
                <w:rFonts w:cs="Calibri"/>
                <w:sz w:val="22"/>
                <w:szCs w:val="22"/>
                <w:lang w:eastAsia="en-IE"/>
              </w:rPr>
              <w:t>1)</w:t>
            </w:r>
          </w:p>
          <w:p w14:paraId="450E84E1" w14:textId="77777777" w:rsidR="00AB7893" w:rsidRPr="0049742A" w:rsidRDefault="00AB7893" w:rsidP="006E5E0B">
            <w:pPr>
              <w:jc w:val="right"/>
              <w:rPr>
                <w:b/>
                <w:sz w:val="22"/>
                <w:szCs w:val="22"/>
              </w:rPr>
            </w:pP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90C867A" w14:textId="77777777" w:rsidR="00AB7893" w:rsidRPr="0049742A" w:rsidRDefault="00AB7893" w:rsidP="006E5E0B">
            <w:pPr>
              <w:jc w:val="right"/>
              <w:rPr>
                <w:b/>
                <w:sz w:val="22"/>
                <w:szCs w:val="22"/>
              </w:rPr>
            </w:pPr>
            <w:r w:rsidRPr="0049742A">
              <w:rPr>
                <w:sz w:val="22"/>
                <w:szCs w:val="22"/>
              </w:rPr>
              <w:t>14.3% (n=2)</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08FCEE3" w14:textId="77777777" w:rsidR="00AB7893" w:rsidRPr="0049742A" w:rsidRDefault="00AB7893" w:rsidP="006E5E0B">
            <w:pPr>
              <w:spacing w:after="0"/>
              <w:jc w:val="right"/>
              <w:textAlignment w:val="baseline"/>
              <w:rPr>
                <w:rFonts w:cs="Segoe UI"/>
                <w:sz w:val="22"/>
                <w:szCs w:val="22"/>
                <w:lang w:eastAsia="en-IE"/>
              </w:rPr>
            </w:pPr>
            <w:r w:rsidRPr="0049742A">
              <w:rPr>
                <w:rFonts w:cs="Calibri"/>
                <w:sz w:val="22"/>
                <w:szCs w:val="22"/>
                <w:lang w:eastAsia="en-IE"/>
              </w:rPr>
              <w:t>7.1% (</w:t>
            </w:r>
            <w:r w:rsidRPr="0049742A">
              <w:rPr>
                <w:sz w:val="22"/>
                <w:szCs w:val="22"/>
              </w:rPr>
              <w:t>n=</w:t>
            </w:r>
            <w:r w:rsidRPr="0049742A">
              <w:rPr>
                <w:rFonts w:cs="Calibri"/>
                <w:sz w:val="22"/>
                <w:szCs w:val="22"/>
                <w:lang w:eastAsia="en-IE"/>
              </w:rPr>
              <w:t>1)</w:t>
            </w:r>
          </w:p>
          <w:p w14:paraId="3800A8C4" w14:textId="77777777" w:rsidR="00AB7893" w:rsidRPr="0049742A" w:rsidRDefault="00AB7893" w:rsidP="006E5E0B">
            <w:pPr>
              <w:jc w:val="right"/>
              <w:rPr>
                <w:b/>
                <w:sz w:val="22"/>
                <w:szCs w:val="22"/>
              </w:rPr>
            </w:pPr>
          </w:p>
        </w:tc>
      </w:tr>
      <w:tr w:rsidR="00AB7893" w:rsidRPr="00290763" w14:paraId="37D9BC9E" w14:textId="77777777" w:rsidTr="006E5E0B">
        <w:trPr>
          <w:trHeight w:hRule="exact" w:val="638"/>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095600F5" w14:textId="77777777" w:rsidR="00AB7893" w:rsidRPr="0049742A" w:rsidRDefault="00AB7893" w:rsidP="006E5E0B">
            <w:pPr>
              <w:jc w:val="right"/>
              <w:rPr>
                <w:b/>
                <w:sz w:val="22"/>
                <w:szCs w:val="22"/>
              </w:rPr>
            </w:pPr>
            <w:r w:rsidRPr="0049742A">
              <w:rPr>
                <w:sz w:val="22"/>
                <w:szCs w:val="22"/>
              </w:rPr>
              <w:t>Non-specialist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36F71E6"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571558E"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7EBE9A1"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06E6C15" w14:textId="77777777" w:rsidR="00AB7893" w:rsidRPr="0049742A" w:rsidRDefault="00AB7893" w:rsidP="006E5E0B">
            <w:pPr>
              <w:jc w:val="right"/>
              <w:rPr>
                <w:b/>
                <w:sz w:val="22"/>
                <w:szCs w:val="22"/>
              </w:rPr>
            </w:pPr>
            <w:r w:rsidRPr="0049742A">
              <w:rPr>
                <w:sz w:val="22"/>
                <w:szCs w:val="22"/>
              </w:rPr>
              <w:t>22.2% (n=2)</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73503A6" w14:textId="77777777" w:rsidR="00AB7893" w:rsidRPr="0049742A" w:rsidRDefault="00AB7893" w:rsidP="006E5E0B">
            <w:pPr>
              <w:jc w:val="right"/>
              <w:rPr>
                <w:b/>
                <w:sz w:val="22"/>
                <w:szCs w:val="22"/>
              </w:rPr>
            </w:pPr>
            <w:r w:rsidRPr="0049742A">
              <w:rPr>
                <w:rFonts w:cs="Calibri"/>
                <w:color w:val="010205"/>
                <w:sz w:val="22"/>
                <w:szCs w:val="22"/>
                <w:lang w:eastAsia="en-IE"/>
              </w:rPr>
              <w:t>11.1% (</w:t>
            </w:r>
            <w:r w:rsidRPr="0049742A">
              <w:rPr>
                <w:sz w:val="22"/>
                <w:szCs w:val="22"/>
              </w:rPr>
              <w:t>n=</w:t>
            </w:r>
            <w:r w:rsidRPr="0049742A">
              <w:rPr>
                <w:rFonts w:cs="Calibri"/>
                <w:color w:val="010205"/>
                <w:sz w:val="22"/>
                <w:szCs w:val="22"/>
                <w:lang w:eastAsia="en-IE"/>
              </w:rPr>
              <w:t>1)</w:t>
            </w:r>
          </w:p>
        </w:tc>
      </w:tr>
      <w:tr w:rsidR="00AB7893" w:rsidRPr="00290763" w14:paraId="77D2A1A2"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3725B90D" w14:textId="77777777" w:rsidR="00AB7893" w:rsidRPr="0049742A" w:rsidRDefault="00AB7893" w:rsidP="006E5E0B">
            <w:pPr>
              <w:jc w:val="right"/>
              <w:rPr>
                <w:b/>
                <w:sz w:val="22"/>
                <w:szCs w:val="22"/>
              </w:rPr>
            </w:pPr>
            <w:r w:rsidRPr="0049742A">
              <w:rPr>
                <w:sz w:val="22"/>
                <w:szCs w:val="22"/>
              </w:rPr>
              <w:t>Other</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D38F9FF" w14:textId="77777777" w:rsidR="00AB7893" w:rsidRPr="0049742A" w:rsidRDefault="00AB7893" w:rsidP="006E5E0B">
            <w:pPr>
              <w:jc w:val="right"/>
              <w:rPr>
                <w:b/>
                <w:sz w:val="22"/>
                <w:szCs w:val="22"/>
              </w:rPr>
            </w:pPr>
            <w:r w:rsidRPr="0049742A">
              <w:rPr>
                <w:rFonts w:cs="Calibri"/>
                <w:sz w:val="22"/>
                <w:szCs w:val="22"/>
                <w:lang w:eastAsia="en-IE"/>
              </w:rPr>
              <w:t>16.7% (</w:t>
            </w:r>
            <w:r w:rsidRPr="0049742A">
              <w:rPr>
                <w:sz w:val="22"/>
                <w:szCs w:val="22"/>
              </w:rPr>
              <w:t>n=</w:t>
            </w:r>
            <w:r w:rsidRPr="0049742A">
              <w:rPr>
                <w:rFonts w:cs="Calibri"/>
                <w:sz w:val="22"/>
                <w:szCs w:val="22"/>
                <w:lang w:eastAsia="en-IE"/>
              </w:rPr>
              <w:t>1)</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DDB700C"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6664FFA"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E171EEF" w14:textId="77777777" w:rsidR="00AB7893" w:rsidRPr="0049742A" w:rsidRDefault="00AB7893" w:rsidP="006E5E0B">
            <w:pPr>
              <w:jc w:val="right"/>
              <w:rPr>
                <w:b/>
                <w:sz w:val="22"/>
                <w:szCs w:val="22"/>
              </w:rPr>
            </w:pPr>
            <w:r w:rsidRPr="0049742A">
              <w:rPr>
                <w:rFonts w:cs="Calibri"/>
                <w:sz w:val="22"/>
                <w:szCs w:val="22"/>
                <w:lang w:eastAsia="en-IE"/>
              </w:rPr>
              <w:t>16.7% (</w:t>
            </w:r>
            <w:r w:rsidRPr="0049742A">
              <w:rPr>
                <w:sz w:val="22"/>
                <w:szCs w:val="22"/>
              </w:rPr>
              <w:t>n=</w:t>
            </w:r>
            <w:r w:rsidRPr="0049742A">
              <w:rPr>
                <w:rFonts w:cs="Calibri"/>
                <w:sz w:val="22"/>
                <w:szCs w:val="22"/>
                <w:lang w:eastAsia="en-IE"/>
              </w:rPr>
              <w:t>1)</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680A8D11" w14:textId="77777777" w:rsidR="00AB7893" w:rsidRPr="0049742A" w:rsidRDefault="00AB7893" w:rsidP="006E5E0B">
            <w:pPr>
              <w:jc w:val="right"/>
              <w:rPr>
                <w:b/>
                <w:sz w:val="22"/>
                <w:szCs w:val="22"/>
              </w:rPr>
            </w:pPr>
            <w:r w:rsidRPr="0049742A">
              <w:rPr>
                <w:rFonts w:cs="Calibri"/>
                <w:color w:val="010205"/>
                <w:sz w:val="22"/>
                <w:szCs w:val="22"/>
                <w:lang w:eastAsia="en-IE"/>
              </w:rPr>
              <w:t>33.3% (</w:t>
            </w:r>
            <w:r w:rsidRPr="0049742A">
              <w:rPr>
                <w:sz w:val="22"/>
                <w:szCs w:val="22"/>
              </w:rPr>
              <w:t>n=</w:t>
            </w:r>
            <w:r w:rsidRPr="0049742A">
              <w:rPr>
                <w:rFonts w:cs="Calibri"/>
                <w:color w:val="010205"/>
                <w:sz w:val="22"/>
                <w:szCs w:val="22"/>
                <w:lang w:eastAsia="en-IE"/>
              </w:rPr>
              <w:t>2)</w:t>
            </w:r>
          </w:p>
        </w:tc>
      </w:tr>
      <w:tr w:rsidR="00AB7893" w:rsidRPr="00290763" w14:paraId="3535D543" w14:textId="77777777" w:rsidTr="006E5E0B">
        <w:trPr>
          <w:trHeight w:hRule="exact" w:val="397"/>
        </w:trPr>
        <w:tc>
          <w:tcPr>
            <w:tcW w:w="5000" w:type="pct"/>
            <w:gridSpan w:val="6"/>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668FC999" w14:textId="77777777" w:rsidR="00AB7893" w:rsidRPr="0049742A" w:rsidRDefault="00AB7893" w:rsidP="006E5E0B">
            <w:pPr>
              <w:rPr>
                <w:b/>
                <w:sz w:val="22"/>
                <w:szCs w:val="22"/>
              </w:rPr>
            </w:pPr>
            <w:r w:rsidRPr="0049742A">
              <w:rPr>
                <w:b/>
                <w:sz w:val="22"/>
                <w:szCs w:val="22"/>
              </w:rPr>
              <w:t>Access to timely screening, diagnostic and interventional care </w:t>
            </w:r>
          </w:p>
        </w:tc>
      </w:tr>
      <w:tr w:rsidR="00AB7893" w:rsidRPr="00290763" w14:paraId="4FD6A657"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6D434DA5" w14:textId="77777777" w:rsidR="00AB7893" w:rsidRPr="0049742A" w:rsidRDefault="00AB7893" w:rsidP="006E5E0B">
            <w:pPr>
              <w:jc w:val="right"/>
              <w:rPr>
                <w:b/>
                <w:sz w:val="22"/>
                <w:szCs w:val="22"/>
              </w:rPr>
            </w:pPr>
            <w:r w:rsidRPr="0049742A">
              <w:rPr>
                <w:sz w:val="22"/>
                <w:szCs w:val="22"/>
              </w:rPr>
              <w:t>All</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A0698C5" w14:textId="77777777" w:rsidR="00AB7893" w:rsidRPr="0049742A" w:rsidRDefault="00AB7893" w:rsidP="006E5E0B">
            <w:pPr>
              <w:jc w:val="right"/>
              <w:rPr>
                <w:b/>
                <w:sz w:val="22"/>
                <w:szCs w:val="22"/>
              </w:rPr>
            </w:pPr>
            <w:r w:rsidRPr="0049742A">
              <w:rPr>
                <w:sz w:val="22"/>
                <w:szCs w:val="22"/>
              </w:rPr>
              <w:t>17.2% (n=5)</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A1F91B5" w14:textId="77777777" w:rsidR="00AB7893" w:rsidRPr="0049742A" w:rsidRDefault="00AB7893" w:rsidP="006E5E0B">
            <w:pPr>
              <w:jc w:val="right"/>
              <w:rPr>
                <w:b/>
                <w:sz w:val="22"/>
                <w:szCs w:val="22"/>
              </w:rPr>
            </w:pPr>
            <w:r w:rsidRPr="0049742A">
              <w:rPr>
                <w:sz w:val="22"/>
                <w:szCs w:val="22"/>
              </w:rPr>
              <w:t>10.3% (n=3)</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825CC49" w14:textId="77777777" w:rsidR="00AB7893" w:rsidRPr="0049742A" w:rsidRDefault="00AB7893" w:rsidP="006E5E0B">
            <w:pPr>
              <w:jc w:val="right"/>
              <w:rPr>
                <w:b/>
                <w:sz w:val="22"/>
                <w:szCs w:val="22"/>
              </w:rPr>
            </w:pPr>
            <w:r w:rsidRPr="0049742A">
              <w:rPr>
                <w:sz w:val="22"/>
                <w:szCs w:val="22"/>
              </w:rPr>
              <w:t>6.9% (n=2)</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D1AC5FD" w14:textId="77777777" w:rsidR="00AB7893" w:rsidRPr="0049742A" w:rsidRDefault="00AB7893" w:rsidP="006E5E0B">
            <w:pPr>
              <w:jc w:val="right"/>
              <w:rPr>
                <w:b/>
                <w:sz w:val="22"/>
                <w:szCs w:val="22"/>
              </w:rPr>
            </w:pPr>
            <w:r w:rsidRPr="0049742A">
              <w:rPr>
                <w:sz w:val="22"/>
                <w:szCs w:val="22"/>
              </w:rPr>
              <w:t>17.2% (n=5)</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72A60F7" w14:textId="77777777" w:rsidR="00AB7893" w:rsidRPr="0049742A" w:rsidRDefault="00AB7893" w:rsidP="006E5E0B">
            <w:pPr>
              <w:jc w:val="right"/>
              <w:rPr>
                <w:b/>
                <w:sz w:val="22"/>
                <w:szCs w:val="22"/>
              </w:rPr>
            </w:pPr>
            <w:r w:rsidRPr="0049742A">
              <w:rPr>
                <w:sz w:val="22"/>
                <w:szCs w:val="22"/>
              </w:rPr>
              <w:t>13.8% (n=4)</w:t>
            </w:r>
          </w:p>
        </w:tc>
      </w:tr>
      <w:tr w:rsidR="00AB7893" w:rsidRPr="00290763" w14:paraId="77B33996"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78B843CC" w14:textId="77777777" w:rsidR="00AB7893" w:rsidRPr="0049742A" w:rsidRDefault="00AB7893" w:rsidP="006E5E0B">
            <w:pPr>
              <w:jc w:val="right"/>
              <w:rPr>
                <w:b/>
                <w:sz w:val="22"/>
                <w:szCs w:val="22"/>
              </w:rPr>
            </w:pPr>
            <w:r w:rsidRPr="0049742A">
              <w:rPr>
                <w:sz w:val="22"/>
                <w:szCs w:val="22"/>
              </w:rPr>
              <w:t>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00DF467" w14:textId="77777777" w:rsidR="00AB7893" w:rsidRPr="0049742A" w:rsidRDefault="00AB7893" w:rsidP="006E5E0B">
            <w:pPr>
              <w:jc w:val="right"/>
              <w:rPr>
                <w:b/>
                <w:sz w:val="22"/>
                <w:szCs w:val="22"/>
              </w:rPr>
            </w:pPr>
            <w:r w:rsidRPr="0049742A">
              <w:rPr>
                <w:rFonts w:cs="Calibri"/>
                <w:color w:val="010205"/>
                <w:sz w:val="22"/>
                <w:szCs w:val="22"/>
                <w:lang w:eastAsia="en-IE"/>
              </w:rPr>
              <w:t>14.3% (</w:t>
            </w:r>
            <w:r w:rsidRPr="0049742A">
              <w:rPr>
                <w:sz w:val="22"/>
                <w:szCs w:val="22"/>
              </w:rPr>
              <w:t>n=</w:t>
            </w:r>
            <w:r w:rsidRPr="0049742A">
              <w:rPr>
                <w:rFonts w:cs="Calibri"/>
                <w:color w:val="010205"/>
                <w:sz w:val="22"/>
                <w:szCs w:val="22"/>
                <w:lang w:eastAsia="en-IE"/>
              </w:rPr>
              <w:t>2)</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265E0AB" w14:textId="77777777" w:rsidR="00AB7893" w:rsidRPr="0049742A" w:rsidRDefault="00AB7893" w:rsidP="006E5E0B">
            <w:pPr>
              <w:jc w:val="right"/>
              <w:rPr>
                <w:b/>
                <w:sz w:val="22"/>
                <w:szCs w:val="22"/>
              </w:rPr>
            </w:pPr>
            <w:r w:rsidRPr="0049742A">
              <w:rPr>
                <w:rFonts w:cs="Calibri"/>
                <w:color w:val="010205"/>
                <w:sz w:val="22"/>
                <w:szCs w:val="22"/>
                <w:lang w:eastAsia="en-IE"/>
              </w:rPr>
              <w:t>14.3% (</w:t>
            </w:r>
            <w:r w:rsidRPr="0049742A">
              <w:rPr>
                <w:sz w:val="22"/>
                <w:szCs w:val="22"/>
              </w:rPr>
              <w:t>n=</w:t>
            </w:r>
            <w:r w:rsidRPr="0049742A">
              <w:rPr>
                <w:rFonts w:cs="Calibri"/>
                <w:color w:val="010205"/>
                <w:sz w:val="22"/>
                <w:szCs w:val="22"/>
                <w:lang w:eastAsia="en-IE"/>
              </w:rPr>
              <w:t>2)</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968E460" w14:textId="77777777" w:rsidR="00AB7893" w:rsidRPr="0049742A" w:rsidRDefault="00AB7893" w:rsidP="006E5E0B">
            <w:pPr>
              <w:jc w:val="right"/>
              <w:rPr>
                <w:b/>
                <w:sz w:val="22"/>
                <w:szCs w:val="22"/>
              </w:rPr>
            </w:pPr>
            <w:r w:rsidRPr="0049742A">
              <w:rPr>
                <w:rFonts w:cs="Calibri"/>
                <w:sz w:val="22"/>
                <w:szCs w:val="22"/>
                <w:lang w:eastAsia="en-IE"/>
              </w:rPr>
              <w:t>7.1% (</w:t>
            </w:r>
            <w:r w:rsidRPr="0049742A">
              <w:rPr>
                <w:sz w:val="22"/>
                <w:szCs w:val="22"/>
              </w:rPr>
              <w:t>n=</w:t>
            </w:r>
            <w:r w:rsidRPr="0049742A">
              <w:rPr>
                <w:rFonts w:cs="Calibri"/>
                <w:sz w:val="22"/>
                <w:szCs w:val="22"/>
                <w:lang w:eastAsia="en-IE"/>
              </w:rPr>
              <w:t>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80E1211" w14:textId="77777777" w:rsidR="00AB7893" w:rsidRPr="0049742A" w:rsidRDefault="00AB7893" w:rsidP="006E5E0B">
            <w:pPr>
              <w:jc w:val="right"/>
              <w:rPr>
                <w:b/>
                <w:sz w:val="22"/>
                <w:szCs w:val="22"/>
              </w:rPr>
            </w:pPr>
            <w:r w:rsidRPr="0049742A">
              <w:rPr>
                <w:rFonts w:cs="Calibri"/>
                <w:color w:val="010205"/>
                <w:sz w:val="22"/>
                <w:szCs w:val="22"/>
                <w:lang w:eastAsia="en-IE"/>
              </w:rPr>
              <w:t>21.4% (</w:t>
            </w:r>
            <w:r w:rsidRPr="0049742A">
              <w:rPr>
                <w:sz w:val="22"/>
                <w:szCs w:val="22"/>
              </w:rPr>
              <w:t>n=</w:t>
            </w:r>
            <w:r w:rsidRPr="0049742A">
              <w:rPr>
                <w:rFonts w:cs="Calibri"/>
                <w:color w:val="010205"/>
                <w:sz w:val="22"/>
                <w:szCs w:val="22"/>
                <w:lang w:eastAsia="en-IE"/>
              </w:rPr>
              <w:t>3)</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ED7CBD3" w14:textId="77777777" w:rsidR="00AB7893" w:rsidRPr="0049742A" w:rsidRDefault="00AB7893" w:rsidP="006E5E0B">
            <w:pPr>
              <w:jc w:val="right"/>
              <w:rPr>
                <w:b/>
                <w:sz w:val="22"/>
                <w:szCs w:val="22"/>
              </w:rPr>
            </w:pPr>
            <w:r w:rsidRPr="0049742A">
              <w:rPr>
                <w:rFonts w:cs="Calibri"/>
                <w:color w:val="010205"/>
                <w:sz w:val="22"/>
                <w:szCs w:val="22"/>
                <w:lang w:eastAsia="en-IE"/>
              </w:rPr>
              <w:t>21.4% (</w:t>
            </w:r>
            <w:r w:rsidRPr="0049742A">
              <w:rPr>
                <w:sz w:val="22"/>
                <w:szCs w:val="22"/>
              </w:rPr>
              <w:t>n=</w:t>
            </w:r>
            <w:r w:rsidRPr="0049742A">
              <w:rPr>
                <w:rFonts w:cs="Calibri"/>
                <w:color w:val="010205"/>
                <w:sz w:val="22"/>
                <w:szCs w:val="22"/>
                <w:lang w:eastAsia="en-IE"/>
              </w:rPr>
              <w:t>3)</w:t>
            </w:r>
          </w:p>
        </w:tc>
      </w:tr>
      <w:tr w:rsidR="00AB7893" w:rsidRPr="00290763" w14:paraId="2D470C7A" w14:textId="77777777" w:rsidTr="006E5E0B">
        <w:trPr>
          <w:trHeight w:hRule="exact" w:val="638"/>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31B52AD3" w14:textId="77777777" w:rsidR="00AB7893" w:rsidRPr="0049742A" w:rsidRDefault="00AB7893" w:rsidP="006E5E0B">
            <w:pPr>
              <w:jc w:val="right"/>
              <w:rPr>
                <w:b/>
                <w:sz w:val="22"/>
                <w:szCs w:val="22"/>
              </w:rPr>
            </w:pPr>
            <w:r w:rsidRPr="0049742A">
              <w:rPr>
                <w:sz w:val="22"/>
                <w:szCs w:val="22"/>
              </w:rPr>
              <w:t>Non-specialist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E38B9E5" w14:textId="77777777" w:rsidR="00AB7893" w:rsidRPr="0049742A" w:rsidRDefault="00AB7893" w:rsidP="006E5E0B">
            <w:pPr>
              <w:jc w:val="right"/>
              <w:rPr>
                <w:b/>
                <w:sz w:val="22"/>
                <w:szCs w:val="22"/>
              </w:rPr>
            </w:pPr>
            <w:r w:rsidRPr="0049742A">
              <w:rPr>
                <w:rFonts w:cs="Calibri"/>
                <w:color w:val="010205"/>
                <w:sz w:val="22"/>
                <w:szCs w:val="22"/>
                <w:lang w:eastAsia="en-IE"/>
              </w:rPr>
              <w:t>22.2% (</w:t>
            </w:r>
            <w:r w:rsidRPr="0049742A">
              <w:rPr>
                <w:sz w:val="22"/>
                <w:szCs w:val="22"/>
              </w:rPr>
              <w:t>n=</w:t>
            </w:r>
            <w:r w:rsidRPr="0049742A">
              <w:rPr>
                <w:rFonts w:cs="Calibri"/>
                <w:color w:val="010205"/>
                <w:sz w:val="22"/>
                <w:szCs w:val="22"/>
                <w:lang w:eastAsia="en-IE"/>
              </w:rPr>
              <w:t>2)</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140467B" w14:textId="77777777" w:rsidR="00AB7893" w:rsidRPr="0049742A" w:rsidRDefault="00AB7893" w:rsidP="006E5E0B">
            <w:pPr>
              <w:jc w:val="right"/>
              <w:rPr>
                <w:b/>
                <w:sz w:val="22"/>
                <w:szCs w:val="22"/>
              </w:rPr>
            </w:pPr>
            <w:r w:rsidRPr="0049742A">
              <w:rPr>
                <w:rFonts w:cs="Calibri"/>
                <w:color w:val="010205"/>
                <w:sz w:val="22"/>
                <w:szCs w:val="22"/>
                <w:lang w:eastAsia="en-IE"/>
              </w:rPr>
              <w:t>11.1% (</w:t>
            </w:r>
            <w:r w:rsidRPr="0049742A">
              <w:rPr>
                <w:sz w:val="22"/>
                <w:szCs w:val="22"/>
              </w:rPr>
              <w:t>n=</w:t>
            </w:r>
            <w:r w:rsidRPr="0049742A">
              <w:rPr>
                <w:rFonts w:cs="Calibri"/>
                <w:color w:val="010205"/>
                <w:sz w:val="22"/>
                <w:szCs w:val="22"/>
                <w:lang w:eastAsia="en-IE"/>
              </w:rPr>
              <w:t>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9DCB0AF"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272CE70" w14:textId="77777777" w:rsidR="00AB7893" w:rsidRPr="0049742A" w:rsidRDefault="00AB7893" w:rsidP="006E5E0B">
            <w:pPr>
              <w:jc w:val="right"/>
              <w:rPr>
                <w:b/>
                <w:sz w:val="22"/>
                <w:szCs w:val="22"/>
              </w:rPr>
            </w:pPr>
            <w:r w:rsidRPr="0049742A">
              <w:rPr>
                <w:rFonts w:cs="Calibri"/>
                <w:color w:val="010205"/>
                <w:sz w:val="22"/>
                <w:szCs w:val="22"/>
                <w:lang w:eastAsia="en-IE"/>
              </w:rPr>
              <w:t>22.2% (</w:t>
            </w:r>
            <w:r w:rsidRPr="0049742A">
              <w:rPr>
                <w:sz w:val="22"/>
                <w:szCs w:val="22"/>
              </w:rPr>
              <w:t>n=</w:t>
            </w:r>
            <w:r w:rsidRPr="0049742A">
              <w:rPr>
                <w:rFonts w:cs="Calibri"/>
                <w:color w:val="010205"/>
                <w:sz w:val="22"/>
                <w:szCs w:val="22"/>
                <w:lang w:eastAsia="en-IE"/>
              </w:rPr>
              <w:t>2)</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966869D" w14:textId="77777777" w:rsidR="00AB7893" w:rsidRPr="0049742A" w:rsidRDefault="00AB7893" w:rsidP="006E5E0B">
            <w:pPr>
              <w:jc w:val="right"/>
              <w:rPr>
                <w:b/>
                <w:sz w:val="22"/>
                <w:szCs w:val="22"/>
              </w:rPr>
            </w:pPr>
            <w:r w:rsidRPr="0049742A">
              <w:rPr>
                <w:rFonts w:cs="Calibri"/>
                <w:color w:val="010205"/>
                <w:sz w:val="22"/>
                <w:szCs w:val="22"/>
                <w:lang w:eastAsia="en-IE"/>
              </w:rPr>
              <w:t>11.1% (</w:t>
            </w:r>
            <w:r w:rsidRPr="0049742A">
              <w:rPr>
                <w:sz w:val="22"/>
                <w:szCs w:val="22"/>
              </w:rPr>
              <w:t>n=</w:t>
            </w:r>
            <w:r w:rsidRPr="0049742A">
              <w:rPr>
                <w:rFonts w:cs="Calibri"/>
                <w:color w:val="010205"/>
                <w:sz w:val="22"/>
                <w:szCs w:val="22"/>
                <w:lang w:eastAsia="en-IE"/>
              </w:rPr>
              <w:t>1)</w:t>
            </w:r>
          </w:p>
        </w:tc>
      </w:tr>
      <w:tr w:rsidR="00AB7893" w:rsidRPr="00290763" w14:paraId="6C65E83D"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19B67D30" w14:textId="77777777" w:rsidR="00AB7893" w:rsidRPr="0049742A" w:rsidRDefault="00AB7893" w:rsidP="006E5E0B">
            <w:pPr>
              <w:jc w:val="right"/>
              <w:rPr>
                <w:b/>
                <w:sz w:val="22"/>
                <w:szCs w:val="22"/>
              </w:rPr>
            </w:pPr>
            <w:r w:rsidRPr="0049742A">
              <w:rPr>
                <w:sz w:val="22"/>
                <w:szCs w:val="22"/>
              </w:rPr>
              <w:t>Other</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8ED5E40" w14:textId="77777777" w:rsidR="00AB7893" w:rsidRPr="0049742A" w:rsidRDefault="00AB7893" w:rsidP="006E5E0B">
            <w:pPr>
              <w:jc w:val="right"/>
              <w:rPr>
                <w:sz w:val="22"/>
                <w:szCs w:val="22"/>
              </w:rPr>
            </w:pPr>
            <w:r w:rsidRPr="0049742A">
              <w:rPr>
                <w:sz w:val="22"/>
                <w:szCs w:val="22"/>
              </w:rPr>
              <w:t>16.7% (n=1)</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5457F7D"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638A7C4" w14:textId="77777777" w:rsidR="00AB7893" w:rsidRPr="0049742A" w:rsidRDefault="00AB7893" w:rsidP="006E5E0B">
            <w:pPr>
              <w:jc w:val="right"/>
              <w:rPr>
                <w:sz w:val="22"/>
                <w:szCs w:val="22"/>
              </w:rPr>
            </w:pPr>
            <w:r w:rsidRPr="0049742A">
              <w:rPr>
                <w:sz w:val="22"/>
                <w:szCs w:val="22"/>
              </w:rPr>
              <w:t>16.7% (n=1)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6688DD5F"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BA1772E" w14:textId="77777777" w:rsidR="00AB7893" w:rsidRPr="0049742A" w:rsidRDefault="00AB7893" w:rsidP="006E5E0B">
            <w:pPr>
              <w:jc w:val="right"/>
              <w:rPr>
                <w:b/>
                <w:sz w:val="22"/>
                <w:szCs w:val="22"/>
              </w:rPr>
            </w:pPr>
            <w:r w:rsidRPr="0049742A">
              <w:rPr>
                <w:sz w:val="22"/>
                <w:szCs w:val="22"/>
              </w:rPr>
              <w:t>0%</w:t>
            </w:r>
          </w:p>
        </w:tc>
      </w:tr>
      <w:tr w:rsidR="00AB7893" w:rsidRPr="00290763" w14:paraId="2ACC08EA" w14:textId="77777777" w:rsidTr="006E5E0B">
        <w:trPr>
          <w:trHeight w:hRule="exact" w:val="397"/>
        </w:trPr>
        <w:tc>
          <w:tcPr>
            <w:tcW w:w="5000" w:type="pct"/>
            <w:gridSpan w:val="6"/>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1C8B65C5" w14:textId="77777777" w:rsidR="00AB7893" w:rsidRPr="0049742A" w:rsidRDefault="00AB7893" w:rsidP="006E5E0B">
            <w:pPr>
              <w:rPr>
                <w:b/>
                <w:sz w:val="22"/>
                <w:szCs w:val="22"/>
              </w:rPr>
            </w:pPr>
            <w:r w:rsidRPr="0049742A">
              <w:rPr>
                <w:b/>
                <w:sz w:val="22"/>
                <w:szCs w:val="22"/>
              </w:rPr>
              <w:t>Responsive resource model </w:t>
            </w:r>
          </w:p>
        </w:tc>
      </w:tr>
      <w:tr w:rsidR="00AB7893" w:rsidRPr="00290763" w14:paraId="663EE8FE"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707EC462" w14:textId="77777777" w:rsidR="00AB7893" w:rsidRPr="0049742A" w:rsidRDefault="00AB7893" w:rsidP="006E5E0B">
            <w:pPr>
              <w:jc w:val="right"/>
              <w:rPr>
                <w:b/>
                <w:sz w:val="22"/>
                <w:szCs w:val="22"/>
              </w:rPr>
            </w:pPr>
            <w:r w:rsidRPr="0049742A">
              <w:rPr>
                <w:sz w:val="22"/>
                <w:szCs w:val="22"/>
              </w:rPr>
              <w:t>All</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A40D977"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4E3796E" w14:textId="77777777" w:rsidR="00AB7893" w:rsidRPr="0049742A" w:rsidRDefault="00AB7893" w:rsidP="006E5E0B">
            <w:pPr>
              <w:jc w:val="right"/>
              <w:rPr>
                <w:b/>
                <w:sz w:val="22"/>
                <w:szCs w:val="22"/>
              </w:rPr>
            </w:pPr>
            <w:r w:rsidRPr="0049742A">
              <w:rPr>
                <w:sz w:val="22"/>
                <w:szCs w:val="22"/>
              </w:rPr>
              <w:t>6.9% (n=2)</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5B64A94" w14:textId="77777777" w:rsidR="00AB7893" w:rsidRPr="0049742A" w:rsidRDefault="00AB7893" w:rsidP="006E5E0B">
            <w:pPr>
              <w:jc w:val="right"/>
              <w:rPr>
                <w:b/>
                <w:sz w:val="22"/>
                <w:szCs w:val="22"/>
              </w:rPr>
            </w:pPr>
            <w:r w:rsidRPr="0049742A">
              <w:rPr>
                <w:sz w:val="22"/>
                <w:szCs w:val="22"/>
              </w:rPr>
              <w:t>20.7%  (n=6)</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D57CC89" w14:textId="77777777" w:rsidR="00AB7893" w:rsidRPr="0049742A" w:rsidRDefault="00AB7893" w:rsidP="006E5E0B">
            <w:pPr>
              <w:jc w:val="right"/>
              <w:rPr>
                <w:b/>
                <w:sz w:val="22"/>
                <w:szCs w:val="22"/>
              </w:rPr>
            </w:pPr>
            <w:r w:rsidRPr="0049742A">
              <w:rPr>
                <w:sz w:val="22"/>
                <w:szCs w:val="22"/>
              </w:rPr>
              <w:t>6.9% (n=2)</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C4E6328" w14:textId="77777777" w:rsidR="00AB7893" w:rsidRPr="0049742A" w:rsidRDefault="00AB7893" w:rsidP="006E5E0B">
            <w:pPr>
              <w:jc w:val="right"/>
              <w:rPr>
                <w:b/>
                <w:sz w:val="22"/>
                <w:szCs w:val="22"/>
              </w:rPr>
            </w:pPr>
            <w:r w:rsidRPr="0049742A">
              <w:rPr>
                <w:sz w:val="22"/>
                <w:szCs w:val="22"/>
              </w:rPr>
              <w:t>6.9% (n=2)</w:t>
            </w:r>
          </w:p>
        </w:tc>
      </w:tr>
      <w:tr w:rsidR="00AB7893" w:rsidRPr="00290763" w14:paraId="7D3F0E73"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167D5508" w14:textId="77777777" w:rsidR="00AB7893" w:rsidRPr="0049742A" w:rsidRDefault="00AB7893" w:rsidP="006E5E0B">
            <w:pPr>
              <w:jc w:val="right"/>
              <w:rPr>
                <w:b/>
                <w:sz w:val="22"/>
                <w:szCs w:val="22"/>
              </w:rPr>
            </w:pPr>
            <w:r w:rsidRPr="0049742A">
              <w:rPr>
                <w:sz w:val="22"/>
                <w:szCs w:val="22"/>
              </w:rPr>
              <w:t>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6133D7F0"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CF00FB2" w14:textId="77777777" w:rsidR="00AB7893" w:rsidRPr="0049742A" w:rsidRDefault="00AB7893" w:rsidP="006E5E0B">
            <w:pPr>
              <w:jc w:val="right"/>
              <w:rPr>
                <w:b/>
                <w:sz w:val="22"/>
                <w:szCs w:val="22"/>
              </w:rPr>
            </w:pPr>
            <w:r w:rsidRPr="0049742A">
              <w:rPr>
                <w:rFonts w:cs="Calibri"/>
                <w:sz w:val="22"/>
                <w:szCs w:val="22"/>
                <w:lang w:eastAsia="en-IE"/>
              </w:rPr>
              <w:t>7.1% (</w:t>
            </w:r>
            <w:r w:rsidRPr="0049742A">
              <w:rPr>
                <w:sz w:val="22"/>
                <w:szCs w:val="22"/>
              </w:rPr>
              <w:t>n=</w:t>
            </w:r>
            <w:r w:rsidRPr="0049742A">
              <w:rPr>
                <w:rFonts w:cs="Calibri"/>
                <w:sz w:val="22"/>
                <w:szCs w:val="22"/>
                <w:lang w:eastAsia="en-IE"/>
              </w:rPr>
              <w:t>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096DCA8" w14:textId="77777777" w:rsidR="00AB7893" w:rsidRPr="0049742A" w:rsidRDefault="00AB7893" w:rsidP="006E5E0B">
            <w:pPr>
              <w:jc w:val="right"/>
              <w:rPr>
                <w:sz w:val="22"/>
                <w:szCs w:val="22"/>
              </w:rPr>
            </w:pPr>
          </w:p>
          <w:p w14:paraId="769BED53" w14:textId="77777777" w:rsidR="00AB7893" w:rsidRPr="0049742A" w:rsidRDefault="00AB7893" w:rsidP="006E5E0B">
            <w:pPr>
              <w:jc w:val="right"/>
              <w:rPr>
                <w:b/>
                <w:sz w:val="22"/>
                <w:szCs w:val="22"/>
              </w:rPr>
            </w:pPr>
            <w:r w:rsidRPr="0049742A">
              <w:rPr>
                <w:sz w:val="22"/>
                <w:szCs w:val="22"/>
              </w:rPr>
              <w:t>28.6% (n=4)</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6EC7041" w14:textId="77777777" w:rsidR="00AB7893" w:rsidRPr="0049742A" w:rsidRDefault="00AB7893" w:rsidP="006E5E0B">
            <w:pPr>
              <w:jc w:val="right"/>
              <w:rPr>
                <w:rFonts w:cs="Calibri"/>
                <w:sz w:val="22"/>
                <w:szCs w:val="22"/>
                <w:lang w:eastAsia="en-IE"/>
              </w:rPr>
            </w:pPr>
          </w:p>
          <w:p w14:paraId="479B450E" w14:textId="77777777" w:rsidR="00AB7893" w:rsidRPr="0049742A" w:rsidRDefault="00AB7893" w:rsidP="006E5E0B">
            <w:pPr>
              <w:jc w:val="right"/>
              <w:rPr>
                <w:b/>
                <w:sz w:val="22"/>
                <w:szCs w:val="22"/>
              </w:rPr>
            </w:pPr>
            <w:r w:rsidRPr="0049742A">
              <w:rPr>
                <w:rFonts w:cs="Calibri"/>
                <w:sz w:val="22"/>
                <w:szCs w:val="22"/>
                <w:lang w:eastAsia="en-IE"/>
              </w:rPr>
              <w:t>7.1% (</w:t>
            </w:r>
            <w:r w:rsidRPr="0049742A">
              <w:rPr>
                <w:sz w:val="22"/>
                <w:szCs w:val="22"/>
              </w:rPr>
              <w:t>n=</w:t>
            </w:r>
            <w:r w:rsidRPr="0049742A">
              <w:rPr>
                <w:rFonts w:cs="Calibri"/>
                <w:sz w:val="22"/>
                <w:szCs w:val="22"/>
                <w:lang w:eastAsia="en-IE"/>
              </w:rPr>
              <w:t>1)</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tcPr>
          <w:p w14:paraId="2AB502F4" w14:textId="77777777" w:rsidR="00AB7893" w:rsidRPr="0049742A" w:rsidRDefault="00AB7893" w:rsidP="006E5E0B">
            <w:pPr>
              <w:jc w:val="right"/>
              <w:rPr>
                <w:b/>
                <w:sz w:val="22"/>
                <w:szCs w:val="22"/>
              </w:rPr>
            </w:pPr>
            <w:r w:rsidRPr="0049742A">
              <w:rPr>
                <w:rFonts w:cs="Calibri"/>
                <w:sz w:val="22"/>
                <w:szCs w:val="22"/>
                <w:lang w:eastAsia="en-IE"/>
              </w:rPr>
              <w:t>14.3 (</w:t>
            </w:r>
            <w:r w:rsidRPr="0049742A">
              <w:rPr>
                <w:sz w:val="22"/>
                <w:szCs w:val="22"/>
              </w:rPr>
              <w:t>n=</w:t>
            </w:r>
            <w:r w:rsidRPr="0049742A">
              <w:rPr>
                <w:rFonts w:cs="Calibri"/>
                <w:sz w:val="22"/>
                <w:szCs w:val="22"/>
                <w:lang w:eastAsia="en-IE"/>
              </w:rPr>
              <w:t>2)</w:t>
            </w:r>
          </w:p>
        </w:tc>
      </w:tr>
      <w:tr w:rsidR="00AB7893" w:rsidRPr="00290763" w14:paraId="5F806C02" w14:textId="77777777" w:rsidTr="006E5E0B">
        <w:trPr>
          <w:trHeight w:hRule="exact" w:val="620"/>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771A3A60" w14:textId="77777777" w:rsidR="00AB7893" w:rsidRPr="0049742A" w:rsidRDefault="00AB7893" w:rsidP="006E5E0B">
            <w:pPr>
              <w:jc w:val="right"/>
              <w:rPr>
                <w:b/>
                <w:sz w:val="22"/>
                <w:szCs w:val="22"/>
              </w:rPr>
            </w:pPr>
            <w:r w:rsidRPr="0049742A">
              <w:rPr>
                <w:sz w:val="22"/>
                <w:szCs w:val="22"/>
              </w:rPr>
              <w:t>Non-specialist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43E6498"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8A5EE77"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0BA1D82" w14:textId="77777777" w:rsidR="00AB7893" w:rsidRPr="0049742A" w:rsidRDefault="00AB7893" w:rsidP="006E5E0B">
            <w:pPr>
              <w:jc w:val="right"/>
              <w:rPr>
                <w:b/>
                <w:sz w:val="22"/>
                <w:szCs w:val="22"/>
              </w:rPr>
            </w:pPr>
            <w:r w:rsidRPr="0049742A">
              <w:rPr>
                <w:sz w:val="22"/>
                <w:szCs w:val="22"/>
              </w:rPr>
              <w:t>11.1% (n=1)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F0AA245"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6002B0D" w14:textId="77777777" w:rsidR="00AB7893" w:rsidRPr="0049742A" w:rsidRDefault="00AB7893" w:rsidP="006E5E0B">
            <w:pPr>
              <w:jc w:val="right"/>
              <w:rPr>
                <w:b/>
                <w:sz w:val="22"/>
                <w:szCs w:val="22"/>
              </w:rPr>
            </w:pPr>
            <w:r w:rsidRPr="0049742A">
              <w:rPr>
                <w:sz w:val="22"/>
                <w:szCs w:val="22"/>
              </w:rPr>
              <w:t>0%</w:t>
            </w:r>
          </w:p>
        </w:tc>
      </w:tr>
      <w:tr w:rsidR="00AB7893" w:rsidRPr="00290763" w14:paraId="6E7AF634"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5CBC8435" w14:textId="77777777" w:rsidR="00AB7893" w:rsidRPr="0049742A" w:rsidRDefault="00AB7893" w:rsidP="006E5E0B">
            <w:pPr>
              <w:jc w:val="right"/>
              <w:rPr>
                <w:b/>
                <w:sz w:val="22"/>
                <w:szCs w:val="22"/>
              </w:rPr>
            </w:pPr>
            <w:r w:rsidRPr="0049742A">
              <w:rPr>
                <w:sz w:val="22"/>
                <w:szCs w:val="22"/>
              </w:rPr>
              <w:t>Other</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728CC48"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331B6A2" w14:textId="77777777" w:rsidR="00AB7893" w:rsidRPr="0049742A" w:rsidRDefault="00AB7893" w:rsidP="006E5E0B">
            <w:pPr>
              <w:jc w:val="right"/>
              <w:rPr>
                <w:b/>
                <w:sz w:val="22"/>
                <w:szCs w:val="22"/>
              </w:rPr>
            </w:pPr>
            <w:r w:rsidRPr="0049742A">
              <w:rPr>
                <w:sz w:val="22"/>
                <w:szCs w:val="22"/>
              </w:rPr>
              <w:t>11.1% (n=1)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5381B7A" w14:textId="77777777" w:rsidR="00AB7893" w:rsidRPr="0049742A" w:rsidRDefault="00AB7893" w:rsidP="006E5E0B">
            <w:pPr>
              <w:jc w:val="right"/>
              <w:rPr>
                <w:b/>
                <w:sz w:val="22"/>
                <w:szCs w:val="22"/>
              </w:rPr>
            </w:pPr>
            <w:r w:rsidRPr="0049742A">
              <w:rPr>
                <w:sz w:val="22"/>
                <w:szCs w:val="22"/>
              </w:rPr>
              <w:t>16.7% (n=1)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482DAC1" w14:textId="77777777" w:rsidR="00AB7893" w:rsidRPr="0049742A" w:rsidRDefault="00AB7893" w:rsidP="006E5E0B">
            <w:pPr>
              <w:jc w:val="right"/>
              <w:rPr>
                <w:b/>
                <w:sz w:val="22"/>
                <w:szCs w:val="22"/>
              </w:rPr>
            </w:pPr>
            <w:r w:rsidRPr="0049742A">
              <w:rPr>
                <w:sz w:val="22"/>
                <w:szCs w:val="22"/>
              </w:rPr>
              <w:t>11.1% (n=1)</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B0F213D" w14:textId="77777777" w:rsidR="00AB7893" w:rsidRPr="0049742A" w:rsidRDefault="00AB7893" w:rsidP="006E5E0B">
            <w:pPr>
              <w:jc w:val="right"/>
              <w:rPr>
                <w:b/>
                <w:sz w:val="22"/>
                <w:szCs w:val="22"/>
              </w:rPr>
            </w:pPr>
            <w:r w:rsidRPr="0049742A">
              <w:rPr>
                <w:sz w:val="22"/>
                <w:szCs w:val="22"/>
              </w:rPr>
              <w:t>0%</w:t>
            </w:r>
          </w:p>
        </w:tc>
      </w:tr>
      <w:tr w:rsidR="00AB7893" w:rsidRPr="00290763" w14:paraId="13182706" w14:textId="77777777" w:rsidTr="006E5E0B">
        <w:trPr>
          <w:trHeight w:hRule="exact" w:val="397"/>
        </w:trPr>
        <w:tc>
          <w:tcPr>
            <w:tcW w:w="5000" w:type="pct"/>
            <w:gridSpan w:val="6"/>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7E4408F2" w14:textId="77777777" w:rsidR="00AB7893" w:rsidRPr="0049742A" w:rsidRDefault="00AB7893" w:rsidP="006E5E0B">
            <w:pPr>
              <w:rPr>
                <w:b/>
                <w:sz w:val="22"/>
                <w:szCs w:val="22"/>
              </w:rPr>
            </w:pPr>
            <w:r w:rsidRPr="0049742A">
              <w:rPr>
                <w:b/>
                <w:sz w:val="22"/>
                <w:szCs w:val="22"/>
              </w:rPr>
              <w:t>Responsiveness of funders to changed / increased client needs </w:t>
            </w:r>
          </w:p>
        </w:tc>
      </w:tr>
      <w:tr w:rsidR="00AB7893" w:rsidRPr="00290763" w14:paraId="4873DF40"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209DD571" w14:textId="77777777" w:rsidR="00AB7893" w:rsidRPr="0049742A" w:rsidRDefault="00AB7893" w:rsidP="006E5E0B">
            <w:pPr>
              <w:jc w:val="right"/>
              <w:rPr>
                <w:b/>
                <w:sz w:val="22"/>
                <w:szCs w:val="22"/>
              </w:rPr>
            </w:pPr>
            <w:r w:rsidRPr="0049742A">
              <w:rPr>
                <w:sz w:val="22"/>
                <w:szCs w:val="22"/>
              </w:rPr>
              <w:t>All</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621215BB" w14:textId="77777777" w:rsidR="00AB7893" w:rsidRPr="0049742A" w:rsidRDefault="00AB7893" w:rsidP="006E5E0B">
            <w:pPr>
              <w:jc w:val="right"/>
              <w:rPr>
                <w:b/>
                <w:sz w:val="22"/>
                <w:szCs w:val="22"/>
              </w:rPr>
            </w:pPr>
            <w:r w:rsidRPr="0049742A">
              <w:rPr>
                <w:sz w:val="22"/>
                <w:szCs w:val="22"/>
              </w:rPr>
              <w:t>17.2% (n=5)</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6AD8A449" w14:textId="77777777" w:rsidR="00AB7893" w:rsidRPr="0049742A" w:rsidRDefault="00AB7893" w:rsidP="006E5E0B">
            <w:pPr>
              <w:jc w:val="right"/>
              <w:rPr>
                <w:b/>
                <w:sz w:val="22"/>
                <w:szCs w:val="22"/>
              </w:rPr>
            </w:pPr>
            <w:r w:rsidRPr="0049742A">
              <w:rPr>
                <w:sz w:val="22"/>
                <w:szCs w:val="22"/>
              </w:rPr>
              <w:t>20.7%  (n=6)</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423804E" w14:textId="77777777" w:rsidR="00AB7893" w:rsidRPr="0049742A" w:rsidRDefault="00AB7893" w:rsidP="006E5E0B">
            <w:pPr>
              <w:jc w:val="right"/>
              <w:rPr>
                <w:b/>
                <w:sz w:val="22"/>
                <w:szCs w:val="22"/>
              </w:rPr>
            </w:pPr>
            <w:r w:rsidRPr="0049742A">
              <w:rPr>
                <w:sz w:val="22"/>
                <w:szCs w:val="22"/>
              </w:rPr>
              <w:t>17.2% (n=5)</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0FDE683" w14:textId="77777777" w:rsidR="00AB7893" w:rsidRPr="0049742A" w:rsidRDefault="00AB7893" w:rsidP="006E5E0B">
            <w:pPr>
              <w:jc w:val="right"/>
              <w:rPr>
                <w:b/>
                <w:sz w:val="22"/>
                <w:szCs w:val="22"/>
              </w:rPr>
            </w:pPr>
            <w:r w:rsidRPr="0049742A">
              <w:rPr>
                <w:sz w:val="22"/>
                <w:szCs w:val="22"/>
              </w:rPr>
              <w:t>6.9% (n=2)</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780EF95" w14:textId="77777777" w:rsidR="00AB7893" w:rsidRPr="0049742A" w:rsidRDefault="00AB7893" w:rsidP="006E5E0B">
            <w:pPr>
              <w:jc w:val="right"/>
              <w:rPr>
                <w:b/>
                <w:sz w:val="22"/>
                <w:szCs w:val="22"/>
              </w:rPr>
            </w:pPr>
            <w:r w:rsidRPr="0049742A">
              <w:rPr>
                <w:sz w:val="22"/>
                <w:szCs w:val="22"/>
              </w:rPr>
              <w:t>3.4% (n=1)</w:t>
            </w:r>
          </w:p>
        </w:tc>
      </w:tr>
      <w:tr w:rsidR="00AB7893" w:rsidRPr="00290763" w14:paraId="5BEC0E9D"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204875F7" w14:textId="77777777" w:rsidR="00AB7893" w:rsidRPr="0049742A" w:rsidRDefault="00AB7893" w:rsidP="006E5E0B">
            <w:pPr>
              <w:jc w:val="right"/>
              <w:rPr>
                <w:b/>
                <w:sz w:val="22"/>
                <w:szCs w:val="22"/>
              </w:rPr>
            </w:pPr>
            <w:r w:rsidRPr="0049742A">
              <w:rPr>
                <w:sz w:val="22"/>
                <w:szCs w:val="22"/>
              </w:rPr>
              <w:t>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6E244CC" w14:textId="77777777" w:rsidR="00AB7893" w:rsidRPr="0049742A" w:rsidRDefault="00AB7893" w:rsidP="006E5E0B">
            <w:pPr>
              <w:jc w:val="right"/>
              <w:rPr>
                <w:b/>
                <w:sz w:val="22"/>
                <w:szCs w:val="22"/>
              </w:rPr>
            </w:pPr>
            <w:r w:rsidRPr="0049742A">
              <w:rPr>
                <w:rFonts w:cs="Calibri"/>
                <w:color w:val="010205"/>
                <w:sz w:val="22"/>
                <w:szCs w:val="22"/>
                <w:lang w:eastAsia="en-IE"/>
              </w:rPr>
              <w:t>7.1% (1)</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1760534" w14:textId="77777777" w:rsidR="00AB7893" w:rsidRPr="0049742A" w:rsidRDefault="00AB7893" w:rsidP="006E5E0B">
            <w:pPr>
              <w:jc w:val="right"/>
              <w:rPr>
                <w:b/>
                <w:sz w:val="22"/>
                <w:szCs w:val="22"/>
              </w:rPr>
            </w:pPr>
            <w:r w:rsidRPr="0049742A">
              <w:rPr>
                <w:sz w:val="22"/>
                <w:szCs w:val="22"/>
              </w:rPr>
              <w:t>21.4% (n=3)</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7B24D1F" w14:textId="77777777" w:rsidR="00AB7893" w:rsidRPr="0049742A" w:rsidRDefault="00AB7893" w:rsidP="006E5E0B">
            <w:pPr>
              <w:jc w:val="right"/>
              <w:rPr>
                <w:b/>
                <w:sz w:val="22"/>
                <w:szCs w:val="22"/>
              </w:rPr>
            </w:pPr>
            <w:r w:rsidRPr="0049742A">
              <w:rPr>
                <w:sz w:val="22"/>
                <w:szCs w:val="22"/>
              </w:rPr>
              <w:t>21.4% (n=3)</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E455EB3" w14:textId="77777777" w:rsidR="00AB7893" w:rsidRPr="0049742A" w:rsidRDefault="00AB7893" w:rsidP="006E5E0B">
            <w:pPr>
              <w:jc w:val="right"/>
              <w:rPr>
                <w:b/>
                <w:sz w:val="22"/>
                <w:szCs w:val="22"/>
              </w:rPr>
            </w:pPr>
            <w:r w:rsidRPr="0049742A">
              <w:rPr>
                <w:rFonts w:cs="Calibri"/>
                <w:color w:val="010205"/>
                <w:sz w:val="22"/>
                <w:szCs w:val="22"/>
                <w:lang w:eastAsia="en-IE"/>
              </w:rPr>
              <w:t>7.1% (</w:t>
            </w:r>
            <w:r w:rsidRPr="0049742A">
              <w:rPr>
                <w:sz w:val="22"/>
                <w:szCs w:val="22"/>
              </w:rPr>
              <w:t>n=</w:t>
            </w:r>
            <w:r w:rsidRPr="0049742A">
              <w:rPr>
                <w:rFonts w:cs="Calibri"/>
                <w:color w:val="010205"/>
                <w:sz w:val="22"/>
                <w:szCs w:val="22"/>
                <w:lang w:eastAsia="en-IE"/>
              </w:rPr>
              <w:t>1)</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64EE676" w14:textId="77777777" w:rsidR="00AB7893" w:rsidRPr="0049742A" w:rsidRDefault="00AB7893" w:rsidP="006E5E0B">
            <w:pPr>
              <w:jc w:val="right"/>
              <w:rPr>
                <w:b/>
                <w:sz w:val="22"/>
                <w:szCs w:val="22"/>
              </w:rPr>
            </w:pPr>
            <w:r w:rsidRPr="0049742A">
              <w:rPr>
                <w:sz w:val="22"/>
                <w:szCs w:val="22"/>
              </w:rPr>
              <w:t>7.1% (n=1)</w:t>
            </w:r>
          </w:p>
        </w:tc>
      </w:tr>
      <w:tr w:rsidR="00AB7893" w:rsidRPr="00290763" w14:paraId="6C32F18E" w14:textId="77777777" w:rsidTr="006E5E0B">
        <w:trPr>
          <w:trHeight w:hRule="exact" w:val="619"/>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09F97D66" w14:textId="77777777" w:rsidR="00AB7893" w:rsidRPr="0049742A" w:rsidRDefault="00AB7893" w:rsidP="006E5E0B">
            <w:pPr>
              <w:jc w:val="right"/>
              <w:rPr>
                <w:b/>
                <w:sz w:val="22"/>
                <w:szCs w:val="22"/>
              </w:rPr>
            </w:pPr>
            <w:r w:rsidRPr="0049742A">
              <w:rPr>
                <w:sz w:val="22"/>
                <w:szCs w:val="22"/>
              </w:rPr>
              <w:t>Non-specialist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34C55CC" w14:textId="77777777" w:rsidR="00AB7893" w:rsidRPr="0049742A" w:rsidRDefault="00AB7893" w:rsidP="006E5E0B">
            <w:pPr>
              <w:jc w:val="right"/>
              <w:rPr>
                <w:b/>
                <w:sz w:val="22"/>
                <w:szCs w:val="22"/>
              </w:rPr>
            </w:pPr>
            <w:r w:rsidRPr="0049742A">
              <w:rPr>
                <w:rFonts w:cs="Calibri"/>
                <w:color w:val="010205"/>
                <w:sz w:val="22"/>
                <w:szCs w:val="22"/>
                <w:lang w:eastAsia="en-IE"/>
              </w:rPr>
              <w:t>33.3% (</w:t>
            </w:r>
            <w:r w:rsidRPr="0049742A">
              <w:rPr>
                <w:sz w:val="22"/>
                <w:szCs w:val="22"/>
              </w:rPr>
              <w:t>n=</w:t>
            </w:r>
            <w:r w:rsidRPr="0049742A">
              <w:rPr>
                <w:rFonts w:cs="Calibri"/>
                <w:color w:val="010205"/>
                <w:sz w:val="22"/>
                <w:szCs w:val="22"/>
                <w:lang w:eastAsia="en-IE"/>
              </w:rPr>
              <w:t>3)</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62843F3C" w14:textId="77777777" w:rsidR="00AB7893" w:rsidRPr="0049742A" w:rsidRDefault="00AB7893" w:rsidP="006E5E0B">
            <w:pPr>
              <w:jc w:val="right"/>
              <w:rPr>
                <w:b/>
                <w:sz w:val="22"/>
                <w:szCs w:val="22"/>
              </w:rPr>
            </w:pPr>
            <w:r w:rsidRPr="0049742A">
              <w:rPr>
                <w:sz w:val="22"/>
                <w:szCs w:val="22"/>
              </w:rPr>
              <w:t>22.2% (n=2)</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67ACF9F" w14:textId="77777777" w:rsidR="00AB7893" w:rsidRPr="0049742A" w:rsidRDefault="00AB7893" w:rsidP="006E5E0B">
            <w:pPr>
              <w:jc w:val="right"/>
              <w:rPr>
                <w:b/>
                <w:sz w:val="22"/>
                <w:szCs w:val="22"/>
              </w:rPr>
            </w:pPr>
            <w:r w:rsidRPr="0049742A">
              <w:rPr>
                <w:rFonts w:cs="Calibri"/>
                <w:color w:val="010205"/>
                <w:sz w:val="22"/>
                <w:szCs w:val="22"/>
                <w:lang w:eastAsia="en-IE"/>
              </w:rPr>
              <w:t>11.1% (</w:t>
            </w:r>
            <w:r w:rsidRPr="0049742A">
              <w:rPr>
                <w:sz w:val="22"/>
                <w:szCs w:val="22"/>
              </w:rPr>
              <w:t>n=</w:t>
            </w:r>
            <w:r w:rsidRPr="0049742A">
              <w:rPr>
                <w:rFonts w:cs="Calibri"/>
                <w:color w:val="010205"/>
                <w:sz w:val="22"/>
                <w:szCs w:val="22"/>
                <w:lang w:eastAsia="en-IE"/>
              </w:rPr>
              <w:t>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07BACAD" w14:textId="77777777" w:rsidR="00AB7893" w:rsidRPr="0049742A" w:rsidRDefault="00AB7893" w:rsidP="006E5E0B">
            <w:pPr>
              <w:jc w:val="right"/>
              <w:rPr>
                <w:b/>
                <w:sz w:val="22"/>
                <w:szCs w:val="22"/>
              </w:rPr>
            </w:pPr>
            <w:r w:rsidRPr="0049742A">
              <w:rPr>
                <w:rFonts w:cs="Calibri"/>
                <w:color w:val="010205"/>
                <w:sz w:val="22"/>
                <w:szCs w:val="22"/>
                <w:lang w:eastAsia="en-IE"/>
              </w:rPr>
              <w:t>11.1% (</w:t>
            </w:r>
            <w:r w:rsidRPr="0049742A">
              <w:rPr>
                <w:sz w:val="22"/>
                <w:szCs w:val="22"/>
              </w:rPr>
              <w:t>n=</w:t>
            </w:r>
            <w:r w:rsidRPr="0049742A">
              <w:rPr>
                <w:rFonts w:cs="Calibri"/>
                <w:color w:val="010205"/>
                <w:sz w:val="22"/>
                <w:szCs w:val="22"/>
                <w:lang w:eastAsia="en-IE"/>
              </w:rPr>
              <w:t>1)</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39C3F3E" w14:textId="77777777" w:rsidR="00AB7893" w:rsidRPr="0049742A" w:rsidRDefault="00AB7893" w:rsidP="006E5E0B">
            <w:pPr>
              <w:jc w:val="right"/>
              <w:rPr>
                <w:b/>
                <w:sz w:val="22"/>
                <w:szCs w:val="22"/>
              </w:rPr>
            </w:pPr>
            <w:r w:rsidRPr="0049742A">
              <w:rPr>
                <w:sz w:val="22"/>
                <w:szCs w:val="22"/>
              </w:rPr>
              <w:t>0%</w:t>
            </w:r>
          </w:p>
        </w:tc>
      </w:tr>
      <w:tr w:rsidR="00AB7893" w:rsidRPr="00290763" w14:paraId="7AADBEC7"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7969D216" w14:textId="77777777" w:rsidR="00AB7893" w:rsidRPr="0049742A" w:rsidRDefault="00AB7893" w:rsidP="006E5E0B">
            <w:pPr>
              <w:jc w:val="right"/>
              <w:rPr>
                <w:b/>
                <w:sz w:val="22"/>
                <w:szCs w:val="22"/>
              </w:rPr>
            </w:pPr>
            <w:r w:rsidRPr="0049742A">
              <w:rPr>
                <w:sz w:val="22"/>
                <w:szCs w:val="22"/>
              </w:rPr>
              <w:t>Other</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6BAD9FC8" w14:textId="77777777" w:rsidR="00AB7893" w:rsidRPr="0049742A" w:rsidRDefault="00AB7893" w:rsidP="006E5E0B">
            <w:pPr>
              <w:jc w:val="right"/>
              <w:rPr>
                <w:sz w:val="22"/>
                <w:szCs w:val="22"/>
              </w:rPr>
            </w:pPr>
            <w:r w:rsidRPr="0049742A">
              <w:rPr>
                <w:sz w:val="22"/>
                <w:szCs w:val="22"/>
              </w:rPr>
              <w:t>16.7% (n=1)</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ED7BD5B" w14:textId="77777777" w:rsidR="00AB7893" w:rsidRPr="0049742A" w:rsidRDefault="00AB7893" w:rsidP="006E5E0B">
            <w:pPr>
              <w:jc w:val="right"/>
              <w:rPr>
                <w:b/>
                <w:sz w:val="22"/>
                <w:szCs w:val="22"/>
              </w:rPr>
            </w:pPr>
            <w:r w:rsidRPr="0049742A">
              <w:rPr>
                <w:sz w:val="22"/>
                <w:szCs w:val="22"/>
              </w:rPr>
              <w:t>16.7% (n=1)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5883615" w14:textId="77777777" w:rsidR="00AB7893" w:rsidRPr="0049742A" w:rsidRDefault="00AB7893" w:rsidP="006E5E0B">
            <w:pPr>
              <w:jc w:val="right"/>
              <w:rPr>
                <w:sz w:val="22"/>
                <w:szCs w:val="22"/>
              </w:rPr>
            </w:pPr>
            <w:r w:rsidRPr="0049742A">
              <w:rPr>
                <w:sz w:val="22"/>
                <w:szCs w:val="22"/>
              </w:rPr>
              <w:t>16.7% (n=1)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58F9E5E"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1BB54B7" w14:textId="77777777" w:rsidR="00AB7893" w:rsidRPr="0049742A" w:rsidRDefault="00AB7893" w:rsidP="006E5E0B">
            <w:pPr>
              <w:jc w:val="right"/>
              <w:rPr>
                <w:b/>
                <w:sz w:val="22"/>
                <w:szCs w:val="22"/>
              </w:rPr>
            </w:pPr>
            <w:r w:rsidRPr="0049742A">
              <w:rPr>
                <w:sz w:val="22"/>
                <w:szCs w:val="22"/>
              </w:rPr>
              <w:t>0%</w:t>
            </w:r>
          </w:p>
        </w:tc>
      </w:tr>
      <w:tr w:rsidR="00AB7893" w:rsidRPr="00290763" w14:paraId="2D793E19" w14:textId="77777777" w:rsidTr="006E5E0B">
        <w:trPr>
          <w:trHeight w:hRule="exact" w:val="397"/>
        </w:trPr>
        <w:tc>
          <w:tcPr>
            <w:tcW w:w="5000" w:type="pct"/>
            <w:gridSpan w:val="6"/>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767CD160" w14:textId="77777777" w:rsidR="00AB7893" w:rsidRPr="0049742A" w:rsidRDefault="00AB7893" w:rsidP="006E5E0B">
            <w:pPr>
              <w:rPr>
                <w:b/>
                <w:sz w:val="22"/>
                <w:szCs w:val="22"/>
              </w:rPr>
            </w:pPr>
            <w:r w:rsidRPr="0049742A">
              <w:rPr>
                <w:b/>
                <w:sz w:val="22"/>
                <w:szCs w:val="22"/>
              </w:rPr>
              <w:t>HIQA regulation </w:t>
            </w:r>
          </w:p>
        </w:tc>
      </w:tr>
      <w:tr w:rsidR="00AB7893" w:rsidRPr="00290763" w14:paraId="5EFC8DA8"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1F50000E" w14:textId="77777777" w:rsidR="00AB7893" w:rsidRPr="0049742A" w:rsidRDefault="00AB7893" w:rsidP="006E5E0B">
            <w:pPr>
              <w:jc w:val="right"/>
              <w:rPr>
                <w:b/>
                <w:sz w:val="22"/>
                <w:szCs w:val="22"/>
              </w:rPr>
            </w:pPr>
            <w:r w:rsidRPr="0049742A">
              <w:rPr>
                <w:sz w:val="22"/>
                <w:szCs w:val="22"/>
              </w:rPr>
              <w:t>All</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B1ECAB0"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752A538"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89922AB" w14:textId="77777777" w:rsidR="00AB7893" w:rsidRPr="0049742A" w:rsidRDefault="00AB7893" w:rsidP="006E5E0B">
            <w:pPr>
              <w:jc w:val="right"/>
              <w:rPr>
                <w:b/>
                <w:sz w:val="22"/>
                <w:szCs w:val="22"/>
              </w:rPr>
            </w:pPr>
            <w:r w:rsidRPr="0049742A">
              <w:rPr>
                <w:sz w:val="22"/>
                <w:szCs w:val="22"/>
              </w:rPr>
              <w:t>3.4% (n=1)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5D3E558"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D12380A" w14:textId="77777777" w:rsidR="00AB7893" w:rsidRPr="0049742A" w:rsidRDefault="00AB7893" w:rsidP="006E5E0B">
            <w:pPr>
              <w:jc w:val="right"/>
              <w:rPr>
                <w:b/>
                <w:sz w:val="22"/>
                <w:szCs w:val="22"/>
              </w:rPr>
            </w:pPr>
            <w:r w:rsidRPr="0049742A">
              <w:rPr>
                <w:sz w:val="22"/>
                <w:szCs w:val="22"/>
              </w:rPr>
              <w:t>0%</w:t>
            </w:r>
          </w:p>
        </w:tc>
      </w:tr>
      <w:tr w:rsidR="00AB7893" w:rsidRPr="00290763" w14:paraId="15AA3217"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19D33E73" w14:textId="77777777" w:rsidR="00AB7893" w:rsidRPr="0049742A" w:rsidRDefault="00AB7893" w:rsidP="006E5E0B">
            <w:pPr>
              <w:jc w:val="right"/>
              <w:rPr>
                <w:b/>
                <w:sz w:val="22"/>
                <w:szCs w:val="22"/>
              </w:rPr>
            </w:pPr>
            <w:r w:rsidRPr="0049742A">
              <w:rPr>
                <w:sz w:val="22"/>
                <w:szCs w:val="22"/>
              </w:rPr>
              <w:t>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80F8224"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66007A0A"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B56BF1B" w14:textId="77777777" w:rsidR="00AB7893" w:rsidRPr="0049742A" w:rsidRDefault="00AB7893" w:rsidP="006E5E0B">
            <w:pPr>
              <w:jc w:val="right"/>
              <w:rPr>
                <w:b/>
                <w:sz w:val="22"/>
                <w:szCs w:val="22"/>
              </w:rPr>
            </w:pPr>
            <w:r w:rsidRPr="0049742A">
              <w:rPr>
                <w:sz w:val="22"/>
                <w:szCs w:val="22"/>
              </w:rPr>
              <w:t>7.1% (n=1)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9EE30C0"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1D0E33C" w14:textId="77777777" w:rsidR="00AB7893" w:rsidRPr="0049742A" w:rsidRDefault="00AB7893" w:rsidP="006E5E0B">
            <w:pPr>
              <w:jc w:val="right"/>
              <w:rPr>
                <w:b/>
                <w:sz w:val="22"/>
                <w:szCs w:val="22"/>
              </w:rPr>
            </w:pPr>
            <w:r w:rsidRPr="0049742A">
              <w:rPr>
                <w:sz w:val="22"/>
                <w:szCs w:val="22"/>
              </w:rPr>
              <w:t>0%</w:t>
            </w:r>
          </w:p>
        </w:tc>
      </w:tr>
      <w:tr w:rsidR="00AB7893" w:rsidRPr="00290763" w14:paraId="65589213" w14:textId="77777777" w:rsidTr="006E5E0B">
        <w:trPr>
          <w:trHeight w:hRule="exact" w:val="536"/>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3D506629" w14:textId="77777777" w:rsidR="00AB7893" w:rsidRPr="0049742A" w:rsidRDefault="00AB7893" w:rsidP="006E5E0B">
            <w:pPr>
              <w:jc w:val="right"/>
              <w:rPr>
                <w:b/>
                <w:sz w:val="22"/>
                <w:szCs w:val="22"/>
              </w:rPr>
            </w:pPr>
            <w:r w:rsidRPr="0049742A">
              <w:rPr>
                <w:sz w:val="22"/>
                <w:szCs w:val="22"/>
              </w:rPr>
              <w:t>Non-specialist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06C0983"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BB5BF87"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66818F2F"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35EE28E"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A262B51" w14:textId="77777777" w:rsidR="00AB7893" w:rsidRPr="0049742A" w:rsidRDefault="00AB7893" w:rsidP="006E5E0B">
            <w:pPr>
              <w:jc w:val="right"/>
              <w:rPr>
                <w:b/>
                <w:sz w:val="22"/>
                <w:szCs w:val="22"/>
              </w:rPr>
            </w:pPr>
            <w:r w:rsidRPr="0049742A">
              <w:rPr>
                <w:sz w:val="22"/>
                <w:szCs w:val="22"/>
              </w:rPr>
              <w:t>0%</w:t>
            </w:r>
          </w:p>
        </w:tc>
      </w:tr>
      <w:tr w:rsidR="00AB7893" w:rsidRPr="00290763" w14:paraId="281A1D72"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11E8BFF7" w14:textId="77777777" w:rsidR="00AB7893" w:rsidRPr="0049742A" w:rsidRDefault="00AB7893" w:rsidP="006E5E0B">
            <w:pPr>
              <w:jc w:val="right"/>
              <w:rPr>
                <w:b/>
                <w:sz w:val="22"/>
                <w:szCs w:val="22"/>
              </w:rPr>
            </w:pPr>
            <w:r w:rsidRPr="0049742A">
              <w:rPr>
                <w:sz w:val="22"/>
                <w:szCs w:val="22"/>
              </w:rPr>
              <w:t>Other</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9193123"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67ECD5A"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998D409"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70B04AF"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CBF75E2" w14:textId="77777777" w:rsidR="00AB7893" w:rsidRPr="0049742A" w:rsidRDefault="00AB7893" w:rsidP="006E5E0B">
            <w:pPr>
              <w:jc w:val="right"/>
              <w:rPr>
                <w:b/>
                <w:sz w:val="22"/>
                <w:szCs w:val="22"/>
              </w:rPr>
            </w:pPr>
            <w:r w:rsidRPr="0049742A">
              <w:rPr>
                <w:sz w:val="22"/>
                <w:szCs w:val="22"/>
              </w:rPr>
              <w:t>0%</w:t>
            </w:r>
          </w:p>
        </w:tc>
      </w:tr>
      <w:tr w:rsidR="00AB7893" w:rsidRPr="00290763" w14:paraId="48526139" w14:textId="77777777" w:rsidTr="006E5E0B">
        <w:trPr>
          <w:trHeight w:hRule="exact" w:val="397"/>
        </w:trPr>
        <w:tc>
          <w:tcPr>
            <w:tcW w:w="5000" w:type="pct"/>
            <w:gridSpan w:val="6"/>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0CE856B0" w14:textId="77777777" w:rsidR="00AB7893" w:rsidRPr="0049742A" w:rsidRDefault="00AB7893" w:rsidP="006E5E0B">
            <w:pPr>
              <w:rPr>
                <w:b/>
                <w:sz w:val="22"/>
                <w:szCs w:val="22"/>
              </w:rPr>
            </w:pPr>
            <w:r w:rsidRPr="0049742A">
              <w:rPr>
                <w:sz w:val="22"/>
                <w:szCs w:val="22"/>
              </w:rPr>
              <w:t> </w:t>
            </w:r>
            <w:r w:rsidRPr="0049742A">
              <w:rPr>
                <w:b/>
                <w:sz w:val="22"/>
                <w:szCs w:val="22"/>
              </w:rPr>
              <w:t>Staff buy-in </w:t>
            </w:r>
          </w:p>
        </w:tc>
      </w:tr>
      <w:tr w:rsidR="00AB7893" w:rsidRPr="00290763" w14:paraId="3CBC17E0"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1B68A5E5" w14:textId="77777777" w:rsidR="00AB7893" w:rsidRPr="0049742A" w:rsidRDefault="00AB7893" w:rsidP="006E5E0B">
            <w:pPr>
              <w:jc w:val="right"/>
              <w:rPr>
                <w:sz w:val="22"/>
                <w:szCs w:val="22"/>
              </w:rPr>
            </w:pPr>
            <w:r w:rsidRPr="0049742A">
              <w:rPr>
                <w:sz w:val="22"/>
                <w:szCs w:val="22"/>
              </w:rPr>
              <w:t>All</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8B10208" w14:textId="77777777" w:rsidR="00AB7893" w:rsidRPr="0049742A" w:rsidRDefault="00AB7893" w:rsidP="006E5E0B">
            <w:pPr>
              <w:jc w:val="right"/>
              <w:rPr>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9A7BD74" w14:textId="77777777" w:rsidR="00AB7893" w:rsidRPr="0049742A" w:rsidRDefault="00AB7893" w:rsidP="006E5E0B">
            <w:pPr>
              <w:jc w:val="right"/>
              <w:rPr>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31BEF19" w14:textId="77777777" w:rsidR="00AB7893" w:rsidRPr="0049742A" w:rsidRDefault="00AB7893" w:rsidP="006E5E0B">
            <w:pPr>
              <w:jc w:val="right"/>
              <w:rPr>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1B05166" w14:textId="77777777" w:rsidR="00AB7893" w:rsidRPr="0049742A" w:rsidRDefault="00AB7893" w:rsidP="006E5E0B">
            <w:pPr>
              <w:jc w:val="right"/>
              <w:rPr>
                <w:sz w:val="22"/>
                <w:szCs w:val="22"/>
              </w:rPr>
            </w:pPr>
            <w:r w:rsidRPr="0049742A">
              <w:rPr>
                <w:sz w:val="22"/>
                <w:szCs w:val="22"/>
              </w:rPr>
              <w:t>10.3% (n=3)</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42F7C30" w14:textId="77777777" w:rsidR="00AB7893" w:rsidRPr="0049742A" w:rsidRDefault="00AB7893" w:rsidP="006E5E0B">
            <w:pPr>
              <w:jc w:val="right"/>
              <w:rPr>
                <w:sz w:val="22"/>
                <w:szCs w:val="22"/>
              </w:rPr>
            </w:pPr>
            <w:r w:rsidRPr="0049742A">
              <w:rPr>
                <w:sz w:val="22"/>
                <w:szCs w:val="22"/>
              </w:rPr>
              <w:t>3.4% (n=1)</w:t>
            </w:r>
          </w:p>
        </w:tc>
      </w:tr>
      <w:tr w:rsidR="00AB7893" w:rsidRPr="00290763" w14:paraId="3B8A669E"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16ECCF6F" w14:textId="77777777" w:rsidR="00AB7893" w:rsidRPr="0049742A" w:rsidRDefault="00AB7893" w:rsidP="006E5E0B">
            <w:pPr>
              <w:jc w:val="right"/>
              <w:rPr>
                <w:sz w:val="22"/>
                <w:szCs w:val="22"/>
              </w:rPr>
            </w:pPr>
            <w:r w:rsidRPr="0049742A">
              <w:rPr>
                <w:sz w:val="22"/>
                <w:szCs w:val="22"/>
              </w:rPr>
              <w:t>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5DE8DC0" w14:textId="77777777" w:rsidR="00AB7893" w:rsidRPr="0049742A" w:rsidRDefault="00AB7893" w:rsidP="006E5E0B">
            <w:pPr>
              <w:jc w:val="right"/>
              <w:rPr>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5F0A99D" w14:textId="77777777" w:rsidR="00AB7893" w:rsidRPr="0049742A" w:rsidRDefault="00AB7893" w:rsidP="006E5E0B">
            <w:pPr>
              <w:jc w:val="right"/>
              <w:rPr>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CA79B9D" w14:textId="77777777" w:rsidR="00AB7893" w:rsidRPr="0049742A" w:rsidRDefault="00AB7893" w:rsidP="006E5E0B">
            <w:pPr>
              <w:jc w:val="right"/>
              <w:rPr>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509BCFC" w14:textId="77777777" w:rsidR="00AB7893" w:rsidRPr="0049742A" w:rsidRDefault="00AB7893" w:rsidP="006E5E0B">
            <w:pPr>
              <w:jc w:val="right"/>
              <w:rPr>
                <w:sz w:val="22"/>
                <w:szCs w:val="22"/>
              </w:rPr>
            </w:pPr>
            <w:r w:rsidRPr="0049742A">
              <w:rPr>
                <w:rFonts w:cs="Calibri"/>
                <w:color w:val="010205"/>
                <w:sz w:val="22"/>
                <w:szCs w:val="22"/>
                <w:lang w:eastAsia="en-IE"/>
              </w:rPr>
              <w:t>14.3% (</w:t>
            </w:r>
            <w:r w:rsidRPr="0049742A">
              <w:rPr>
                <w:sz w:val="22"/>
                <w:szCs w:val="22"/>
              </w:rPr>
              <w:t>n=</w:t>
            </w:r>
            <w:r w:rsidRPr="0049742A">
              <w:rPr>
                <w:rFonts w:cs="Calibri"/>
                <w:color w:val="010205"/>
                <w:sz w:val="22"/>
                <w:szCs w:val="22"/>
                <w:lang w:eastAsia="en-IE"/>
              </w:rPr>
              <w:t>2)</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1A3FF69" w14:textId="77777777" w:rsidR="00AB7893" w:rsidRPr="0049742A" w:rsidRDefault="00AB7893" w:rsidP="006E5E0B">
            <w:pPr>
              <w:jc w:val="right"/>
              <w:rPr>
                <w:sz w:val="22"/>
                <w:szCs w:val="22"/>
              </w:rPr>
            </w:pPr>
            <w:r w:rsidRPr="0049742A">
              <w:rPr>
                <w:rFonts w:cs="Calibri"/>
                <w:sz w:val="22"/>
                <w:szCs w:val="22"/>
                <w:lang w:eastAsia="en-IE"/>
              </w:rPr>
              <w:t>7.1% (</w:t>
            </w:r>
            <w:r w:rsidRPr="0049742A">
              <w:rPr>
                <w:sz w:val="22"/>
                <w:szCs w:val="22"/>
              </w:rPr>
              <w:t>n=</w:t>
            </w:r>
            <w:r w:rsidRPr="0049742A">
              <w:rPr>
                <w:rFonts w:cs="Calibri"/>
                <w:sz w:val="22"/>
                <w:szCs w:val="22"/>
                <w:lang w:eastAsia="en-IE"/>
              </w:rPr>
              <w:t>1)</w:t>
            </w:r>
          </w:p>
        </w:tc>
      </w:tr>
      <w:tr w:rsidR="00AB7893" w:rsidRPr="00290763" w14:paraId="4E26FC66" w14:textId="77777777" w:rsidTr="006E5E0B">
        <w:trPr>
          <w:trHeight w:hRule="exact" w:val="53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478F7E76" w14:textId="77777777" w:rsidR="00AB7893" w:rsidRPr="0049742A" w:rsidRDefault="00AB7893" w:rsidP="006E5E0B">
            <w:pPr>
              <w:jc w:val="right"/>
              <w:rPr>
                <w:sz w:val="22"/>
                <w:szCs w:val="22"/>
              </w:rPr>
            </w:pPr>
            <w:r w:rsidRPr="0049742A">
              <w:rPr>
                <w:sz w:val="22"/>
                <w:szCs w:val="22"/>
              </w:rPr>
              <w:t>Non-specialist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66F33E25" w14:textId="77777777" w:rsidR="00AB7893" w:rsidRPr="0049742A" w:rsidRDefault="00AB7893" w:rsidP="006E5E0B">
            <w:pPr>
              <w:jc w:val="right"/>
              <w:rPr>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CA40402" w14:textId="77777777" w:rsidR="00AB7893" w:rsidRPr="0049742A" w:rsidRDefault="00AB7893" w:rsidP="006E5E0B">
            <w:pPr>
              <w:jc w:val="right"/>
              <w:rPr>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B3A9026" w14:textId="77777777" w:rsidR="00AB7893" w:rsidRPr="0049742A" w:rsidRDefault="00AB7893" w:rsidP="006E5E0B">
            <w:pPr>
              <w:jc w:val="right"/>
              <w:rPr>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0B8F052" w14:textId="77777777" w:rsidR="00AB7893" w:rsidRPr="0049742A" w:rsidRDefault="00AB7893" w:rsidP="006E5E0B">
            <w:pPr>
              <w:jc w:val="right"/>
              <w:rPr>
                <w:sz w:val="22"/>
                <w:szCs w:val="22"/>
              </w:rPr>
            </w:pPr>
            <w:r w:rsidRPr="0049742A">
              <w:rPr>
                <w:sz w:val="22"/>
                <w:szCs w:val="22"/>
              </w:rPr>
              <w:t>11.1% (n=1)</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1E876EC" w14:textId="77777777" w:rsidR="00AB7893" w:rsidRPr="0049742A" w:rsidRDefault="00AB7893" w:rsidP="006E5E0B">
            <w:pPr>
              <w:jc w:val="right"/>
              <w:rPr>
                <w:sz w:val="22"/>
                <w:szCs w:val="22"/>
              </w:rPr>
            </w:pPr>
            <w:r w:rsidRPr="0049742A">
              <w:rPr>
                <w:sz w:val="22"/>
                <w:szCs w:val="22"/>
              </w:rPr>
              <w:t>0%</w:t>
            </w:r>
          </w:p>
        </w:tc>
      </w:tr>
      <w:tr w:rsidR="00AB7893" w:rsidRPr="00290763" w14:paraId="755F7572"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48ADA588" w14:textId="77777777" w:rsidR="00AB7893" w:rsidRPr="0049742A" w:rsidRDefault="00AB7893" w:rsidP="006E5E0B">
            <w:pPr>
              <w:jc w:val="right"/>
              <w:rPr>
                <w:sz w:val="22"/>
                <w:szCs w:val="22"/>
              </w:rPr>
            </w:pPr>
            <w:r w:rsidRPr="0049742A">
              <w:rPr>
                <w:sz w:val="22"/>
                <w:szCs w:val="22"/>
              </w:rPr>
              <w:t>Other</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8B42008" w14:textId="77777777" w:rsidR="00AB7893" w:rsidRPr="0049742A" w:rsidRDefault="00AB7893" w:rsidP="006E5E0B">
            <w:pPr>
              <w:jc w:val="right"/>
              <w:rPr>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13DB3A4" w14:textId="77777777" w:rsidR="00AB7893" w:rsidRPr="0049742A" w:rsidRDefault="00AB7893" w:rsidP="006E5E0B">
            <w:pPr>
              <w:jc w:val="right"/>
              <w:rPr>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7216128" w14:textId="77777777" w:rsidR="00AB7893" w:rsidRPr="0049742A" w:rsidRDefault="00AB7893" w:rsidP="006E5E0B">
            <w:pPr>
              <w:jc w:val="right"/>
              <w:rPr>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6993FC7" w14:textId="77777777" w:rsidR="00AB7893" w:rsidRPr="0049742A" w:rsidRDefault="00AB7893" w:rsidP="006E5E0B">
            <w:pPr>
              <w:jc w:val="right"/>
              <w:rPr>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030A60F" w14:textId="77777777" w:rsidR="00AB7893" w:rsidRPr="0049742A" w:rsidRDefault="00AB7893" w:rsidP="006E5E0B">
            <w:pPr>
              <w:jc w:val="right"/>
              <w:rPr>
                <w:sz w:val="22"/>
                <w:szCs w:val="22"/>
              </w:rPr>
            </w:pPr>
            <w:r w:rsidRPr="0049742A">
              <w:rPr>
                <w:sz w:val="22"/>
                <w:szCs w:val="22"/>
              </w:rPr>
              <w:t>0%</w:t>
            </w:r>
          </w:p>
        </w:tc>
      </w:tr>
      <w:tr w:rsidR="00AB7893" w:rsidRPr="00290763" w14:paraId="59307562" w14:textId="77777777" w:rsidTr="006E5E0B">
        <w:trPr>
          <w:trHeight w:hRule="exact" w:val="397"/>
        </w:trPr>
        <w:tc>
          <w:tcPr>
            <w:tcW w:w="5000" w:type="pct"/>
            <w:gridSpan w:val="6"/>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6A299B1C" w14:textId="77777777" w:rsidR="00AB7893" w:rsidRPr="0049742A" w:rsidRDefault="00AB7893" w:rsidP="006E5E0B">
            <w:pPr>
              <w:rPr>
                <w:b/>
                <w:sz w:val="22"/>
                <w:szCs w:val="22"/>
              </w:rPr>
            </w:pPr>
            <w:r w:rsidRPr="0049742A">
              <w:rPr>
                <w:b/>
                <w:sz w:val="22"/>
                <w:szCs w:val="22"/>
              </w:rPr>
              <w:t>Appropriate physical environment </w:t>
            </w:r>
          </w:p>
        </w:tc>
      </w:tr>
      <w:tr w:rsidR="00AB7893" w:rsidRPr="00290763" w14:paraId="490B5696"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3314263D" w14:textId="77777777" w:rsidR="00AB7893" w:rsidRPr="0049742A" w:rsidRDefault="00AB7893" w:rsidP="006E5E0B">
            <w:pPr>
              <w:jc w:val="right"/>
              <w:rPr>
                <w:b/>
                <w:sz w:val="22"/>
                <w:szCs w:val="22"/>
              </w:rPr>
            </w:pPr>
            <w:r w:rsidRPr="0049742A">
              <w:rPr>
                <w:sz w:val="22"/>
                <w:szCs w:val="22"/>
              </w:rPr>
              <w:t>All</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70BD2BF" w14:textId="77777777" w:rsidR="00AB7893" w:rsidRPr="0049742A" w:rsidRDefault="00AB7893" w:rsidP="006E5E0B">
            <w:pPr>
              <w:jc w:val="right"/>
              <w:rPr>
                <w:b/>
                <w:sz w:val="22"/>
                <w:szCs w:val="22"/>
              </w:rPr>
            </w:pPr>
            <w:r w:rsidRPr="0049742A">
              <w:rPr>
                <w:sz w:val="22"/>
                <w:szCs w:val="22"/>
              </w:rPr>
              <w:t>10.3% (n=3)</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BA0A209" w14:textId="77777777" w:rsidR="00AB7893" w:rsidRPr="0049742A" w:rsidRDefault="00AB7893" w:rsidP="006E5E0B">
            <w:pPr>
              <w:jc w:val="right"/>
              <w:rPr>
                <w:b/>
                <w:sz w:val="22"/>
                <w:szCs w:val="22"/>
              </w:rPr>
            </w:pPr>
            <w:r w:rsidRPr="0049742A">
              <w:rPr>
                <w:sz w:val="22"/>
                <w:szCs w:val="22"/>
              </w:rPr>
              <w:t>10.3% (n=3)</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C74F309" w14:textId="77777777" w:rsidR="00AB7893" w:rsidRPr="0049742A" w:rsidRDefault="00AB7893" w:rsidP="006E5E0B">
            <w:pPr>
              <w:jc w:val="right"/>
              <w:rPr>
                <w:b/>
                <w:sz w:val="22"/>
                <w:szCs w:val="22"/>
              </w:rPr>
            </w:pPr>
            <w:r w:rsidRPr="0049742A">
              <w:rPr>
                <w:sz w:val="22"/>
                <w:szCs w:val="22"/>
              </w:rPr>
              <w:t>6.9% (n=2)</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D9C69DA" w14:textId="77777777" w:rsidR="00AB7893" w:rsidRPr="0049742A" w:rsidRDefault="00AB7893" w:rsidP="006E5E0B">
            <w:pPr>
              <w:jc w:val="right"/>
              <w:rPr>
                <w:b/>
                <w:sz w:val="22"/>
                <w:szCs w:val="22"/>
              </w:rPr>
            </w:pPr>
            <w:r w:rsidRPr="0049742A">
              <w:rPr>
                <w:sz w:val="22"/>
                <w:szCs w:val="22"/>
              </w:rPr>
              <w:t>3.4% (n=1)</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49591E9" w14:textId="77777777" w:rsidR="00AB7893" w:rsidRPr="0049742A" w:rsidRDefault="00AB7893" w:rsidP="006E5E0B">
            <w:pPr>
              <w:jc w:val="right"/>
              <w:rPr>
                <w:b/>
                <w:sz w:val="22"/>
                <w:szCs w:val="22"/>
              </w:rPr>
            </w:pPr>
            <w:r w:rsidRPr="0049742A">
              <w:rPr>
                <w:sz w:val="22"/>
                <w:szCs w:val="22"/>
              </w:rPr>
              <w:t>3.4% (n=1)</w:t>
            </w:r>
          </w:p>
        </w:tc>
      </w:tr>
      <w:tr w:rsidR="00AB7893" w:rsidRPr="00290763" w14:paraId="36EA4156"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53058225" w14:textId="77777777" w:rsidR="00AB7893" w:rsidRPr="0049742A" w:rsidRDefault="00AB7893" w:rsidP="006E5E0B">
            <w:pPr>
              <w:jc w:val="right"/>
              <w:rPr>
                <w:b/>
                <w:sz w:val="22"/>
                <w:szCs w:val="22"/>
              </w:rPr>
            </w:pPr>
            <w:r w:rsidRPr="0049742A">
              <w:rPr>
                <w:sz w:val="22"/>
                <w:szCs w:val="22"/>
              </w:rPr>
              <w:t>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55EB47D"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6D3EDA3A"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F46D377" w14:textId="77777777" w:rsidR="00AB7893" w:rsidRPr="0049742A" w:rsidRDefault="00AB7893" w:rsidP="006E5E0B">
            <w:pPr>
              <w:jc w:val="right"/>
              <w:rPr>
                <w:b/>
                <w:sz w:val="22"/>
                <w:szCs w:val="22"/>
              </w:rPr>
            </w:pPr>
            <w:r w:rsidRPr="0049742A">
              <w:rPr>
                <w:sz w:val="22"/>
                <w:szCs w:val="22"/>
              </w:rPr>
              <w:t>7.1% (n=1)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B2B4163" w14:textId="77777777" w:rsidR="00AB7893" w:rsidRPr="0049742A" w:rsidRDefault="00AB7893" w:rsidP="006E5E0B">
            <w:pPr>
              <w:jc w:val="right"/>
              <w:rPr>
                <w:b/>
                <w:sz w:val="22"/>
                <w:szCs w:val="22"/>
              </w:rPr>
            </w:pPr>
            <w:r w:rsidRPr="0049742A">
              <w:rPr>
                <w:sz w:val="22"/>
                <w:szCs w:val="22"/>
              </w:rPr>
              <w:t>7.1% (n=1)</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57865E8" w14:textId="77777777" w:rsidR="00AB7893" w:rsidRPr="0049742A" w:rsidRDefault="00AB7893" w:rsidP="006E5E0B">
            <w:pPr>
              <w:jc w:val="right"/>
              <w:rPr>
                <w:b/>
                <w:sz w:val="22"/>
                <w:szCs w:val="22"/>
              </w:rPr>
            </w:pPr>
            <w:r w:rsidRPr="0049742A">
              <w:rPr>
                <w:sz w:val="22"/>
                <w:szCs w:val="22"/>
              </w:rPr>
              <w:t>0%</w:t>
            </w:r>
          </w:p>
        </w:tc>
      </w:tr>
      <w:tr w:rsidR="00AB7893" w:rsidRPr="00290763" w14:paraId="3CCEF219" w14:textId="77777777" w:rsidTr="006E5E0B">
        <w:trPr>
          <w:trHeight w:hRule="exact" w:val="536"/>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53D941BB" w14:textId="77777777" w:rsidR="00AB7893" w:rsidRPr="0049742A" w:rsidRDefault="00AB7893" w:rsidP="006E5E0B">
            <w:pPr>
              <w:jc w:val="right"/>
              <w:rPr>
                <w:b/>
                <w:sz w:val="22"/>
                <w:szCs w:val="22"/>
              </w:rPr>
            </w:pPr>
            <w:r w:rsidRPr="0049742A">
              <w:rPr>
                <w:sz w:val="22"/>
                <w:szCs w:val="22"/>
              </w:rPr>
              <w:t>Non-specialist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0BB7355" w14:textId="77777777" w:rsidR="00AB7893" w:rsidRPr="0049742A" w:rsidRDefault="00AB7893" w:rsidP="006E5E0B">
            <w:pPr>
              <w:jc w:val="right"/>
              <w:rPr>
                <w:b/>
                <w:sz w:val="22"/>
                <w:szCs w:val="22"/>
              </w:rPr>
            </w:pPr>
            <w:r w:rsidRPr="0049742A">
              <w:rPr>
                <w:sz w:val="22"/>
                <w:szCs w:val="22"/>
              </w:rPr>
              <w:t>22.2% (n=2)</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24459E6" w14:textId="77777777" w:rsidR="00AB7893" w:rsidRPr="0049742A" w:rsidRDefault="00AB7893" w:rsidP="006E5E0B">
            <w:pPr>
              <w:jc w:val="right"/>
              <w:rPr>
                <w:b/>
                <w:sz w:val="22"/>
                <w:szCs w:val="22"/>
              </w:rPr>
            </w:pPr>
            <w:r w:rsidRPr="0049742A">
              <w:rPr>
                <w:sz w:val="22"/>
                <w:szCs w:val="22"/>
              </w:rPr>
              <w:t>22.2% (n=2)</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339941C"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62F3E1EB"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12ED5DA" w14:textId="77777777" w:rsidR="00AB7893" w:rsidRPr="0049742A" w:rsidRDefault="00AB7893" w:rsidP="006E5E0B">
            <w:pPr>
              <w:jc w:val="right"/>
              <w:rPr>
                <w:b/>
                <w:sz w:val="22"/>
                <w:szCs w:val="22"/>
              </w:rPr>
            </w:pPr>
            <w:r w:rsidRPr="0049742A">
              <w:rPr>
                <w:sz w:val="22"/>
                <w:szCs w:val="22"/>
              </w:rPr>
              <w:t>11.1% (n=1)</w:t>
            </w:r>
          </w:p>
        </w:tc>
      </w:tr>
      <w:tr w:rsidR="00AB7893" w:rsidRPr="00290763" w14:paraId="5D8DE3F7"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6A2A841E" w14:textId="77777777" w:rsidR="00AB7893" w:rsidRPr="0049742A" w:rsidRDefault="00AB7893" w:rsidP="006E5E0B">
            <w:pPr>
              <w:jc w:val="right"/>
              <w:rPr>
                <w:b/>
                <w:sz w:val="22"/>
                <w:szCs w:val="22"/>
              </w:rPr>
            </w:pPr>
            <w:r w:rsidRPr="0049742A">
              <w:rPr>
                <w:sz w:val="22"/>
                <w:szCs w:val="22"/>
              </w:rPr>
              <w:t>Other</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C1B6755" w14:textId="77777777" w:rsidR="00AB7893" w:rsidRPr="0049742A" w:rsidRDefault="00AB7893" w:rsidP="006E5E0B">
            <w:pPr>
              <w:jc w:val="right"/>
              <w:rPr>
                <w:b/>
                <w:sz w:val="22"/>
                <w:szCs w:val="22"/>
              </w:rPr>
            </w:pPr>
            <w:r w:rsidRPr="0049742A">
              <w:rPr>
                <w:sz w:val="22"/>
                <w:szCs w:val="22"/>
              </w:rPr>
              <w:t>16.7% (n=1)</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258326C" w14:textId="77777777" w:rsidR="00AB7893" w:rsidRPr="0049742A" w:rsidRDefault="00AB7893" w:rsidP="006E5E0B">
            <w:pPr>
              <w:jc w:val="right"/>
              <w:rPr>
                <w:b/>
                <w:sz w:val="22"/>
                <w:szCs w:val="22"/>
              </w:rPr>
            </w:pPr>
            <w:r w:rsidRPr="0049742A">
              <w:rPr>
                <w:sz w:val="22"/>
                <w:szCs w:val="22"/>
              </w:rPr>
              <w:t>16.7% (n=1)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C932D87" w14:textId="77777777" w:rsidR="00AB7893" w:rsidRPr="0049742A" w:rsidRDefault="00AB7893" w:rsidP="006E5E0B">
            <w:pPr>
              <w:jc w:val="right"/>
              <w:rPr>
                <w:b/>
                <w:sz w:val="22"/>
                <w:szCs w:val="22"/>
              </w:rPr>
            </w:pPr>
            <w:r w:rsidRPr="0049742A">
              <w:rPr>
                <w:sz w:val="22"/>
                <w:szCs w:val="22"/>
              </w:rPr>
              <w:t>16.7% (n=1)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5467B25"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BEF11E2" w14:textId="77777777" w:rsidR="00AB7893" w:rsidRPr="0049742A" w:rsidRDefault="00AB7893" w:rsidP="006E5E0B">
            <w:pPr>
              <w:jc w:val="right"/>
              <w:rPr>
                <w:b/>
                <w:sz w:val="22"/>
                <w:szCs w:val="22"/>
              </w:rPr>
            </w:pPr>
            <w:r w:rsidRPr="0049742A">
              <w:rPr>
                <w:sz w:val="22"/>
                <w:szCs w:val="22"/>
              </w:rPr>
              <w:t>0%</w:t>
            </w:r>
          </w:p>
        </w:tc>
      </w:tr>
      <w:tr w:rsidR="00AB7893" w:rsidRPr="00290763" w14:paraId="777EDA84" w14:textId="77777777" w:rsidTr="006E5E0B">
        <w:trPr>
          <w:trHeight w:hRule="exact" w:val="397"/>
        </w:trPr>
        <w:tc>
          <w:tcPr>
            <w:tcW w:w="5000" w:type="pct"/>
            <w:gridSpan w:val="6"/>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276F64E8" w14:textId="77777777" w:rsidR="00AB7893" w:rsidRPr="0049742A" w:rsidRDefault="00AB7893" w:rsidP="006E5E0B">
            <w:pPr>
              <w:rPr>
                <w:b/>
                <w:sz w:val="22"/>
                <w:szCs w:val="22"/>
              </w:rPr>
            </w:pPr>
            <w:r w:rsidRPr="0049742A">
              <w:rPr>
                <w:b/>
                <w:sz w:val="22"/>
                <w:szCs w:val="22"/>
              </w:rPr>
              <w:t>Good inter-professional staff working relationships </w:t>
            </w:r>
          </w:p>
        </w:tc>
      </w:tr>
      <w:tr w:rsidR="00AB7893" w:rsidRPr="00290763" w14:paraId="4D46B77C"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5891E9AC" w14:textId="77777777" w:rsidR="00AB7893" w:rsidRPr="0049742A" w:rsidRDefault="00AB7893" w:rsidP="006E5E0B">
            <w:pPr>
              <w:jc w:val="right"/>
              <w:rPr>
                <w:b/>
                <w:sz w:val="22"/>
                <w:szCs w:val="22"/>
              </w:rPr>
            </w:pPr>
            <w:r w:rsidRPr="0049742A">
              <w:rPr>
                <w:sz w:val="22"/>
                <w:szCs w:val="22"/>
              </w:rPr>
              <w:t>All</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0BE3EBA"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D795E34"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41FDBD0"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5409C1F"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6AB217C4" w14:textId="77777777" w:rsidR="00AB7893" w:rsidRPr="0049742A" w:rsidRDefault="00AB7893" w:rsidP="006E5E0B">
            <w:pPr>
              <w:jc w:val="right"/>
              <w:rPr>
                <w:b/>
                <w:sz w:val="22"/>
                <w:szCs w:val="22"/>
              </w:rPr>
            </w:pPr>
            <w:r w:rsidRPr="0049742A">
              <w:rPr>
                <w:sz w:val="22"/>
                <w:szCs w:val="22"/>
              </w:rPr>
              <w:t>6.9% (n=2)</w:t>
            </w:r>
          </w:p>
        </w:tc>
      </w:tr>
      <w:tr w:rsidR="00AB7893" w:rsidRPr="00290763" w14:paraId="70E03815"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2CF9DE80" w14:textId="77777777" w:rsidR="00AB7893" w:rsidRPr="0049742A" w:rsidRDefault="00AB7893" w:rsidP="006E5E0B">
            <w:pPr>
              <w:jc w:val="right"/>
              <w:rPr>
                <w:b/>
                <w:sz w:val="22"/>
                <w:szCs w:val="22"/>
              </w:rPr>
            </w:pPr>
            <w:r w:rsidRPr="0049742A">
              <w:rPr>
                <w:sz w:val="22"/>
                <w:szCs w:val="22"/>
              </w:rPr>
              <w:t>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8D98ECC"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D47E7BA"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6A918636"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6BD6B5EF"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70E7661" w14:textId="77777777" w:rsidR="00AB7893" w:rsidRPr="0049742A" w:rsidRDefault="00AB7893" w:rsidP="006E5E0B">
            <w:pPr>
              <w:jc w:val="right"/>
              <w:rPr>
                <w:b/>
                <w:sz w:val="22"/>
                <w:szCs w:val="22"/>
              </w:rPr>
            </w:pPr>
            <w:r w:rsidRPr="0049742A">
              <w:rPr>
                <w:rStyle w:val="normaltextrun"/>
                <w:rFonts w:eastAsiaTheme="majorEastAsia" w:cs="Calibri"/>
                <w:sz w:val="22"/>
                <w:szCs w:val="22"/>
              </w:rPr>
              <w:t>7.1%</w:t>
            </w:r>
            <w:r w:rsidRPr="0049742A">
              <w:rPr>
                <w:rStyle w:val="eop"/>
                <w:rFonts w:cs="Calibri"/>
                <w:sz w:val="22"/>
                <w:szCs w:val="22"/>
              </w:rPr>
              <w:t> </w:t>
            </w:r>
            <w:r w:rsidRPr="0049742A">
              <w:rPr>
                <w:rStyle w:val="normaltextrun"/>
                <w:rFonts w:eastAsiaTheme="majorEastAsia" w:cs="Calibri"/>
                <w:sz w:val="22"/>
                <w:szCs w:val="22"/>
              </w:rPr>
              <w:t>(</w:t>
            </w:r>
            <w:r w:rsidRPr="0049742A">
              <w:rPr>
                <w:sz w:val="22"/>
                <w:szCs w:val="22"/>
              </w:rPr>
              <w:t>n=</w:t>
            </w:r>
            <w:r w:rsidRPr="0049742A">
              <w:rPr>
                <w:rStyle w:val="normaltextrun"/>
                <w:rFonts w:eastAsiaTheme="majorEastAsia" w:cs="Calibri"/>
                <w:sz w:val="22"/>
                <w:szCs w:val="22"/>
              </w:rPr>
              <w:t>1)</w:t>
            </w:r>
          </w:p>
        </w:tc>
      </w:tr>
      <w:tr w:rsidR="00AB7893" w:rsidRPr="00290763" w14:paraId="6FDE2729" w14:textId="77777777" w:rsidTr="006E5E0B">
        <w:trPr>
          <w:trHeight w:hRule="exact" w:val="536"/>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64D47D74" w14:textId="77777777" w:rsidR="00AB7893" w:rsidRPr="0049742A" w:rsidRDefault="00AB7893" w:rsidP="006E5E0B">
            <w:pPr>
              <w:jc w:val="right"/>
              <w:rPr>
                <w:b/>
                <w:sz w:val="22"/>
                <w:szCs w:val="22"/>
              </w:rPr>
            </w:pPr>
            <w:r w:rsidRPr="0049742A">
              <w:rPr>
                <w:sz w:val="22"/>
                <w:szCs w:val="22"/>
              </w:rPr>
              <w:t>Non-specialist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6DDC6D9"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5224866"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F405B87"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3042826"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1853F68" w14:textId="77777777" w:rsidR="00AB7893" w:rsidRPr="0049742A" w:rsidRDefault="00AB7893" w:rsidP="006E5E0B">
            <w:pPr>
              <w:jc w:val="right"/>
              <w:rPr>
                <w:b/>
                <w:sz w:val="22"/>
                <w:szCs w:val="22"/>
              </w:rPr>
            </w:pPr>
            <w:r w:rsidRPr="0049742A">
              <w:rPr>
                <w:sz w:val="22"/>
                <w:szCs w:val="22"/>
              </w:rPr>
              <w:t>0%</w:t>
            </w:r>
          </w:p>
        </w:tc>
      </w:tr>
      <w:tr w:rsidR="00AB7893" w:rsidRPr="00290763" w14:paraId="672C7DA4"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38913A72" w14:textId="77777777" w:rsidR="00AB7893" w:rsidRPr="0049742A" w:rsidRDefault="00AB7893" w:rsidP="006E5E0B">
            <w:pPr>
              <w:jc w:val="right"/>
              <w:rPr>
                <w:b/>
                <w:sz w:val="22"/>
                <w:szCs w:val="22"/>
              </w:rPr>
            </w:pPr>
            <w:r w:rsidRPr="0049742A">
              <w:rPr>
                <w:sz w:val="22"/>
                <w:szCs w:val="22"/>
              </w:rPr>
              <w:t>Other</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67BF1AB"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BF3072F"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5677CA7"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E25DFB2"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E037F02" w14:textId="77777777" w:rsidR="00AB7893" w:rsidRPr="0049742A" w:rsidRDefault="00AB7893" w:rsidP="006E5E0B">
            <w:pPr>
              <w:jc w:val="right"/>
              <w:rPr>
                <w:sz w:val="22"/>
                <w:szCs w:val="22"/>
              </w:rPr>
            </w:pPr>
            <w:r w:rsidRPr="0049742A">
              <w:rPr>
                <w:sz w:val="22"/>
                <w:szCs w:val="22"/>
              </w:rPr>
              <w:t>16.7% (n=1)</w:t>
            </w:r>
          </w:p>
        </w:tc>
      </w:tr>
      <w:tr w:rsidR="00AB7893" w:rsidRPr="00290763" w14:paraId="2348967A" w14:textId="77777777" w:rsidTr="006E5E0B">
        <w:trPr>
          <w:trHeight w:hRule="exact" w:val="397"/>
        </w:trPr>
        <w:tc>
          <w:tcPr>
            <w:tcW w:w="5000" w:type="pct"/>
            <w:gridSpan w:val="6"/>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30DCD79E" w14:textId="77777777" w:rsidR="00AB7893" w:rsidRPr="0049742A" w:rsidRDefault="00AB7893" w:rsidP="006E5E0B">
            <w:pPr>
              <w:rPr>
                <w:b/>
                <w:sz w:val="22"/>
                <w:szCs w:val="22"/>
              </w:rPr>
            </w:pPr>
            <w:r w:rsidRPr="0049742A">
              <w:rPr>
                <w:b/>
                <w:sz w:val="22"/>
                <w:szCs w:val="22"/>
              </w:rPr>
              <w:t>Support and education for family members </w:t>
            </w:r>
          </w:p>
        </w:tc>
      </w:tr>
      <w:tr w:rsidR="00AB7893" w:rsidRPr="00290763" w14:paraId="03D9427D"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32C18423" w14:textId="77777777" w:rsidR="00AB7893" w:rsidRPr="0049742A" w:rsidRDefault="00AB7893" w:rsidP="006E5E0B">
            <w:pPr>
              <w:jc w:val="right"/>
              <w:rPr>
                <w:b/>
                <w:sz w:val="22"/>
                <w:szCs w:val="22"/>
              </w:rPr>
            </w:pPr>
            <w:r w:rsidRPr="0049742A">
              <w:rPr>
                <w:sz w:val="22"/>
                <w:szCs w:val="22"/>
              </w:rPr>
              <w:t>All</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4F706EF"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3D1DEF5"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5633891" w14:textId="77777777" w:rsidR="00AB7893" w:rsidRPr="0049742A" w:rsidRDefault="00AB7893" w:rsidP="006E5E0B">
            <w:pPr>
              <w:jc w:val="right"/>
              <w:rPr>
                <w:b/>
                <w:sz w:val="22"/>
                <w:szCs w:val="22"/>
              </w:rPr>
            </w:pPr>
            <w:r w:rsidRPr="0049742A">
              <w:rPr>
                <w:sz w:val="22"/>
                <w:szCs w:val="22"/>
              </w:rPr>
              <w:t>3.4% (n=1)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A7DEB2B"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0BB397F5" w14:textId="77777777" w:rsidR="00AB7893" w:rsidRPr="0049742A" w:rsidRDefault="00AB7893" w:rsidP="006E5E0B">
            <w:pPr>
              <w:jc w:val="right"/>
              <w:rPr>
                <w:b/>
                <w:sz w:val="22"/>
                <w:szCs w:val="22"/>
              </w:rPr>
            </w:pPr>
            <w:r w:rsidRPr="0049742A">
              <w:rPr>
                <w:sz w:val="22"/>
                <w:szCs w:val="22"/>
              </w:rPr>
              <w:t>3.4% (n=1)</w:t>
            </w:r>
          </w:p>
        </w:tc>
      </w:tr>
      <w:tr w:rsidR="00AB7893" w:rsidRPr="00290763" w14:paraId="6D40D092"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40D85687" w14:textId="77777777" w:rsidR="00AB7893" w:rsidRPr="0049742A" w:rsidRDefault="00AB7893" w:rsidP="006E5E0B">
            <w:pPr>
              <w:jc w:val="right"/>
              <w:rPr>
                <w:b/>
                <w:sz w:val="22"/>
                <w:szCs w:val="22"/>
              </w:rPr>
            </w:pPr>
            <w:r w:rsidRPr="0049742A">
              <w:rPr>
                <w:sz w:val="22"/>
                <w:szCs w:val="22"/>
              </w:rPr>
              <w:t>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67C5DD2"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C2826E5"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1B68DE5C" w14:textId="77777777" w:rsidR="00AB7893" w:rsidRPr="0049742A" w:rsidRDefault="00AB7893" w:rsidP="006E5E0B">
            <w:pPr>
              <w:jc w:val="right"/>
              <w:rPr>
                <w:b/>
                <w:sz w:val="22"/>
                <w:szCs w:val="22"/>
              </w:rPr>
            </w:pPr>
            <w:r w:rsidRPr="0049742A">
              <w:rPr>
                <w:sz w:val="22"/>
                <w:szCs w:val="22"/>
              </w:rPr>
              <w:t>7.1% (n=1)</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127279F"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627BB13" w14:textId="77777777" w:rsidR="00AB7893" w:rsidRPr="0049742A" w:rsidRDefault="00AB7893" w:rsidP="006E5E0B">
            <w:pPr>
              <w:jc w:val="right"/>
              <w:rPr>
                <w:b/>
                <w:sz w:val="22"/>
                <w:szCs w:val="22"/>
              </w:rPr>
            </w:pPr>
            <w:r w:rsidRPr="0049742A">
              <w:rPr>
                <w:sz w:val="22"/>
                <w:szCs w:val="22"/>
              </w:rPr>
              <w:t>7.1% (n=1)</w:t>
            </w:r>
          </w:p>
        </w:tc>
      </w:tr>
      <w:tr w:rsidR="00AB7893" w:rsidRPr="00290763" w14:paraId="1F6B2452" w14:textId="77777777" w:rsidTr="006E5E0B">
        <w:trPr>
          <w:trHeight w:hRule="exact" w:val="540"/>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6A8E56DD" w14:textId="77777777" w:rsidR="00AB7893" w:rsidRPr="0049742A" w:rsidRDefault="00AB7893" w:rsidP="006E5E0B">
            <w:pPr>
              <w:jc w:val="right"/>
              <w:rPr>
                <w:b/>
                <w:sz w:val="22"/>
                <w:szCs w:val="22"/>
              </w:rPr>
            </w:pPr>
            <w:r w:rsidRPr="0049742A">
              <w:rPr>
                <w:sz w:val="22"/>
                <w:szCs w:val="22"/>
              </w:rPr>
              <w:t>Non-specialist</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71A756CA"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BB982E9"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56E0047A"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6B18A25F"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B19FF7D" w14:textId="77777777" w:rsidR="00AB7893" w:rsidRPr="0049742A" w:rsidRDefault="00AB7893" w:rsidP="006E5E0B">
            <w:pPr>
              <w:jc w:val="right"/>
              <w:rPr>
                <w:b/>
                <w:sz w:val="22"/>
                <w:szCs w:val="22"/>
              </w:rPr>
            </w:pPr>
            <w:r w:rsidRPr="0049742A">
              <w:rPr>
                <w:sz w:val="22"/>
                <w:szCs w:val="22"/>
              </w:rPr>
              <w:t>0%</w:t>
            </w:r>
          </w:p>
        </w:tc>
      </w:tr>
      <w:tr w:rsidR="00AB7893" w:rsidRPr="00290763" w14:paraId="6C6EB47A" w14:textId="77777777" w:rsidTr="006E5E0B">
        <w:trPr>
          <w:trHeight w:hRule="exact" w:val="397"/>
        </w:trPr>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auto"/>
            <w:vAlign w:val="center"/>
          </w:tcPr>
          <w:p w14:paraId="6C5D2352" w14:textId="77777777" w:rsidR="00AB7893" w:rsidRPr="0049742A" w:rsidRDefault="00AB7893" w:rsidP="006E5E0B">
            <w:pPr>
              <w:jc w:val="right"/>
              <w:rPr>
                <w:b/>
                <w:sz w:val="22"/>
                <w:szCs w:val="22"/>
              </w:rPr>
            </w:pPr>
            <w:r w:rsidRPr="0049742A">
              <w:rPr>
                <w:sz w:val="22"/>
                <w:szCs w:val="22"/>
              </w:rPr>
              <w:t>Other</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4C20F035"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6ABFEFE"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2F6212AB"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6072ED08"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8" w:space="0" w:color="auto"/>
              <w:right w:val="single" w:sz="4" w:space="0" w:color="000000" w:themeColor="text1"/>
            </w:tcBorders>
            <w:shd w:val="clear" w:color="auto" w:fill="DEEAF6" w:themeFill="accent1" w:themeFillTint="33"/>
            <w:vAlign w:val="center"/>
          </w:tcPr>
          <w:p w14:paraId="33FC2D9D" w14:textId="77777777" w:rsidR="00AB7893" w:rsidRPr="0049742A" w:rsidRDefault="00AB7893" w:rsidP="006E5E0B">
            <w:pPr>
              <w:jc w:val="right"/>
              <w:rPr>
                <w:b/>
                <w:sz w:val="22"/>
                <w:szCs w:val="22"/>
              </w:rPr>
            </w:pPr>
            <w:r w:rsidRPr="0049742A">
              <w:rPr>
                <w:sz w:val="22"/>
                <w:szCs w:val="22"/>
              </w:rPr>
              <w:t>0%</w:t>
            </w:r>
          </w:p>
        </w:tc>
      </w:tr>
      <w:tr w:rsidR="00AB7893" w:rsidRPr="00290763" w14:paraId="425115C5" w14:textId="77777777" w:rsidTr="006E5E0B">
        <w:trPr>
          <w:trHeight w:hRule="exact" w:val="397"/>
        </w:trPr>
        <w:tc>
          <w:tcPr>
            <w:tcW w:w="5000" w:type="pct"/>
            <w:gridSpan w:val="6"/>
            <w:tcBorders>
              <w:top w:val="single" w:sz="4" w:space="0" w:color="8EA9DB"/>
              <w:left w:val="single" w:sz="4" w:space="0" w:color="000000" w:themeColor="text1"/>
              <w:bottom w:val="single" w:sz="4" w:space="0" w:color="000000" w:themeColor="text1"/>
              <w:right w:val="single" w:sz="4" w:space="0" w:color="000000" w:themeColor="text1"/>
            </w:tcBorders>
            <w:shd w:val="clear" w:color="auto" w:fill="auto"/>
            <w:vAlign w:val="center"/>
          </w:tcPr>
          <w:p w14:paraId="6E0EA15B" w14:textId="77777777" w:rsidR="00AB7893" w:rsidRPr="0049742A" w:rsidRDefault="00AB7893" w:rsidP="006E5E0B">
            <w:pPr>
              <w:rPr>
                <w:b/>
                <w:sz w:val="22"/>
                <w:szCs w:val="22"/>
              </w:rPr>
            </w:pPr>
            <w:r w:rsidRPr="0049742A">
              <w:rPr>
                <w:b/>
                <w:sz w:val="22"/>
                <w:szCs w:val="22"/>
              </w:rPr>
              <w:t>Consultation with the older person </w:t>
            </w:r>
          </w:p>
        </w:tc>
      </w:tr>
      <w:tr w:rsidR="00AB7893" w:rsidRPr="00290763" w14:paraId="1E8EAED3" w14:textId="77777777" w:rsidTr="006E5E0B">
        <w:trPr>
          <w:trHeight w:hRule="exact" w:val="397"/>
        </w:trPr>
        <w:tc>
          <w:tcPr>
            <w:tcW w:w="833"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auto"/>
            <w:vAlign w:val="center"/>
          </w:tcPr>
          <w:p w14:paraId="3BBD0E31" w14:textId="77777777" w:rsidR="00AB7893" w:rsidRPr="0049742A" w:rsidRDefault="00AB7893" w:rsidP="006E5E0B">
            <w:pPr>
              <w:jc w:val="right"/>
              <w:rPr>
                <w:b/>
                <w:sz w:val="22"/>
                <w:szCs w:val="22"/>
              </w:rPr>
            </w:pPr>
            <w:r w:rsidRPr="0049742A">
              <w:rPr>
                <w:sz w:val="22"/>
                <w:szCs w:val="22"/>
              </w:rPr>
              <w:t>All</w:t>
            </w:r>
          </w:p>
        </w:tc>
        <w:tc>
          <w:tcPr>
            <w:tcW w:w="833"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5ED64FA8" w14:textId="77777777" w:rsidR="00AB7893" w:rsidRPr="0049742A" w:rsidRDefault="00AB7893" w:rsidP="006E5E0B">
            <w:pPr>
              <w:jc w:val="right"/>
              <w:rPr>
                <w:b/>
                <w:sz w:val="22"/>
                <w:szCs w:val="22"/>
              </w:rPr>
            </w:pPr>
            <w:r w:rsidRPr="0049742A">
              <w:rPr>
                <w:sz w:val="22"/>
                <w:szCs w:val="22"/>
              </w:rPr>
              <w:t>37.9% (n=11)</w:t>
            </w:r>
          </w:p>
        </w:tc>
        <w:tc>
          <w:tcPr>
            <w:tcW w:w="834"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5EBAC269" w14:textId="77777777" w:rsidR="00AB7893" w:rsidRPr="0049742A" w:rsidRDefault="00AB7893" w:rsidP="006E5E0B">
            <w:pPr>
              <w:jc w:val="right"/>
              <w:rPr>
                <w:b/>
                <w:sz w:val="22"/>
                <w:szCs w:val="22"/>
              </w:rPr>
            </w:pPr>
            <w:r w:rsidRPr="0049742A">
              <w:rPr>
                <w:sz w:val="22"/>
                <w:szCs w:val="22"/>
              </w:rPr>
              <w:t>10.3% (n=3)</w:t>
            </w:r>
          </w:p>
        </w:tc>
        <w:tc>
          <w:tcPr>
            <w:tcW w:w="833"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3DC122F1" w14:textId="77777777" w:rsidR="00AB7893" w:rsidRPr="0049742A" w:rsidRDefault="00AB7893" w:rsidP="006E5E0B">
            <w:pPr>
              <w:jc w:val="right"/>
              <w:rPr>
                <w:b/>
                <w:sz w:val="22"/>
                <w:szCs w:val="22"/>
              </w:rPr>
            </w:pPr>
            <w:r w:rsidRPr="0049742A">
              <w:rPr>
                <w:sz w:val="22"/>
                <w:szCs w:val="22"/>
              </w:rPr>
              <w:t>6.9% (n=2)</w:t>
            </w:r>
          </w:p>
        </w:tc>
        <w:tc>
          <w:tcPr>
            <w:tcW w:w="833"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35664780" w14:textId="77777777" w:rsidR="00AB7893" w:rsidRPr="0049742A" w:rsidRDefault="00AB7893" w:rsidP="006E5E0B">
            <w:pPr>
              <w:jc w:val="right"/>
              <w:rPr>
                <w:b/>
                <w:sz w:val="22"/>
                <w:szCs w:val="22"/>
              </w:rPr>
            </w:pPr>
            <w:r w:rsidRPr="0049742A">
              <w:rPr>
                <w:sz w:val="22"/>
                <w:szCs w:val="22"/>
              </w:rPr>
              <w:t>6.9% (n=2)</w:t>
            </w:r>
          </w:p>
        </w:tc>
        <w:tc>
          <w:tcPr>
            <w:tcW w:w="834"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2FD1CC13" w14:textId="77777777" w:rsidR="00AB7893" w:rsidRPr="0049742A" w:rsidRDefault="00AB7893" w:rsidP="006E5E0B">
            <w:pPr>
              <w:jc w:val="right"/>
              <w:rPr>
                <w:b/>
                <w:sz w:val="22"/>
                <w:szCs w:val="22"/>
              </w:rPr>
            </w:pPr>
            <w:r w:rsidRPr="0049742A">
              <w:rPr>
                <w:sz w:val="22"/>
                <w:szCs w:val="22"/>
              </w:rPr>
              <w:t>13.8%  (n=4)</w:t>
            </w:r>
          </w:p>
        </w:tc>
      </w:tr>
      <w:tr w:rsidR="00AB7893" w:rsidRPr="00290763" w14:paraId="525E03C0" w14:textId="77777777" w:rsidTr="006E5E0B">
        <w:trPr>
          <w:trHeight w:hRule="exact" w:val="397"/>
        </w:trPr>
        <w:tc>
          <w:tcPr>
            <w:tcW w:w="833"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auto"/>
            <w:vAlign w:val="center"/>
          </w:tcPr>
          <w:p w14:paraId="62D597C9" w14:textId="77777777" w:rsidR="00AB7893" w:rsidRPr="0049742A" w:rsidRDefault="00AB7893" w:rsidP="006E5E0B">
            <w:pPr>
              <w:jc w:val="right"/>
              <w:rPr>
                <w:b/>
                <w:sz w:val="22"/>
                <w:szCs w:val="22"/>
              </w:rPr>
            </w:pPr>
            <w:r w:rsidRPr="0049742A">
              <w:rPr>
                <w:sz w:val="22"/>
                <w:szCs w:val="22"/>
              </w:rPr>
              <w:t>Specialist</w:t>
            </w:r>
          </w:p>
        </w:tc>
        <w:tc>
          <w:tcPr>
            <w:tcW w:w="833"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372CF0A2" w14:textId="77777777" w:rsidR="00AB7893" w:rsidRPr="0049742A" w:rsidRDefault="00AB7893" w:rsidP="006E5E0B">
            <w:pPr>
              <w:jc w:val="right"/>
              <w:rPr>
                <w:b/>
                <w:sz w:val="22"/>
                <w:szCs w:val="22"/>
              </w:rPr>
            </w:pPr>
            <w:r w:rsidRPr="0049742A">
              <w:rPr>
                <w:sz w:val="22"/>
                <w:szCs w:val="22"/>
              </w:rPr>
              <w:t>57.1% (n=8)</w:t>
            </w:r>
          </w:p>
        </w:tc>
        <w:tc>
          <w:tcPr>
            <w:tcW w:w="834"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52183EEF" w14:textId="77777777" w:rsidR="00AB7893" w:rsidRPr="0049742A" w:rsidRDefault="00AB7893" w:rsidP="006E5E0B">
            <w:pPr>
              <w:jc w:val="right"/>
              <w:rPr>
                <w:b/>
                <w:sz w:val="22"/>
                <w:szCs w:val="22"/>
              </w:rPr>
            </w:pPr>
            <w:r w:rsidRPr="0049742A">
              <w:rPr>
                <w:rFonts w:cs="Calibri"/>
                <w:color w:val="010205"/>
                <w:sz w:val="22"/>
                <w:szCs w:val="22"/>
                <w:lang w:eastAsia="en-IE"/>
              </w:rPr>
              <w:t>7.1% (</w:t>
            </w:r>
            <w:r w:rsidRPr="0049742A">
              <w:rPr>
                <w:sz w:val="22"/>
                <w:szCs w:val="22"/>
              </w:rPr>
              <w:t>n=</w:t>
            </w:r>
            <w:r w:rsidRPr="0049742A">
              <w:rPr>
                <w:rFonts w:cs="Calibri"/>
                <w:color w:val="010205"/>
                <w:sz w:val="22"/>
                <w:szCs w:val="22"/>
                <w:lang w:eastAsia="en-IE"/>
              </w:rPr>
              <w:t>1)</w:t>
            </w:r>
          </w:p>
        </w:tc>
        <w:tc>
          <w:tcPr>
            <w:tcW w:w="833"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073326A0" w14:textId="77777777" w:rsidR="00AB7893" w:rsidRPr="0049742A" w:rsidRDefault="00AB7893" w:rsidP="006E5E0B">
            <w:pPr>
              <w:jc w:val="right"/>
              <w:rPr>
                <w:b/>
                <w:sz w:val="22"/>
                <w:szCs w:val="22"/>
              </w:rPr>
            </w:pPr>
            <w:r w:rsidRPr="0049742A">
              <w:rPr>
                <w:rFonts w:cs="Calibri"/>
                <w:color w:val="010205"/>
                <w:sz w:val="22"/>
                <w:szCs w:val="22"/>
                <w:lang w:eastAsia="en-IE"/>
              </w:rPr>
              <w:t>7.1% (</w:t>
            </w:r>
            <w:r w:rsidRPr="0049742A">
              <w:rPr>
                <w:sz w:val="22"/>
                <w:szCs w:val="22"/>
              </w:rPr>
              <w:t>n=</w:t>
            </w:r>
            <w:r w:rsidRPr="0049742A">
              <w:rPr>
                <w:rFonts w:cs="Calibri"/>
                <w:color w:val="010205"/>
                <w:sz w:val="22"/>
                <w:szCs w:val="22"/>
                <w:lang w:eastAsia="en-IE"/>
              </w:rPr>
              <w:t>1)</w:t>
            </w:r>
          </w:p>
        </w:tc>
        <w:tc>
          <w:tcPr>
            <w:tcW w:w="833"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505D8CC2"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2FEDD701" w14:textId="77777777" w:rsidR="00AB7893" w:rsidRPr="0049742A" w:rsidRDefault="00AB7893" w:rsidP="006E5E0B">
            <w:pPr>
              <w:jc w:val="right"/>
              <w:rPr>
                <w:b/>
                <w:sz w:val="22"/>
                <w:szCs w:val="22"/>
              </w:rPr>
            </w:pPr>
            <w:r w:rsidRPr="0049742A">
              <w:rPr>
                <w:rFonts w:cs="Calibri"/>
                <w:color w:val="010205"/>
                <w:sz w:val="22"/>
                <w:szCs w:val="22"/>
                <w:lang w:eastAsia="en-IE"/>
              </w:rPr>
              <w:t>7.1% (</w:t>
            </w:r>
            <w:r w:rsidRPr="0049742A">
              <w:rPr>
                <w:sz w:val="22"/>
                <w:szCs w:val="22"/>
              </w:rPr>
              <w:t>n=</w:t>
            </w:r>
            <w:r w:rsidRPr="0049742A">
              <w:rPr>
                <w:rFonts w:cs="Calibri"/>
                <w:color w:val="010205"/>
                <w:sz w:val="22"/>
                <w:szCs w:val="22"/>
                <w:lang w:eastAsia="en-IE"/>
              </w:rPr>
              <w:t>1)</w:t>
            </w:r>
          </w:p>
        </w:tc>
      </w:tr>
      <w:tr w:rsidR="00AB7893" w:rsidRPr="00290763" w14:paraId="512F6EF2" w14:textId="77777777" w:rsidTr="006E5E0B">
        <w:trPr>
          <w:trHeight w:val="576"/>
        </w:trPr>
        <w:tc>
          <w:tcPr>
            <w:tcW w:w="833"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auto"/>
            <w:vAlign w:val="center"/>
          </w:tcPr>
          <w:p w14:paraId="7BC2B40A" w14:textId="77777777" w:rsidR="00AB7893" w:rsidRPr="0049742A" w:rsidRDefault="00AB7893" w:rsidP="006E5E0B">
            <w:pPr>
              <w:jc w:val="right"/>
              <w:rPr>
                <w:b/>
                <w:sz w:val="22"/>
                <w:szCs w:val="22"/>
              </w:rPr>
            </w:pPr>
            <w:r w:rsidRPr="0049742A">
              <w:rPr>
                <w:sz w:val="22"/>
                <w:szCs w:val="22"/>
              </w:rPr>
              <w:t>Non-specialist</w:t>
            </w:r>
          </w:p>
        </w:tc>
        <w:tc>
          <w:tcPr>
            <w:tcW w:w="833"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7781D4EC" w14:textId="77777777" w:rsidR="00AB7893" w:rsidRPr="0049742A" w:rsidRDefault="00AB7893" w:rsidP="006E5E0B">
            <w:pPr>
              <w:jc w:val="right"/>
              <w:rPr>
                <w:b/>
                <w:sz w:val="22"/>
                <w:szCs w:val="22"/>
              </w:rPr>
            </w:pPr>
            <w:r w:rsidRPr="0049742A">
              <w:rPr>
                <w:sz w:val="22"/>
                <w:szCs w:val="22"/>
              </w:rPr>
              <w:t>22.2% (n=2)</w:t>
            </w:r>
          </w:p>
        </w:tc>
        <w:tc>
          <w:tcPr>
            <w:tcW w:w="834"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4AD25426" w14:textId="77777777" w:rsidR="00AB7893" w:rsidRPr="0049742A" w:rsidRDefault="00AB7893" w:rsidP="006E5E0B">
            <w:pPr>
              <w:spacing w:after="0"/>
              <w:jc w:val="right"/>
              <w:textAlignment w:val="baseline"/>
              <w:rPr>
                <w:rFonts w:cs="Segoe UI"/>
                <w:sz w:val="22"/>
                <w:szCs w:val="22"/>
                <w:lang w:eastAsia="en-IE"/>
              </w:rPr>
            </w:pPr>
            <w:r w:rsidRPr="0049742A">
              <w:rPr>
                <w:rFonts w:cs="Calibri"/>
                <w:color w:val="010205"/>
                <w:sz w:val="22"/>
                <w:szCs w:val="22"/>
                <w:lang w:eastAsia="en-IE"/>
              </w:rPr>
              <w:t>11.1% (</w:t>
            </w:r>
            <w:r w:rsidRPr="0049742A">
              <w:rPr>
                <w:sz w:val="22"/>
                <w:szCs w:val="22"/>
              </w:rPr>
              <w:t>n=</w:t>
            </w:r>
            <w:r w:rsidRPr="0049742A">
              <w:rPr>
                <w:rFonts w:cs="Calibri"/>
                <w:color w:val="010205"/>
                <w:sz w:val="22"/>
                <w:szCs w:val="22"/>
                <w:lang w:eastAsia="en-IE"/>
              </w:rPr>
              <w:t>1)</w:t>
            </w:r>
          </w:p>
        </w:tc>
        <w:tc>
          <w:tcPr>
            <w:tcW w:w="833"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01F31DBC" w14:textId="77777777" w:rsidR="00AB7893" w:rsidRPr="0049742A" w:rsidRDefault="00AB7893" w:rsidP="006E5E0B">
            <w:pPr>
              <w:spacing w:after="0"/>
              <w:jc w:val="right"/>
              <w:textAlignment w:val="baseline"/>
              <w:rPr>
                <w:rFonts w:cs="Segoe UI"/>
                <w:sz w:val="22"/>
                <w:szCs w:val="22"/>
                <w:lang w:eastAsia="en-IE"/>
              </w:rPr>
            </w:pPr>
            <w:r w:rsidRPr="0049742A">
              <w:rPr>
                <w:rFonts w:cs="Calibri"/>
                <w:color w:val="010205"/>
                <w:sz w:val="22"/>
                <w:szCs w:val="22"/>
                <w:lang w:eastAsia="en-IE"/>
              </w:rPr>
              <w:t>11.1% (</w:t>
            </w:r>
            <w:r w:rsidRPr="0049742A">
              <w:rPr>
                <w:sz w:val="22"/>
                <w:szCs w:val="22"/>
              </w:rPr>
              <w:t>n=</w:t>
            </w:r>
            <w:r w:rsidRPr="0049742A">
              <w:rPr>
                <w:rFonts w:cs="Calibri"/>
                <w:color w:val="010205"/>
                <w:sz w:val="22"/>
                <w:szCs w:val="22"/>
                <w:lang w:eastAsia="en-IE"/>
              </w:rPr>
              <w:t>1)</w:t>
            </w:r>
          </w:p>
        </w:tc>
        <w:tc>
          <w:tcPr>
            <w:tcW w:w="833"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66C8664C" w14:textId="77777777" w:rsidR="00AB7893" w:rsidRPr="0049742A" w:rsidRDefault="00AB7893" w:rsidP="006E5E0B">
            <w:pPr>
              <w:jc w:val="right"/>
              <w:rPr>
                <w:b/>
                <w:sz w:val="22"/>
                <w:szCs w:val="22"/>
              </w:rPr>
            </w:pPr>
            <w:r w:rsidRPr="0049742A">
              <w:rPr>
                <w:sz w:val="22"/>
                <w:szCs w:val="22"/>
              </w:rPr>
              <w:t>0%</w:t>
            </w:r>
          </w:p>
        </w:tc>
        <w:tc>
          <w:tcPr>
            <w:tcW w:w="834"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310969DF" w14:textId="77777777" w:rsidR="00AB7893" w:rsidRPr="0049742A" w:rsidRDefault="00AB7893" w:rsidP="006E5E0B">
            <w:pPr>
              <w:jc w:val="right"/>
              <w:rPr>
                <w:b/>
                <w:sz w:val="22"/>
                <w:szCs w:val="22"/>
              </w:rPr>
            </w:pPr>
            <w:r w:rsidRPr="0049742A">
              <w:rPr>
                <w:sz w:val="22"/>
                <w:szCs w:val="22"/>
              </w:rPr>
              <w:t>22.2% (n=2)</w:t>
            </w:r>
          </w:p>
        </w:tc>
      </w:tr>
      <w:tr w:rsidR="00AB7893" w:rsidRPr="00290763" w14:paraId="6BA8110F" w14:textId="77777777" w:rsidTr="006E5E0B">
        <w:trPr>
          <w:trHeight w:hRule="exact" w:val="397"/>
        </w:trPr>
        <w:tc>
          <w:tcPr>
            <w:tcW w:w="833"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auto"/>
            <w:vAlign w:val="center"/>
          </w:tcPr>
          <w:p w14:paraId="23C01913" w14:textId="77777777" w:rsidR="00AB7893" w:rsidRPr="0049742A" w:rsidRDefault="00AB7893" w:rsidP="006E5E0B">
            <w:pPr>
              <w:jc w:val="right"/>
              <w:rPr>
                <w:b/>
                <w:sz w:val="22"/>
                <w:szCs w:val="22"/>
              </w:rPr>
            </w:pPr>
            <w:r w:rsidRPr="0049742A">
              <w:rPr>
                <w:sz w:val="22"/>
                <w:szCs w:val="22"/>
              </w:rPr>
              <w:t>Other</w:t>
            </w:r>
          </w:p>
        </w:tc>
        <w:tc>
          <w:tcPr>
            <w:tcW w:w="833"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B8EBB9B" w14:textId="77777777" w:rsidR="00AB7893" w:rsidRPr="0049742A" w:rsidRDefault="00AB7893" w:rsidP="006E5E0B">
            <w:pPr>
              <w:jc w:val="right"/>
              <w:rPr>
                <w:b/>
                <w:sz w:val="22"/>
                <w:szCs w:val="22"/>
              </w:rPr>
            </w:pPr>
            <w:r w:rsidRPr="0049742A">
              <w:rPr>
                <w:sz w:val="22"/>
                <w:szCs w:val="22"/>
              </w:rPr>
              <w:t>16.7% (n=1)</w:t>
            </w:r>
          </w:p>
        </w:tc>
        <w:tc>
          <w:tcPr>
            <w:tcW w:w="834"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4DBFEAA5" w14:textId="77777777" w:rsidR="00AB7893" w:rsidRPr="0049742A" w:rsidRDefault="00AB7893" w:rsidP="006E5E0B">
            <w:pPr>
              <w:jc w:val="right"/>
              <w:rPr>
                <w:b/>
                <w:sz w:val="22"/>
                <w:szCs w:val="22"/>
              </w:rPr>
            </w:pPr>
            <w:r w:rsidRPr="0049742A">
              <w:rPr>
                <w:sz w:val="22"/>
                <w:szCs w:val="22"/>
              </w:rPr>
              <w:t>16.7% (n=1)</w:t>
            </w:r>
          </w:p>
        </w:tc>
        <w:tc>
          <w:tcPr>
            <w:tcW w:w="833"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5699A4C4" w14:textId="77777777" w:rsidR="00AB7893" w:rsidRPr="0049742A" w:rsidRDefault="00AB7893" w:rsidP="006E5E0B">
            <w:pPr>
              <w:jc w:val="right"/>
              <w:rPr>
                <w:b/>
                <w:sz w:val="22"/>
                <w:szCs w:val="22"/>
              </w:rPr>
            </w:pPr>
            <w:r w:rsidRPr="0049742A">
              <w:rPr>
                <w:sz w:val="22"/>
                <w:szCs w:val="22"/>
              </w:rPr>
              <w:t>0%</w:t>
            </w:r>
          </w:p>
        </w:tc>
        <w:tc>
          <w:tcPr>
            <w:tcW w:w="833"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5F52D176" w14:textId="77777777" w:rsidR="00AB7893" w:rsidRPr="0049742A" w:rsidRDefault="00AB7893" w:rsidP="006E5E0B">
            <w:pPr>
              <w:jc w:val="right"/>
              <w:rPr>
                <w:b/>
                <w:sz w:val="22"/>
                <w:szCs w:val="22"/>
              </w:rPr>
            </w:pPr>
            <w:r w:rsidRPr="0049742A">
              <w:rPr>
                <w:rFonts w:cs="Calibri"/>
                <w:sz w:val="22"/>
                <w:szCs w:val="22"/>
                <w:lang w:eastAsia="en-IE"/>
              </w:rPr>
              <w:t>33.3% (</w:t>
            </w:r>
            <w:r w:rsidRPr="0049742A">
              <w:rPr>
                <w:sz w:val="22"/>
                <w:szCs w:val="22"/>
              </w:rPr>
              <w:t>n=</w:t>
            </w:r>
            <w:r w:rsidRPr="0049742A">
              <w:rPr>
                <w:rFonts w:cs="Calibri"/>
                <w:sz w:val="22"/>
                <w:szCs w:val="22"/>
                <w:lang w:eastAsia="en-IE"/>
              </w:rPr>
              <w:t>2)</w:t>
            </w:r>
          </w:p>
        </w:tc>
        <w:tc>
          <w:tcPr>
            <w:tcW w:w="834" w:type="pct"/>
            <w:tcBorders>
              <w:top w:val="single" w:sz="4" w:space="0" w:color="8EA9DB"/>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073A890B" w14:textId="77777777" w:rsidR="00AB7893" w:rsidRPr="0049742A" w:rsidRDefault="00AB7893" w:rsidP="006E5E0B">
            <w:pPr>
              <w:jc w:val="right"/>
              <w:rPr>
                <w:b/>
                <w:sz w:val="22"/>
                <w:szCs w:val="22"/>
              </w:rPr>
            </w:pPr>
            <w:r w:rsidRPr="0049742A">
              <w:rPr>
                <w:sz w:val="22"/>
                <w:szCs w:val="22"/>
              </w:rPr>
              <w:t>16.7% (n=1)</w:t>
            </w:r>
          </w:p>
        </w:tc>
      </w:tr>
    </w:tbl>
    <w:p w14:paraId="795EC485" w14:textId="77777777" w:rsidR="00AB7893" w:rsidRPr="00AB7893" w:rsidRDefault="00AB7893" w:rsidP="002A24F0">
      <w:pPr>
        <w:pStyle w:val="Heading3"/>
        <w:numPr>
          <w:ilvl w:val="0"/>
          <w:numId w:val="24"/>
        </w:numPr>
        <w:spacing w:before="360" w:after="240"/>
        <w:ind w:left="1491" w:hanging="357"/>
        <w:rPr>
          <w:color w:val="auto"/>
        </w:rPr>
      </w:pPr>
      <w:bookmarkStart w:id="308" w:name="_Toc118558328"/>
      <w:r w:rsidRPr="00AB7893">
        <w:rPr>
          <w:color w:val="auto"/>
        </w:rPr>
        <w:t>Most likely outcomes for service users who develop complex aged related needs</w:t>
      </w:r>
      <w:bookmarkEnd w:id="308"/>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5"/>
        <w:gridCol w:w="2206"/>
        <w:gridCol w:w="2190"/>
        <w:gridCol w:w="2221"/>
      </w:tblGrid>
      <w:tr w:rsidR="00AB7893" w:rsidRPr="002522EA" w14:paraId="00AAFE6A" w14:textId="77777777" w:rsidTr="006E5E0B">
        <w:trPr>
          <w:trHeight w:val="378"/>
        </w:trPr>
        <w:tc>
          <w:tcPr>
            <w:tcW w:w="1250" w:type="pct"/>
            <w:tcBorders>
              <w:top w:val="single" w:sz="6" w:space="0" w:color="000000"/>
              <w:left w:val="single" w:sz="6" w:space="0" w:color="000000"/>
              <w:bottom w:val="single" w:sz="6" w:space="0" w:color="000000"/>
              <w:right w:val="single" w:sz="6" w:space="0" w:color="8EA9DB"/>
            </w:tcBorders>
            <w:shd w:val="clear" w:color="auto" w:fill="DEEAF6" w:themeFill="accent1" w:themeFillTint="33"/>
            <w:vAlign w:val="center"/>
          </w:tcPr>
          <w:p w14:paraId="43A6278A" w14:textId="77777777" w:rsidR="00AB7893" w:rsidRPr="002522EA" w:rsidRDefault="00AB7893" w:rsidP="006E5E0B">
            <w:pPr>
              <w:spacing w:after="0"/>
              <w:jc w:val="center"/>
              <w:textAlignment w:val="baseline"/>
              <w:rPr>
                <w:rFonts w:cs="Calibri"/>
                <w:b/>
                <w:bCs/>
                <w:color w:val="010205"/>
                <w:sz w:val="22"/>
                <w:szCs w:val="22"/>
                <w:lang w:eastAsia="en-IE"/>
              </w:rPr>
            </w:pPr>
            <w:r w:rsidRPr="002522EA">
              <w:rPr>
                <w:rFonts w:cs="Calibri"/>
                <w:b/>
                <w:bCs/>
                <w:color w:val="010205"/>
                <w:sz w:val="22"/>
                <w:szCs w:val="22"/>
                <w:lang w:eastAsia="en-IE"/>
              </w:rPr>
              <w:t>Outcome</w:t>
            </w:r>
          </w:p>
        </w:tc>
        <w:tc>
          <w:tcPr>
            <w:tcW w:w="1250" w:type="pct"/>
            <w:tcBorders>
              <w:top w:val="single" w:sz="6" w:space="0" w:color="000000"/>
              <w:left w:val="single" w:sz="6" w:space="0" w:color="000000"/>
              <w:bottom w:val="single" w:sz="6" w:space="0" w:color="000000"/>
              <w:right w:val="single" w:sz="6" w:space="0" w:color="8EA9DB"/>
            </w:tcBorders>
            <w:shd w:val="clear" w:color="auto" w:fill="auto"/>
            <w:vAlign w:val="center"/>
          </w:tcPr>
          <w:p w14:paraId="5847B179" w14:textId="77777777" w:rsidR="00AB7893" w:rsidRPr="002522EA" w:rsidRDefault="00AB7893" w:rsidP="006E5E0B">
            <w:pPr>
              <w:spacing w:after="0"/>
              <w:jc w:val="center"/>
              <w:textAlignment w:val="baseline"/>
              <w:rPr>
                <w:rFonts w:cs="Calibri"/>
                <w:b/>
                <w:bCs/>
                <w:color w:val="000000"/>
                <w:sz w:val="22"/>
                <w:szCs w:val="22"/>
                <w:lang w:eastAsia="en-IE"/>
              </w:rPr>
            </w:pPr>
            <w:r w:rsidRPr="002522EA">
              <w:rPr>
                <w:rFonts w:cs="Calibri"/>
                <w:b/>
                <w:bCs/>
                <w:color w:val="000000"/>
                <w:sz w:val="22"/>
                <w:szCs w:val="22"/>
                <w:lang w:eastAsia="en-IE"/>
              </w:rPr>
              <w:t>Most people</w:t>
            </w:r>
          </w:p>
        </w:tc>
        <w:tc>
          <w:tcPr>
            <w:tcW w:w="1241" w:type="pct"/>
            <w:tcBorders>
              <w:top w:val="single" w:sz="6" w:space="0" w:color="000000"/>
              <w:left w:val="single" w:sz="6" w:space="0" w:color="000000"/>
              <w:bottom w:val="single" w:sz="6" w:space="0" w:color="000000"/>
              <w:right w:val="single" w:sz="6" w:space="0" w:color="8EA9DB"/>
            </w:tcBorders>
            <w:shd w:val="clear" w:color="auto" w:fill="auto"/>
            <w:vAlign w:val="center"/>
          </w:tcPr>
          <w:p w14:paraId="51704EB7" w14:textId="77777777" w:rsidR="00AB7893" w:rsidRPr="002522EA" w:rsidRDefault="00AB7893" w:rsidP="006E5E0B">
            <w:pPr>
              <w:spacing w:after="0"/>
              <w:jc w:val="center"/>
              <w:textAlignment w:val="baseline"/>
              <w:rPr>
                <w:rFonts w:cs="Calibri"/>
                <w:b/>
                <w:bCs/>
                <w:color w:val="000000"/>
                <w:sz w:val="22"/>
                <w:szCs w:val="22"/>
                <w:lang w:eastAsia="en-IE"/>
              </w:rPr>
            </w:pPr>
            <w:r w:rsidRPr="002522EA">
              <w:rPr>
                <w:rFonts w:cs="Calibri"/>
                <w:b/>
                <w:bCs/>
                <w:color w:val="000000"/>
                <w:sz w:val="22"/>
                <w:szCs w:val="22"/>
                <w:lang w:eastAsia="en-IE"/>
              </w:rPr>
              <w:t>Some people</w:t>
            </w:r>
          </w:p>
        </w:tc>
        <w:tc>
          <w:tcPr>
            <w:tcW w:w="1259" w:type="pct"/>
            <w:tcBorders>
              <w:top w:val="single" w:sz="6" w:space="0" w:color="000000"/>
              <w:left w:val="single" w:sz="6" w:space="0" w:color="000000"/>
              <w:bottom w:val="single" w:sz="6" w:space="0" w:color="000000"/>
              <w:right w:val="single" w:sz="6" w:space="0" w:color="8EA9DB"/>
            </w:tcBorders>
            <w:shd w:val="clear" w:color="auto" w:fill="auto"/>
            <w:vAlign w:val="center"/>
          </w:tcPr>
          <w:p w14:paraId="5C88A190" w14:textId="77777777" w:rsidR="00AB7893" w:rsidRPr="002522EA" w:rsidRDefault="00AB7893" w:rsidP="006E5E0B">
            <w:pPr>
              <w:spacing w:after="0"/>
              <w:jc w:val="center"/>
              <w:textAlignment w:val="baseline"/>
              <w:rPr>
                <w:rFonts w:cs="Calibri"/>
                <w:b/>
                <w:bCs/>
                <w:color w:val="000000"/>
                <w:sz w:val="22"/>
                <w:szCs w:val="22"/>
                <w:lang w:eastAsia="en-IE"/>
              </w:rPr>
            </w:pPr>
            <w:r w:rsidRPr="002522EA">
              <w:rPr>
                <w:rFonts w:cs="Calibri"/>
                <w:b/>
                <w:bCs/>
                <w:color w:val="000000"/>
                <w:sz w:val="22"/>
                <w:szCs w:val="22"/>
                <w:lang w:eastAsia="en-IE"/>
              </w:rPr>
              <w:t>A minority of people</w:t>
            </w:r>
          </w:p>
        </w:tc>
      </w:tr>
      <w:tr w:rsidR="00AB7893" w:rsidRPr="002522EA" w14:paraId="756C4765" w14:textId="77777777" w:rsidTr="006E5E0B">
        <w:trPr>
          <w:trHeight w:val="411"/>
        </w:trPr>
        <w:tc>
          <w:tcPr>
            <w:tcW w:w="5000" w:type="pct"/>
            <w:gridSpan w:val="4"/>
            <w:tcBorders>
              <w:top w:val="single" w:sz="6" w:space="0" w:color="000000"/>
              <w:left w:val="single" w:sz="6" w:space="0" w:color="000000"/>
              <w:bottom w:val="single" w:sz="6" w:space="0" w:color="000000"/>
              <w:right w:val="single" w:sz="6" w:space="0" w:color="8EA9DB"/>
            </w:tcBorders>
            <w:shd w:val="clear" w:color="auto" w:fill="auto"/>
            <w:vAlign w:val="center"/>
          </w:tcPr>
          <w:p w14:paraId="3AEEC79B" w14:textId="77777777" w:rsidR="00AB7893" w:rsidRPr="002522EA" w:rsidRDefault="00AB7893" w:rsidP="006E5E0B">
            <w:pPr>
              <w:spacing w:after="0"/>
              <w:textAlignment w:val="baseline"/>
              <w:rPr>
                <w:rFonts w:cs="Calibri"/>
                <w:b/>
                <w:bCs/>
                <w:color w:val="000000"/>
                <w:sz w:val="22"/>
                <w:szCs w:val="22"/>
                <w:lang w:eastAsia="en-IE"/>
              </w:rPr>
            </w:pPr>
            <w:r w:rsidRPr="002522EA">
              <w:rPr>
                <w:rFonts w:cs="Calibri"/>
                <w:b/>
                <w:bCs/>
                <w:color w:val="010205"/>
                <w:sz w:val="22"/>
                <w:szCs w:val="22"/>
                <w:lang w:eastAsia="en-IE"/>
              </w:rPr>
              <w:t>They will age in place</w:t>
            </w:r>
          </w:p>
        </w:tc>
      </w:tr>
      <w:tr w:rsidR="00AB7893" w:rsidRPr="002522EA" w14:paraId="507C71B4" w14:textId="77777777" w:rsidTr="006E5E0B">
        <w:trPr>
          <w:trHeight w:val="75"/>
        </w:trPr>
        <w:tc>
          <w:tcPr>
            <w:tcW w:w="1250" w:type="pct"/>
            <w:tcBorders>
              <w:top w:val="single" w:sz="6" w:space="0" w:color="000000"/>
              <w:left w:val="single" w:sz="6" w:space="0" w:color="000000"/>
              <w:bottom w:val="single" w:sz="6" w:space="0" w:color="000000"/>
              <w:right w:val="single" w:sz="6" w:space="0" w:color="8EA9DB"/>
            </w:tcBorders>
            <w:shd w:val="clear" w:color="auto" w:fill="DEEAF6" w:themeFill="accent1" w:themeFillTint="33"/>
            <w:vAlign w:val="center"/>
            <w:hideMark/>
          </w:tcPr>
          <w:p w14:paraId="55FBDAF0" w14:textId="77777777" w:rsidR="00AB7893" w:rsidRPr="00CD6D63" w:rsidRDefault="00AB7893" w:rsidP="006E5E0B">
            <w:pPr>
              <w:spacing w:after="0"/>
              <w:textAlignment w:val="baseline"/>
              <w:rPr>
                <w:rFonts w:cs="Segoe UI"/>
                <w:sz w:val="22"/>
                <w:szCs w:val="22"/>
                <w:lang w:eastAsia="en-IE"/>
              </w:rPr>
            </w:pPr>
            <w:r w:rsidRPr="00CD6D63">
              <w:rPr>
                <w:rFonts w:cs="Calibri"/>
                <w:color w:val="010205"/>
                <w:sz w:val="22"/>
                <w:szCs w:val="22"/>
                <w:lang w:eastAsia="en-IE"/>
              </w:rPr>
              <w:t>All </w:t>
            </w:r>
          </w:p>
        </w:tc>
        <w:tc>
          <w:tcPr>
            <w:tcW w:w="1250" w:type="pct"/>
            <w:tcBorders>
              <w:top w:val="single" w:sz="6" w:space="0" w:color="000000"/>
              <w:left w:val="single" w:sz="6" w:space="0" w:color="000000"/>
              <w:bottom w:val="single" w:sz="6" w:space="0" w:color="000000"/>
              <w:right w:val="single" w:sz="6" w:space="0" w:color="8EA9DB"/>
            </w:tcBorders>
            <w:shd w:val="clear" w:color="auto" w:fill="auto"/>
            <w:hideMark/>
          </w:tcPr>
          <w:p w14:paraId="3A0AFCBC" w14:textId="77777777" w:rsidR="00AB7893" w:rsidRPr="00CD6D63" w:rsidRDefault="00AB7893" w:rsidP="006E5E0B">
            <w:pPr>
              <w:spacing w:after="0"/>
              <w:jc w:val="right"/>
              <w:textAlignment w:val="baseline"/>
              <w:rPr>
                <w:rFonts w:cs="Segoe UI"/>
                <w:sz w:val="22"/>
                <w:szCs w:val="22"/>
                <w:lang w:eastAsia="en-IE"/>
              </w:rPr>
            </w:pPr>
            <w:r w:rsidRPr="002522EA">
              <w:rPr>
                <w:rFonts w:cs="Calibri"/>
                <w:color w:val="000000"/>
                <w:sz w:val="22"/>
                <w:szCs w:val="22"/>
                <w:lang w:eastAsia="en-IE"/>
              </w:rPr>
              <w:t>43.3% (n=13)</w:t>
            </w:r>
          </w:p>
        </w:tc>
        <w:tc>
          <w:tcPr>
            <w:tcW w:w="1241" w:type="pct"/>
            <w:tcBorders>
              <w:top w:val="single" w:sz="6" w:space="0" w:color="000000"/>
              <w:left w:val="single" w:sz="6" w:space="0" w:color="000000"/>
              <w:bottom w:val="single" w:sz="6" w:space="0" w:color="000000"/>
              <w:right w:val="single" w:sz="6" w:space="0" w:color="8EA9DB"/>
            </w:tcBorders>
            <w:shd w:val="clear" w:color="auto" w:fill="auto"/>
            <w:hideMark/>
          </w:tcPr>
          <w:p w14:paraId="528E8014"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00000"/>
                <w:sz w:val="22"/>
                <w:szCs w:val="22"/>
                <w:lang w:eastAsia="en-IE"/>
              </w:rPr>
              <w:t>40% (n=12) </w:t>
            </w:r>
          </w:p>
        </w:tc>
        <w:tc>
          <w:tcPr>
            <w:tcW w:w="1259" w:type="pct"/>
            <w:tcBorders>
              <w:top w:val="single" w:sz="6" w:space="0" w:color="000000"/>
              <w:left w:val="single" w:sz="6" w:space="0" w:color="000000"/>
              <w:bottom w:val="single" w:sz="6" w:space="0" w:color="000000"/>
              <w:right w:val="single" w:sz="6" w:space="0" w:color="8EA9DB"/>
            </w:tcBorders>
            <w:shd w:val="clear" w:color="auto" w:fill="auto"/>
            <w:hideMark/>
          </w:tcPr>
          <w:p w14:paraId="3FD4598E"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00000"/>
                <w:sz w:val="22"/>
                <w:szCs w:val="22"/>
                <w:lang w:eastAsia="en-IE"/>
              </w:rPr>
              <w:t>16.7% (n=5) </w:t>
            </w:r>
          </w:p>
        </w:tc>
      </w:tr>
      <w:tr w:rsidR="00AB7893" w:rsidRPr="002522EA" w14:paraId="21792CD0" w14:textId="77777777" w:rsidTr="006E5E0B">
        <w:trPr>
          <w:trHeight w:val="75"/>
        </w:trPr>
        <w:tc>
          <w:tcPr>
            <w:tcW w:w="1250" w:type="pct"/>
            <w:tcBorders>
              <w:top w:val="single" w:sz="6" w:space="0" w:color="000000"/>
              <w:left w:val="single" w:sz="6" w:space="0" w:color="000000"/>
              <w:bottom w:val="single" w:sz="6" w:space="0" w:color="000000"/>
              <w:right w:val="single" w:sz="6" w:space="0" w:color="8EA9DB"/>
            </w:tcBorders>
            <w:shd w:val="clear" w:color="auto" w:fill="DEEAF6" w:themeFill="accent1" w:themeFillTint="33"/>
            <w:vAlign w:val="center"/>
            <w:hideMark/>
          </w:tcPr>
          <w:p w14:paraId="5122ED6B" w14:textId="77777777" w:rsidR="00AB7893" w:rsidRPr="00CD6D63" w:rsidRDefault="00AB7893" w:rsidP="006E5E0B">
            <w:pPr>
              <w:spacing w:after="0"/>
              <w:textAlignment w:val="baseline"/>
              <w:rPr>
                <w:rFonts w:cs="Segoe UI"/>
                <w:sz w:val="22"/>
                <w:szCs w:val="22"/>
                <w:lang w:eastAsia="en-IE"/>
              </w:rPr>
            </w:pPr>
            <w:r w:rsidRPr="00CD6D63">
              <w:rPr>
                <w:rFonts w:cs="Calibri"/>
                <w:color w:val="010205"/>
                <w:sz w:val="22"/>
                <w:szCs w:val="22"/>
                <w:lang w:eastAsia="en-IE"/>
              </w:rPr>
              <w:t>Specialist </w:t>
            </w:r>
          </w:p>
        </w:tc>
        <w:tc>
          <w:tcPr>
            <w:tcW w:w="1250" w:type="pct"/>
            <w:tcBorders>
              <w:top w:val="single" w:sz="6" w:space="0" w:color="000000"/>
              <w:left w:val="single" w:sz="6" w:space="0" w:color="000000"/>
              <w:bottom w:val="single" w:sz="6" w:space="0" w:color="000000"/>
              <w:right w:val="single" w:sz="6" w:space="0" w:color="8EA9DB"/>
            </w:tcBorders>
            <w:shd w:val="clear" w:color="auto" w:fill="auto"/>
            <w:hideMark/>
          </w:tcPr>
          <w:p w14:paraId="43FAF258" w14:textId="77777777" w:rsidR="00AB7893" w:rsidRPr="00CD6D63" w:rsidRDefault="00AB7893" w:rsidP="006E5E0B">
            <w:pPr>
              <w:spacing w:after="0"/>
              <w:jc w:val="right"/>
              <w:textAlignment w:val="baseline"/>
              <w:rPr>
                <w:rFonts w:cs="Segoe UI"/>
                <w:sz w:val="22"/>
                <w:szCs w:val="22"/>
                <w:lang w:eastAsia="en-IE"/>
              </w:rPr>
            </w:pPr>
            <w:r w:rsidRPr="00CD6D63">
              <w:rPr>
                <w:rFonts w:cs="Calibri"/>
                <w:sz w:val="22"/>
                <w:szCs w:val="22"/>
                <w:lang w:eastAsia="en-IE"/>
              </w:rPr>
              <w:t>50% (</w:t>
            </w:r>
            <w:r w:rsidRPr="00CD6D63">
              <w:rPr>
                <w:rFonts w:cs="Calibri"/>
                <w:color w:val="000000"/>
                <w:sz w:val="22"/>
                <w:szCs w:val="22"/>
                <w:lang w:eastAsia="en-IE"/>
              </w:rPr>
              <w:t>n=</w:t>
            </w:r>
            <w:r w:rsidRPr="00CD6D63">
              <w:rPr>
                <w:rFonts w:cs="Calibri"/>
                <w:sz w:val="22"/>
                <w:szCs w:val="22"/>
                <w:lang w:eastAsia="en-IE"/>
              </w:rPr>
              <w:t>7) </w:t>
            </w:r>
          </w:p>
        </w:tc>
        <w:tc>
          <w:tcPr>
            <w:tcW w:w="1241" w:type="pct"/>
            <w:tcBorders>
              <w:top w:val="single" w:sz="6" w:space="0" w:color="000000"/>
              <w:left w:val="single" w:sz="6" w:space="0" w:color="000000"/>
              <w:bottom w:val="single" w:sz="6" w:space="0" w:color="000000"/>
              <w:right w:val="single" w:sz="6" w:space="0" w:color="8EA9DB"/>
            </w:tcBorders>
            <w:shd w:val="clear" w:color="auto" w:fill="auto"/>
            <w:hideMark/>
          </w:tcPr>
          <w:p w14:paraId="0D2FF6F5" w14:textId="77777777" w:rsidR="00AB7893" w:rsidRPr="00CD6D63" w:rsidRDefault="00AB7893" w:rsidP="006E5E0B">
            <w:pPr>
              <w:spacing w:after="0"/>
              <w:jc w:val="right"/>
              <w:textAlignment w:val="baseline"/>
              <w:rPr>
                <w:rFonts w:cs="Segoe UI"/>
                <w:sz w:val="22"/>
                <w:szCs w:val="22"/>
                <w:lang w:eastAsia="en-IE"/>
              </w:rPr>
            </w:pPr>
            <w:r w:rsidRPr="00CD6D63">
              <w:rPr>
                <w:rFonts w:cs="Calibri"/>
                <w:sz w:val="22"/>
                <w:szCs w:val="22"/>
                <w:lang w:eastAsia="en-IE"/>
              </w:rPr>
              <w:t>35.7% (</w:t>
            </w:r>
            <w:r w:rsidRPr="00CD6D63">
              <w:rPr>
                <w:rFonts w:cs="Calibri"/>
                <w:color w:val="000000"/>
                <w:sz w:val="22"/>
                <w:szCs w:val="22"/>
                <w:lang w:eastAsia="en-IE"/>
              </w:rPr>
              <w:t>n=</w:t>
            </w:r>
            <w:r w:rsidRPr="00CD6D63">
              <w:rPr>
                <w:rFonts w:cs="Calibri"/>
                <w:sz w:val="22"/>
                <w:szCs w:val="22"/>
                <w:lang w:eastAsia="en-IE"/>
              </w:rPr>
              <w:t>5) </w:t>
            </w:r>
          </w:p>
        </w:tc>
        <w:tc>
          <w:tcPr>
            <w:tcW w:w="1259" w:type="pct"/>
            <w:tcBorders>
              <w:top w:val="single" w:sz="6" w:space="0" w:color="000000"/>
              <w:left w:val="single" w:sz="6" w:space="0" w:color="000000"/>
              <w:bottom w:val="single" w:sz="6" w:space="0" w:color="000000"/>
              <w:right w:val="single" w:sz="6" w:space="0" w:color="8EA9DB"/>
            </w:tcBorders>
            <w:shd w:val="clear" w:color="auto" w:fill="auto"/>
            <w:hideMark/>
          </w:tcPr>
          <w:p w14:paraId="0421D871" w14:textId="77777777" w:rsidR="00AB7893" w:rsidRPr="00CD6D63" w:rsidRDefault="00AB7893" w:rsidP="006E5E0B">
            <w:pPr>
              <w:spacing w:after="0"/>
              <w:jc w:val="right"/>
              <w:textAlignment w:val="baseline"/>
              <w:rPr>
                <w:rFonts w:cs="Segoe UI"/>
                <w:sz w:val="22"/>
                <w:szCs w:val="22"/>
                <w:lang w:eastAsia="en-IE"/>
              </w:rPr>
            </w:pPr>
            <w:r w:rsidRPr="00CD6D63">
              <w:rPr>
                <w:rFonts w:cs="Calibri"/>
                <w:sz w:val="22"/>
                <w:szCs w:val="22"/>
                <w:lang w:eastAsia="en-IE"/>
              </w:rPr>
              <w:t>14.3% (</w:t>
            </w:r>
            <w:r w:rsidRPr="00CD6D63">
              <w:rPr>
                <w:rFonts w:cs="Calibri"/>
                <w:color w:val="000000"/>
                <w:sz w:val="22"/>
                <w:szCs w:val="22"/>
                <w:lang w:eastAsia="en-IE"/>
              </w:rPr>
              <w:t>n=</w:t>
            </w:r>
            <w:r w:rsidRPr="00CD6D63">
              <w:rPr>
                <w:rFonts w:cs="Calibri"/>
                <w:sz w:val="22"/>
                <w:szCs w:val="22"/>
                <w:lang w:eastAsia="en-IE"/>
              </w:rPr>
              <w:t>2) </w:t>
            </w:r>
          </w:p>
        </w:tc>
      </w:tr>
      <w:tr w:rsidR="00AB7893" w:rsidRPr="002522EA" w14:paraId="1A2E6D3C" w14:textId="77777777" w:rsidTr="006E5E0B">
        <w:trPr>
          <w:trHeight w:val="75"/>
        </w:trPr>
        <w:tc>
          <w:tcPr>
            <w:tcW w:w="1250" w:type="pct"/>
            <w:tcBorders>
              <w:top w:val="single" w:sz="6" w:space="0" w:color="000000"/>
              <w:left w:val="single" w:sz="6" w:space="0" w:color="000000"/>
              <w:bottom w:val="single" w:sz="6" w:space="0" w:color="000000"/>
              <w:right w:val="single" w:sz="6" w:space="0" w:color="8EA9DB"/>
            </w:tcBorders>
            <w:shd w:val="clear" w:color="auto" w:fill="DEEAF6" w:themeFill="accent1" w:themeFillTint="33"/>
            <w:vAlign w:val="center"/>
            <w:hideMark/>
          </w:tcPr>
          <w:p w14:paraId="40B8DF29" w14:textId="77777777" w:rsidR="00AB7893" w:rsidRPr="00CD6D63" w:rsidRDefault="00AB7893" w:rsidP="006E5E0B">
            <w:pPr>
              <w:spacing w:after="0"/>
              <w:textAlignment w:val="baseline"/>
              <w:rPr>
                <w:rFonts w:cs="Segoe UI"/>
                <w:sz w:val="22"/>
                <w:szCs w:val="22"/>
                <w:lang w:eastAsia="en-IE"/>
              </w:rPr>
            </w:pPr>
            <w:r w:rsidRPr="00CD6D63">
              <w:rPr>
                <w:rFonts w:cs="Calibri"/>
                <w:color w:val="010205"/>
                <w:sz w:val="22"/>
                <w:szCs w:val="22"/>
                <w:lang w:eastAsia="en-IE"/>
              </w:rPr>
              <w:t>Non-specialist </w:t>
            </w:r>
          </w:p>
        </w:tc>
        <w:tc>
          <w:tcPr>
            <w:tcW w:w="1250" w:type="pct"/>
            <w:tcBorders>
              <w:top w:val="single" w:sz="6" w:space="0" w:color="000000"/>
              <w:left w:val="single" w:sz="6" w:space="0" w:color="000000"/>
              <w:bottom w:val="single" w:sz="6" w:space="0" w:color="000000"/>
              <w:right w:val="single" w:sz="6" w:space="0" w:color="8EA9DB"/>
            </w:tcBorders>
            <w:shd w:val="clear" w:color="auto" w:fill="auto"/>
            <w:hideMark/>
          </w:tcPr>
          <w:p w14:paraId="0F55F932" w14:textId="77777777" w:rsidR="00AB7893" w:rsidRPr="00CD6D63" w:rsidRDefault="00AB7893" w:rsidP="006E5E0B">
            <w:pPr>
              <w:spacing w:after="0"/>
              <w:jc w:val="right"/>
              <w:textAlignment w:val="baseline"/>
              <w:rPr>
                <w:rFonts w:cs="Segoe UI"/>
                <w:sz w:val="22"/>
                <w:szCs w:val="22"/>
                <w:lang w:eastAsia="en-IE"/>
              </w:rPr>
            </w:pPr>
            <w:r w:rsidRPr="00CD6D63">
              <w:rPr>
                <w:rFonts w:cs="Calibri"/>
                <w:sz w:val="22"/>
                <w:szCs w:val="22"/>
                <w:lang w:eastAsia="en-IE"/>
              </w:rPr>
              <w:t>40% (</w:t>
            </w:r>
            <w:r w:rsidRPr="00CD6D63">
              <w:rPr>
                <w:rFonts w:cs="Calibri"/>
                <w:color w:val="000000"/>
                <w:sz w:val="22"/>
                <w:szCs w:val="22"/>
                <w:lang w:eastAsia="en-IE"/>
              </w:rPr>
              <w:t>n=</w:t>
            </w:r>
            <w:r w:rsidRPr="00CD6D63">
              <w:rPr>
                <w:rFonts w:cs="Calibri"/>
                <w:sz w:val="22"/>
                <w:szCs w:val="22"/>
                <w:lang w:eastAsia="en-IE"/>
              </w:rPr>
              <w:t>4) </w:t>
            </w:r>
          </w:p>
        </w:tc>
        <w:tc>
          <w:tcPr>
            <w:tcW w:w="1241" w:type="pct"/>
            <w:tcBorders>
              <w:top w:val="single" w:sz="6" w:space="0" w:color="000000"/>
              <w:left w:val="single" w:sz="6" w:space="0" w:color="000000"/>
              <w:bottom w:val="single" w:sz="6" w:space="0" w:color="000000"/>
              <w:right w:val="single" w:sz="6" w:space="0" w:color="8EA9DB"/>
            </w:tcBorders>
            <w:shd w:val="clear" w:color="auto" w:fill="auto"/>
            <w:hideMark/>
          </w:tcPr>
          <w:p w14:paraId="7045A9B6" w14:textId="77777777" w:rsidR="00AB7893" w:rsidRPr="00CD6D63" w:rsidRDefault="00AB7893" w:rsidP="006E5E0B">
            <w:pPr>
              <w:spacing w:after="0"/>
              <w:jc w:val="right"/>
              <w:textAlignment w:val="baseline"/>
              <w:rPr>
                <w:rFonts w:cs="Segoe UI"/>
                <w:sz w:val="22"/>
                <w:szCs w:val="22"/>
                <w:lang w:eastAsia="en-IE"/>
              </w:rPr>
            </w:pPr>
            <w:r w:rsidRPr="00CD6D63">
              <w:rPr>
                <w:rFonts w:cs="Calibri"/>
                <w:sz w:val="22"/>
                <w:szCs w:val="22"/>
                <w:lang w:eastAsia="en-IE"/>
              </w:rPr>
              <w:t>40% (</w:t>
            </w:r>
            <w:r w:rsidRPr="00CD6D63">
              <w:rPr>
                <w:rFonts w:cs="Calibri"/>
                <w:color w:val="000000"/>
                <w:sz w:val="22"/>
                <w:szCs w:val="22"/>
                <w:lang w:eastAsia="en-IE"/>
              </w:rPr>
              <w:t>n=</w:t>
            </w:r>
            <w:r w:rsidRPr="00CD6D63">
              <w:rPr>
                <w:rFonts w:cs="Calibri"/>
                <w:sz w:val="22"/>
                <w:szCs w:val="22"/>
                <w:lang w:eastAsia="en-IE"/>
              </w:rPr>
              <w:t>4) </w:t>
            </w:r>
          </w:p>
        </w:tc>
        <w:tc>
          <w:tcPr>
            <w:tcW w:w="1259" w:type="pct"/>
            <w:tcBorders>
              <w:top w:val="single" w:sz="6" w:space="0" w:color="000000"/>
              <w:left w:val="single" w:sz="6" w:space="0" w:color="000000"/>
              <w:bottom w:val="single" w:sz="6" w:space="0" w:color="000000"/>
              <w:right w:val="single" w:sz="6" w:space="0" w:color="8EA9DB"/>
            </w:tcBorders>
            <w:shd w:val="clear" w:color="auto" w:fill="auto"/>
            <w:hideMark/>
          </w:tcPr>
          <w:p w14:paraId="3B8C8DF3" w14:textId="77777777" w:rsidR="00AB7893" w:rsidRPr="00CD6D63" w:rsidRDefault="00AB7893" w:rsidP="006E5E0B">
            <w:pPr>
              <w:spacing w:after="0"/>
              <w:jc w:val="right"/>
              <w:textAlignment w:val="baseline"/>
              <w:rPr>
                <w:rFonts w:cs="Segoe UI"/>
                <w:sz w:val="22"/>
                <w:szCs w:val="22"/>
                <w:lang w:eastAsia="en-IE"/>
              </w:rPr>
            </w:pPr>
            <w:r w:rsidRPr="00CD6D63">
              <w:rPr>
                <w:rFonts w:cs="Calibri"/>
                <w:sz w:val="22"/>
                <w:szCs w:val="22"/>
                <w:lang w:eastAsia="en-IE"/>
              </w:rPr>
              <w:t>20% (</w:t>
            </w:r>
            <w:r w:rsidRPr="00CD6D63">
              <w:rPr>
                <w:rFonts w:cs="Calibri"/>
                <w:color w:val="000000"/>
                <w:sz w:val="22"/>
                <w:szCs w:val="22"/>
                <w:lang w:eastAsia="en-IE"/>
              </w:rPr>
              <w:t>n=</w:t>
            </w:r>
            <w:r w:rsidRPr="00CD6D63">
              <w:rPr>
                <w:rFonts w:cs="Calibri"/>
                <w:sz w:val="22"/>
                <w:szCs w:val="22"/>
                <w:lang w:eastAsia="en-IE"/>
              </w:rPr>
              <w:t>2) </w:t>
            </w:r>
          </w:p>
        </w:tc>
      </w:tr>
      <w:tr w:rsidR="00AB7893" w:rsidRPr="002522EA" w14:paraId="756EE20E" w14:textId="77777777" w:rsidTr="006E5E0B">
        <w:trPr>
          <w:trHeight w:val="75"/>
        </w:trPr>
        <w:tc>
          <w:tcPr>
            <w:tcW w:w="1250" w:type="pct"/>
            <w:tcBorders>
              <w:top w:val="single" w:sz="6" w:space="0" w:color="000000"/>
              <w:left w:val="single" w:sz="6" w:space="0" w:color="000000"/>
              <w:bottom w:val="single" w:sz="6" w:space="0" w:color="000000"/>
              <w:right w:val="single" w:sz="6" w:space="0" w:color="8EA9DB"/>
            </w:tcBorders>
            <w:shd w:val="clear" w:color="auto" w:fill="DEEAF6" w:themeFill="accent1" w:themeFillTint="33"/>
            <w:vAlign w:val="center"/>
            <w:hideMark/>
          </w:tcPr>
          <w:p w14:paraId="022154FE" w14:textId="77777777" w:rsidR="00AB7893" w:rsidRPr="00CD6D63" w:rsidRDefault="00AB7893" w:rsidP="006E5E0B">
            <w:pPr>
              <w:spacing w:after="0"/>
              <w:textAlignment w:val="baseline"/>
              <w:rPr>
                <w:rFonts w:cs="Segoe UI"/>
                <w:sz w:val="22"/>
                <w:szCs w:val="22"/>
                <w:lang w:eastAsia="en-IE"/>
              </w:rPr>
            </w:pPr>
            <w:r w:rsidRPr="00CD6D63">
              <w:rPr>
                <w:rFonts w:cs="Calibri"/>
                <w:color w:val="010205"/>
                <w:sz w:val="22"/>
                <w:szCs w:val="22"/>
                <w:lang w:eastAsia="en-IE"/>
              </w:rPr>
              <w:t>Other </w:t>
            </w:r>
          </w:p>
        </w:tc>
        <w:tc>
          <w:tcPr>
            <w:tcW w:w="1250" w:type="pct"/>
            <w:tcBorders>
              <w:top w:val="single" w:sz="6" w:space="0" w:color="000000"/>
              <w:left w:val="single" w:sz="6" w:space="0" w:color="000000"/>
              <w:bottom w:val="single" w:sz="6" w:space="0" w:color="000000"/>
              <w:right w:val="single" w:sz="6" w:space="0" w:color="8EA9DB"/>
            </w:tcBorders>
            <w:shd w:val="clear" w:color="auto" w:fill="auto"/>
            <w:hideMark/>
          </w:tcPr>
          <w:p w14:paraId="53C63E9B" w14:textId="77777777" w:rsidR="00AB7893" w:rsidRPr="00CD6D63" w:rsidRDefault="00AB7893" w:rsidP="006E5E0B">
            <w:pPr>
              <w:spacing w:after="0"/>
              <w:jc w:val="right"/>
              <w:textAlignment w:val="baseline"/>
              <w:rPr>
                <w:rFonts w:cs="Segoe UI"/>
                <w:sz w:val="22"/>
                <w:szCs w:val="22"/>
                <w:lang w:eastAsia="en-IE"/>
              </w:rPr>
            </w:pPr>
            <w:r w:rsidRPr="00CD6D63">
              <w:rPr>
                <w:rFonts w:cs="Calibri"/>
                <w:sz w:val="22"/>
                <w:szCs w:val="22"/>
                <w:lang w:eastAsia="en-IE"/>
              </w:rPr>
              <w:t>33.3% (</w:t>
            </w:r>
            <w:r w:rsidRPr="00CD6D63">
              <w:rPr>
                <w:rFonts w:cs="Calibri"/>
                <w:color w:val="000000"/>
                <w:sz w:val="22"/>
                <w:szCs w:val="22"/>
                <w:lang w:eastAsia="en-IE"/>
              </w:rPr>
              <w:t>n=</w:t>
            </w:r>
            <w:r w:rsidRPr="00CD6D63">
              <w:rPr>
                <w:rFonts w:cs="Calibri"/>
                <w:sz w:val="22"/>
                <w:szCs w:val="22"/>
                <w:lang w:eastAsia="en-IE"/>
              </w:rPr>
              <w:t>2) </w:t>
            </w:r>
          </w:p>
        </w:tc>
        <w:tc>
          <w:tcPr>
            <w:tcW w:w="1241" w:type="pct"/>
            <w:tcBorders>
              <w:top w:val="single" w:sz="6" w:space="0" w:color="000000"/>
              <w:left w:val="single" w:sz="6" w:space="0" w:color="000000"/>
              <w:bottom w:val="single" w:sz="6" w:space="0" w:color="000000"/>
              <w:right w:val="single" w:sz="6" w:space="0" w:color="8EA9DB"/>
            </w:tcBorders>
            <w:shd w:val="clear" w:color="auto" w:fill="auto"/>
            <w:hideMark/>
          </w:tcPr>
          <w:p w14:paraId="775CB233" w14:textId="77777777" w:rsidR="00AB7893" w:rsidRPr="00CD6D63" w:rsidRDefault="00AB7893" w:rsidP="006E5E0B">
            <w:pPr>
              <w:spacing w:after="0"/>
              <w:jc w:val="right"/>
              <w:textAlignment w:val="baseline"/>
              <w:rPr>
                <w:rFonts w:cs="Segoe UI"/>
                <w:sz w:val="22"/>
                <w:szCs w:val="22"/>
                <w:lang w:eastAsia="en-IE"/>
              </w:rPr>
            </w:pPr>
            <w:r w:rsidRPr="00CD6D63">
              <w:rPr>
                <w:rFonts w:cs="Calibri"/>
                <w:sz w:val="22"/>
                <w:szCs w:val="22"/>
                <w:lang w:eastAsia="en-IE"/>
              </w:rPr>
              <w:t>50% (</w:t>
            </w:r>
            <w:r w:rsidRPr="00CD6D63">
              <w:rPr>
                <w:rFonts w:cs="Calibri"/>
                <w:color w:val="000000"/>
                <w:sz w:val="22"/>
                <w:szCs w:val="22"/>
                <w:lang w:eastAsia="en-IE"/>
              </w:rPr>
              <w:t>n=</w:t>
            </w:r>
            <w:r w:rsidRPr="00CD6D63">
              <w:rPr>
                <w:rFonts w:cs="Calibri"/>
                <w:sz w:val="22"/>
                <w:szCs w:val="22"/>
                <w:lang w:eastAsia="en-IE"/>
              </w:rPr>
              <w:t>3) </w:t>
            </w:r>
          </w:p>
        </w:tc>
        <w:tc>
          <w:tcPr>
            <w:tcW w:w="1259" w:type="pct"/>
            <w:tcBorders>
              <w:top w:val="single" w:sz="6" w:space="0" w:color="000000"/>
              <w:left w:val="single" w:sz="6" w:space="0" w:color="000000"/>
              <w:bottom w:val="single" w:sz="6" w:space="0" w:color="000000"/>
              <w:right w:val="single" w:sz="6" w:space="0" w:color="8EA9DB"/>
            </w:tcBorders>
            <w:shd w:val="clear" w:color="auto" w:fill="auto"/>
            <w:hideMark/>
          </w:tcPr>
          <w:p w14:paraId="3A2D42F7" w14:textId="77777777" w:rsidR="00AB7893" w:rsidRPr="00CD6D63" w:rsidRDefault="00AB7893" w:rsidP="006E5E0B">
            <w:pPr>
              <w:spacing w:after="0"/>
              <w:jc w:val="right"/>
              <w:textAlignment w:val="baseline"/>
              <w:rPr>
                <w:rFonts w:cs="Segoe UI"/>
                <w:sz w:val="22"/>
                <w:szCs w:val="22"/>
                <w:lang w:eastAsia="en-IE"/>
              </w:rPr>
            </w:pPr>
            <w:r w:rsidRPr="00CD6D63">
              <w:rPr>
                <w:rFonts w:cs="Calibri"/>
                <w:sz w:val="22"/>
                <w:szCs w:val="22"/>
                <w:lang w:eastAsia="en-IE"/>
              </w:rPr>
              <w:t>16.7% (</w:t>
            </w:r>
            <w:r w:rsidRPr="00CD6D63">
              <w:rPr>
                <w:rFonts w:cs="Calibri"/>
                <w:color w:val="000000"/>
                <w:sz w:val="22"/>
                <w:szCs w:val="22"/>
                <w:lang w:eastAsia="en-IE"/>
              </w:rPr>
              <w:t>n=</w:t>
            </w:r>
            <w:r w:rsidRPr="00CD6D63">
              <w:rPr>
                <w:rFonts w:cs="Calibri"/>
                <w:sz w:val="22"/>
                <w:szCs w:val="22"/>
                <w:lang w:eastAsia="en-IE"/>
              </w:rPr>
              <w:t>1) </w:t>
            </w:r>
          </w:p>
        </w:tc>
      </w:tr>
      <w:tr w:rsidR="00AB7893" w:rsidRPr="002522EA" w14:paraId="5D728159" w14:textId="77777777" w:rsidTr="006E5E0B">
        <w:trPr>
          <w:trHeight w:val="405"/>
        </w:trPr>
        <w:tc>
          <w:tcPr>
            <w:tcW w:w="5000" w:type="pct"/>
            <w:gridSpan w:val="4"/>
            <w:tcBorders>
              <w:top w:val="single" w:sz="6" w:space="0" w:color="000000"/>
              <w:left w:val="single" w:sz="6" w:space="0" w:color="000000"/>
              <w:bottom w:val="single" w:sz="6" w:space="0" w:color="000000"/>
              <w:right w:val="single" w:sz="6" w:space="0" w:color="8EA9DB"/>
            </w:tcBorders>
            <w:shd w:val="clear" w:color="auto" w:fill="auto"/>
            <w:vAlign w:val="center"/>
            <w:hideMark/>
          </w:tcPr>
          <w:p w14:paraId="39E33B9B" w14:textId="77777777" w:rsidR="00AB7893" w:rsidRPr="00CD6D63" w:rsidRDefault="00AB7893" w:rsidP="006E5E0B">
            <w:pPr>
              <w:spacing w:after="0"/>
              <w:textAlignment w:val="baseline"/>
              <w:rPr>
                <w:rFonts w:cs="Segoe UI"/>
                <w:sz w:val="22"/>
                <w:szCs w:val="22"/>
                <w:lang w:eastAsia="en-IE"/>
              </w:rPr>
            </w:pPr>
            <w:r w:rsidRPr="00CD6D63">
              <w:rPr>
                <w:rFonts w:cs="Calibri"/>
                <w:b/>
                <w:bCs/>
                <w:color w:val="010205"/>
                <w:sz w:val="22"/>
                <w:szCs w:val="22"/>
                <w:lang w:eastAsia="en-IE"/>
              </w:rPr>
              <w:t>They will transfer to a specialist ageing facility within the service</w:t>
            </w:r>
            <w:r w:rsidRPr="00CD6D63">
              <w:rPr>
                <w:rFonts w:cs="Calibri"/>
                <w:color w:val="010205"/>
                <w:sz w:val="22"/>
                <w:szCs w:val="22"/>
                <w:lang w:eastAsia="en-IE"/>
              </w:rPr>
              <w:t> </w:t>
            </w:r>
          </w:p>
        </w:tc>
      </w:tr>
      <w:tr w:rsidR="00AB7893" w:rsidRPr="002522EA" w14:paraId="78ED0FD0" w14:textId="77777777" w:rsidTr="006E5E0B">
        <w:trPr>
          <w:trHeight w:val="225"/>
        </w:trPr>
        <w:tc>
          <w:tcPr>
            <w:tcW w:w="1250" w:type="pct"/>
            <w:tcBorders>
              <w:top w:val="single" w:sz="6" w:space="0" w:color="000000"/>
              <w:left w:val="single" w:sz="6" w:space="0" w:color="000000"/>
              <w:bottom w:val="single" w:sz="6" w:space="0" w:color="000000"/>
              <w:right w:val="single" w:sz="6" w:space="0" w:color="8EA9DB"/>
            </w:tcBorders>
            <w:shd w:val="clear" w:color="auto" w:fill="DEEAF6" w:themeFill="accent1" w:themeFillTint="33"/>
            <w:vAlign w:val="center"/>
            <w:hideMark/>
          </w:tcPr>
          <w:p w14:paraId="0CD91D95" w14:textId="77777777" w:rsidR="00AB7893" w:rsidRPr="00CD6D63" w:rsidRDefault="00AB7893" w:rsidP="006E5E0B">
            <w:pPr>
              <w:spacing w:after="0"/>
              <w:textAlignment w:val="baseline"/>
              <w:rPr>
                <w:rFonts w:cs="Segoe UI"/>
                <w:sz w:val="22"/>
                <w:szCs w:val="22"/>
                <w:lang w:eastAsia="en-IE"/>
              </w:rPr>
            </w:pPr>
            <w:r w:rsidRPr="00CD6D63">
              <w:rPr>
                <w:rFonts w:cs="Calibri"/>
                <w:color w:val="010205"/>
                <w:sz w:val="22"/>
                <w:szCs w:val="22"/>
                <w:lang w:eastAsia="en-IE"/>
              </w:rPr>
              <w:t>All </w:t>
            </w:r>
          </w:p>
        </w:tc>
        <w:tc>
          <w:tcPr>
            <w:tcW w:w="1250" w:type="pct"/>
            <w:tcBorders>
              <w:top w:val="single" w:sz="6" w:space="0" w:color="000000"/>
              <w:left w:val="single" w:sz="6" w:space="0" w:color="000000"/>
              <w:bottom w:val="single" w:sz="6" w:space="0" w:color="000000"/>
              <w:right w:val="single" w:sz="6" w:space="0" w:color="8EA9DB"/>
            </w:tcBorders>
            <w:shd w:val="clear" w:color="auto" w:fill="auto"/>
            <w:hideMark/>
          </w:tcPr>
          <w:p w14:paraId="0050A657" w14:textId="77777777" w:rsidR="00AB7893" w:rsidRPr="00CD6D63" w:rsidRDefault="00AB7893" w:rsidP="006E5E0B">
            <w:pPr>
              <w:spacing w:after="0"/>
              <w:jc w:val="right"/>
              <w:textAlignment w:val="baseline"/>
              <w:rPr>
                <w:rFonts w:cs="Segoe UI"/>
                <w:sz w:val="22"/>
                <w:szCs w:val="22"/>
                <w:lang w:eastAsia="en-IE"/>
              </w:rPr>
            </w:pPr>
            <w:r w:rsidRPr="002522EA">
              <w:rPr>
                <w:rFonts w:cs="Segoe UI"/>
                <w:sz w:val="22"/>
                <w:szCs w:val="22"/>
                <w:lang w:eastAsia="en-IE"/>
              </w:rPr>
              <w:t>3.7% (n=1)</w:t>
            </w:r>
          </w:p>
        </w:tc>
        <w:tc>
          <w:tcPr>
            <w:tcW w:w="1241" w:type="pct"/>
            <w:tcBorders>
              <w:top w:val="single" w:sz="6" w:space="0" w:color="000000"/>
              <w:left w:val="single" w:sz="6" w:space="0" w:color="000000"/>
              <w:bottom w:val="single" w:sz="6" w:space="0" w:color="000000"/>
              <w:right w:val="single" w:sz="6" w:space="0" w:color="8EA9DB"/>
            </w:tcBorders>
            <w:shd w:val="clear" w:color="auto" w:fill="auto"/>
            <w:hideMark/>
          </w:tcPr>
          <w:p w14:paraId="3109F67A" w14:textId="77777777" w:rsidR="00AB7893" w:rsidRPr="00CD6D63" w:rsidRDefault="00AB7893" w:rsidP="006E5E0B">
            <w:pPr>
              <w:spacing w:after="0"/>
              <w:jc w:val="right"/>
              <w:textAlignment w:val="baseline"/>
              <w:rPr>
                <w:rFonts w:cs="Segoe UI"/>
                <w:sz w:val="22"/>
                <w:szCs w:val="22"/>
                <w:lang w:eastAsia="en-IE"/>
              </w:rPr>
            </w:pPr>
            <w:r w:rsidRPr="002522EA">
              <w:rPr>
                <w:rFonts w:cs="Segoe UI"/>
                <w:sz w:val="22"/>
                <w:szCs w:val="22"/>
                <w:lang w:eastAsia="en-IE"/>
              </w:rPr>
              <w:t>55.6% (n=15)</w:t>
            </w:r>
          </w:p>
        </w:tc>
        <w:tc>
          <w:tcPr>
            <w:tcW w:w="1259" w:type="pct"/>
            <w:tcBorders>
              <w:top w:val="single" w:sz="6" w:space="0" w:color="000000"/>
              <w:left w:val="single" w:sz="6" w:space="0" w:color="000000"/>
              <w:bottom w:val="single" w:sz="6" w:space="0" w:color="000000"/>
              <w:right w:val="single" w:sz="6" w:space="0" w:color="8EA9DB"/>
            </w:tcBorders>
            <w:shd w:val="clear" w:color="auto" w:fill="auto"/>
            <w:hideMark/>
          </w:tcPr>
          <w:p w14:paraId="664179DD"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00000"/>
                <w:sz w:val="22"/>
                <w:szCs w:val="22"/>
                <w:lang w:eastAsia="en-IE"/>
              </w:rPr>
              <w:t>40.7% (n=11) </w:t>
            </w:r>
          </w:p>
        </w:tc>
      </w:tr>
      <w:tr w:rsidR="00AB7893" w:rsidRPr="002522EA" w14:paraId="0ED64D85" w14:textId="77777777" w:rsidTr="006E5E0B">
        <w:trPr>
          <w:trHeight w:val="90"/>
        </w:trPr>
        <w:tc>
          <w:tcPr>
            <w:tcW w:w="1250" w:type="pct"/>
            <w:tcBorders>
              <w:top w:val="single" w:sz="6" w:space="0" w:color="000000"/>
              <w:left w:val="single" w:sz="6" w:space="0" w:color="000000"/>
              <w:bottom w:val="single" w:sz="6" w:space="0" w:color="000000"/>
              <w:right w:val="single" w:sz="6" w:space="0" w:color="8EA9DB"/>
            </w:tcBorders>
            <w:shd w:val="clear" w:color="auto" w:fill="DEEAF6" w:themeFill="accent1" w:themeFillTint="33"/>
            <w:vAlign w:val="center"/>
            <w:hideMark/>
          </w:tcPr>
          <w:p w14:paraId="39849A6B" w14:textId="77777777" w:rsidR="00AB7893" w:rsidRPr="00CD6D63" w:rsidRDefault="00AB7893" w:rsidP="006E5E0B">
            <w:pPr>
              <w:spacing w:after="0"/>
              <w:textAlignment w:val="baseline"/>
              <w:rPr>
                <w:rFonts w:cs="Segoe UI"/>
                <w:sz w:val="22"/>
                <w:szCs w:val="22"/>
                <w:lang w:eastAsia="en-IE"/>
              </w:rPr>
            </w:pPr>
            <w:r w:rsidRPr="00CD6D63">
              <w:rPr>
                <w:rFonts w:cs="Calibri"/>
                <w:color w:val="010205"/>
                <w:sz w:val="22"/>
                <w:szCs w:val="22"/>
                <w:lang w:eastAsia="en-IE"/>
              </w:rPr>
              <w:t>Specialist </w:t>
            </w:r>
          </w:p>
        </w:tc>
        <w:tc>
          <w:tcPr>
            <w:tcW w:w="1250" w:type="pct"/>
            <w:tcBorders>
              <w:top w:val="single" w:sz="6" w:space="0" w:color="000000"/>
              <w:left w:val="single" w:sz="6" w:space="0" w:color="000000"/>
              <w:bottom w:val="single" w:sz="6" w:space="0" w:color="000000"/>
              <w:right w:val="single" w:sz="6" w:space="0" w:color="8EA9DB"/>
            </w:tcBorders>
            <w:shd w:val="clear" w:color="auto" w:fill="auto"/>
            <w:hideMark/>
          </w:tcPr>
          <w:p w14:paraId="2F24DE74"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00000"/>
                <w:sz w:val="22"/>
                <w:szCs w:val="22"/>
                <w:lang w:eastAsia="en-IE"/>
              </w:rPr>
              <w:t>0% </w:t>
            </w:r>
          </w:p>
        </w:tc>
        <w:tc>
          <w:tcPr>
            <w:tcW w:w="1241" w:type="pct"/>
            <w:tcBorders>
              <w:top w:val="single" w:sz="6" w:space="0" w:color="000000"/>
              <w:left w:val="single" w:sz="6" w:space="0" w:color="000000"/>
              <w:bottom w:val="single" w:sz="6" w:space="0" w:color="000000"/>
              <w:right w:val="single" w:sz="6" w:space="0" w:color="8EA9DB"/>
            </w:tcBorders>
            <w:shd w:val="clear" w:color="auto" w:fill="auto"/>
            <w:hideMark/>
          </w:tcPr>
          <w:p w14:paraId="3476CAFA" w14:textId="77777777" w:rsidR="00AB7893" w:rsidRPr="00CD6D63" w:rsidRDefault="00AB7893" w:rsidP="006E5E0B">
            <w:pPr>
              <w:spacing w:after="0"/>
              <w:jc w:val="right"/>
              <w:textAlignment w:val="baseline"/>
              <w:rPr>
                <w:rFonts w:cs="Segoe UI"/>
                <w:sz w:val="22"/>
                <w:szCs w:val="22"/>
                <w:lang w:eastAsia="en-IE"/>
              </w:rPr>
            </w:pPr>
            <w:r w:rsidRPr="00CD6D63">
              <w:rPr>
                <w:rFonts w:cs="Calibri"/>
                <w:sz w:val="22"/>
                <w:szCs w:val="22"/>
                <w:lang w:eastAsia="en-IE"/>
              </w:rPr>
              <w:t>61.5% (8) </w:t>
            </w:r>
          </w:p>
        </w:tc>
        <w:tc>
          <w:tcPr>
            <w:tcW w:w="1259" w:type="pct"/>
            <w:tcBorders>
              <w:top w:val="single" w:sz="6" w:space="0" w:color="000000"/>
              <w:left w:val="single" w:sz="6" w:space="0" w:color="000000"/>
              <w:bottom w:val="single" w:sz="6" w:space="0" w:color="000000"/>
              <w:right w:val="single" w:sz="6" w:space="0" w:color="8EA9DB"/>
            </w:tcBorders>
            <w:shd w:val="clear" w:color="auto" w:fill="auto"/>
            <w:hideMark/>
          </w:tcPr>
          <w:p w14:paraId="4C55B38F" w14:textId="77777777" w:rsidR="00AB7893" w:rsidRPr="00CD6D63" w:rsidRDefault="00AB7893" w:rsidP="006E5E0B">
            <w:pPr>
              <w:spacing w:after="0"/>
              <w:jc w:val="right"/>
              <w:textAlignment w:val="baseline"/>
              <w:rPr>
                <w:rFonts w:cs="Segoe UI"/>
                <w:sz w:val="22"/>
                <w:szCs w:val="22"/>
                <w:lang w:eastAsia="en-IE"/>
              </w:rPr>
            </w:pPr>
            <w:r w:rsidRPr="00CD6D63">
              <w:rPr>
                <w:rFonts w:cs="Calibri"/>
                <w:sz w:val="22"/>
                <w:szCs w:val="22"/>
                <w:lang w:eastAsia="en-IE"/>
              </w:rPr>
              <w:t>38.5% (5) </w:t>
            </w:r>
          </w:p>
        </w:tc>
      </w:tr>
      <w:tr w:rsidR="00AB7893" w:rsidRPr="002522EA" w14:paraId="0420CC9B" w14:textId="77777777" w:rsidTr="006E5E0B">
        <w:trPr>
          <w:trHeight w:val="90"/>
        </w:trPr>
        <w:tc>
          <w:tcPr>
            <w:tcW w:w="1250" w:type="pct"/>
            <w:tcBorders>
              <w:top w:val="single" w:sz="6" w:space="0" w:color="000000"/>
              <w:left w:val="single" w:sz="6" w:space="0" w:color="000000"/>
              <w:bottom w:val="single" w:sz="6" w:space="0" w:color="000000"/>
              <w:right w:val="single" w:sz="6" w:space="0" w:color="8EA9DB"/>
            </w:tcBorders>
            <w:shd w:val="clear" w:color="auto" w:fill="DEEAF6" w:themeFill="accent1" w:themeFillTint="33"/>
            <w:vAlign w:val="center"/>
            <w:hideMark/>
          </w:tcPr>
          <w:p w14:paraId="4E688F41" w14:textId="77777777" w:rsidR="00AB7893" w:rsidRPr="00CD6D63" w:rsidRDefault="00AB7893" w:rsidP="006E5E0B">
            <w:pPr>
              <w:spacing w:after="0"/>
              <w:textAlignment w:val="baseline"/>
              <w:rPr>
                <w:rFonts w:cs="Segoe UI"/>
                <w:sz w:val="22"/>
                <w:szCs w:val="22"/>
                <w:lang w:eastAsia="en-IE"/>
              </w:rPr>
            </w:pPr>
            <w:r w:rsidRPr="00CD6D63">
              <w:rPr>
                <w:rFonts w:cs="Calibri"/>
                <w:color w:val="010205"/>
                <w:sz w:val="22"/>
                <w:szCs w:val="22"/>
                <w:lang w:eastAsia="en-IE"/>
              </w:rPr>
              <w:t>Non-specialist </w:t>
            </w:r>
          </w:p>
        </w:tc>
        <w:tc>
          <w:tcPr>
            <w:tcW w:w="1250" w:type="pct"/>
            <w:tcBorders>
              <w:top w:val="single" w:sz="6" w:space="0" w:color="000000"/>
              <w:left w:val="single" w:sz="6" w:space="0" w:color="000000"/>
              <w:bottom w:val="single" w:sz="6" w:space="0" w:color="000000"/>
              <w:right w:val="single" w:sz="6" w:space="0" w:color="8EA9DB"/>
            </w:tcBorders>
            <w:shd w:val="clear" w:color="auto" w:fill="auto"/>
            <w:hideMark/>
          </w:tcPr>
          <w:p w14:paraId="1C4C8356"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00000"/>
                <w:sz w:val="22"/>
                <w:szCs w:val="22"/>
                <w:lang w:eastAsia="en-IE"/>
              </w:rPr>
              <w:t>0% </w:t>
            </w:r>
          </w:p>
        </w:tc>
        <w:tc>
          <w:tcPr>
            <w:tcW w:w="1241" w:type="pct"/>
            <w:tcBorders>
              <w:top w:val="single" w:sz="6" w:space="0" w:color="000000"/>
              <w:left w:val="single" w:sz="6" w:space="0" w:color="000000"/>
              <w:bottom w:val="single" w:sz="6" w:space="0" w:color="000000"/>
              <w:right w:val="single" w:sz="6" w:space="0" w:color="8EA9DB"/>
            </w:tcBorders>
            <w:shd w:val="clear" w:color="auto" w:fill="auto"/>
            <w:hideMark/>
          </w:tcPr>
          <w:p w14:paraId="3E574219" w14:textId="77777777" w:rsidR="00AB7893" w:rsidRPr="00CD6D63" w:rsidRDefault="00AB7893" w:rsidP="006E5E0B">
            <w:pPr>
              <w:spacing w:after="0"/>
              <w:jc w:val="right"/>
              <w:textAlignment w:val="baseline"/>
              <w:rPr>
                <w:rFonts w:cs="Segoe UI"/>
                <w:sz w:val="22"/>
                <w:szCs w:val="22"/>
                <w:lang w:eastAsia="en-IE"/>
              </w:rPr>
            </w:pPr>
            <w:r w:rsidRPr="00CD6D63">
              <w:rPr>
                <w:rFonts w:cs="Calibri"/>
                <w:sz w:val="22"/>
                <w:szCs w:val="22"/>
                <w:lang w:eastAsia="en-IE"/>
              </w:rPr>
              <w:t>37.5% (3) </w:t>
            </w:r>
          </w:p>
        </w:tc>
        <w:tc>
          <w:tcPr>
            <w:tcW w:w="1259" w:type="pct"/>
            <w:tcBorders>
              <w:top w:val="single" w:sz="6" w:space="0" w:color="000000"/>
              <w:left w:val="single" w:sz="6" w:space="0" w:color="000000"/>
              <w:bottom w:val="single" w:sz="6" w:space="0" w:color="000000"/>
              <w:right w:val="single" w:sz="6" w:space="0" w:color="8EA9DB"/>
            </w:tcBorders>
            <w:shd w:val="clear" w:color="auto" w:fill="auto"/>
            <w:hideMark/>
          </w:tcPr>
          <w:p w14:paraId="348F9A57" w14:textId="77777777" w:rsidR="00AB7893" w:rsidRPr="00CD6D63" w:rsidRDefault="00AB7893" w:rsidP="006E5E0B">
            <w:pPr>
              <w:spacing w:after="0"/>
              <w:jc w:val="right"/>
              <w:textAlignment w:val="baseline"/>
              <w:rPr>
                <w:rFonts w:cs="Segoe UI"/>
                <w:sz w:val="22"/>
                <w:szCs w:val="22"/>
                <w:lang w:eastAsia="en-IE"/>
              </w:rPr>
            </w:pPr>
            <w:r w:rsidRPr="00CD6D63">
              <w:rPr>
                <w:rFonts w:cs="Calibri"/>
                <w:sz w:val="22"/>
                <w:szCs w:val="22"/>
                <w:lang w:eastAsia="en-IE"/>
              </w:rPr>
              <w:t>62.5% (5) </w:t>
            </w:r>
          </w:p>
        </w:tc>
      </w:tr>
      <w:tr w:rsidR="00AB7893" w:rsidRPr="002522EA" w14:paraId="6123BA58" w14:textId="77777777" w:rsidTr="006E5E0B">
        <w:trPr>
          <w:trHeight w:val="90"/>
        </w:trPr>
        <w:tc>
          <w:tcPr>
            <w:tcW w:w="1250" w:type="pct"/>
            <w:tcBorders>
              <w:top w:val="single" w:sz="6" w:space="0" w:color="000000"/>
              <w:left w:val="single" w:sz="6" w:space="0" w:color="000000"/>
              <w:bottom w:val="single" w:sz="6" w:space="0" w:color="000000"/>
              <w:right w:val="single" w:sz="6" w:space="0" w:color="8EA9DB"/>
            </w:tcBorders>
            <w:shd w:val="clear" w:color="auto" w:fill="DEEAF6" w:themeFill="accent1" w:themeFillTint="33"/>
            <w:vAlign w:val="center"/>
            <w:hideMark/>
          </w:tcPr>
          <w:p w14:paraId="79561758" w14:textId="77777777" w:rsidR="00AB7893" w:rsidRPr="00CD6D63" w:rsidRDefault="00AB7893" w:rsidP="006E5E0B">
            <w:pPr>
              <w:spacing w:after="0"/>
              <w:textAlignment w:val="baseline"/>
              <w:rPr>
                <w:rFonts w:cs="Segoe UI"/>
                <w:sz w:val="22"/>
                <w:szCs w:val="22"/>
                <w:lang w:eastAsia="en-IE"/>
              </w:rPr>
            </w:pPr>
            <w:r w:rsidRPr="00CD6D63">
              <w:rPr>
                <w:rFonts w:cs="Calibri"/>
                <w:color w:val="010205"/>
                <w:sz w:val="22"/>
                <w:szCs w:val="22"/>
                <w:lang w:eastAsia="en-IE"/>
              </w:rPr>
              <w:t>Other </w:t>
            </w:r>
          </w:p>
        </w:tc>
        <w:tc>
          <w:tcPr>
            <w:tcW w:w="1250" w:type="pct"/>
            <w:tcBorders>
              <w:top w:val="single" w:sz="6" w:space="0" w:color="000000"/>
              <w:left w:val="single" w:sz="6" w:space="0" w:color="000000"/>
              <w:bottom w:val="single" w:sz="6" w:space="0" w:color="000000"/>
              <w:right w:val="single" w:sz="6" w:space="0" w:color="8EA9DB"/>
            </w:tcBorders>
            <w:shd w:val="clear" w:color="auto" w:fill="auto"/>
            <w:hideMark/>
          </w:tcPr>
          <w:p w14:paraId="76CA7E48"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00000"/>
                <w:sz w:val="22"/>
                <w:szCs w:val="22"/>
                <w:lang w:eastAsia="en-IE"/>
              </w:rPr>
              <w:t>16.7% (n=1) </w:t>
            </w:r>
          </w:p>
        </w:tc>
        <w:tc>
          <w:tcPr>
            <w:tcW w:w="1241" w:type="pct"/>
            <w:tcBorders>
              <w:top w:val="single" w:sz="6" w:space="0" w:color="000000"/>
              <w:left w:val="single" w:sz="6" w:space="0" w:color="000000"/>
              <w:bottom w:val="single" w:sz="6" w:space="0" w:color="000000"/>
              <w:right w:val="single" w:sz="6" w:space="0" w:color="8EA9DB"/>
            </w:tcBorders>
            <w:shd w:val="clear" w:color="auto" w:fill="auto"/>
            <w:hideMark/>
          </w:tcPr>
          <w:p w14:paraId="515B7EF9" w14:textId="77777777" w:rsidR="00AB7893" w:rsidRPr="00CD6D63" w:rsidRDefault="00AB7893" w:rsidP="006E5E0B">
            <w:pPr>
              <w:spacing w:after="0"/>
              <w:jc w:val="right"/>
              <w:textAlignment w:val="baseline"/>
              <w:rPr>
                <w:rFonts w:cs="Segoe UI"/>
                <w:sz w:val="22"/>
                <w:szCs w:val="22"/>
                <w:lang w:eastAsia="en-IE"/>
              </w:rPr>
            </w:pPr>
            <w:r w:rsidRPr="00CD6D63">
              <w:rPr>
                <w:rFonts w:cs="Calibri"/>
                <w:sz w:val="22"/>
                <w:szCs w:val="22"/>
                <w:lang w:eastAsia="en-IE"/>
              </w:rPr>
              <w:t>66.7% (4) </w:t>
            </w:r>
          </w:p>
        </w:tc>
        <w:tc>
          <w:tcPr>
            <w:tcW w:w="1259" w:type="pct"/>
            <w:tcBorders>
              <w:top w:val="single" w:sz="6" w:space="0" w:color="000000"/>
              <w:left w:val="single" w:sz="6" w:space="0" w:color="000000"/>
              <w:bottom w:val="single" w:sz="6" w:space="0" w:color="000000"/>
              <w:right w:val="single" w:sz="6" w:space="0" w:color="8EA9DB"/>
            </w:tcBorders>
            <w:shd w:val="clear" w:color="auto" w:fill="auto"/>
            <w:hideMark/>
          </w:tcPr>
          <w:p w14:paraId="3E23092C" w14:textId="77777777" w:rsidR="00AB7893" w:rsidRPr="00CD6D63" w:rsidRDefault="00AB7893" w:rsidP="006E5E0B">
            <w:pPr>
              <w:spacing w:after="0"/>
              <w:jc w:val="right"/>
              <w:textAlignment w:val="baseline"/>
              <w:rPr>
                <w:rFonts w:cs="Segoe UI"/>
                <w:sz w:val="22"/>
                <w:szCs w:val="22"/>
                <w:lang w:eastAsia="en-IE"/>
              </w:rPr>
            </w:pPr>
            <w:r w:rsidRPr="00CD6D63">
              <w:rPr>
                <w:rFonts w:cs="Calibri"/>
                <w:sz w:val="22"/>
                <w:szCs w:val="22"/>
                <w:lang w:eastAsia="en-IE"/>
              </w:rPr>
              <w:t>16.7% (</w:t>
            </w:r>
            <w:r w:rsidRPr="00CD6D63">
              <w:rPr>
                <w:rFonts w:cs="Calibri"/>
                <w:color w:val="000000"/>
                <w:sz w:val="22"/>
                <w:szCs w:val="22"/>
                <w:lang w:eastAsia="en-IE"/>
              </w:rPr>
              <w:t>n=</w:t>
            </w:r>
            <w:r w:rsidRPr="00CD6D63">
              <w:rPr>
                <w:rFonts w:cs="Calibri"/>
                <w:sz w:val="22"/>
                <w:szCs w:val="22"/>
                <w:lang w:eastAsia="en-IE"/>
              </w:rPr>
              <w:t>1) </w:t>
            </w:r>
          </w:p>
        </w:tc>
      </w:tr>
      <w:tr w:rsidR="00AB7893" w:rsidRPr="002522EA" w14:paraId="3E335067" w14:textId="77777777" w:rsidTr="006E5E0B">
        <w:trPr>
          <w:trHeight w:val="383"/>
        </w:trPr>
        <w:tc>
          <w:tcPr>
            <w:tcW w:w="5000" w:type="pct"/>
            <w:gridSpan w:val="4"/>
            <w:tcBorders>
              <w:top w:val="single" w:sz="6" w:space="0" w:color="000000"/>
              <w:left w:val="single" w:sz="6" w:space="0" w:color="000000"/>
              <w:bottom w:val="single" w:sz="6" w:space="0" w:color="000000"/>
              <w:right w:val="single" w:sz="6" w:space="0" w:color="8EA9DB"/>
            </w:tcBorders>
            <w:shd w:val="clear" w:color="auto" w:fill="auto"/>
            <w:vAlign w:val="center"/>
            <w:hideMark/>
          </w:tcPr>
          <w:p w14:paraId="32B0A83F" w14:textId="77777777" w:rsidR="00AB7893" w:rsidRPr="00CD6D63" w:rsidRDefault="00AB7893" w:rsidP="006E5E0B">
            <w:pPr>
              <w:spacing w:after="0"/>
              <w:textAlignment w:val="baseline"/>
              <w:rPr>
                <w:rFonts w:cs="Segoe UI"/>
                <w:sz w:val="22"/>
                <w:szCs w:val="22"/>
                <w:lang w:eastAsia="en-IE"/>
              </w:rPr>
            </w:pPr>
            <w:r w:rsidRPr="00CD6D63">
              <w:rPr>
                <w:rFonts w:cs="Calibri"/>
                <w:b/>
                <w:bCs/>
                <w:color w:val="010205"/>
                <w:sz w:val="22"/>
                <w:szCs w:val="22"/>
                <w:lang w:eastAsia="en-IE"/>
              </w:rPr>
              <w:t>They will transfer to another residential house, in the service, that has more support</w:t>
            </w:r>
            <w:r w:rsidRPr="00CD6D63">
              <w:rPr>
                <w:rFonts w:cs="Calibri"/>
                <w:color w:val="010205"/>
                <w:sz w:val="22"/>
                <w:szCs w:val="22"/>
                <w:lang w:eastAsia="en-IE"/>
              </w:rPr>
              <w:t> </w:t>
            </w:r>
          </w:p>
        </w:tc>
      </w:tr>
      <w:tr w:rsidR="00AB7893" w:rsidRPr="002522EA" w14:paraId="53AA0919" w14:textId="77777777" w:rsidTr="006E5E0B">
        <w:trPr>
          <w:trHeight w:val="195"/>
        </w:trPr>
        <w:tc>
          <w:tcPr>
            <w:tcW w:w="1250" w:type="pct"/>
            <w:tcBorders>
              <w:top w:val="single" w:sz="6" w:space="0" w:color="000000"/>
              <w:left w:val="single" w:sz="6" w:space="0" w:color="000000"/>
              <w:bottom w:val="single" w:sz="6" w:space="0" w:color="000000"/>
              <w:right w:val="single" w:sz="6" w:space="0" w:color="8EA9DB"/>
            </w:tcBorders>
            <w:shd w:val="clear" w:color="auto" w:fill="DEEAF6" w:themeFill="accent1" w:themeFillTint="33"/>
            <w:vAlign w:val="center"/>
            <w:hideMark/>
          </w:tcPr>
          <w:p w14:paraId="51A05F40" w14:textId="77777777" w:rsidR="00AB7893" w:rsidRPr="00CD6D63" w:rsidRDefault="00AB7893" w:rsidP="006E5E0B">
            <w:pPr>
              <w:spacing w:after="0"/>
              <w:textAlignment w:val="baseline"/>
              <w:rPr>
                <w:rFonts w:cs="Segoe UI"/>
                <w:sz w:val="22"/>
                <w:szCs w:val="22"/>
                <w:lang w:eastAsia="en-IE"/>
              </w:rPr>
            </w:pPr>
            <w:r w:rsidRPr="00CD6D63">
              <w:rPr>
                <w:rFonts w:cs="Calibri"/>
                <w:color w:val="010205"/>
                <w:sz w:val="22"/>
                <w:szCs w:val="22"/>
                <w:lang w:eastAsia="en-IE"/>
              </w:rPr>
              <w:t>All </w:t>
            </w:r>
          </w:p>
        </w:tc>
        <w:tc>
          <w:tcPr>
            <w:tcW w:w="1250" w:type="pct"/>
            <w:tcBorders>
              <w:top w:val="single" w:sz="6" w:space="0" w:color="000000"/>
              <w:left w:val="single" w:sz="6" w:space="0" w:color="000000"/>
              <w:bottom w:val="single" w:sz="6" w:space="0" w:color="000000"/>
              <w:right w:val="single" w:sz="6" w:space="0" w:color="8EA9DB"/>
            </w:tcBorders>
            <w:shd w:val="clear" w:color="auto" w:fill="auto"/>
            <w:hideMark/>
          </w:tcPr>
          <w:p w14:paraId="1073004E"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00000"/>
                <w:sz w:val="22"/>
                <w:szCs w:val="22"/>
                <w:lang w:eastAsia="en-IE"/>
              </w:rPr>
              <w:t>13.3% (n=4) </w:t>
            </w:r>
          </w:p>
        </w:tc>
        <w:tc>
          <w:tcPr>
            <w:tcW w:w="1241" w:type="pct"/>
            <w:tcBorders>
              <w:top w:val="single" w:sz="6" w:space="0" w:color="000000"/>
              <w:left w:val="single" w:sz="6" w:space="0" w:color="000000"/>
              <w:bottom w:val="single" w:sz="6" w:space="0" w:color="000000"/>
              <w:right w:val="single" w:sz="6" w:space="0" w:color="8EA9DB"/>
            </w:tcBorders>
            <w:shd w:val="clear" w:color="auto" w:fill="auto"/>
            <w:hideMark/>
          </w:tcPr>
          <w:p w14:paraId="26DF72F3" w14:textId="77777777" w:rsidR="00AB7893" w:rsidRPr="00CD6D63" w:rsidRDefault="00AB7893" w:rsidP="006E5E0B">
            <w:pPr>
              <w:spacing w:after="0"/>
              <w:jc w:val="right"/>
              <w:textAlignment w:val="baseline"/>
              <w:rPr>
                <w:rFonts w:cs="Segoe UI"/>
                <w:sz w:val="22"/>
                <w:szCs w:val="22"/>
                <w:lang w:eastAsia="en-IE"/>
              </w:rPr>
            </w:pPr>
            <w:r w:rsidRPr="002522EA">
              <w:rPr>
                <w:rFonts w:cs="Segoe UI"/>
                <w:sz w:val="22"/>
                <w:szCs w:val="22"/>
                <w:lang w:eastAsia="en-IE"/>
              </w:rPr>
              <w:t>46.7% (n=14)</w:t>
            </w:r>
          </w:p>
        </w:tc>
        <w:tc>
          <w:tcPr>
            <w:tcW w:w="1259" w:type="pct"/>
            <w:tcBorders>
              <w:top w:val="single" w:sz="6" w:space="0" w:color="000000"/>
              <w:left w:val="single" w:sz="6" w:space="0" w:color="000000"/>
              <w:bottom w:val="single" w:sz="6" w:space="0" w:color="000000"/>
              <w:right w:val="single" w:sz="6" w:space="0" w:color="8EA9DB"/>
            </w:tcBorders>
            <w:shd w:val="clear" w:color="auto" w:fill="auto"/>
            <w:hideMark/>
          </w:tcPr>
          <w:p w14:paraId="65499A1C"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00000"/>
                <w:sz w:val="22"/>
                <w:szCs w:val="22"/>
                <w:lang w:eastAsia="en-IE"/>
              </w:rPr>
              <w:t>40% (n=12) </w:t>
            </w:r>
          </w:p>
        </w:tc>
      </w:tr>
      <w:tr w:rsidR="00AB7893" w:rsidRPr="002522EA" w14:paraId="6C6EFFEF" w14:textId="77777777" w:rsidTr="006E5E0B">
        <w:trPr>
          <w:trHeight w:val="195"/>
        </w:trPr>
        <w:tc>
          <w:tcPr>
            <w:tcW w:w="1250" w:type="pct"/>
            <w:tcBorders>
              <w:top w:val="single" w:sz="6" w:space="0" w:color="000000"/>
              <w:left w:val="single" w:sz="6" w:space="0" w:color="000000"/>
              <w:bottom w:val="single" w:sz="6" w:space="0" w:color="000000"/>
              <w:right w:val="single" w:sz="6" w:space="0" w:color="8EA9DB"/>
            </w:tcBorders>
            <w:shd w:val="clear" w:color="auto" w:fill="DEEAF6" w:themeFill="accent1" w:themeFillTint="33"/>
            <w:vAlign w:val="center"/>
            <w:hideMark/>
          </w:tcPr>
          <w:p w14:paraId="3D2BF79F" w14:textId="77777777" w:rsidR="00AB7893" w:rsidRPr="00CD6D63" w:rsidRDefault="00AB7893" w:rsidP="006E5E0B">
            <w:pPr>
              <w:spacing w:after="0"/>
              <w:textAlignment w:val="baseline"/>
              <w:rPr>
                <w:rFonts w:cs="Segoe UI"/>
                <w:sz w:val="22"/>
                <w:szCs w:val="22"/>
                <w:lang w:eastAsia="en-IE"/>
              </w:rPr>
            </w:pPr>
            <w:r w:rsidRPr="00CD6D63">
              <w:rPr>
                <w:rFonts w:cs="Calibri"/>
                <w:color w:val="010205"/>
                <w:sz w:val="22"/>
                <w:szCs w:val="22"/>
                <w:lang w:eastAsia="en-IE"/>
              </w:rPr>
              <w:t>Specialist </w:t>
            </w:r>
          </w:p>
        </w:tc>
        <w:tc>
          <w:tcPr>
            <w:tcW w:w="1250" w:type="pct"/>
            <w:tcBorders>
              <w:top w:val="single" w:sz="6" w:space="0" w:color="000000"/>
              <w:left w:val="single" w:sz="6" w:space="0" w:color="000000"/>
              <w:bottom w:val="single" w:sz="6" w:space="0" w:color="000000"/>
              <w:right w:val="single" w:sz="6" w:space="0" w:color="8EA9DB"/>
            </w:tcBorders>
            <w:shd w:val="clear" w:color="auto" w:fill="auto"/>
            <w:hideMark/>
          </w:tcPr>
          <w:p w14:paraId="5AC76C0C" w14:textId="77777777" w:rsidR="00AB7893" w:rsidRPr="00CD6D63" w:rsidRDefault="00AB7893" w:rsidP="006E5E0B">
            <w:pPr>
              <w:spacing w:after="0"/>
              <w:jc w:val="right"/>
              <w:textAlignment w:val="baseline"/>
              <w:rPr>
                <w:rFonts w:cs="Segoe UI"/>
                <w:sz w:val="22"/>
                <w:szCs w:val="22"/>
                <w:lang w:eastAsia="en-IE"/>
              </w:rPr>
            </w:pPr>
            <w:r w:rsidRPr="00CD6D63">
              <w:rPr>
                <w:rFonts w:cs="Calibri"/>
                <w:sz w:val="22"/>
                <w:szCs w:val="22"/>
                <w:lang w:eastAsia="en-IE"/>
              </w:rPr>
              <w:t>21.4% (</w:t>
            </w:r>
            <w:r w:rsidRPr="00CD6D63">
              <w:rPr>
                <w:rFonts w:cs="Calibri"/>
                <w:color w:val="000000"/>
                <w:sz w:val="22"/>
                <w:szCs w:val="22"/>
                <w:lang w:eastAsia="en-IE"/>
              </w:rPr>
              <w:t>n=</w:t>
            </w:r>
            <w:r w:rsidRPr="00CD6D63">
              <w:rPr>
                <w:rFonts w:cs="Calibri"/>
                <w:sz w:val="22"/>
                <w:szCs w:val="22"/>
                <w:lang w:eastAsia="en-IE"/>
              </w:rPr>
              <w:t>3) </w:t>
            </w:r>
          </w:p>
        </w:tc>
        <w:tc>
          <w:tcPr>
            <w:tcW w:w="1241" w:type="pct"/>
            <w:tcBorders>
              <w:top w:val="single" w:sz="6" w:space="0" w:color="000000"/>
              <w:left w:val="single" w:sz="6" w:space="0" w:color="000000"/>
              <w:bottom w:val="single" w:sz="6" w:space="0" w:color="000000"/>
              <w:right w:val="single" w:sz="6" w:space="0" w:color="8EA9DB"/>
            </w:tcBorders>
            <w:shd w:val="clear" w:color="auto" w:fill="auto"/>
            <w:hideMark/>
          </w:tcPr>
          <w:p w14:paraId="2F88E7AB" w14:textId="77777777" w:rsidR="00AB7893" w:rsidRPr="00CD6D63" w:rsidRDefault="00AB7893" w:rsidP="006E5E0B">
            <w:pPr>
              <w:spacing w:after="0"/>
              <w:jc w:val="right"/>
              <w:textAlignment w:val="baseline"/>
              <w:rPr>
                <w:rFonts w:cs="Segoe UI"/>
                <w:sz w:val="22"/>
                <w:szCs w:val="22"/>
                <w:lang w:eastAsia="en-IE"/>
              </w:rPr>
            </w:pPr>
            <w:r w:rsidRPr="00CD6D63">
              <w:rPr>
                <w:rFonts w:cs="Calibri"/>
                <w:sz w:val="22"/>
                <w:szCs w:val="22"/>
                <w:lang w:eastAsia="en-IE"/>
              </w:rPr>
              <w:t>50% (</w:t>
            </w:r>
            <w:r w:rsidRPr="00CD6D63">
              <w:rPr>
                <w:rFonts w:cs="Calibri"/>
                <w:color w:val="000000"/>
                <w:sz w:val="22"/>
                <w:szCs w:val="22"/>
                <w:lang w:eastAsia="en-IE"/>
              </w:rPr>
              <w:t>n=</w:t>
            </w:r>
            <w:r w:rsidRPr="00CD6D63">
              <w:rPr>
                <w:rFonts w:cs="Calibri"/>
                <w:sz w:val="22"/>
                <w:szCs w:val="22"/>
                <w:lang w:eastAsia="en-IE"/>
              </w:rPr>
              <w:t>7) </w:t>
            </w:r>
          </w:p>
        </w:tc>
        <w:tc>
          <w:tcPr>
            <w:tcW w:w="1259" w:type="pct"/>
            <w:tcBorders>
              <w:top w:val="single" w:sz="6" w:space="0" w:color="000000"/>
              <w:left w:val="single" w:sz="6" w:space="0" w:color="000000"/>
              <w:bottom w:val="single" w:sz="6" w:space="0" w:color="000000"/>
              <w:right w:val="single" w:sz="6" w:space="0" w:color="8EA9DB"/>
            </w:tcBorders>
            <w:shd w:val="clear" w:color="auto" w:fill="auto"/>
            <w:hideMark/>
          </w:tcPr>
          <w:p w14:paraId="322C66C2"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10205"/>
                <w:sz w:val="22"/>
                <w:szCs w:val="22"/>
                <w:lang w:eastAsia="en-IE"/>
              </w:rPr>
              <w:t>28.6% (n=4) </w:t>
            </w:r>
          </w:p>
        </w:tc>
      </w:tr>
      <w:tr w:rsidR="00AB7893" w:rsidRPr="002522EA" w14:paraId="1B838212" w14:textId="77777777" w:rsidTr="006E5E0B">
        <w:trPr>
          <w:trHeight w:val="195"/>
        </w:trPr>
        <w:tc>
          <w:tcPr>
            <w:tcW w:w="1250" w:type="pct"/>
            <w:tcBorders>
              <w:top w:val="single" w:sz="6" w:space="0" w:color="000000"/>
              <w:left w:val="single" w:sz="6" w:space="0" w:color="000000"/>
              <w:bottom w:val="single" w:sz="6" w:space="0" w:color="000000"/>
              <w:right w:val="single" w:sz="6" w:space="0" w:color="8EA9DB"/>
            </w:tcBorders>
            <w:shd w:val="clear" w:color="auto" w:fill="DEEAF6" w:themeFill="accent1" w:themeFillTint="33"/>
            <w:vAlign w:val="center"/>
            <w:hideMark/>
          </w:tcPr>
          <w:p w14:paraId="795D5D65" w14:textId="77777777" w:rsidR="00AB7893" w:rsidRPr="00CD6D63" w:rsidRDefault="00AB7893" w:rsidP="006E5E0B">
            <w:pPr>
              <w:spacing w:after="0"/>
              <w:textAlignment w:val="baseline"/>
              <w:rPr>
                <w:rFonts w:cs="Segoe UI"/>
                <w:sz w:val="22"/>
                <w:szCs w:val="22"/>
                <w:lang w:eastAsia="en-IE"/>
              </w:rPr>
            </w:pPr>
            <w:r w:rsidRPr="00CD6D63">
              <w:rPr>
                <w:rFonts w:cs="Calibri"/>
                <w:color w:val="010205"/>
                <w:sz w:val="22"/>
                <w:szCs w:val="22"/>
                <w:lang w:eastAsia="en-IE"/>
              </w:rPr>
              <w:t>Non-specialist </w:t>
            </w:r>
          </w:p>
        </w:tc>
        <w:tc>
          <w:tcPr>
            <w:tcW w:w="1250" w:type="pct"/>
            <w:tcBorders>
              <w:top w:val="single" w:sz="6" w:space="0" w:color="000000"/>
              <w:left w:val="single" w:sz="6" w:space="0" w:color="000000"/>
              <w:bottom w:val="single" w:sz="6" w:space="0" w:color="000000"/>
              <w:right w:val="single" w:sz="6" w:space="0" w:color="8EA9DB"/>
            </w:tcBorders>
            <w:shd w:val="clear" w:color="auto" w:fill="auto"/>
            <w:hideMark/>
          </w:tcPr>
          <w:p w14:paraId="0DD4E959" w14:textId="77777777" w:rsidR="00AB7893" w:rsidRPr="00CD6D63" w:rsidRDefault="00AB7893" w:rsidP="006E5E0B">
            <w:pPr>
              <w:spacing w:after="0"/>
              <w:jc w:val="right"/>
              <w:textAlignment w:val="baseline"/>
              <w:rPr>
                <w:rFonts w:cs="Segoe UI"/>
                <w:sz w:val="22"/>
                <w:szCs w:val="22"/>
                <w:lang w:eastAsia="en-IE"/>
              </w:rPr>
            </w:pPr>
            <w:r w:rsidRPr="00CD6D63">
              <w:rPr>
                <w:rFonts w:cs="Calibri"/>
                <w:sz w:val="22"/>
                <w:szCs w:val="22"/>
                <w:lang w:eastAsia="en-IE"/>
              </w:rPr>
              <w:t>10% (</w:t>
            </w:r>
            <w:r w:rsidRPr="00CD6D63">
              <w:rPr>
                <w:rFonts w:cs="Calibri"/>
                <w:color w:val="000000"/>
                <w:sz w:val="22"/>
                <w:szCs w:val="22"/>
                <w:lang w:eastAsia="en-IE"/>
              </w:rPr>
              <w:t>n=</w:t>
            </w:r>
            <w:r w:rsidRPr="00CD6D63">
              <w:rPr>
                <w:rFonts w:cs="Calibri"/>
                <w:sz w:val="22"/>
                <w:szCs w:val="22"/>
                <w:lang w:eastAsia="en-IE"/>
              </w:rPr>
              <w:t>1) </w:t>
            </w:r>
          </w:p>
        </w:tc>
        <w:tc>
          <w:tcPr>
            <w:tcW w:w="1241" w:type="pct"/>
            <w:tcBorders>
              <w:top w:val="single" w:sz="6" w:space="0" w:color="000000"/>
              <w:left w:val="single" w:sz="6" w:space="0" w:color="000000"/>
              <w:bottom w:val="single" w:sz="6" w:space="0" w:color="000000"/>
              <w:right w:val="single" w:sz="6" w:space="0" w:color="8EA9DB"/>
            </w:tcBorders>
            <w:shd w:val="clear" w:color="auto" w:fill="auto"/>
            <w:hideMark/>
          </w:tcPr>
          <w:p w14:paraId="3C08C656" w14:textId="77777777" w:rsidR="00AB7893" w:rsidRPr="00CD6D63" w:rsidRDefault="00AB7893" w:rsidP="006E5E0B">
            <w:pPr>
              <w:spacing w:after="0"/>
              <w:jc w:val="right"/>
              <w:textAlignment w:val="baseline"/>
              <w:rPr>
                <w:rFonts w:cs="Segoe UI"/>
                <w:sz w:val="22"/>
                <w:szCs w:val="22"/>
                <w:lang w:eastAsia="en-IE"/>
              </w:rPr>
            </w:pPr>
            <w:r w:rsidRPr="00CD6D63">
              <w:rPr>
                <w:rFonts w:cs="Calibri"/>
                <w:sz w:val="22"/>
                <w:szCs w:val="22"/>
                <w:lang w:eastAsia="en-IE"/>
              </w:rPr>
              <w:t>40% (</w:t>
            </w:r>
            <w:r w:rsidRPr="00CD6D63">
              <w:rPr>
                <w:rFonts w:cs="Calibri"/>
                <w:color w:val="000000"/>
                <w:sz w:val="22"/>
                <w:szCs w:val="22"/>
                <w:lang w:eastAsia="en-IE"/>
              </w:rPr>
              <w:t>n=</w:t>
            </w:r>
            <w:r w:rsidRPr="00CD6D63">
              <w:rPr>
                <w:rFonts w:cs="Calibri"/>
                <w:sz w:val="22"/>
                <w:szCs w:val="22"/>
                <w:lang w:eastAsia="en-IE"/>
              </w:rPr>
              <w:t>4) </w:t>
            </w:r>
          </w:p>
        </w:tc>
        <w:tc>
          <w:tcPr>
            <w:tcW w:w="1259" w:type="pct"/>
            <w:tcBorders>
              <w:top w:val="single" w:sz="6" w:space="0" w:color="000000"/>
              <w:left w:val="single" w:sz="6" w:space="0" w:color="000000"/>
              <w:bottom w:val="single" w:sz="6" w:space="0" w:color="000000"/>
              <w:right w:val="single" w:sz="6" w:space="0" w:color="8EA9DB"/>
            </w:tcBorders>
            <w:shd w:val="clear" w:color="auto" w:fill="auto"/>
            <w:hideMark/>
          </w:tcPr>
          <w:p w14:paraId="37ADA443"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10205"/>
                <w:sz w:val="22"/>
                <w:szCs w:val="22"/>
                <w:lang w:eastAsia="en-IE"/>
              </w:rPr>
              <w:t>50% (</w:t>
            </w:r>
            <w:r w:rsidRPr="00CD6D63">
              <w:rPr>
                <w:rFonts w:cs="Calibri"/>
                <w:color w:val="000000"/>
                <w:sz w:val="22"/>
                <w:szCs w:val="22"/>
                <w:lang w:eastAsia="en-IE"/>
              </w:rPr>
              <w:t>n=</w:t>
            </w:r>
            <w:r w:rsidRPr="00CD6D63">
              <w:rPr>
                <w:rFonts w:cs="Calibri"/>
                <w:color w:val="010205"/>
                <w:sz w:val="22"/>
                <w:szCs w:val="22"/>
                <w:lang w:eastAsia="en-IE"/>
              </w:rPr>
              <w:t>5) </w:t>
            </w:r>
          </w:p>
        </w:tc>
      </w:tr>
      <w:tr w:rsidR="00AB7893" w:rsidRPr="002522EA" w14:paraId="14527F52" w14:textId="77777777" w:rsidTr="006E5E0B">
        <w:trPr>
          <w:trHeight w:val="195"/>
        </w:trPr>
        <w:tc>
          <w:tcPr>
            <w:tcW w:w="1250" w:type="pct"/>
            <w:tcBorders>
              <w:top w:val="single" w:sz="6" w:space="0" w:color="000000"/>
              <w:left w:val="single" w:sz="6" w:space="0" w:color="000000"/>
              <w:bottom w:val="single" w:sz="6" w:space="0" w:color="000000"/>
              <w:right w:val="single" w:sz="6" w:space="0" w:color="8EA9DB"/>
            </w:tcBorders>
            <w:shd w:val="clear" w:color="auto" w:fill="DEEAF6" w:themeFill="accent1" w:themeFillTint="33"/>
            <w:vAlign w:val="center"/>
            <w:hideMark/>
          </w:tcPr>
          <w:p w14:paraId="1F21BD50" w14:textId="77777777" w:rsidR="00AB7893" w:rsidRPr="00CD6D63" w:rsidRDefault="00AB7893" w:rsidP="006E5E0B">
            <w:pPr>
              <w:spacing w:after="0"/>
              <w:textAlignment w:val="baseline"/>
              <w:rPr>
                <w:rFonts w:cs="Segoe UI"/>
                <w:sz w:val="22"/>
                <w:szCs w:val="22"/>
                <w:lang w:eastAsia="en-IE"/>
              </w:rPr>
            </w:pPr>
            <w:r w:rsidRPr="00CD6D63">
              <w:rPr>
                <w:rFonts w:cs="Calibri"/>
                <w:color w:val="010205"/>
                <w:sz w:val="22"/>
                <w:szCs w:val="22"/>
                <w:lang w:eastAsia="en-IE"/>
              </w:rPr>
              <w:t>Other </w:t>
            </w:r>
          </w:p>
        </w:tc>
        <w:tc>
          <w:tcPr>
            <w:tcW w:w="1250" w:type="pct"/>
            <w:tcBorders>
              <w:top w:val="single" w:sz="6" w:space="0" w:color="000000"/>
              <w:left w:val="single" w:sz="6" w:space="0" w:color="000000"/>
              <w:bottom w:val="single" w:sz="6" w:space="0" w:color="000000"/>
              <w:right w:val="single" w:sz="6" w:space="0" w:color="8EA9DB"/>
            </w:tcBorders>
            <w:shd w:val="clear" w:color="auto" w:fill="auto"/>
            <w:hideMark/>
          </w:tcPr>
          <w:p w14:paraId="6C68788E"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10205"/>
                <w:sz w:val="22"/>
                <w:szCs w:val="22"/>
                <w:lang w:eastAsia="en-IE"/>
              </w:rPr>
              <w:t>0% </w:t>
            </w:r>
          </w:p>
        </w:tc>
        <w:tc>
          <w:tcPr>
            <w:tcW w:w="1241" w:type="pct"/>
            <w:tcBorders>
              <w:top w:val="single" w:sz="6" w:space="0" w:color="000000"/>
              <w:left w:val="single" w:sz="6" w:space="0" w:color="000000"/>
              <w:bottom w:val="single" w:sz="6" w:space="0" w:color="000000"/>
              <w:right w:val="single" w:sz="6" w:space="0" w:color="8EA9DB"/>
            </w:tcBorders>
            <w:shd w:val="clear" w:color="auto" w:fill="auto"/>
            <w:hideMark/>
          </w:tcPr>
          <w:p w14:paraId="7EE5DF43" w14:textId="77777777" w:rsidR="00AB7893" w:rsidRPr="00CD6D63" w:rsidRDefault="00AB7893" w:rsidP="006E5E0B">
            <w:pPr>
              <w:spacing w:after="0"/>
              <w:jc w:val="right"/>
              <w:textAlignment w:val="baseline"/>
              <w:rPr>
                <w:rFonts w:cs="Segoe UI"/>
                <w:sz w:val="22"/>
                <w:szCs w:val="22"/>
                <w:lang w:eastAsia="en-IE"/>
              </w:rPr>
            </w:pPr>
            <w:r w:rsidRPr="00CD6D63">
              <w:rPr>
                <w:rFonts w:cs="Calibri"/>
                <w:sz w:val="22"/>
                <w:szCs w:val="22"/>
                <w:lang w:eastAsia="en-IE"/>
              </w:rPr>
              <w:t>50% (3) </w:t>
            </w:r>
          </w:p>
        </w:tc>
        <w:tc>
          <w:tcPr>
            <w:tcW w:w="1259" w:type="pct"/>
            <w:tcBorders>
              <w:top w:val="single" w:sz="6" w:space="0" w:color="000000"/>
              <w:left w:val="single" w:sz="6" w:space="0" w:color="000000"/>
              <w:bottom w:val="single" w:sz="6" w:space="0" w:color="000000"/>
              <w:right w:val="single" w:sz="6" w:space="0" w:color="8EA9DB"/>
            </w:tcBorders>
            <w:shd w:val="clear" w:color="auto" w:fill="auto"/>
            <w:hideMark/>
          </w:tcPr>
          <w:p w14:paraId="53B2FAF6"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10205"/>
                <w:sz w:val="22"/>
                <w:szCs w:val="22"/>
                <w:lang w:eastAsia="en-IE"/>
              </w:rPr>
              <w:t>50% (</w:t>
            </w:r>
            <w:r w:rsidRPr="00CD6D63">
              <w:rPr>
                <w:rFonts w:cs="Calibri"/>
                <w:color w:val="000000"/>
                <w:sz w:val="22"/>
                <w:szCs w:val="22"/>
                <w:lang w:eastAsia="en-IE"/>
              </w:rPr>
              <w:t>n=</w:t>
            </w:r>
            <w:r w:rsidRPr="00CD6D63">
              <w:rPr>
                <w:rFonts w:cs="Calibri"/>
                <w:color w:val="010205"/>
                <w:sz w:val="22"/>
                <w:szCs w:val="22"/>
                <w:lang w:eastAsia="en-IE"/>
              </w:rPr>
              <w:t>3) </w:t>
            </w:r>
          </w:p>
        </w:tc>
      </w:tr>
      <w:tr w:rsidR="00AB7893" w:rsidRPr="002522EA" w14:paraId="452ACEEB" w14:textId="77777777" w:rsidTr="006E5E0B">
        <w:trPr>
          <w:trHeight w:val="333"/>
        </w:trPr>
        <w:tc>
          <w:tcPr>
            <w:tcW w:w="5000" w:type="pct"/>
            <w:gridSpan w:val="4"/>
            <w:tcBorders>
              <w:top w:val="single" w:sz="6" w:space="0" w:color="000000"/>
              <w:left w:val="single" w:sz="6" w:space="0" w:color="000000"/>
              <w:bottom w:val="single" w:sz="6" w:space="0" w:color="000000"/>
              <w:right w:val="single" w:sz="6" w:space="0" w:color="8EA9DB"/>
            </w:tcBorders>
            <w:shd w:val="clear" w:color="auto" w:fill="auto"/>
            <w:vAlign w:val="center"/>
            <w:hideMark/>
          </w:tcPr>
          <w:p w14:paraId="3BEB18FF" w14:textId="77777777" w:rsidR="00AB7893" w:rsidRPr="00CD6D63" w:rsidRDefault="00AB7893" w:rsidP="006E5E0B">
            <w:pPr>
              <w:spacing w:after="0"/>
              <w:textAlignment w:val="baseline"/>
              <w:rPr>
                <w:rFonts w:cs="Segoe UI"/>
                <w:sz w:val="22"/>
                <w:szCs w:val="22"/>
                <w:lang w:eastAsia="en-IE"/>
              </w:rPr>
            </w:pPr>
            <w:r w:rsidRPr="00CD6D63">
              <w:rPr>
                <w:rFonts w:cs="Calibri"/>
                <w:b/>
                <w:bCs/>
                <w:color w:val="010205"/>
                <w:sz w:val="22"/>
                <w:szCs w:val="22"/>
                <w:lang w:eastAsia="en-IE"/>
              </w:rPr>
              <w:t>They will transfer to a mainstream nursing home, outside the service</w:t>
            </w:r>
            <w:r w:rsidRPr="00CD6D63">
              <w:rPr>
                <w:rFonts w:ascii="Arial" w:hAnsi="Arial" w:cs="Arial"/>
                <w:color w:val="010205"/>
                <w:sz w:val="22"/>
                <w:szCs w:val="22"/>
                <w:lang w:eastAsia="en-IE"/>
              </w:rPr>
              <w:t> </w:t>
            </w:r>
            <w:r w:rsidRPr="00CD6D63">
              <w:rPr>
                <w:rFonts w:cs="Gill Sans MT"/>
                <w:color w:val="010205"/>
                <w:sz w:val="22"/>
                <w:szCs w:val="22"/>
                <w:lang w:eastAsia="en-IE"/>
              </w:rPr>
              <w:t> </w:t>
            </w:r>
          </w:p>
        </w:tc>
      </w:tr>
      <w:tr w:rsidR="00AB7893" w:rsidRPr="002522EA" w14:paraId="60779FE7" w14:textId="77777777" w:rsidTr="006E5E0B">
        <w:trPr>
          <w:trHeight w:val="195"/>
        </w:trPr>
        <w:tc>
          <w:tcPr>
            <w:tcW w:w="1250" w:type="pct"/>
            <w:tcBorders>
              <w:top w:val="single" w:sz="6" w:space="0" w:color="000000"/>
              <w:left w:val="single" w:sz="6" w:space="0" w:color="000000"/>
              <w:bottom w:val="single" w:sz="6" w:space="0" w:color="000000"/>
              <w:right w:val="single" w:sz="6" w:space="0" w:color="8EA9DB"/>
            </w:tcBorders>
            <w:shd w:val="clear" w:color="auto" w:fill="DEEAF6" w:themeFill="accent1" w:themeFillTint="33"/>
            <w:vAlign w:val="center"/>
            <w:hideMark/>
          </w:tcPr>
          <w:p w14:paraId="1650F6DF" w14:textId="77777777" w:rsidR="00AB7893" w:rsidRPr="00CD6D63" w:rsidRDefault="00AB7893" w:rsidP="006E5E0B">
            <w:pPr>
              <w:spacing w:after="0"/>
              <w:textAlignment w:val="baseline"/>
              <w:rPr>
                <w:rFonts w:cs="Segoe UI"/>
                <w:sz w:val="22"/>
                <w:szCs w:val="22"/>
                <w:lang w:eastAsia="en-IE"/>
              </w:rPr>
            </w:pPr>
            <w:r w:rsidRPr="00CD6D63">
              <w:rPr>
                <w:rFonts w:cs="Calibri"/>
                <w:color w:val="010205"/>
                <w:sz w:val="22"/>
                <w:szCs w:val="22"/>
                <w:lang w:eastAsia="en-IE"/>
              </w:rPr>
              <w:t>All </w:t>
            </w:r>
          </w:p>
        </w:tc>
        <w:tc>
          <w:tcPr>
            <w:tcW w:w="1250" w:type="pct"/>
            <w:tcBorders>
              <w:top w:val="single" w:sz="6" w:space="0" w:color="000000"/>
              <w:left w:val="single" w:sz="6" w:space="0" w:color="000000"/>
              <w:bottom w:val="single" w:sz="6" w:space="0" w:color="000000"/>
              <w:right w:val="single" w:sz="6" w:space="0" w:color="8EA9DB"/>
            </w:tcBorders>
            <w:shd w:val="clear" w:color="auto" w:fill="auto"/>
            <w:hideMark/>
          </w:tcPr>
          <w:p w14:paraId="3B1B9943"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00000"/>
                <w:sz w:val="22"/>
                <w:szCs w:val="22"/>
                <w:lang w:eastAsia="en-IE"/>
              </w:rPr>
              <w:t>16% (n=4) </w:t>
            </w:r>
          </w:p>
        </w:tc>
        <w:tc>
          <w:tcPr>
            <w:tcW w:w="1241" w:type="pct"/>
            <w:tcBorders>
              <w:top w:val="single" w:sz="6" w:space="0" w:color="000000"/>
              <w:left w:val="single" w:sz="6" w:space="0" w:color="000000"/>
              <w:bottom w:val="single" w:sz="6" w:space="0" w:color="000000"/>
              <w:right w:val="single" w:sz="6" w:space="0" w:color="8EA9DB"/>
            </w:tcBorders>
            <w:shd w:val="clear" w:color="auto" w:fill="auto"/>
            <w:hideMark/>
          </w:tcPr>
          <w:p w14:paraId="2CD3676C"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00000"/>
                <w:sz w:val="22"/>
                <w:szCs w:val="22"/>
                <w:lang w:eastAsia="en-IE"/>
              </w:rPr>
              <w:t>32% (n=8) </w:t>
            </w:r>
          </w:p>
        </w:tc>
        <w:tc>
          <w:tcPr>
            <w:tcW w:w="1259" w:type="pct"/>
            <w:tcBorders>
              <w:top w:val="single" w:sz="6" w:space="0" w:color="000000"/>
              <w:left w:val="single" w:sz="6" w:space="0" w:color="000000"/>
              <w:bottom w:val="single" w:sz="6" w:space="0" w:color="000000"/>
              <w:right w:val="single" w:sz="6" w:space="0" w:color="8EA9DB"/>
            </w:tcBorders>
            <w:shd w:val="clear" w:color="auto" w:fill="auto"/>
            <w:hideMark/>
          </w:tcPr>
          <w:p w14:paraId="45336A08" w14:textId="77777777" w:rsidR="00AB7893" w:rsidRPr="00CD6D63" w:rsidRDefault="00AB7893" w:rsidP="006E5E0B">
            <w:pPr>
              <w:spacing w:after="0"/>
              <w:jc w:val="right"/>
              <w:textAlignment w:val="baseline"/>
              <w:rPr>
                <w:rFonts w:cs="Segoe UI"/>
                <w:sz w:val="22"/>
                <w:szCs w:val="22"/>
                <w:lang w:eastAsia="en-IE"/>
              </w:rPr>
            </w:pPr>
            <w:r w:rsidRPr="002522EA">
              <w:rPr>
                <w:rFonts w:cs="Segoe UI"/>
                <w:color w:val="010205"/>
                <w:sz w:val="22"/>
                <w:szCs w:val="22"/>
                <w:lang w:eastAsia="en-IE"/>
              </w:rPr>
              <w:t>52% (n=13)</w:t>
            </w:r>
          </w:p>
        </w:tc>
      </w:tr>
      <w:tr w:rsidR="00AB7893" w:rsidRPr="002522EA" w14:paraId="412B3967" w14:textId="77777777" w:rsidTr="006E5E0B">
        <w:trPr>
          <w:trHeight w:val="195"/>
        </w:trPr>
        <w:tc>
          <w:tcPr>
            <w:tcW w:w="1250" w:type="pct"/>
            <w:tcBorders>
              <w:top w:val="single" w:sz="6" w:space="0" w:color="000000"/>
              <w:left w:val="single" w:sz="6" w:space="0" w:color="000000"/>
              <w:bottom w:val="single" w:sz="6" w:space="0" w:color="000000"/>
              <w:right w:val="single" w:sz="6" w:space="0" w:color="8EA9DB"/>
            </w:tcBorders>
            <w:shd w:val="clear" w:color="auto" w:fill="DEEAF6" w:themeFill="accent1" w:themeFillTint="33"/>
            <w:vAlign w:val="center"/>
            <w:hideMark/>
          </w:tcPr>
          <w:p w14:paraId="683E4971" w14:textId="77777777" w:rsidR="00AB7893" w:rsidRPr="00CD6D63" w:rsidRDefault="00AB7893" w:rsidP="006E5E0B">
            <w:pPr>
              <w:spacing w:after="0"/>
              <w:textAlignment w:val="baseline"/>
              <w:rPr>
                <w:rFonts w:cs="Segoe UI"/>
                <w:sz w:val="22"/>
                <w:szCs w:val="22"/>
                <w:lang w:eastAsia="en-IE"/>
              </w:rPr>
            </w:pPr>
            <w:r w:rsidRPr="00CD6D63">
              <w:rPr>
                <w:rFonts w:cs="Calibri"/>
                <w:color w:val="010205"/>
                <w:sz w:val="22"/>
                <w:szCs w:val="22"/>
                <w:lang w:eastAsia="en-IE"/>
              </w:rPr>
              <w:t>Specialist </w:t>
            </w:r>
          </w:p>
        </w:tc>
        <w:tc>
          <w:tcPr>
            <w:tcW w:w="1250" w:type="pct"/>
            <w:tcBorders>
              <w:top w:val="single" w:sz="6" w:space="0" w:color="000000"/>
              <w:left w:val="single" w:sz="6" w:space="0" w:color="000000"/>
              <w:bottom w:val="single" w:sz="6" w:space="0" w:color="000000"/>
              <w:right w:val="single" w:sz="6" w:space="0" w:color="8EA9DB"/>
            </w:tcBorders>
            <w:shd w:val="clear" w:color="auto" w:fill="auto"/>
            <w:hideMark/>
          </w:tcPr>
          <w:p w14:paraId="38945CCD"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10205"/>
                <w:sz w:val="22"/>
                <w:szCs w:val="22"/>
                <w:lang w:eastAsia="en-IE"/>
              </w:rPr>
              <w:t>16.7% (n=2) </w:t>
            </w:r>
          </w:p>
        </w:tc>
        <w:tc>
          <w:tcPr>
            <w:tcW w:w="1241" w:type="pct"/>
            <w:tcBorders>
              <w:top w:val="single" w:sz="6" w:space="0" w:color="000000"/>
              <w:left w:val="single" w:sz="6" w:space="0" w:color="000000"/>
              <w:bottom w:val="single" w:sz="6" w:space="0" w:color="000000"/>
              <w:right w:val="single" w:sz="6" w:space="0" w:color="8EA9DB"/>
            </w:tcBorders>
            <w:shd w:val="clear" w:color="auto" w:fill="auto"/>
            <w:hideMark/>
          </w:tcPr>
          <w:p w14:paraId="2EB8FBC4"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10205"/>
                <w:sz w:val="22"/>
                <w:szCs w:val="22"/>
                <w:lang w:eastAsia="en-IE"/>
              </w:rPr>
              <w:t>33.3% (n=4) </w:t>
            </w:r>
          </w:p>
        </w:tc>
        <w:tc>
          <w:tcPr>
            <w:tcW w:w="1259" w:type="pct"/>
            <w:tcBorders>
              <w:top w:val="single" w:sz="6" w:space="0" w:color="000000"/>
              <w:left w:val="single" w:sz="6" w:space="0" w:color="000000"/>
              <w:bottom w:val="single" w:sz="6" w:space="0" w:color="000000"/>
              <w:right w:val="single" w:sz="6" w:space="0" w:color="8EA9DB"/>
            </w:tcBorders>
            <w:shd w:val="clear" w:color="auto" w:fill="auto"/>
            <w:hideMark/>
          </w:tcPr>
          <w:p w14:paraId="099F5923"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10205"/>
                <w:sz w:val="22"/>
                <w:szCs w:val="22"/>
                <w:lang w:eastAsia="en-IE"/>
              </w:rPr>
              <w:t>50% (n=6) </w:t>
            </w:r>
          </w:p>
        </w:tc>
      </w:tr>
      <w:tr w:rsidR="00AB7893" w:rsidRPr="002522EA" w14:paraId="4582C295" w14:textId="77777777" w:rsidTr="006E5E0B">
        <w:trPr>
          <w:trHeight w:val="195"/>
        </w:trPr>
        <w:tc>
          <w:tcPr>
            <w:tcW w:w="1250" w:type="pct"/>
            <w:tcBorders>
              <w:top w:val="single" w:sz="6" w:space="0" w:color="000000"/>
              <w:left w:val="single" w:sz="6" w:space="0" w:color="000000"/>
              <w:bottom w:val="single" w:sz="6" w:space="0" w:color="000000"/>
              <w:right w:val="single" w:sz="6" w:space="0" w:color="8EA9DB"/>
            </w:tcBorders>
            <w:shd w:val="clear" w:color="auto" w:fill="DEEAF6" w:themeFill="accent1" w:themeFillTint="33"/>
            <w:vAlign w:val="center"/>
            <w:hideMark/>
          </w:tcPr>
          <w:p w14:paraId="32460C45" w14:textId="77777777" w:rsidR="00AB7893" w:rsidRPr="00CD6D63" w:rsidRDefault="00AB7893" w:rsidP="006E5E0B">
            <w:pPr>
              <w:spacing w:after="0"/>
              <w:textAlignment w:val="baseline"/>
              <w:rPr>
                <w:rFonts w:cs="Segoe UI"/>
                <w:sz w:val="22"/>
                <w:szCs w:val="22"/>
                <w:lang w:eastAsia="en-IE"/>
              </w:rPr>
            </w:pPr>
            <w:r w:rsidRPr="00CD6D63">
              <w:rPr>
                <w:rFonts w:cs="Calibri"/>
                <w:color w:val="010205"/>
                <w:sz w:val="22"/>
                <w:szCs w:val="22"/>
                <w:lang w:eastAsia="en-IE"/>
              </w:rPr>
              <w:t>Non-specialist </w:t>
            </w:r>
          </w:p>
        </w:tc>
        <w:tc>
          <w:tcPr>
            <w:tcW w:w="1250" w:type="pct"/>
            <w:tcBorders>
              <w:top w:val="single" w:sz="6" w:space="0" w:color="000000"/>
              <w:left w:val="single" w:sz="6" w:space="0" w:color="000000"/>
              <w:bottom w:val="single" w:sz="6" w:space="0" w:color="000000"/>
              <w:right w:val="single" w:sz="6" w:space="0" w:color="8EA9DB"/>
            </w:tcBorders>
            <w:shd w:val="clear" w:color="auto" w:fill="auto"/>
            <w:hideMark/>
          </w:tcPr>
          <w:p w14:paraId="44518377"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10205"/>
                <w:sz w:val="22"/>
                <w:szCs w:val="22"/>
                <w:lang w:eastAsia="en-IE"/>
              </w:rPr>
              <w:t>14.3% (n=1) </w:t>
            </w:r>
          </w:p>
        </w:tc>
        <w:tc>
          <w:tcPr>
            <w:tcW w:w="1241" w:type="pct"/>
            <w:tcBorders>
              <w:top w:val="single" w:sz="6" w:space="0" w:color="000000"/>
              <w:left w:val="single" w:sz="6" w:space="0" w:color="000000"/>
              <w:bottom w:val="single" w:sz="6" w:space="0" w:color="000000"/>
              <w:right w:val="single" w:sz="6" w:space="0" w:color="8EA9DB"/>
            </w:tcBorders>
            <w:shd w:val="clear" w:color="auto" w:fill="auto"/>
            <w:hideMark/>
          </w:tcPr>
          <w:p w14:paraId="062D4241"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10205"/>
                <w:sz w:val="22"/>
                <w:szCs w:val="22"/>
                <w:lang w:eastAsia="en-IE"/>
              </w:rPr>
              <w:t>28.6% (n=2) </w:t>
            </w:r>
          </w:p>
        </w:tc>
        <w:tc>
          <w:tcPr>
            <w:tcW w:w="1259" w:type="pct"/>
            <w:tcBorders>
              <w:top w:val="single" w:sz="6" w:space="0" w:color="000000"/>
              <w:left w:val="single" w:sz="6" w:space="0" w:color="000000"/>
              <w:bottom w:val="single" w:sz="6" w:space="0" w:color="000000"/>
              <w:right w:val="single" w:sz="6" w:space="0" w:color="8EA9DB"/>
            </w:tcBorders>
            <w:shd w:val="clear" w:color="auto" w:fill="auto"/>
            <w:hideMark/>
          </w:tcPr>
          <w:p w14:paraId="115358CF"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10205"/>
                <w:sz w:val="22"/>
                <w:szCs w:val="22"/>
                <w:lang w:eastAsia="en-IE"/>
              </w:rPr>
              <w:t>57.1% (n=4) </w:t>
            </w:r>
          </w:p>
        </w:tc>
      </w:tr>
      <w:tr w:rsidR="00AB7893" w:rsidRPr="002522EA" w14:paraId="4B2707CE" w14:textId="77777777" w:rsidTr="006E5E0B">
        <w:trPr>
          <w:trHeight w:val="195"/>
        </w:trPr>
        <w:tc>
          <w:tcPr>
            <w:tcW w:w="1250" w:type="pct"/>
            <w:tcBorders>
              <w:top w:val="single" w:sz="6" w:space="0" w:color="000000"/>
              <w:left w:val="single" w:sz="6" w:space="0" w:color="000000"/>
              <w:bottom w:val="single" w:sz="6" w:space="0" w:color="000000"/>
              <w:right w:val="single" w:sz="6" w:space="0" w:color="8EA9DB"/>
            </w:tcBorders>
            <w:shd w:val="clear" w:color="auto" w:fill="DEEAF6" w:themeFill="accent1" w:themeFillTint="33"/>
            <w:vAlign w:val="center"/>
            <w:hideMark/>
          </w:tcPr>
          <w:p w14:paraId="446FAF9C" w14:textId="77777777" w:rsidR="00AB7893" w:rsidRPr="00CD6D63" w:rsidRDefault="00AB7893" w:rsidP="006E5E0B">
            <w:pPr>
              <w:spacing w:after="0"/>
              <w:textAlignment w:val="baseline"/>
              <w:rPr>
                <w:rFonts w:cs="Segoe UI"/>
                <w:sz w:val="22"/>
                <w:szCs w:val="22"/>
                <w:lang w:eastAsia="en-IE"/>
              </w:rPr>
            </w:pPr>
            <w:r w:rsidRPr="00CD6D63">
              <w:rPr>
                <w:rFonts w:cs="Calibri"/>
                <w:color w:val="010205"/>
                <w:sz w:val="22"/>
                <w:szCs w:val="22"/>
                <w:lang w:eastAsia="en-IE"/>
              </w:rPr>
              <w:t>Other </w:t>
            </w:r>
          </w:p>
        </w:tc>
        <w:tc>
          <w:tcPr>
            <w:tcW w:w="1250" w:type="pct"/>
            <w:tcBorders>
              <w:top w:val="single" w:sz="6" w:space="0" w:color="000000"/>
              <w:left w:val="single" w:sz="6" w:space="0" w:color="000000"/>
              <w:bottom w:val="single" w:sz="6" w:space="0" w:color="000000"/>
              <w:right w:val="single" w:sz="6" w:space="0" w:color="8EA9DB"/>
            </w:tcBorders>
            <w:shd w:val="clear" w:color="auto" w:fill="auto"/>
            <w:hideMark/>
          </w:tcPr>
          <w:p w14:paraId="0BB0D994"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10205"/>
                <w:sz w:val="22"/>
                <w:szCs w:val="22"/>
                <w:lang w:eastAsia="en-IE"/>
              </w:rPr>
              <w:t>16.7% (n=1) </w:t>
            </w:r>
          </w:p>
        </w:tc>
        <w:tc>
          <w:tcPr>
            <w:tcW w:w="1241" w:type="pct"/>
            <w:tcBorders>
              <w:top w:val="single" w:sz="6" w:space="0" w:color="000000"/>
              <w:left w:val="single" w:sz="6" w:space="0" w:color="000000"/>
              <w:bottom w:val="single" w:sz="6" w:space="0" w:color="000000"/>
              <w:right w:val="single" w:sz="6" w:space="0" w:color="8EA9DB"/>
            </w:tcBorders>
            <w:shd w:val="clear" w:color="auto" w:fill="auto"/>
            <w:hideMark/>
          </w:tcPr>
          <w:p w14:paraId="1A97B771"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10205"/>
                <w:sz w:val="22"/>
                <w:szCs w:val="22"/>
                <w:lang w:eastAsia="en-IE"/>
              </w:rPr>
              <w:t>33.3% (n=2) </w:t>
            </w:r>
          </w:p>
        </w:tc>
        <w:tc>
          <w:tcPr>
            <w:tcW w:w="1259" w:type="pct"/>
            <w:tcBorders>
              <w:top w:val="single" w:sz="6" w:space="0" w:color="000000"/>
              <w:left w:val="single" w:sz="6" w:space="0" w:color="000000"/>
              <w:bottom w:val="single" w:sz="6" w:space="0" w:color="000000"/>
              <w:right w:val="single" w:sz="6" w:space="0" w:color="8EA9DB"/>
            </w:tcBorders>
            <w:shd w:val="clear" w:color="auto" w:fill="auto"/>
            <w:hideMark/>
          </w:tcPr>
          <w:p w14:paraId="49653820" w14:textId="77777777" w:rsidR="00AB7893" w:rsidRPr="00CD6D63" w:rsidRDefault="00AB7893" w:rsidP="006E5E0B">
            <w:pPr>
              <w:spacing w:after="0"/>
              <w:jc w:val="right"/>
              <w:textAlignment w:val="baseline"/>
              <w:rPr>
                <w:rFonts w:cs="Segoe UI"/>
                <w:sz w:val="22"/>
                <w:szCs w:val="22"/>
                <w:lang w:eastAsia="en-IE"/>
              </w:rPr>
            </w:pPr>
            <w:r w:rsidRPr="00CD6D63">
              <w:rPr>
                <w:rFonts w:cs="Calibri"/>
                <w:color w:val="010205"/>
                <w:sz w:val="22"/>
                <w:szCs w:val="22"/>
                <w:lang w:eastAsia="en-IE"/>
              </w:rPr>
              <w:t>50% (n=3) </w:t>
            </w:r>
          </w:p>
        </w:tc>
      </w:tr>
    </w:tbl>
    <w:p w14:paraId="33633E0E" w14:textId="77777777" w:rsidR="00AB7893" w:rsidRDefault="00AB7893" w:rsidP="00AB7893"/>
    <w:p w14:paraId="01507F39" w14:textId="77777777" w:rsidR="00AB7893" w:rsidRPr="00AB7893" w:rsidRDefault="00AB7893" w:rsidP="002A24F0">
      <w:pPr>
        <w:pStyle w:val="Heading3"/>
        <w:numPr>
          <w:ilvl w:val="0"/>
          <w:numId w:val="24"/>
        </w:numPr>
        <w:spacing w:after="240"/>
        <w:ind w:left="1491" w:hanging="357"/>
        <w:rPr>
          <w:color w:val="auto"/>
        </w:rPr>
      </w:pPr>
      <w:bookmarkStart w:id="309" w:name="_Toc118558329"/>
      <w:r w:rsidRPr="00AB7893">
        <w:rPr>
          <w:color w:val="auto"/>
        </w:rPr>
        <w:t>Use of outcome measurement approaches</w:t>
      </w:r>
      <w:bookmarkEnd w:id="309"/>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16"/>
        <w:gridCol w:w="88"/>
        <w:gridCol w:w="4418"/>
      </w:tblGrid>
      <w:tr w:rsidR="00AB7893" w:rsidRPr="00043C46" w14:paraId="503836C6" w14:textId="77777777" w:rsidTr="006E5E0B">
        <w:trPr>
          <w:trHeight w:val="360"/>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2D62E9" w14:textId="77777777" w:rsidR="00AB7893" w:rsidRPr="00A66E18" w:rsidRDefault="00AB7893" w:rsidP="006E5E0B">
            <w:pPr>
              <w:spacing w:after="0"/>
              <w:textAlignment w:val="baseline"/>
              <w:rPr>
                <w:rFonts w:cs="Segoe UI"/>
                <w:sz w:val="22"/>
                <w:szCs w:val="22"/>
                <w:lang w:eastAsia="en-IE"/>
              </w:rPr>
            </w:pPr>
            <w:r w:rsidRPr="00A66E18">
              <w:rPr>
                <w:rFonts w:cs="Calibri"/>
                <w:b/>
                <w:color w:val="010205"/>
                <w:sz w:val="22"/>
                <w:szCs w:val="22"/>
                <w:lang w:eastAsia="en-IE"/>
              </w:rPr>
              <w:t>Person-centred support plan</w:t>
            </w:r>
            <w:r w:rsidRPr="00A66E18">
              <w:rPr>
                <w:rFonts w:ascii="Arial" w:hAnsi="Arial" w:cs="Arial"/>
                <w:color w:val="010205"/>
                <w:sz w:val="22"/>
                <w:szCs w:val="22"/>
                <w:lang w:eastAsia="en-IE"/>
              </w:rPr>
              <w:t>  </w:t>
            </w:r>
            <w:r w:rsidRPr="00A66E18">
              <w:rPr>
                <w:rFonts w:cs="Gill Sans MT"/>
                <w:color w:val="010205"/>
                <w:sz w:val="22"/>
                <w:szCs w:val="22"/>
                <w:lang w:eastAsia="en-IE"/>
              </w:rPr>
              <w:t> </w:t>
            </w:r>
          </w:p>
        </w:tc>
      </w:tr>
      <w:tr w:rsidR="00AB7893" w:rsidRPr="00043C46" w14:paraId="6C84F6D6" w14:textId="77777777" w:rsidTr="006E5E0B">
        <w:trPr>
          <w:trHeight w:val="22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179A1CC4"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All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4E4A4C"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78.1% (n=25)</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498FE2F2" w14:textId="77777777" w:rsidTr="006E5E0B">
        <w:trPr>
          <w:trHeight w:val="22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43FE568B"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Specialist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4AF46E"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87.5% (n=14)</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5330B6C2" w14:textId="77777777" w:rsidTr="006E5E0B">
        <w:trPr>
          <w:trHeight w:val="22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30024697"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Non-specialist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5ADF2D"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60% (n=6)</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55A10E28" w14:textId="77777777" w:rsidTr="006E5E0B">
        <w:trPr>
          <w:trHeight w:val="6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0EE02285"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Other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990D53"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83.3% (n=5)</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50F30E03" w14:textId="77777777" w:rsidTr="006E5E0B">
        <w:trPr>
          <w:trHeight w:val="240"/>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A8E8AE" w14:textId="77777777" w:rsidR="00AB7893" w:rsidRPr="00A66E18" w:rsidRDefault="00AB7893" w:rsidP="006E5E0B">
            <w:pPr>
              <w:spacing w:after="0"/>
              <w:textAlignment w:val="baseline"/>
              <w:rPr>
                <w:rFonts w:cs="Segoe UI"/>
                <w:sz w:val="22"/>
                <w:szCs w:val="22"/>
                <w:lang w:eastAsia="en-IE"/>
              </w:rPr>
            </w:pPr>
            <w:r w:rsidRPr="00A66E18">
              <w:rPr>
                <w:rFonts w:cs="Calibri"/>
                <w:b/>
                <w:color w:val="010205"/>
                <w:sz w:val="22"/>
                <w:szCs w:val="22"/>
                <w:lang w:eastAsia="en-IE"/>
              </w:rPr>
              <w:t>Person-centred care plan</w:t>
            </w:r>
            <w:r w:rsidRPr="00A66E18">
              <w:rPr>
                <w:rFonts w:ascii="Arial" w:hAnsi="Arial" w:cs="Arial"/>
                <w:color w:val="010205"/>
                <w:sz w:val="22"/>
                <w:szCs w:val="22"/>
                <w:lang w:eastAsia="en-IE"/>
              </w:rPr>
              <w:t>  </w:t>
            </w:r>
            <w:r w:rsidRPr="00A66E18">
              <w:rPr>
                <w:rFonts w:cs="Gill Sans MT"/>
                <w:color w:val="010205"/>
                <w:sz w:val="22"/>
                <w:szCs w:val="22"/>
                <w:lang w:eastAsia="en-IE"/>
              </w:rPr>
              <w:t> </w:t>
            </w:r>
          </w:p>
        </w:tc>
      </w:tr>
      <w:tr w:rsidR="00AB7893" w:rsidRPr="00043C46" w14:paraId="0BC73337" w14:textId="77777777" w:rsidTr="006E5E0B">
        <w:trPr>
          <w:trHeight w:val="10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176D68C7"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All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594C0B"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68.8% (n=22)</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1D33B61F" w14:textId="77777777" w:rsidTr="006E5E0B">
        <w:trPr>
          <w:trHeight w:val="10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74048A10"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Specialist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3173C8"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75% (n=12)</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09ED8A6F" w14:textId="77777777" w:rsidTr="006E5E0B">
        <w:trPr>
          <w:trHeight w:val="10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63DE7D7B"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Non-specialist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80B6B1"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50% (n=5)</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56EC33A1" w14:textId="77777777" w:rsidTr="006E5E0B">
        <w:trPr>
          <w:trHeight w:val="10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78E4678A"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Other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650135"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83.3% (n=5)</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272052C1" w14:textId="77777777" w:rsidTr="006E5E0B">
        <w:trPr>
          <w:trHeight w:val="210"/>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859E8D" w14:textId="77777777" w:rsidR="00AB7893" w:rsidRPr="00A66E18" w:rsidRDefault="00AB7893" w:rsidP="006E5E0B">
            <w:pPr>
              <w:spacing w:after="0"/>
              <w:textAlignment w:val="baseline"/>
              <w:rPr>
                <w:rFonts w:cs="Segoe UI"/>
                <w:sz w:val="22"/>
                <w:szCs w:val="22"/>
                <w:lang w:eastAsia="en-IE"/>
              </w:rPr>
            </w:pPr>
            <w:r w:rsidRPr="00A66E18">
              <w:rPr>
                <w:rFonts w:cs="Calibri"/>
                <w:b/>
                <w:color w:val="010205"/>
                <w:sz w:val="22"/>
                <w:szCs w:val="22"/>
                <w:lang w:eastAsia="en-IE"/>
              </w:rPr>
              <w:t>Satisfaction surveys</w:t>
            </w:r>
            <w:r w:rsidRPr="00A66E18">
              <w:rPr>
                <w:rFonts w:ascii="Arial" w:hAnsi="Arial" w:cs="Arial"/>
                <w:color w:val="010205"/>
                <w:sz w:val="22"/>
                <w:szCs w:val="22"/>
                <w:lang w:eastAsia="en-IE"/>
              </w:rPr>
              <w:t>  </w:t>
            </w:r>
            <w:r w:rsidRPr="00A66E18">
              <w:rPr>
                <w:rFonts w:cs="Gill Sans MT"/>
                <w:color w:val="010205"/>
                <w:sz w:val="22"/>
                <w:szCs w:val="22"/>
                <w:lang w:eastAsia="en-IE"/>
              </w:rPr>
              <w:t> </w:t>
            </w:r>
          </w:p>
        </w:tc>
      </w:tr>
      <w:tr w:rsidR="00AB7893" w:rsidRPr="00043C46" w14:paraId="2FE3CA30" w14:textId="77777777" w:rsidTr="006E5E0B">
        <w:trPr>
          <w:trHeight w:val="150"/>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1E136D30"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All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509151"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46.9% (n=15)</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25AE254F" w14:textId="77777777" w:rsidTr="006E5E0B">
        <w:trPr>
          <w:trHeight w:val="150"/>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50D04D48"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Specialist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31A5AF"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37.5% (n=6)</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4941AAAF" w14:textId="77777777" w:rsidTr="006E5E0B">
        <w:trPr>
          <w:trHeight w:val="150"/>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24DA0F68"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Non-specialist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8DDC1A"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50% (n=5)</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110F1A7B" w14:textId="77777777" w:rsidTr="006E5E0B">
        <w:trPr>
          <w:trHeight w:val="150"/>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773DE239"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Other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1C9F11" w14:textId="77777777" w:rsidR="00AB7893" w:rsidRPr="00A66E18" w:rsidRDefault="00AB7893" w:rsidP="006E5E0B">
            <w:pPr>
              <w:spacing w:after="0"/>
              <w:jc w:val="right"/>
              <w:textAlignment w:val="baseline"/>
              <w:rPr>
                <w:rFonts w:cs="Segoe UI"/>
                <w:sz w:val="22"/>
                <w:szCs w:val="22"/>
                <w:lang w:eastAsia="en-IE"/>
              </w:rPr>
            </w:pPr>
            <w:r w:rsidRPr="00A66E18">
              <w:rPr>
                <w:rFonts w:cs="Calibri"/>
                <w:color w:val="010205"/>
                <w:sz w:val="22"/>
                <w:szCs w:val="22"/>
                <w:lang w:eastAsia="en-IE"/>
              </w:rPr>
              <w:t>66.7% (n=4) </w:t>
            </w:r>
          </w:p>
        </w:tc>
      </w:tr>
      <w:tr w:rsidR="00AB7893" w:rsidRPr="00043C46" w14:paraId="08A3763B" w14:textId="77777777" w:rsidTr="006E5E0B">
        <w:trPr>
          <w:trHeight w:val="180"/>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77A938" w14:textId="77777777" w:rsidR="00AB7893" w:rsidRPr="00A66E18" w:rsidRDefault="00AB7893" w:rsidP="006E5E0B">
            <w:pPr>
              <w:spacing w:after="0"/>
              <w:textAlignment w:val="baseline"/>
              <w:rPr>
                <w:rFonts w:cs="Segoe UI"/>
                <w:sz w:val="22"/>
                <w:szCs w:val="22"/>
                <w:lang w:eastAsia="en-IE"/>
              </w:rPr>
            </w:pPr>
            <w:r w:rsidRPr="00A66E18">
              <w:rPr>
                <w:rFonts w:cs="Calibri"/>
                <w:b/>
                <w:color w:val="010205"/>
                <w:sz w:val="22"/>
                <w:szCs w:val="22"/>
                <w:lang w:eastAsia="en-IE"/>
              </w:rPr>
              <w:t>Complaint process</w:t>
            </w:r>
            <w:r w:rsidRPr="00A66E18">
              <w:rPr>
                <w:rFonts w:ascii="Arial" w:hAnsi="Arial" w:cs="Arial"/>
                <w:color w:val="010205"/>
                <w:sz w:val="22"/>
                <w:szCs w:val="22"/>
                <w:lang w:eastAsia="en-IE"/>
              </w:rPr>
              <w:t>  </w:t>
            </w:r>
            <w:r w:rsidRPr="00A66E18">
              <w:rPr>
                <w:rFonts w:cs="Gill Sans MT"/>
                <w:color w:val="010205"/>
                <w:sz w:val="22"/>
                <w:szCs w:val="22"/>
                <w:lang w:eastAsia="en-IE"/>
              </w:rPr>
              <w:t> </w:t>
            </w:r>
          </w:p>
        </w:tc>
      </w:tr>
      <w:tr w:rsidR="00AB7893" w:rsidRPr="00043C46" w14:paraId="51BD29DC" w14:textId="77777777" w:rsidTr="006E5E0B">
        <w:trPr>
          <w:trHeight w:val="150"/>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01FB6158"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All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D23161"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59.4% (n=19)</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799DC797" w14:textId="77777777" w:rsidTr="006E5E0B">
        <w:trPr>
          <w:trHeight w:val="150"/>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60FBC2AC"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Specialist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6833F3"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56.3% (n=9)</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33ABC987" w14:textId="77777777" w:rsidTr="006E5E0B">
        <w:trPr>
          <w:trHeight w:val="150"/>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34FEF5A6"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Non-specialist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22BCA5"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50% (n=5)</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1DABCE4A" w14:textId="77777777" w:rsidTr="006E5E0B">
        <w:trPr>
          <w:trHeight w:val="150"/>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605F13BC"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Other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850F61"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83.3% (n=5)</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4F1D61F3" w14:textId="77777777" w:rsidTr="006E5E0B">
        <w:trPr>
          <w:trHeight w:val="300"/>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159C63" w14:textId="77777777" w:rsidR="00AB7893" w:rsidRPr="00A66E18" w:rsidRDefault="00AB7893" w:rsidP="006E5E0B">
            <w:pPr>
              <w:spacing w:after="0"/>
              <w:textAlignment w:val="baseline"/>
              <w:rPr>
                <w:rFonts w:cs="Segoe UI"/>
                <w:sz w:val="22"/>
                <w:szCs w:val="22"/>
                <w:lang w:eastAsia="en-IE"/>
              </w:rPr>
            </w:pPr>
            <w:r w:rsidRPr="00A66E18">
              <w:rPr>
                <w:rFonts w:cs="Calibri"/>
                <w:b/>
                <w:color w:val="010205"/>
                <w:sz w:val="22"/>
                <w:szCs w:val="22"/>
                <w:lang w:eastAsia="en-IE"/>
              </w:rPr>
              <w:t>HIQA standards measures</w:t>
            </w:r>
            <w:r w:rsidRPr="00A66E18">
              <w:rPr>
                <w:rFonts w:ascii="Arial" w:hAnsi="Arial" w:cs="Arial"/>
                <w:color w:val="010205"/>
                <w:sz w:val="22"/>
                <w:szCs w:val="22"/>
                <w:lang w:eastAsia="en-IE"/>
              </w:rPr>
              <w:t>  </w:t>
            </w:r>
            <w:r w:rsidRPr="00A66E18">
              <w:rPr>
                <w:rFonts w:cs="Gill Sans MT"/>
                <w:color w:val="010205"/>
                <w:sz w:val="22"/>
                <w:szCs w:val="22"/>
                <w:lang w:eastAsia="en-IE"/>
              </w:rPr>
              <w:t> </w:t>
            </w:r>
          </w:p>
        </w:tc>
      </w:tr>
      <w:tr w:rsidR="00AB7893" w:rsidRPr="00043C46" w14:paraId="32B4A740" w14:textId="77777777" w:rsidTr="006E5E0B">
        <w:trPr>
          <w:trHeight w:val="13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354374E7"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All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E8A2A6"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56.3% (n=18)</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6380BFCF" w14:textId="77777777" w:rsidTr="006E5E0B">
        <w:trPr>
          <w:trHeight w:val="13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57812049"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Specialist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C068CA"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43.8% (n=7)</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75847D0E" w14:textId="77777777" w:rsidTr="006E5E0B">
        <w:trPr>
          <w:trHeight w:val="13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5D4B4B67"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Non-specialist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989B24"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60% (n=6)</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4744FB83" w14:textId="77777777" w:rsidTr="006E5E0B">
        <w:trPr>
          <w:trHeight w:val="13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76BE7F23"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Other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206811"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83.3% (n=5)</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71B7D7B4" w14:textId="77777777" w:rsidTr="006E5E0B">
        <w:trPr>
          <w:trHeight w:val="240"/>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71B84B" w14:textId="77777777" w:rsidR="00AB7893" w:rsidRPr="00A66E18" w:rsidRDefault="00AB7893" w:rsidP="006E5E0B">
            <w:pPr>
              <w:spacing w:after="0"/>
              <w:textAlignment w:val="baseline"/>
              <w:rPr>
                <w:rFonts w:cs="Segoe UI"/>
                <w:sz w:val="22"/>
                <w:szCs w:val="22"/>
                <w:lang w:eastAsia="en-IE"/>
              </w:rPr>
            </w:pPr>
            <w:r w:rsidRPr="00A66E18">
              <w:rPr>
                <w:rFonts w:cs="Calibri"/>
                <w:b/>
                <w:color w:val="010205"/>
                <w:sz w:val="22"/>
                <w:szCs w:val="22"/>
                <w:lang w:eastAsia="en-IE"/>
              </w:rPr>
              <w:t>DisDAT (Disability Distress Assessment Tool)</w:t>
            </w:r>
            <w:r w:rsidRPr="00A66E18">
              <w:rPr>
                <w:rFonts w:ascii="Arial" w:hAnsi="Arial" w:cs="Arial"/>
                <w:color w:val="010205"/>
                <w:sz w:val="22"/>
                <w:szCs w:val="22"/>
                <w:lang w:eastAsia="en-IE"/>
              </w:rPr>
              <w:t>  </w:t>
            </w:r>
            <w:r w:rsidRPr="00A66E18">
              <w:rPr>
                <w:rFonts w:cs="Gill Sans MT"/>
                <w:color w:val="010205"/>
                <w:sz w:val="22"/>
                <w:szCs w:val="22"/>
                <w:lang w:eastAsia="en-IE"/>
              </w:rPr>
              <w:t> </w:t>
            </w:r>
          </w:p>
        </w:tc>
      </w:tr>
      <w:tr w:rsidR="00AB7893" w:rsidRPr="00043C46" w14:paraId="53B41782" w14:textId="77777777" w:rsidTr="006E5E0B">
        <w:trPr>
          <w:trHeight w:val="16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34DB1904"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All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5B7569"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43.8% (n=14)</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0370BFF2" w14:textId="77777777" w:rsidTr="006E5E0B">
        <w:trPr>
          <w:trHeight w:val="16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3EF6B250"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Specialist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2389F8"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50% (n=8)</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499347F0" w14:textId="77777777" w:rsidTr="006E5E0B">
        <w:trPr>
          <w:trHeight w:val="16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17805A05"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Non-specialist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0A20A6"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50% (n=5)</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4B89C50D" w14:textId="77777777" w:rsidTr="006E5E0B">
        <w:trPr>
          <w:trHeight w:val="16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323B8E8A"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Other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D8217F"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16.7% (1 n=)</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220E12FF" w14:textId="77777777" w:rsidTr="006E5E0B">
        <w:trPr>
          <w:trHeight w:val="225"/>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595B3C" w14:textId="77777777" w:rsidR="00AB7893" w:rsidRPr="00A66E18" w:rsidRDefault="00AB7893" w:rsidP="006E5E0B">
            <w:pPr>
              <w:spacing w:after="0"/>
              <w:textAlignment w:val="baseline"/>
              <w:rPr>
                <w:rFonts w:cs="Segoe UI"/>
                <w:sz w:val="22"/>
                <w:szCs w:val="22"/>
                <w:lang w:eastAsia="en-IE"/>
              </w:rPr>
            </w:pPr>
            <w:r w:rsidRPr="00A66E18">
              <w:rPr>
                <w:rFonts w:cs="Calibri"/>
                <w:b/>
                <w:color w:val="010205"/>
                <w:sz w:val="22"/>
                <w:szCs w:val="22"/>
                <w:lang w:eastAsia="en-IE"/>
              </w:rPr>
              <w:t>I Plan</w:t>
            </w:r>
            <w:r w:rsidRPr="00A66E18">
              <w:rPr>
                <w:rFonts w:ascii="Arial" w:hAnsi="Arial" w:cs="Arial"/>
                <w:color w:val="010205"/>
                <w:sz w:val="22"/>
                <w:szCs w:val="22"/>
                <w:lang w:eastAsia="en-IE"/>
              </w:rPr>
              <w:t>  </w:t>
            </w:r>
            <w:r w:rsidRPr="00A66E18">
              <w:rPr>
                <w:rFonts w:cs="Gill Sans MT"/>
                <w:color w:val="010205"/>
                <w:sz w:val="22"/>
                <w:szCs w:val="22"/>
                <w:lang w:eastAsia="en-IE"/>
              </w:rPr>
              <w:t> </w:t>
            </w:r>
          </w:p>
        </w:tc>
      </w:tr>
      <w:tr w:rsidR="00AB7893" w:rsidRPr="00043C46" w14:paraId="27BAF6B7" w14:textId="77777777" w:rsidTr="006E5E0B">
        <w:trPr>
          <w:trHeight w:val="7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10FB8067"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All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79B900" w14:textId="77777777" w:rsidR="00AB7893" w:rsidRPr="00A66E18" w:rsidRDefault="00AB7893" w:rsidP="006E5E0B">
            <w:pPr>
              <w:spacing w:after="0"/>
              <w:jc w:val="right"/>
              <w:textAlignment w:val="baseline"/>
              <w:rPr>
                <w:rFonts w:cs="Segoe UI"/>
                <w:sz w:val="22"/>
                <w:szCs w:val="22"/>
                <w:lang w:eastAsia="en-IE"/>
              </w:rPr>
            </w:pPr>
            <w:r w:rsidRPr="00A66E18">
              <w:rPr>
                <w:rFonts w:cs="Calibri"/>
                <w:color w:val="010205"/>
                <w:sz w:val="22"/>
                <w:szCs w:val="22"/>
                <w:lang w:eastAsia="en-IE"/>
              </w:rPr>
              <w:t>0% </w:t>
            </w:r>
          </w:p>
        </w:tc>
      </w:tr>
      <w:tr w:rsidR="00AB7893" w:rsidRPr="00043C46" w14:paraId="69A49C82" w14:textId="77777777" w:rsidTr="006E5E0B">
        <w:trPr>
          <w:trHeight w:val="7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4A97896B"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Specialist </w:t>
            </w:r>
          </w:p>
        </w:tc>
        <w:tc>
          <w:tcPr>
            <w:tcW w:w="2504" w:type="pct"/>
            <w:tcBorders>
              <w:top w:val="single" w:sz="6" w:space="0" w:color="000000"/>
              <w:left w:val="single" w:sz="6" w:space="0" w:color="000000"/>
              <w:bottom w:val="single" w:sz="6" w:space="0" w:color="000000"/>
              <w:right w:val="single" w:sz="6" w:space="0" w:color="000000"/>
            </w:tcBorders>
            <w:shd w:val="clear" w:color="auto" w:fill="auto"/>
            <w:hideMark/>
          </w:tcPr>
          <w:p w14:paraId="327FBDE4" w14:textId="77777777" w:rsidR="00AB7893" w:rsidRPr="00A66E18" w:rsidRDefault="00AB7893" w:rsidP="006E5E0B">
            <w:pPr>
              <w:spacing w:after="0"/>
              <w:jc w:val="right"/>
              <w:textAlignment w:val="baseline"/>
              <w:rPr>
                <w:rFonts w:cs="Segoe UI"/>
                <w:sz w:val="22"/>
                <w:szCs w:val="22"/>
                <w:lang w:eastAsia="en-IE"/>
              </w:rPr>
            </w:pPr>
            <w:r w:rsidRPr="00A66E18">
              <w:rPr>
                <w:rFonts w:cs="Calibri"/>
                <w:color w:val="010205"/>
                <w:sz w:val="22"/>
                <w:szCs w:val="22"/>
                <w:lang w:eastAsia="en-IE"/>
              </w:rPr>
              <w:t>0% </w:t>
            </w:r>
          </w:p>
        </w:tc>
      </w:tr>
      <w:tr w:rsidR="00AB7893" w:rsidRPr="00043C46" w14:paraId="42BF7982" w14:textId="77777777" w:rsidTr="006E5E0B">
        <w:trPr>
          <w:trHeight w:val="7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6B150868"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Non-specialist </w:t>
            </w:r>
          </w:p>
        </w:tc>
        <w:tc>
          <w:tcPr>
            <w:tcW w:w="2504" w:type="pct"/>
            <w:tcBorders>
              <w:top w:val="single" w:sz="6" w:space="0" w:color="000000"/>
              <w:left w:val="single" w:sz="6" w:space="0" w:color="000000"/>
              <w:bottom w:val="single" w:sz="6" w:space="0" w:color="000000"/>
              <w:right w:val="single" w:sz="6" w:space="0" w:color="000000"/>
            </w:tcBorders>
            <w:shd w:val="clear" w:color="auto" w:fill="auto"/>
            <w:hideMark/>
          </w:tcPr>
          <w:p w14:paraId="20F06E2D" w14:textId="77777777" w:rsidR="00AB7893" w:rsidRPr="00A66E18" w:rsidRDefault="00AB7893" w:rsidP="006E5E0B">
            <w:pPr>
              <w:spacing w:after="0"/>
              <w:jc w:val="right"/>
              <w:textAlignment w:val="baseline"/>
              <w:rPr>
                <w:rFonts w:cs="Segoe UI"/>
                <w:sz w:val="22"/>
                <w:szCs w:val="22"/>
                <w:lang w:eastAsia="en-IE"/>
              </w:rPr>
            </w:pPr>
            <w:r w:rsidRPr="00A66E18">
              <w:rPr>
                <w:rFonts w:cs="Calibri"/>
                <w:color w:val="010205"/>
                <w:sz w:val="22"/>
                <w:szCs w:val="22"/>
                <w:lang w:eastAsia="en-IE"/>
              </w:rPr>
              <w:t>0% </w:t>
            </w:r>
          </w:p>
        </w:tc>
      </w:tr>
      <w:tr w:rsidR="00AB7893" w:rsidRPr="00043C46" w14:paraId="2E4A0A93" w14:textId="77777777" w:rsidTr="006E5E0B">
        <w:trPr>
          <w:trHeight w:val="7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46A53CCE"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Other </w:t>
            </w:r>
          </w:p>
        </w:tc>
        <w:tc>
          <w:tcPr>
            <w:tcW w:w="2504" w:type="pct"/>
            <w:tcBorders>
              <w:top w:val="single" w:sz="6" w:space="0" w:color="000000"/>
              <w:left w:val="single" w:sz="6" w:space="0" w:color="000000"/>
              <w:bottom w:val="single" w:sz="6" w:space="0" w:color="000000"/>
              <w:right w:val="single" w:sz="6" w:space="0" w:color="000000"/>
            </w:tcBorders>
            <w:shd w:val="clear" w:color="auto" w:fill="auto"/>
            <w:hideMark/>
          </w:tcPr>
          <w:p w14:paraId="4C1A76BD" w14:textId="77777777" w:rsidR="00AB7893" w:rsidRPr="00A66E18" w:rsidRDefault="00AB7893" w:rsidP="006E5E0B">
            <w:pPr>
              <w:spacing w:after="0"/>
              <w:jc w:val="right"/>
              <w:textAlignment w:val="baseline"/>
              <w:rPr>
                <w:rFonts w:cs="Segoe UI"/>
                <w:sz w:val="22"/>
                <w:szCs w:val="22"/>
                <w:lang w:eastAsia="en-IE"/>
              </w:rPr>
            </w:pPr>
            <w:r w:rsidRPr="00A66E18">
              <w:rPr>
                <w:rFonts w:cs="Calibri"/>
                <w:color w:val="010205"/>
                <w:sz w:val="22"/>
                <w:szCs w:val="22"/>
                <w:lang w:eastAsia="en-IE"/>
              </w:rPr>
              <w:t>0% </w:t>
            </w:r>
          </w:p>
        </w:tc>
      </w:tr>
      <w:tr w:rsidR="00AB7893" w:rsidRPr="00043C46" w14:paraId="1B7DB544" w14:textId="77777777" w:rsidTr="006E5E0B">
        <w:trPr>
          <w:trHeight w:val="315"/>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84820A" w14:textId="77777777" w:rsidR="00AB7893" w:rsidRPr="00A66E18" w:rsidRDefault="00AB7893" w:rsidP="006E5E0B">
            <w:pPr>
              <w:spacing w:after="0"/>
              <w:textAlignment w:val="baseline"/>
              <w:rPr>
                <w:rFonts w:cs="Segoe UI"/>
                <w:sz w:val="22"/>
                <w:szCs w:val="22"/>
                <w:lang w:eastAsia="en-IE"/>
              </w:rPr>
            </w:pPr>
            <w:r w:rsidRPr="00A66E18">
              <w:rPr>
                <w:rFonts w:cs="Calibri"/>
                <w:b/>
                <w:color w:val="010205"/>
                <w:sz w:val="22"/>
                <w:szCs w:val="22"/>
                <w:lang w:eastAsia="en-IE"/>
              </w:rPr>
              <w:t>Glancing Back, Looking Forward</w:t>
            </w:r>
            <w:r w:rsidRPr="00A66E18">
              <w:rPr>
                <w:rFonts w:ascii="Arial" w:hAnsi="Arial" w:cs="Arial"/>
                <w:color w:val="010205"/>
                <w:sz w:val="22"/>
                <w:szCs w:val="22"/>
                <w:lang w:eastAsia="en-IE"/>
              </w:rPr>
              <w:t>  </w:t>
            </w:r>
            <w:r w:rsidRPr="00A66E18">
              <w:rPr>
                <w:rFonts w:cs="Gill Sans MT"/>
                <w:color w:val="010205"/>
                <w:sz w:val="22"/>
                <w:szCs w:val="22"/>
                <w:lang w:eastAsia="en-IE"/>
              </w:rPr>
              <w:t> </w:t>
            </w:r>
          </w:p>
        </w:tc>
      </w:tr>
      <w:tr w:rsidR="00AB7893" w:rsidRPr="00043C46" w14:paraId="0303F06A" w14:textId="77777777" w:rsidTr="006E5E0B">
        <w:trPr>
          <w:trHeight w:val="22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409FC04E"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All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A13891"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21.9% (n=7)</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42545BBA" w14:textId="77777777" w:rsidTr="006E5E0B">
        <w:trPr>
          <w:trHeight w:val="22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492ACEE6"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Specialist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5036D6"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25% (n=4)</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2CAF976B" w14:textId="77777777" w:rsidTr="006E5E0B">
        <w:trPr>
          <w:trHeight w:val="60"/>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394FB9F3"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Non-specialist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9D6EC7"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20% (n=2)</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4EAB2945" w14:textId="77777777" w:rsidTr="006E5E0B">
        <w:trPr>
          <w:trHeight w:val="225"/>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6750B684"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Other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76CD35"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16.7% (n=1)</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1B02A6DD" w14:textId="77777777" w:rsidTr="006E5E0B">
        <w:trPr>
          <w:trHeight w:val="225"/>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5B0CB1" w14:textId="77777777" w:rsidR="00AB7893" w:rsidRPr="00A66E18" w:rsidRDefault="00AB7893" w:rsidP="006E5E0B">
            <w:pPr>
              <w:spacing w:after="0"/>
              <w:textAlignment w:val="baseline"/>
              <w:rPr>
                <w:rFonts w:cs="Segoe UI"/>
                <w:sz w:val="22"/>
                <w:szCs w:val="22"/>
                <w:lang w:eastAsia="en-IE"/>
              </w:rPr>
            </w:pPr>
            <w:r w:rsidRPr="00A66E18">
              <w:rPr>
                <w:rFonts w:cs="Calibri"/>
                <w:b/>
                <w:color w:val="010205"/>
                <w:sz w:val="22"/>
                <w:szCs w:val="22"/>
                <w:lang w:eastAsia="en-IE"/>
              </w:rPr>
              <w:t>Advocacy Process</w:t>
            </w:r>
            <w:r w:rsidRPr="00A66E18">
              <w:rPr>
                <w:rFonts w:ascii="Arial" w:hAnsi="Arial" w:cs="Arial"/>
                <w:color w:val="010205"/>
                <w:sz w:val="22"/>
                <w:szCs w:val="22"/>
                <w:lang w:eastAsia="en-IE"/>
              </w:rPr>
              <w:t>  </w:t>
            </w:r>
            <w:r w:rsidRPr="00A66E18">
              <w:rPr>
                <w:rFonts w:cs="Gill Sans MT"/>
                <w:color w:val="010205"/>
                <w:sz w:val="22"/>
                <w:szCs w:val="22"/>
                <w:lang w:eastAsia="en-IE"/>
              </w:rPr>
              <w:t> </w:t>
            </w:r>
          </w:p>
        </w:tc>
      </w:tr>
      <w:tr w:rsidR="00AB7893" w:rsidRPr="00043C46" w14:paraId="193A0EB8" w14:textId="77777777" w:rsidTr="006E5E0B">
        <w:trPr>
          <w:trHeight w:val="150"/>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4FC8277A"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All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9F6031"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59.4% (n=19)</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6BA37BE5" w14:textId="77777777" w:rsidTr="006E5E0B">
        <w:trPr>
          <w:trHeight w:val="150"/>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6353774B"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Specialist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1458E8"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62.5% (n=10)</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6ADEBB4F" w14:textId="77777777" w:rsidTr="006E5E0B">
        <w:trPr>
          <w:trHeight w:val="150"/>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79D4E232" w14:textId="77777777" w:rsidR="00AB7893" w:rsidRPr="00A66E18" w:rsidRDefault="00AB7893" w:rsidP="006E5E0B">
            <w:pPr>
              <w:spacing w:after="0"/>
              <w:textAlignment w:val="baseline"/>
              <w:rPr>
                <w:rFonts w:cs="Segoe UI"/>
                <w:sz w:val="22"/>
                <w:szCs w:val="22"/>
                <w:lang w:eastAsia="en-IE"/>
              </w:rPr>
            </w:pPr>
            <w:r w:rsidRPr="00A66E18">
              <w:rPr>
                <w:rFonts w:cs="Calibri"/>
                <w:color w:val="010205"/>
                <w:sz w:val="22"/>
                <w:szCs w:val="22"/>
                <w:lang w:eastAsia="en-IE"/>
              </w:rPr>
              <w:t>Non-specialist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F6887B"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40% (n=4)</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7617C540" w14:textId="77777777" w:rsidTr="006E5E0B">
        <w:trPr>
          <w:trHeight w:val="150"/>
        </w:trPr>
        <w:tc>
          <w:tcPr>
            <w:tcW w:w="2496" w:type="pct"/>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C4C3CD" w14:textId="77777777" w:rsidR="00AB7893" w:rsidRPr="00A66E18" w:rsidRDefault="00AB7893" w:rsidP="006E5E0B">
            <w:pPr>
              <w:spacing w:after="0"/>
              <w:textAlignment w:val="baseline"/>
              <w:rPr>
                <w:rFonts w:cs="Segoe UI"/>
                <w:sz w:val="22"/>
                <w:szCs w:val="22"/>
                <w:lang w:eastAsia="en-IE"/>
              </w:rPr>
            </w:pPr>
            <w:r w:rsidRPr="00A66E18">
              <w:rPr>
                <w:rFonts w:cs="Calibri"/>
                <w:b/>
                <w:sz w:val="22"/>
                <w:szCs w:val="22"/>
                <w:lang w:eastAsia="en-IE"/>
              </w:rPr>
              <w:t>Other</w:t>
            </w:r>
            <w:r w:rsidRPr="00A66E18">
              <w:rPr>
                <w:rFonts w:cs="Calibri"/>
                <w:sz w:val="22"/>
                <w:szCs w:val="22"/>
                <w:lang w:eastAsia="en-IE"/>
              </w:rPr>
              <w:t> </w:t>
            </w:r>
          </w:p>
        </w:tc>
        <w:tc>
          <w:tcPr>
            <w:tcW w:w="25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98844A" w14:textId="77777777" w:rsidR="00AB7893" w:rsidRPr="00A66E18" w:rsidRDefault="00AB7893" w:rsidP="006E5E0B">
            <w:pPr>
              <w:spacing w:after="0"/>
              <w:jc w:val="right"/>
              <w:textAlignment w:val="baseline"/>
              <w:rPr>
                <w:rFonts w:cs="Segoe UI"/>
                <w:sz w:val="22"/>
                <w:szCs w:val="22"/>
                <w:lang w:eastAsia="en-IE"/>
              </w:rPr>
            </w:pPr>
            <w:r w:rsidRPr="00A66E18">
              <w:rPr>
                <w:rFonts w:cs="Calibri"/>
                <w:sz w:val="22"/>
                <w:szCs w:val="22"/>
                <w:lang w:eastAsia="en-IE"/>
              </w:rPr>
              <w:t>83.3% (n=5)</w:t>
            </w:r>
            <w:r w:rsidRPr="00A66E18">
              <w:rPr>
                <w:rFonts w:ascii="Arial" w:hAnsi="Arial" w:cs="Arial"/>
                <w:sz w:val="22"/>
                <w:szCs w:val="22"/>
                <w:lang w:eastAsia="en-IE"/>
              </w:rPr>
              <w:t> </w:t>
            </w:r>
            <w:r w:rsidRPr="00A66E18">
              <w:rPr>
                <w:rFonts w:cs="Gill Sans MT"/>
                <w:sz w:val="22"/>
                <w:szCs w:val="22"/>
                <w:lang w:eastAsia="en-IE"/>
              </w:rPr>
              <w:t> </w:t>
            </w:r>
          </w:p>
        </w:tc>
      </w:tr>
      <w:tr w:rsidR="00AB7893" w:rsidRPr="00043C46" w14:paraId="09F50897" w14:textId="77777777" w:rsidTr="006E5E0B">
        <w:trPr>
          <w:trHeight w:val="315"/>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F71533" w14:textId="77777777" w:rsidR="00AB7893" w:rsidRPr="00A66E18" w:rsidRDefault="00AB7893" w:rsidP="006E5E0B">
            <w:pPr>
              <w:spacing w:after="0"/>
              <w:textAlignment w:val="baseline"/>
              <w:rPr>
                <w:rFonts w:cs="Segoe UI"/>
                <w:sz w:val="22"/>
                <w:szCs w:val="22"/>
                <w:lang w:eastAsia="en-IE"/>
              </w:rPr>
            </w:pPr>
            <w:r w:rsidRPr="00A66E18">
              <w:rPr>
                <w:rFonts w:cs="Calibri"/>
                <w:sz w:val="22"/>
                <w:szCs w:val="22"/>
                <w:lang w:eastAsia="en-IE"/>
              </w:rPr>
              <w:t>Other elaboration:</w:t>
            </w:r>
          </w:p>
        </w:tc>
      </w:tr>
      <w:tr w:rsidR="00AB7893" w:rsidRPr="00043C46" w14:paraId="4EC79378" w14:textId="77777777" w:rsidTr="006E5E0B">
        <w:trPr>
          <w:trHeight w:val="315"/>
        </w:trPr>
        <w:tc>
          <w:tcPr>
            <w:tcW w:w="244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575223" w14:textId="77777777" w:rsidR="00AB7893" w:rsidRPr="00A66E18" w:rsidRDefault="00AB7893" w:rsidP="006E5E0B">
            <w:pPr>
              <w:spacing w:after="0"/>
              <w:textAlignment w:val="baseline"/>
              <w:rPr>
                <w:rFonts w:cs="Segoe UI"/>
                <w:sz w:val="22"/>
                <w:szCs w:val="22"/>
                <w:lang w:eastAsia="en-IE"/>
              </w:rPr>
            </w:pPr>
            <w:r w:rsidRPr="00A66E18">
              <w:rPr>
                <w:rFonts w:cs="Calibri"/>
                <w:sz w:val="22"/>
                <w:szCs w:val="22"/>
                <w:lang w:eastAsia="en-IE"/>
              </w:rPr>
              <w:t>All about me, Assessment of Need</w:t>
            </w:r>
            <w:r w:rsidRPr="00A66E18">
              <w:rPr>
                <w:rFonts w:ascii="Arial" w:hAnsi="Arial" w:cs="Arial"/>
                <w:sz w:val="22"/>
                <w:szCs w:val="22"/>
                <w:lang w:eastAsia="en-IE"/>
              </w:rPr>
              <w:t> </w:t>
            </w:r>
            <w:r w:rsidRPr="00A66E18">
              <w:rPr>
                <w:rFonts w:cs="Calibri"/>
                <w:sz w:val="22"/>
                <w:szCs w:val="22"/>
                <w:lang w:eastAsia="en-IE"/>
              </w:rPr>
              <w:t>(S);</w:t>
            </w:r>
            <w:r w:rsidRPr="00A66E18">
              <w:rPr>
                <w:rFonts w:cs="Gill Sans MT"/>
                <w:sz w:val="22"/>
                <w:szCs w:val="22"/>
                <w:lang w:eastAsia="en-IE"/>
              </w:rPr>
              <w:t> </w:t>
            </w:r>
          </w:p>
          <w:p w14:paraId="68F6D4EA" w14:textId="77777777" w:rsidR="00AB7893" w:rsidRPr="00A66E18" w:rsidRDefault="00AB7893" w:rsidP="006E5E0B">
            <w:pPr>
              <w:spacing w:after="0"/>
              <w:textAlignment w:val="baseline"/>
              <w:rPr>
                <w:rFonts w:cs="Segoe UI"/>
                <w:sz w:val="22"/>
                <w:szCs w:val="22"/>
                <w:lang w:eastAsia="en-IE"/>
              </w:rPr>
            </w:pPr>
            <w:r w:rsidRPr="00A66E18">
              <w:rPr>
                <w:rFonts w:cs="Calibri"/>
                <w:sz w:val="22"/>
                <w:szCs w:val="22"/>
                <w:lang w:eastAsia="en-IE"/>
              </w:rPr>
              <w:t>Planning Ahead Document</w:t>
            </w:r>
            <w:r w:rsidRPr="00A66E18">
              <w:rPr>
                <w:rFonts w:ascii="Arial" w:hAnsi="Arial" w:cs="Arial"/>
                <w:sz w:val="22"/>
                <w:szCs w:val="22"/>
                <w:lang w:eastAsia="en-IE"/>
              </w:rPr>
              <w:t> </w:t>
            </w:r>
            <w:r w:rsidRPr="00A66E18">
              <w:rPr>
                <w:rFonts w:cs="Calibri"/>
                <w:sz w:val="22"/>
                <w:szCs w:val="22"/>
                <w:lang w:eastAsia="en-IE"/>
              </w:rPr>
              <w:t>(S)</w:t>
            </w:r>
            <w:r w:rsidRPr="00A66E18">
              <w:rPr>
                <w:rFonts w:cs="Gill Sans MT"/>
                <w:sz w:val="22"/>
                <w:szCs w:val="22"/>
                <w:lang w:eastAsia="en-IE"/>
              </w:rPr>
              <w:t> </w:t>
            </w:r>
          </w:p>
        </w:tc>
        <w:tc>
          <w:tcPr>
            <w:tcW w:w="2554" w:type="pct"/>
            <w:gridSpan w:val="2"/>
            <w:tcBorders>
              <w:top w:val="single" w:sz="6" w:space="0" w:color="8EA9DB"/>
              <w:left w:val="single" w:sz="6" w:space="0" w:color="000000"/>
              <w:bottom w:val="single" w:sz="6" w:space="0" w:color="8EA9DB"/>
              <w:right w:val="single" w:sz="6" w:space="0" w:color="000000"/>
            </w:tcBorders>
            <w:shd w:val="clear" w:color="auto" w:fill="auto"/>
            <w:vAlign w:val="center"/>
            <w:hideMark/>
          </w:tcPr>
          <w:p w14:paraId="60530ACB" w14:textId="77777777" w:rsidR="00AB7893" w:rsidRPr="00A66E18" w:rsidRDefault="00AB7893" w:rsidP="006E5E0B">
            <w:pPr>
              <w:spacing w:after="0"/>
              <w:textAlignment w:val="baseline"/>
              <w:rPr>
                <w:rFonts w:cs="Segoe UI"/>
                <w:sz w:val="22"/>
                <w:szCs w:val="22"/>
                <w:lang w:eastAsia="en-IE"/>
              </w:rPr>
            </w:pPr>
            <w:r w:rsidRPr="00A66E18">
              <w:rPr>
                <w:rFonts w:cs="Calibri"/>
                <w:sz w:val="22"/>
                <w:szCs w:val="22"/>
                <w:lang w:eastAsia="en-IE"/>
              </w:rPr>
              <w:t>mdt/restrictive strategy reviews</w:t>
            </w:r>
            <w:r w:rsidRPr="00A66E18">
              <w:rPr>
                <w:rFonts w:ascii="Arial" w:hAnsi="Arial" w:cs="Arial"/>
                <w:sz w:val="22"/>
                <w:szCs w:val="22"/>
                <w:lang w:eastAsia="en-IE"/>
              </w:rPr>
              <w:t> </w:t>
            </w:r>
            <w:r w:rsidRPr="00A66E18">
              <w:rPr>
                <w:rFonts w:cs="Calibri"/>
                <w:sz w:val="22"/>
                <w:szCs w:val="22"/>
                <w:lang w:eastAsia="en-IE"/>
              </w:rPr>
              <w:t xml:space="preserve"> (NS)</w:t>
            </w:r>
            <w:r w:rsidRPr="00A66E18">
              <w:rPr>
                <w:rFonts w:cs="Gill Sans MT"/>
                <w:sz w:val="22"/>
                <w:szCs w:val="22"/>
                <w:lang w:eastAsia="en-IE"/>
              </w:rPr>
              <w:t> </w:t>
            </w:r>
          </w:p>
          <w:p w14:paraId="6CD1FC43" w14:textId="77777777" w:rsidR="00AB7893" w:rsidRPr="00A66E18" w:rsidRDefault="00AB7893" w:rsidP="006E5E0B">
            <w:pPr>
              <w:spacing w:after="0"/>
              <w:textAlignment w:val="baseline"/>
              <w:rPr>
                <w:rFonts w:cs="Segoe UI"/>
                <w:sz w:val="22"/>
                <w:szCs w:val="22"/>
                <w:lang w:eastAsia="en-IE"/>
              </w:rPr>
            </w:pPr>
            <w:r w:rsidRPr="00A66E18">
              <w:rPr>
                <w:rFonts w:cs="Calibri"/>
                <w:sz w:val="22"/>
                <w:szCs w:val="22"/>
                <w:lang w:eastAsia="en-IE"/>
              </w:rPr>
              <w:t>day service new directions</w:t>
            </w:r>
            <w:r w:rsidRPr="00A66E18">
              <w:rPr>
                <w:rFonts w:ascii="Arial" w:hAnsi="Arial" w:cs="Arial"/>
                <w:sz w:val="22"/>
                <w:szCs w:val="22"/>
                <w:lang w:eastAsia="en-IE"/>
              </w:rPr>
              <w:t> </w:t>
            </w:r>
            <w:r w:rsidRPr="00A66E18">
              <w:rPr>
                <w:rFonts w:cs="Calibri"/>
                <w:sz w:val="22"/>
                <w:szCs w:val="22"/>
                <w:lang w:eastAsia="en-IE"/>
              </w:rPr>
              <w:t xml:space="preserve"> (NS) </w:t>
            </w:r>
          </w:p>
        </w:tc>
      </w:tr>
    </w:tbl>
    <w:p w14:paraId="20D2F794" w14:textId="77777777" w:rsidR="00AB7893" w:rsidRDefault="00AB7893" w:rsidP="007348D7">
      <w:pPr>
        <w:pStyle w:val="Heading2"/>
      </w:pPr>
    </w:p>
    <w:p w14:paraId="7645E43D" w14:textId="77777777" w:rsidR="00AB7893" w:rsidRPr="00AB7893" w:rsidRDefault="00AB7893" w:rsidP="00AB7893"/>
    <w:bookmarkEnd w:id="297"/>
    <w:bookmarkEnd w:id="298"/>
    <w:bookmarkEnd w:id="299"/>
    <w:p w14:paraId="4E69D141" w14:textId="0C2AB9CE" w:rsidR="00AB7893" w:rsidRDefault="00AB7893">
      <w:pPr>
        <w:spacing w:after="0"/>
        <w:rPr>
          <w:rFonts w:cs="Arial Bold"/>
          <w:b/>
          <w:bCs/>
          <w:iCs/>
          <w:sz w:val="30"/>
          <w:szCs w:val="28"/>
        </w:rPr>
      </w:pPr>
    </w:p>
    <w:sectPr w:rsidR="00AB7893" w:rsidSect="00C03842">
      <w:pgSz w:w="12240" w:h="15840"/>
      <w:pgMar w:top="113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DB7D5" w14:textId="77777777" w:rsidR="000B6568" w:rsidRDefault="000B6568">
      <w:r>
        <w:separator/>
      </w:r>
    </w:p>
  </w:endnote>
  <w:endnote w:type="continuationSeparator" w:id="0">
    <w:p w14:paraId="5FDE9428" w14:textId="77777777" w:rsidR="000B6568" w:rsidRDefault="000B6568">
      <w:r>
        <w:continuationSeparator/>
      </w:r>
    </w:p>
  </w:endnote>
  <w:endnote w:type="continuationNotice" w:id="1">
    <w:p w14:paraId="4625CADA" w14:textId="77777777" w:rsidR="000B6568" w:rsidRDefault="000B65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w:altName w:val="Gill Sans MT"/>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ource Sans Pro">
    <w:altName w:val="Cambria Math"/>
    <w:panose1 w:val="00000000000000000000"/>
    <w:charset w:val="00"/>
    <w:family w:val="swiss"/>
    <w:notTrueType/>
    <w:pitch w:val="variable"/>
    <w:sig w:usb0="00000001" w:usb1="02000001" w:usb2="00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Daytona">
    <w:charset w:val="00"/>
    <w:family w:val="swiss"/>
    <w:pitch w:val="variable"/>
    <w:sig w:usb0="800002EF" w:usb1="0000000A"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IBM Plex Sans">
    <w:charset w:val="00"/>
    <w:family w:val="swiss"/>
    <w:pitch w:val="variable"/>
    <w:sig w:usb0="A00002EF" w:usb1="5000207B" w:usb2="00000000" w:usb3="00000000" w:csb0="0000019F" w:csb1="00000000"/>
  </w:font>
  <w:font w:name="Open Sans">
    <w:panose1 w:val="020B0606030504020204"/>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314951"/>
      <w:docPartObj>
        <w:docPartGallery w:val="Page Numbers (Bottom of Page)"/>
        <w:docPartUnique/>
      </w:docPartObj>
    </w:sdtPr>
    <w:sdtEndPr>
      <w:rPr>
        <w:color w:val="auto"/>
        <w:spacing w:val="60"/>
      </w:rPr>
    </w:sdtEndPr>
    <w:sdtContent>
      <w:p w14:paraId="291B0236" w14:textId="033A71F0" w:rsidR="00D265B8" w:rsidRDefault="00D265B8" w:rsidP="00F7484F">
        <w:pPr>
          <w:pStyle w:val="Footer"/>
          <w:pBdr>
            <w:top w:val="single" w:sz="4" w:space="1" w:color="D9D9D9" w:themeColor="background1" w:themeShade="D9"/>
          </w:pBdr>
          <w:jc w:val="center"/>
        </w:pPr>
        <w:r>
          <w:fldChar w:fldCharType="begin"/>
        </w:r>
        <w:r>
          <w:instrText xml:space="preserve"> PAGE   \* MERGEFORMAT </w:instrText>
        </w:r>
        <w:r>
          <w:fldChar w:fldCharType="separate"/>
        </w:r>
        <w:r w:rsidR="00907ED5">
          <w:rPr>
            <w:noProof/>
          </w:rPr>
          <w:t>i</w:t>
        </w:r>
        <w:r>
          <w:rPr>
            <w:noProof/>
          </w:rPr>
          <w:fldChar w:fldCharType="end"/>
        </w:r>
        <w:r>
          <w:t xml:space="preserve"> | </w:t>
        </w:r>
        <w:r w:rsidRPr="00DF7827">
          <w:rPr>
            <w:color w:val="auto"/>
            <w:spacing w:val="60"/>
          </w:rPr>
          <w:t>Page</w:t>
        </w:r>
      </w:p>
    </w:sdtContent>
  </w:sdt>
  <w:p w14:paraId="294FFD90" w14:textId="70A5F0FD" w:rsidR="00D265B8" w:rsidRDefault="00D265B8" w:rsidP="00E07E16">
    <w:pPr>
      <w:pStyle w:val="Footer"/>
      <w:ind w:left="-1701" w:right="-165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F52A9" w14:textId="77777777" w:rsidR="000B6568" w:rsidRDefault="000B6568">
      <w:r>
        <w:separator/>
      </w:r>
    </w:p>
  </w:footnote>
  <w:footnote w:type="continuationSeparator" w:id="0">
    <w:p w14:paraId="37F8BF2E" w14:textId="77777777" w:rsidR="000B6568" w:rsidRDefault="000B6568">
      <w:r>
        <w:continuationSeparator/>
      </w:r>
    </w:p>
  </w:footnote>
  <w:footnote w:type="continuationNotice" w:id="1">
    <w:p w14:paraId="7415BAF5" w14:textId="77777777" w:rsidR="000B6568" w:rsidRDefault="000B6568">
      <w:pPr>
        <w:spacing w:after="0"/>
      </w:pPr>
    </w:p>
  </w:footnote>
  <w:footnote w:id="2">
    <w:p w14:paraId="6EA4820C" w14:textId="78D6620B" w:rsidR="00D265B8" w:rsidRDefault="00D265B8">
      <w:pPr>
        <w:pStyle w:val="FootnoteText"/>
      </w:pPr>
      <w:r>
        <w:rPr>
          <w:rStyle w:val="FootnoteReference"/>
        </w:rPr>
        <w:footnoteRef/>
      </w:r>
      <w:r>
        <w:t xml:space="preserve"> Participants are identified by pseudonyms, followed by a letters to identify which cohort they are from: D - direct care staff; M – manager; FAM – family member’ OP – older person. Survey respondents’ narratives are followed by the letter ‘S’.</w:t>
      </w:r>
    </w:p>
  </w:footnote>
</w:footnotes>
</file>

<file path=word/intelligence2.xml><?xml version="1.0" encoding="utf-8"?>
<int2:intelligence xmlns:int2="http://schemas.microsoft.com/office/intelligence/2020/intelligence" xmlns:oel="http://schemas.microsoft.com/office/2019/extlst">
  <int2:observations>
    <int2:bookmark int2:bookmarkName="_Int_ZGYCMgVM" int2:invalidationBookmarkName="" int2:hashCode="HMJAJzb7J/4fEv" int2:id="tuE4hLWT">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48D0E67E"/>
    <w:lvl w:ilvl="0">
      <w:start w:val="1"/>
      <w:numFmt w:val="decimal"/>
      <w:pStyle w:val="ListNumber3"/>
      <w:lvlText w:val="%1."/>
      <w:lvlJc w:val="left"/>
      <w:pPr>
        <w:tabs>
          <w:tab w:val="num" w:pos="926"/>
        </w:tabs>
        <w:ind w:left="926" w:hanging="360"/>
      </w:pPr>
    </w:lvl>
  </w:abstractNum>
  <w:abstractNum w:abstractNumId="1" w15:restartNumberingAfterBreak="0">
    <w:nsid w:val="FFFFFF82"/>
    <w:multiLevelType w:val="singleLevel"/>
    <w:tmpl w:val="A64C2CEC"/>
    <w:lvl w:ilvl="0">
      <w:start w:val="1"/>
      <w:numFmt w:val="bullet"/>
      <w:pStyle w:val="ListBullet3"/>
      <w:lvlText w:val=""/>
      <w:lvlJc w:val="left"/>
      <w:pPr>
        <w:tabs>
          <w:tab w:val="num" w:pos="360"/>
        </w:tabs>
        <w:ind w:left="360" w:hanging="360"/>
      </w:pPr>
      <w:rPr>
        <w:rFonts w:ascii="Symbol" w:hAnsi="Symbol" w:hint="default"/>
        <w:sz w:val="20"/>
        <w:szCs w:val="20"/>
      </w:rPr>
    </w:lvl>
  </w:abstractNum>
  <w:abstractNum w:abstractNumId="2" w15:restartNumberingAfterBreak="0">
    <w:nsid w:val="FFFFFF83"/>
    <w:multiLevelType w:val="singleLevel"/>
    <w:tmpl w:val="1B8401F8"/>
    <w:lvl w:ilvl="0">
      <w:start w:val="1"/>
      <w:numFmt w:val="bullet"/>
      <w:pStyle w:val="ListBullet2"/>
      <w:lvlText w:val=""/>
      <w:lvlJc w:val="left"/>
      <w:pPr>
        <w:tabs>
          <w:tab w:val="num" w:pos="717"/>
        </w:tabs>
        <w:ind w:left="717" w:hanging="360"/>
      </w:pPr>
      <w:rPr>
        <w:rFonts w:ascii="Symbol" w:hAnsi="Symbol" w:cs="Times New Roman" w:hint="default"/>
        <w:sz w:val="20"/>
        <w:szCs w:val="20"/>
      </w:rPr>
    </w:lvl>
  </w:abstractNum>
  <w:abstractNum w:abstractNumId="3" w15:restartNumberingAfterBreak="0">
    <w:nsid w:val="FFFFFF88"/>
    <w:multiLevelType w:val="singleLevel"/>
    <w:tmpl w:val="B22CEC76"/>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C3345D9C"/>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5" w15:restartNumberingAfterBreak="0">
    <w:nsid w:val="09647892"/>
    <w:multiLevelType w:val="hybridMultilevel"/>
    <w:tmpl w:val="906AC940"/>
    <w:lvl w:ilvl="0" w:tplc="F6EE946A">
      <w:start w:val="1"/>
      <w:numFmt w:val="bullet"/>
      <w:lvlText w:val="o"/>
      <w:lvlJc w:val="left"/>
      <w:pPr>
        <w:ind w:left="720" w:hanging="360"/>
      </w:pPr>
      <w:rPr>
        <w:rFonts w:ascii="Courier New" w:hAnsi="Courier New" w:cs="Courier New" w:hint="default"/>
        <w:sz w:val="36"/>
        <w:szCs w:val="3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A1463D6"/>
    <w:multiLevelType w:val="hybridMultilevel"/>
    <w:tmpl w:val="9E0A4D7A"/>
    <w:lvl w:ilvl="0" w:tplc="1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BB2603B"/>
    <w:multiLevelType w:val="hybridMultilevel"/>
    <w:tmpl w:val="49C8DDE8"/>
    <w:lvl w:ilvl="0" w:tplc="18090015">
      <w:start w:val="1"/>
      <w:numFmt w:val="upperLetter"/>
      <w:lvlText w:val="%1."/>
      <w:lvlJc w:val="left"/>
      <w:pPr>
        <w:ind w:left="1494"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6C82BAD"/>
    <w:multiLevelType w:val="hybridMultilevel"/>
    <w:tmpl w:val="EEE096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241828"/>
    <w:multiLevelType w:val="hybridMultilevel"/>
    <w:tmpl w:val="C87016CA"/>
    <w:lvl w:ilvl="0" w:tplc="1809000F">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AC408DC"/>
    <w:multiLevelType w:val="hybridMultilevel"/>
    <w:tmpl w:val="47A01CBA"/>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AE02B9D"/>
    <w:multiLevelType w:val="singleLevel"/>
    <w:tmpl w:val="F6EE946A"/>
    <w:lvl w:ilvl="0">
      <w:start w:val="1"/>
      <w:numFmt w:val="bullet"/>
      <w:lvlText w:val="o"/>
      <w:lvlJc w:val="left"/>
      <w:pPr>
        <w:ind w:left="720" w:hanging="360"/>
      </w:pPr>
      <w:rPr>
        <w:rFonts w:ascii="Courier New" w:hAnsi="Courier New" w:cs="Courier New" w:hint="default"/>
        <w:sz w:val="36"/>
        <w:szCs w:val="36"/>
      </w:rPr>
    </w:lvl>
  </w:abstractNum>
  <w:abstractNum w:abstractNumId="12" w15:restartNumberingAfterBreak="0">
    <w:nsid w:val="244F3305"/>
    <w:multiLevelType w:val="hybridMultilevel"/>
    <w:tmpl w:val="EC701C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57D77B7"/>
    <w:multiLevelType w:val="hybridMultilevel"/>
    <w:tmpl w:val="0EB6B288"/>
    <w:lvl w:ilvl="0" w:tplc="18090001">
      <w:start w:val="1"/>
      <w:numFmt w:val="bullet"/>
      <w:lvlText w:val=""/>
      <w:lvlJc w:val="left"/>
      <w:pPr>
        <w:ind w:left="720" w:hanging="360"/>
      </w:pPr>
      <w:rPr>
        <w:rFonts w:ascii="Symbol" w:hAnsi="Symbol" w:hint="default"/>
      </w:rPr>
    </w:lvl>
    <w:lvl w:ilvl="1" w:tplc="18090003" w:tentative="1">
      <w:start w:val="1"/>
      <w:numFmt w:val="lowerLetter"/>
      <w:lvlText w:val="%2."/>
      <w:lvlJc w:val="left"/>
      <w:pPr>
        <w:ind w:left="1440" w:hanging="360"/>
      </w:pPr>
    </w:lvl>
    <w:lvl w:ilvl="2" w:tplc="18090005" w:tentative="1">
      <w:start w:val="1"/>
      <w:numFmt w:val="lowerRoman"/>
      <w:lvlText w:val="%3."/>
      <w:lvlJc w:val="right"/>
      <w:pPr>
        <w:ind w:left="2160" w:hanging="180"/>
      </w:pPr>
    </w:lvl>
    <w:lvl w:ilvl="3" w:tplc="18090001" w:tentative="1">
      <w:start w:val="1"/>
      <w:numFmt w:val="decimal"/>
      <w:lvlText w:val="%4."/>
      <w:lvlJc w:val="left"/>
      <w:pPr>
        <w:ind w:left="2880" w:hanging="360"/>
      </w:pPr>
    </w:lvl>
    <w:lvl w:ilvl="4" w:tplc="18090003" w:tentative="1">
      <w:start w:val="1"/>
      <w:numFmt w:val="lowerLetter"/>
      <w:lvlText w:val="%5."/>
      <w:lvlJc w:val="left"/>
      <w:pPr>
        <w:ind w:left="3600" w:hanging="360"/>
      </w:pPr>
    </w:lvl>
    <w:lvl w:ilvl="5" w:tplc="18090005" w:tentative="1">
      <w:start w:val="1"/>
      <w:numFmt w:val="lowerRoman"/>
      <w:lvlText w:val="%6."/>
      <w:lvlJc w:val="right"/>
      <w:pPr>
        <w:ind w:left="4320" w:hanging="180"/>
      </w:pPr>
    </w:lvl>
    <w:lvl w:ilvl="6" w:tplc="18090001" w:tentative="1">
      <w:start w:val="1"/>
      <w:numFmt w:val="decimal"/>
      <w:lvlText w:val="%7."/>
      <w:lvlJc w:val="left"/>
      <w:pPr>
        <w:ind w:left="5040" w:hanging="360"/>
      </w:pPr>
    </w:lvl>
    <w:lvl w:ilvl="7" w:tplc="18090003" w:tentative="1">
      <w:start w:val="1"/>
      <w:numFmt w:val="lowerLetter"/>
      <w:lvlText w:val="%8."/>
      <w:lvlJc w:val="left"/>
      <w:pPr>
        <w:ind w:left="5760" w:hanging="360"/>
      </w:pPr>
    </w:lvl>
    <w:lvl w:ilvl="8" w:tplc="18090005" w:tentative="1">
      <w:start w:val="1"/>
      <w:numFmt w:val="lowerRoman"/>
      <w:lvlText w:val="%9."/>
      <w:lvlJc w:val="right"/>
      <w:pPr>
        <w:ind w:left="6480" w:hanging="180"/>
      </w:pPr>
    </w:lvl>
  </w:abstractNum>
  <w:abstractNum w:abstractNumId="14" w15:restartNumberingAfterBreak="0">
    <w:nsid w:val="25F31A82"/>
    <w:multiLevelType w:val="hybridMultilevel"/>
    <w:tmpl w:val="7EECB05A"/>
    <w:lvl w:ilvl="0" w:tplc="18090001">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786760A"/>
    <w:multiLevelType w:val="hybridMultilevel"/>
    <w:tmpl w:val="372295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7E40017"/>
    <w:multiLevelType w:val="hybridMultilevel"/>
    <w:tmpl w:val="2248A0C2"/>
    <w:lvl w:ilvl="0" w:tplc="1809000F">
      <w:start w:val="1"/>
      <w:numFmt w:val="bullet"/>
      <w:lvlText w:val=""/>
      <w:lvlJc w:val="left"/>
      <w:pPr>
        <w:ind w:left="720" w:hanging="360"/>
      </w:pPr>
      <w:rPr>
        <w:rFonts w:ascii="Symbol" w:hAnsi="Symbol" w:hint="default"/>
      </w:rPr>
    </w:lvl>
    <w:lvl w:ilvl="1" w:tplc="18090019" w:tentative="1">
      <w:start w:val="1"/>
      <w:numFmt w:val="bullet"/>
      <w:lvlText w:val="o"/>
      <w:lvlJc w:val="left"/>
      <w:pPr>
        <w:ind w:left="1440" w:hanging="360"/>
      </w:pPr>
      <w:rPr>
        <w:rFonts w:ascii="Courier New" w:hAnsi="Courier New" w:cs="Courier New" w:hint="default"/>
      </w:rPr>
    </w:lvl>
    <w:lvl w:ilvl="2" w:tplc="1809001B" w:tentative="1">
      <w:start w:val="1"/>
      <w:numFmt w:val="bullet"/>
      <w:lvlText w:val=""/>
      <w:lvlJc w:val="left"/>
      <w:pPr>
        <w:ind w:left="2160" w:hanging="360"/>
      </w:pPr>
      <w:rPr>
        <w:rFonts w:ascii="Wingdings" w:hAnsi="Wingdings" w:hint="default"/>
      </w:rPr>
    </w:lvl>
    <w:lvl w:ilvl="3" w:tplc="1809000F" w:tentative="1">
      <w:start w:val="1"/>
      <w:numFmt w:val="bullet"/>
      <w:lvlText w:val=""/>
      <w:lvlJc w:val="left"/>
      <w:pPr>
        <w:ind w:left="2880" w:hanging="360"/>
      </w:pPr>
      <w:rPr>
        <w:rFonts w:ascii="Symbol" w:hAnsi="Symbol" w:hint="default"/>
      </w:rPr>
    </w:lvl>
    <w:lvl w:ilvl="4" w:tplc="18090019" w:tentative="1">
      <w:start w:val="1"/>
      <w:numFmt w:val="bullet"/>
      <w:lvlText w:val="o"/>
      <w:lvlJc w:val="left"/>
      <w:pPr>
        <w:ind w:left="3600" w:hanging="360"/>
      </w:pPr>
      <w:rPr>
        <w:rFonts w:ascii="Courier New" w:hAnsi="Courier New" w:cs="Courier New" w:hint="default"/>
      </w:rPr>
    </w:lvl>
    <w:lvl w:ilvl="5" w:tplc="1809001B" w:tentative="1">
      <w:start w:val="1"/>
      <w:numFmt w:val="bullet"/>
      <w:lvlText w:val=""/>
      <w:lvlJc w:val="left"/>
      <w:pPr>
        <w:ind w:left="4320" w:hanging="360"/>
      </w:pPr>
      <w:rPr>
        <w:rFonts w:ascii="Wingdings" w:hAnsi="Wingdings" w:hint="default"/>
      </w:rPr>
    </w:lvl>
    <w:lvl w:ilvl="6" w:tplc="1809000F" w:tentative="1">
      <w:start w:val="1"/>
      <w:numFmt w:val="bullet"/>
      <w:lvlText w:val=""/>
      <w:lvlJc w:val="left"/>
      <w:pPr>
        <w:ind w:left="5040" w:hanging="360"/>
      </w:pPr>
      <w:rPr>
        <w:rFonts w:ascii="Symbol" w:hAnsi="Symbol" w:hint="default"/>
      </w:rPr>
    </w:lvl>
    <w:lvl w:ilvl="7" w:tplc="18090019" w:tentative="1">
      <w:start w:val="1"/>
      <w:numFmt w:val="bullet"/>
      <w:lvlText w:val="o"/>
      <w:lvlJc w:val="left"/>
      <w:pPr>
        <w:ind w:left="5760" w:hanging="360"/>
      </w:pPr>
      <w:rPr>
        <w:rFonts w:ascii="Courier New" w:hAnsi="Courier New" w:cs="Courier New" w:hint="default"/>
      </w:rPr>
    </w:lvl>
    <w:lvl w:ilvl="8" w:tplc="1809001B" w:tentative="1">
      <w:start w:val="1"/>
      <w:numFmt w:val="bullet"/>
      <w:lvlText w:val=""/>
      <w:lvlJc w:val="left"/>
      <w:pPr>
        <w:ind w:left="6480" w:hanging="360"/>
      </w:pPr>
      <w:rPr>
        <w:rFonts w:ascii="Wingdings" w:hAnsi="Wingdings" w:hint="default"/>
      </w:rPr>
    </w:lvl>
  </w:abstractNum>
  <w:abstractNum w:abstractNumId="17" w15:restartNumberingAfterBreak="0">
    <w:nsid w:val="29526E15"/>
    <w:multiLevelType w:val="hybridMultilevel"/>
    <w:tmpl w:val="B1DCCA9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A9C543C"/>
    <w:multiLevelType w:val="hybridMultilevel"/>
    <w:tmpl w:val="5CCEA034"/>
    <w:styleLink w:val="Multipunch"/>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AD44435"/>
    <w:multiLevelType w:val="hybridMultilevel"/>
    <w:tmpl w:val="C7140406"/>
    <w:lvl w:ilvl="0" w:tplc="F6EE946A">
      <w:start w:val="1"/>
      <w:numFmt w:val="bullet"/>
      <w:lvlText w:val="o"/>
      <w:lvlJc w:val="left"/>
      <w:pPr>
        <w:ind w:left="720" w:hanging="360"/>
      </w:pPr>
      <w:rPr>
        <w:rFonts w:ascii="Courier New" w:hAnsi="Courier New" w:cs="Courier New" w:hint="default"/>
        <w:sz w:val="36"/>
        <w:szCs w:val="3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2F4D6611"/>
    <w:multiLevelType w:val="hybridMultilevel"/>
    <w:tmpl w:val="DD12A2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1D20EA4"/>
    <w:multiLevelType w:val="hybridMultilevel"/>
    <w:tmpl w:val="DC321ED0"/>
    <w:lvl w:ilvl="0" w:tplc="1809000F">
      <w:start w:val="1"/>
      <w:numFmt w:val="bullet"/>
      <w:lvlText w:val="o"/>
      <w:lvlJc w:val="left"/>
      <w:pPr>
        <w:ind w:left="1146" w:hanging="360"/>
      </w:pPr>
      <w:rPr>
        <w:rFonts w:ascii="Courier New" w:hAnsi="Courier New" w:cs="Courier New" w:hint="default"/>
      </w:rPr>
    </w:lvl>
    <w:lvl w:ilvl="1" w:tplc="18090019" w:tentative="1">
      <w:start w:val="1"/>
      <w:numFmt w:val="bullet"/>
      <w:lvlText w:val="o"/>
      <w:lvlJc w:val="left"/>
      <w:pPr>
        <w:ind w:left="1866" w:hanging="360"/>
      </w:pPr>
      <w:rPr>
        <w:rFonts w:ascii="Courier New" w:hAnsi="Courier New" w:cs="Courier New" w:hint="default"/>
      </w:rPr>
    </w:lvl>
    <w:lvl w:ilvl="2" w:tplc="1809001B" w:tentative="1">
      <w:start w:val="1"/>
      <w:numFmt w:val="bullet"/>
      <w:lvlText w:val=""/>
      <w:lvlJc w:val="left"/>
      <w:pPr>
        <w:ind w:left="2586" w:hanging="360"/>
      </w:pPr>
      <w:rPr>
        <w:rFonts w:ascii="Wingdings" w:hAnsi="Wingdings" w:hint="default"/>
      </w:rPr>
    </w:lvl>
    <w:lvl w:ilvl="3" w:tplc="1809000F" w:tentative="1">
      <w:start w:val="1"/>
      <w:numFmt w:val="bullet"/>
      <w:lvlText w:val=""/>
      <w:lvlJc w:val="left"/>
      <w:pPr>
        <w:ind w:left="3306" w:hanging="360"/>
      </w:pPr>
      <w:rPr>
        <w:rFonts w:ascii="Symbol" w:hAnsi="Symbol" w:hint="default"/>
      </w:rPr>
    </w:lvl>
    <w:lvl w:ilvl="4" w:tplc="18090019" w:tentative="1">
      <w:start w:val="1"/>
      <w:numFmt w:val="bullet"/>
      <w:lvlText w:val="o"/>
      <w:lvlJc w:val="left"/>
      <w:pPr>
        <w:ind w:left="4026" w:hanging="360"/>
      </w:pPr>
      <w:rPr>
        <w:rFonts w:ascii="Courier New" w:hAnsi="Courier New" w:cs="Courier New" w:hint="default"/>
      </w:rPr>
    </w:lvl>
    <w:lvl w:ilvl="5" w:tplc="1809001B" w:tentative="1">
      <w:start w:val="1"/>
      <w:numFmt w:val="bullet"/>
      <w:lvlText w:val=""/>
      <w:lvlJc w:val="left"/>
      <w:pPr>
        <w:ind w:left="4746" w:hanging="360"/>
      </w:pPr>
      <w:rPr>
        <w:rFonts w:ascii="Wingdings" w:hAnsi="Wingdings" w:hint="default"/>
      </w:rPr>
    </w:lvl>
    <w:lvl w:ilvl="6" w:tplc="1809000F" w:tentative="1">
      <w:start w:val="1"/>
      <w:numFmt w:val="bullet"/>
      <w:lvlText w:val=""/>
      <w:lvlJc w:val="left"/>
      <w:pPr>
        <w:ind w:left="5466" w:hanging="360"/>
      </w:pPr>
      <w:rPr>
        <w:rFonts w:ascii="Symbol" w:hAnsi="Symbol" w:hint="default"/>
      </w:rPr>
    </w:lvl>
    <w:lvl w:ilvl="7" w:tplc="18090019" w:tentative="1">
      <w:start w:val="1"/>
      <w:numFmt w:val="bullet"/>
      <w:lvlText w:val="o"/>
      <w:lvlJc w:val="left"/>
      <w:pPr>
        <w:ind w:left="6186" w:hanging="360"/>
      </w:pPr>
      <w:rPr>
        <w:rFonts w:ascii="Courier New" w:hAnsi="Courier New" w:cs="Courier New" w:hint="default"/>
      </w:rPr>
    </w:lvl>
    <w:lvl w:ilvl="8" w:tplc="1809001B" w:tentative="1">
      <w:start w:val="1"/>
      <w:numFmt w:val="bullet"/>
      <w:lvlText w:val=""/>
      <w:lvlJc w:val="left"/>
      <w:pPr>
        <w:ind w:left="6906" w:hanging="360"/>
      </w:pPr>
      <w:rPr>
        <w:rFonts w:ascii="Wingdings" w:hAnsi="Wingdings" w:hint="default"/>
      </w:rPr>
    </w:lvl>
  </w:abstractNum>
  <w:abstractNum w:abstractNumId="22" w15:restartNumberingAfterBreak="0">
    <w:nsid w:val="33CA0E40"/>
    <w:multiLevelType w:val="hybridMultilevel"/>
    <w:tmpl w:val="8146E3A4"/>
    <w:lvl w:ilvl="0" w:tplc="18090003">
      <w:start w:val="1"/>
      <w:numFmt w:val="decimal"/>
      <w:lvlText w:val="%1."/>
      <w:lvlJc w:val="left"/>
      <w:pPr>
        <w:ind w:left="720" w:hanging="360"/>
      </w:pPr>
      <w:rPr>
        <w:rFonts w:hint="default"/>
      </w:rPr>
    </w:lvl>
    <w:lvl w:ilvl="1" w:tplc="18090003" w:tentative="1">
      <w:start w:val="1"/>
      <w:numFmt w:val="lowerLetter"/>
      <w:lvlText w:val="%2."/>
      <w:lvlJc w:val="left"/>
      <w:pPr>
        <w:ind w:left="1440" w:hanging="360"/>
      </w:pPr>
    </w:lvl>
    <w:lvl w:ilvl="2" w:tplc="18090005" w:tentative="1">
      <w:start w:val="1"/>
      <w:numFmt w:val="lowerRoman"/>
      <w:lvlText w:val="%3."/>
      <w:lvlJc w:val="right"/>
      <w:pPr>
        <w:ind w:left="2160" w:hanging="180"/>
      </w:pPr>
    </w:lvl>
    <w:lvl w:ilvl="3" w:tplc="18090001" w:tentative="1">
      <w:start w:val="1"/>
      <w:numFmt w:val="decimal"/>
      <w:lvlText w:val="%4."/>
      <w:lvlJc w:val="left"/>
      <w:pPr>
        <w:ind w:left="2880" w:hanging="360"/>
      </w:pPr>
    </w:lvl>
    <w:lvl w:ilvl="4" w:tplc="18090003" w:tentative="1">
      <w:start w:val="1"/>
      <w:numFmt w:val="lowerLetter"/>
      <w:lvlText w:val="%5."/>
      <w:lvlJc w:val="left"/>
      <w:pPr>
        <w:ind w:left="3600" w:hanging="360"/>
      </w:pPr>
    </w:lvl>
    <w:lvl w:ilvl="5" w:tplc="18090005" w:tentative="1">
      <w:start w:val="1"/>
      <w:numFmt w:val="lowerRoman"/>
      <w:lvlText w:val="%6."/>
      <w:lvlJc w:val="right"/>
      <w:pPr>
        <w:ind w:left="4320" w:hanging="180"/>
      </w:pPr>
    </w:lvl>
    <w:lvl w:ilvl="6" w:tplc="18090001" w:tentative="1">
      <w:start w:val="1"/>
      <w:numFmt w:val="decimal"/>
      <w:lvlText w:val="%7."/>
      <w:lvlJc w:val="left"/>
      <w:pPr>
        <w:ind w:left="5040" w:hanging="360"/>
      </w:pPr>
    </w:lvl>
    <w:lvl w:ilvl="7" w:tplc="18090003" w:tentative="1">
      <w:start w:val="1"/>
      <w:numFmt w:val="lowerLetter"/>
      <w:lvlText w:val="%8."/>
      <w:lvlJc w:val="left"/>
      <w:pPr>
        <w:ind w:left="5760" w:hanging="360"/>
      </w:pPr>
    </w:lvl>
    <w:lvl w:ilvl="8" w:tplc="18090005" w:tentative="1">
      <w:start w:val="1"/>
      <w:numFmt w:val="lowerRoman"/>
      <w:lvlText w:val="%9."/>
      <w:lvlJc w:val="right"/>
      <w:pPr>
        <w:ind w:left="6480" w:hanging="180"/>
      </w:pPr>
    </w:lvl>
  </w:abstractNum>
  <w:abstractNum w:abstractNumId="23" w15:restartNumberingAfterBreak="0">
    <w:nsid w:val="3921605E"/>
    <w:multiLevelType w:val="hybridMultilevel"/>
    <w:tmpl w:val="A57052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20424FB"/>
    <w:multiLevelType w:val="hybridMultilevel"/>
    <w:tmpl w:val="FFFFFFFF"/>
    <w:lvl w:ilvl="0" w:tplc="1809000F">
      <w:start w:val="1"/>
      <w:numFmt w:val="bullet"/>
      <w:lvlText w:val="·"/>
      <w:lvlJc w:val="left"/>
      <w:pPr>
        <w:ind w:left="720" w:hanging="360"/>
      </w:pPr>
      <w:rPr>
        <w:rFonts w:ascii="Symbol" w:hAnsi="Symbol" w:hint="default"/>
      </w:rPr>
    </w:lvl>
    <w:lvl w:ilvl="1" w:tplc="18090019">
      <w:start w:val="1"/>
      <w:numFmt w:val="bullet"/>
      <w:lvlText w:val="o"/>
      <w:lvlJc w:val="left"/>
      <w:pPr>
        <w:ind w:left="1440" w:hanging="360"/>
      </w:pPr>
      <w:rPr>
        <w:rFonts w:ascii="Courier New" w:hAnsi="Courier New"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hint="default"/>
      </w:rPr>
    </w:lvl>
    <w:lvl w:ilvl="8" w:tplc="1809001B">
      <w:start w:val="1"/>
      <w:numFmt w:val="bullet"/>
      <w:lvlText w:val=""/>
      <w:lvlJc w:val="left"/>
      <w:pPr>
        <w:ind w:left="6480" w:hanging="360"/>
      </w:pPr>
      <w:rPr>
        <w:rFonts w:ascii="Wingdings" w:hAnsi="Wingdings" w:hint="default"/>
      </w:rPr>
    </w:lvl>
  </w:abstractNum>
  <w:abstractNum w:abstractNumId="25" w15:restartNumberingAfterBreak="0">
    <w:nsid w:val="43A01DC0"/>
    <w:multiLevelType w:val="hybridMultilevel"/>
    <w:tmpl w:val="121067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45544B5"/>
    <w:multiLevelType w:val="hybridMultilevel"/>
    <w:tmpl w:val="37A06474"/>
    <w:lvl w:ilvl="0" w:tplc="08D663B8">
      <w:start w:val="1"/>
      <w:numFmt w:val="bullet"/>
      <w:lvlText w:val=""/>
      <w:lvlJc w:val="left"/>
      <w:pPr>
        <w:ind w:left="720" w:hanging="360"/>
      </w:pPr>
      <w:rPr>
        <w:rFonts w:ascii="Symbol" w:hAnsi="Symbol" w:hint="default"/>
      </w:rPr>
    </w:lvl>
    <w:lvl w:ilvl="1" w:tplc="24CE448E" w:tentative="1">
      <w:start w:val="1"/>
      <w:numFmt w:val="bullet"/>
      <w:lvlText w:val="o"/>
      <w:lvlJc w:val="left"/>
      <w:pPr>
        <w:ind w:left="1440" w:hanging="360"/>
      </w:pPr>
      <w:rPr>
        <w:rFonts w:ascii="Courier New" w:hAnsi="Courier New" w:cs="Courier New" w:hint="default"/>
      </w:rPr>
    </w:lvl>
    <w:lvl w:ilvl="2" w:tplc="894C8E8C" w:tentative="1">
      <w:start w:val="1"/>
      <w:numFmt w:val="bullet"/>
      <w:lvlText w:val=""/>
      <w:lvlJc w:val="left"/>
      <w:pPr>
        <w:ind w:left="2160" w:hanging="360"/>
      </w:pPr>
      <w:rPr>
        <w:rFonts w:ascii="Wingdings" w:hAnsi="Wingdings" w:hint="default"/>
      </w:rPr>
    </w:lvl>
    <w:lvl w:ilvl="3" w:tplc="FE98A0AE" w:tentative="1">
      <w:start w:val="1"/>
      <w:numFmt w:val="bullet"/>
      <w:lvlText w:val=""/>
      <w:lvlJc w:val="left"/>
      <w:pPr>
        <w:ind w:left="2880" w:hanging="360"/>
      </w:pPr>
      <w:rPr>
        <w:rFonts w:ascii="Symbol" w:hAnsi="Symbol" w:hint="default"/>
      </w:rPr>
    </w:lvl>
    <w:lvl w:ilvl="4" w:tplc="B2306DF0" w:tentative="1">
      <w:start w:val="1"/>
      <w:numFmt w:val="bullet"/>
      <w:lvlText w:val="o"/>
      <w:lvlJc w:val="left"/>
      <w:pPr>
        <w:ind w:left="3600" w:hanging="360"/>
      </w:pPr>
      <w:rPr>
        <w:rFonts w:ascii="Courier New" w:hAnsi="Courier New" w:cs="Courier New" w:hint="default"/>
      </w:rPr>
    </w:lvl>
    <w:lvl w:ilvl="5" w:tplc="E8CEB274" w:tentative="1">
      <w:start w:val="1"/>
      <w:numFmt w:val="bullet"/>
      <w:lvlText w:val=""/>
      <w:lvlJc w:val="left"/>
      <w:pPr>
        <w:ind w:left="4320" w:hanging="360"/>
      </w:pPr>
      <w:rPr>
        <w:rFonts w:ascii="Wingdings" w:hAnsi="Wingdings" w:hint="default"/>
      </w:rPr>
    </w:lvl>
    <w:lvl w:ilvl="6" w:tplc="8E528B64" w:tentative="1">
      <w:start w:val="1"/>
      <w:numFmt w:val="bullet"/>
      <w:lvlText w:val=""/>
      <w:lvlJc w:val="left"/>
      <w:pPr>
        <w:ind w:left="5040" w:hanging="360"/>
      </w:pPr>
      <w:rPr>
        <w:rFonts w:ascii="Symbol" w:hAnsi="Symbol" w:hint="default"/>
      </w:rPr>
    </w:lvl>
    <w:lvl w:ilvl="7" w:tplc="E93666D2" w:tentative="1">
      <w:start w:val="1"/>
      <w:numFmt w:val="bullet"/>
      <w:lvlText w:val="o"/>
      <w:lvlJc w:val="left"/>
      <w:pPr>
        <w:ind w:left="5760" w:hanging="360"/>
      </w:pPr>
      <w:rPr>
        <w:rFonts w:ascii="Courier New" w:hAnsi="Courier New" w:cs="Courier New" w:hint="default"/>
      </w:rPr>
    </w:lvl>
    <w:lvl w:ilvl="8" w:tplc="EDD47C64" w:tentative="1">
      <w:start w:val="1"/>
      <w:numFmt w:val="bullet"/>
      <w:lvlText w:val=""/>
      <w:lvlJc w:val="left"/>
      <w:pPr>
        <w:ind w:left="6480" w:hanging="360"/>
      </w:pPr>
      <w:rPr>
        <w:rFonts w:ascii="Wingdings" w:hAnsi="Wingdings" w:hint="default"/>
      </w:rPr>
    </w:lvl>
  </w:abstractNum>
  <w:abstractNum w:abstractNumId="27" w15:restartNumberingAfterBreak="0">
    <w:nsid w:val="48040F31"/>
    <w:multiLevelType w:val="hybridMultilevel"/>
    <w:tmpl w:val="E8849B6E"/>
    <w:lvl w:ilvl="0" w:tplc="18090001">
      <w:start w:val="1"/>
      <w:numFmt w:val="decimal"/>
      <w:lvlText w:val="%1."/>
      <w:lvlJc w:val="left"/>
      <w:pPr>
        <w:ind w:left="720" w:hanging="360"/>
      </w:pPr>
      <w:rPr>
        <w:rFonts w:hint="default"/>
      </w:rPr>
    </w:lvl>
    <w:lvl w:ilvl="1" w:tplc="18090003">
      <w:start w:val="1"/>
      <w:numFmt w:val="bullet"/>
      <w:lvlText w:val="»"/>
      <w:lvlJc w:val="left"/>
      <w:pPr>
        <w:ind w:left="1440" w:hanging="360"/>
      </w:pPr>
      <w:rPr>
        <w:rFonts w:ascii="Gill Sans MT" w:hAnsi="Gill Sans MT" w:hint="default"/>
      </w:rPr>
    </w:lvl>
    <w:lvl w:ilvl="2" w:tplc="18090005" w:tentative="1">
      <w:start w:val="1"/>
      <w:numFmt w:val="lowerRoman"/>
      <w:lvlText w:val="%3."/>
      <w:lvlJc w:val="right"/>
      <w:pPr>
        <w:ind w:left="2160" w:hanging="180"/>
      </w:pPr>
    </w:lvl>
    <w:lvl w:ilvl="3" w:tplc="18090001" w:tentative="1">
      <w:start w:val="1"/>
      <w:numFmt w:val="decimal"/>
      <w:lvlText w:val="%4."/>
      <w:lvlJc w:val="left"/>
      <w:pPr>
        <w:ind w:left="2880" w:hanging="360"/>
      </w:pPr>
    </w:lvl>
    <w:lvl w:ilvl="4" w:tplc="18090003" w:tentative="1">
      <w:start w:val="1"/>
      <w:numFmt w:val="lowerLetter"/>
      <w:lvlText w:val="%5."/>
      <w:lvlJc w:val="left"/>
      <w:pPr>
        <w:ind w:left="3600" w:hanging="360"/>
      </w:pPr>
    </w:lvl>
    <w:lvl w:ilvl="5" w:tplc="18090005" w:tentative="1">
      <w:start w:val="1"/>
      <w:numFmt w:val="lowerRoman"/>
      <w:lvlText w:val="%6."/>
      <w:lvlJc w:val="right"/>
      <w:pPr>
        <w:ind w:left="4320" w:hanging="180"/>
      </w:pPr>
    </w:lvl>
    <w:lvl w:ilvl="6" w:tplc="18090001" w:tentative="1">
      <w:start w:val="1"/>
      <w:numFmt w:val="decimal"/>
      <w:lvlText w:val="%7."/>
      <w:lvlJc w:val="left"/>
      <w:pPr>
        <w:ind w:left="5040" w:hanging="360"/>
      </w:pPr>
    </w:lvl>
    <w:lvl w:ilvl="7" w:tplc="18090003" w:tentative="1">
      <w:start w:val="1"/>
      <w:numFmt w:val="lowerLetter"/>
      <w:lvlText w:val="%8."/>
      <w:lvlJc w:val="left"/>
      <w:pPr>
        <w:ind w:left="5760" w:hanging="360"/>
      </w:pPr>
    </w:lvl>
    <w:lvl w:ilvl="8" w:tplc="18090005" w:tentative="1">
      <w:start w:val="1"/>
      <w:numFmt w:val="lowerRoman"/>
      <w:lvlText w:val="%9."/>
      <w:lvlJc w:val="right"/>
      <w:pPr>
        <w:ind w:left="6480" w:hanging="180"/>
      </w:pPr>
    </w:lvl>
  </w:abstractNum>
  <w:abstractNum w:abstractNumId="28" w15:restartNumberingAfterBreak="0">
    <w:nsid w:val="494B0107"/>
    <w:multiLevelType w:val="hybridMultilevel"/>
    <w:tmpl w:val="0A2ED2C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A2778A6"/>
    <w:multiLevelType w:val="hybridMultilevel"/>
    <w:tmpl w:val="E52209E8"/>
    <w:styleLink w:val="Singlepunch"/>
    <w:lvl w:ilvl="0" w:tplc="663C683E">
      <w:start w:val="1"/>
      <w:numFmt w:val="decimal"/>
      <w:lvlText w:val="%1."/>
      <w:lvlJc w:val="left"/>
      <w:pPr>
        <w:ind w:left="786" w:hanging="360"/>
      </w:pPr>
      <w:rPr>
        <w:rFonts w:hint="default"/>
      </w:rPr>
    </w:lvl>
    <w:lvl w:ilvl="1" w:tplc="E4C01F8E">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644"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DDD59E7"/>
    <w:multiLevelType w:val="hybridMultilevel"/>
    <w:tmpl w:val="53AA1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FA94A6E"/>
    <w:multiLevelType w:val="singleLevel"/>
    <w:tmpl w:val="F6EE946A"/>
    <w:lvl w:ilvl="0">
      <w:start w:val="1"/>
      <w:numFmt w:val="bullet"/>
      <w:lvlText w:val="o"/>
      <w:lvlJc w:val="left"/>
      <w:pPr>
        <w:ind w:left="720" w:hanging="360"/>
      </w:pPr>
      <w:rPr>
        <w:rFonts w:ascii="Courier New" w:hAnsi="Courier New" w:cs="Courier New" w:hint="default"/>
        <w:sz w:val="36"/>
        <w:szCs w:val="36"/>
      </w:rPr>
    </w:lvl>
  </w:abstractNum>
  <w:abstractNum w:abstractNumId="32" w15:restartNumberingAfterBreak="0">
    <w:nsid w:val="4FCB5DB8"/>
    <w:multiLevelType w:val="hybridMultilevel"/>
    <w:tmpl w:val="B90215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2D5099F"/>
    <w:multiLevelType w:val="hybridMultilevel"/>
    <w:tmpl w:val="9ADC95FE"/>
    <w:lvl w:ilvl="0" w:tplc="8DE297AE">
      <w:start w:val="1"/>
      <w:numFmt w:val="bullet"/>
      <w:lvlText w:val=""/>
      <w:lvlJc w:val="left"/>
      <w:pPr>
        <w:ind w:left="720" w:hanging="360"/>
      </w:pPr>
      <w:rPr>
        <w:rFonts w:ascii="Symbol" w:hAnsi="Symbol" w:hint="default"/>
      </w:rPr>
    </w:lvl>
    <w:lvl w:ilvl="1" w:tplc="78606EFE" w:tentative="1">
      <w:start w:val="1"/>
      <w:numFmt w:val="bullet"/>
      <w:lvlText w:val="o"/>
      <w:lvlJc w:val="left"/>
      <w:pPr>
        <w:ind w:left="1440" w:hanging="360"/>
      </w:pPr>
      <w:rPr>
        <w:rFonts w:ascii="Courier New" w:hAnsi="Courier New" w:cs="Courier New" w:hint="default"/>
      </w:rPr>
    </w:lvl>
    <w:lvl w:ilvl="2" w:tplc="934C7074" w:tentative="1">
      <w:start w:val="1"/>
      <w:numFmt w:val="bullet"/>
      <w:lvlText w:val=""/>
      <w:lvlJc w:val="left"/>
      <w:pPr>
        <w:ind w:left="2160" w:hanging="360"/>
      </w:pPr>
      <w:rPr>
        <w:rFonts w:ascii="Wingdings" w:hAnsi="Wingdings" w:hint="default"/>
      </w:rPr>
    </w:lvl>
    <w:lvl w:ilvl="3" w:tplc="98CEB788" w:tentative="1">
      <w:start w:val="1"/>
      <w:numFmt w:val="bullet"/>
      <w:lvlText w:val=""/>
      <w:lvlJc w:val="left"/>
      <w:pPr>
        <w:ind w:left="2880" w:hanging="360"/>
      </w:pPr>
      <w:rPr>
        <w:rFonts w:ascii="Symbol" w:hAnsi="Symbol" w:hint="default"/>
      </w:rPr>
    </w:lvl>
    <w:lvl w:ilvl="4" w:tplc="55BA3976" w:tentative="1">
      <w:start w:val="1"/>
      <w:numFmt w:val="bullet"/>
      <w:lvlText w:val="o"/>
      <w:lvlJc w:val="left"/>
      <w:pPr>
        <w:ind w:left="3600" w:hanging="360"/>
      </w:pPr>
      <w:rPr>
        <w:rFonts w:ascii="Courier New" w:hAnsi="Courier New" w:cs="Courier New" w:hint="default"/>
      </w:rPr>
    </w:lvl>
    <w:lvl w:ilvl="5" w:tplc="C1FC7112" w:tentative="1">
      <w:start w:val="1"/>
      <w:numFmt w:val="bullet"/>
      <w:lvlText w:val=""/>
      <w:lvlJc w:val="left"/>
      <w:pPr>
        <w:ind w:left="4320" w:hanging="360"/>
      </w:pPr>
      <w:rPr>
        <w:rFonts w:ascii="Wingdings" w:hAnsi="Wingdings" w:hint="default"/>
      </w:rPr>
    </w:lvl>
    <w:lvl w:ilvl="6" w:tplc="27F2D014" w:tentative="1">
      <w:start w:val="1"/>
      <w:numFmt w:val="bullet"/>
      <w:lvlText w:val=""/>
      <w:lvlJc w:val="left"/>
      <w:pPr>
        <w:ind w:left="5040" w:hanging="360"/>
      </w:pPr>
      <w:rPr>
        <w:rFonts w:ascii="Symbol" w:hAnsi="Symbol" w:hint="default"/>
      </w:rPr>
    </w:lvl>
    <w:lvl w:ilvl="7" w:tplc="2BCCBD50" w:tentative="1">
      <w:start w:val="1"/>
      <w:numFmt w:val="bullet"/>
      <w:lvlText w:val="o"/>
      <w:lvlJc w:val="left"/>
      <w:pPr>
        <w:ind w:left="5760" w:hanging="360"/>
      </w:pPr>
      <w:rPr>
        <w:rFonts w:ascii="Courier New" w:hAnsi="Courier New" w:cs="Courier New" w:hint="default"/>
      </w:rPr>
    </w:lvl>
    <w:lvl w:ilvl="8" w:tplc="3E14DF18" w:tentative="1">
      <w:start w:val="1"/>
      <w:numFmt w:val="bullet"/>
      <w:lvlText w:val=""/>
      <w:lvlJc w:val="left"/>
      <w:pPr>
        <w:ind w:left="6480" w:hanging="360"/>
      </w:pPr>
      <w:rPr>
        <w:rFonts w:ascii="Wingdings" w:hAnsi="Wingdings" w:hint="default"/>
      </w:rPr>
    </w:lvl>
  </w:abstractNum>
  <w:abstractNum w:abstractNumId="34" w15:restartNumberingAfterBreak="0">
    <w:nsid w:val="54587F00"/>
    <w:multiLevelType w:val="hybridMultilevel"/>
    <w:tmpl w:val="4B9CEF60"/>
    <w:lvl w:ilvl="0" w:tplc="18090001">
      <w:start w:val="1"/>
      <w:numFmt w:val="bullet"/>
      <w:lvlText w:val=""/>
      <w:lvlJc w:val="left"/>
      <w:pPr>
        <w:ind w:left="643" w:hanging="360"/>
      </w:pPr>
      <w:rPr>
        <w:rFonts w:ascii="Symbol" w:hAnsi="Symbol" w:hint="default"/>
      </w:rPr>
    </w:lvl>
    <w:lvl w:ilvl="1" w:tplc="18090003" w:tentative="1">
      <w:start w:val="1"/>
      <w:numFmt w:val="bullet"/>
      <w:lvlText w:val="o"/>
      <w:lvlJc w:val="left"/>
      <w:pPr>
        <w:ind w:left="643" w:hanging="360"/>
      </w:pPr>
      <w:rPr>
        <w:rFonts w:ascii="Courier New" w:hAnsi="Courier New" w:cs="Courier New" w:hint="default"/>
      </w:rPr>
    </w:lvl>
    <w:lvl w:ilvl="2" w:tplc="18090005" w:tentative="1">
      <w:start w:val="1"/>
      <w:numFmt w:val="bullet"/>
      <w:lvlText w:val=""/>
      <w:lvlJc w:val="left"/>
      <w:pPr>
        <w:ind w:left="1363" w:hanging="360"/>
      </w:pPr>
      <w:rPr>
        <w:rFonts w:ascii="Wingdings" w:hAnsi="Wingdings" w:hint="default"/>
      </w:rPr>
    </w:lvl>
    <w:lvl w:ilvl="3" w:tplc="18090001" w:tentative="1">
      <w:start w:val="1"/>
      <w:numFmt w:val="bullet"/>
      <w:lvlText w:val=""/>
      <w:lvlJc w:val="left"/>
      <w:pPr>
        <w:ind w:left="2083" w:hanging="360"/>
      </w:pPr>
      <w:rPr>
        <w:rFonts w:ascii="Symbol" w:hAnsi="Symbol" w:hint="default"/>
      </w:rPr>
    </w:lvl>
    <w:lvl w:ilvl="4" w:tplc="18090003" w:tentative="1">
      <w:start w:val="1"/>
      <w:numFmt w:val="bullet"/>
      <w:lvlText w:val="o"/>
      <w:lvlJc w:val="left"/>
      <w:pPr>
        <w:ind w:left="2803" w:hanging="360"/>
      </w:pPr>
      <w:rPr>
        <w:rFonts w:ascii="Courier New" w:hAnsi="Courier New" w:cs="Courier New" w:hint="default"/>
      </w:rPr>
    </w:lvl>
    <w:lvl w:ilvl="5" w:tplc="18090005" w:tentative="1">
      <w:start w:val="1"/>
      <w:numFmt w:val="bullet"/>
      <w:lvlText w:val=""/>
      <w:lvlJc w:val="left"/>
      <w:pPr>
        <w:ind w:left="3523" w:hanging="360"/>
      </w:pPr>
      <w:rPr>
        <w:rFonts w:ascii="Wingdings" w:hAnsi="Wingdings" w:hint="default"/>
      </w:rPr>
    </w:lvl>
    <w:lvl w:ilvl="6" w:tplc="18090001" w:tentative="1">
      <w:start w:val="1"/>
      <w:numFmt w:val="bullet"/>
      <w:lvlText w:val=""/>
      <w:lvlJc w:val="left"/>
      <w:pPr>
        <w:ind w:left="4243" w:hanging="360"/>
      </w:pPr>
      <w:rPr>
        <w:rFonts w:ascii="Symbol" w:hAnsi="Symbol" w:hint="default"/>
      </w:rPr>
    </w:lvl>
    <w:lvl w:ilvl="7" w:tplc="18090003" w:tentative="1">
      <w:start w:val="1"/>
      <w:numFmt w:val="bullet"/>
      <w:lvlText w:val="o"/>
      <w:lvlJc w:val="left"/>
      <w:pPr>
        <w:ind w:left="4963" w:hanging="360"/>
      </w:pPr>
      <w:rPr>
        <w:rFonts w:ascii="Courier New" w:hAnsi="Courier New" w:cs="Courier New" w:hint="default"/>
      </w:rPr>
    </w:lvl>
    <w:lvl w:ilvl="8" w:tplc="18090005" w:tentative="1">
      <w:start w:val="1"/>
      <w:numFmt w:val="bullet"/>
      <w:lvlText w:val=""/>
      <w:lvlJc w:val="left"/>
      <w:pPr>
        <w:ind w:left="5683" w:hanging="360"/>
      </w:pPr>
      <w:rPr>
        <w:rFonts w:ascii="Wingdings" w:hAnsi="Wingdings" w:hint="default"/>
      </w:rPr>
    </w:lvl>
  </w:abstractNum>
  <w:abstractNum w:abstractNumId="35" w15:restartNumberingAfterBreak="0">
    <w:nsid w:val="55CF26D6"/>
    <w:multiLevelType w:val="hybridMultilevel"/>
    <w:tmpl w:val="049E7446"/>
    <w:lvl w:ilvl="0" w:tplc="18090001">
      <w:start w:val="1"/>
      <w:numFmt w:val="decimal"/>
      <w:lvlText w:val="%1."/>
      <w:lvlJc w:val="left"/>
      <w:pPr>
        <w:ind w:left="720" w:hanging="360"/>
      </w:pPr>
      <w:rPr>
        <w:rFonts w:hint="default"/>
      </w:rPr>
    </w:lvl>
    <w:lvl w:ilvl="1" w:tplc="18090003" w:tentative="1">
      <w:start w:val="1"/>
      <w:numFmt w:val="lowerLetter"/>
      <w:lvlText w:val="%2."/>
      <w:lvlJc w:val="left"/>
      <w:pPr>
        <w:ind w:left="1440" w:hanging="360"/>
      </w:pPr>
    </w:lvl>
    <w:lvl w:ilvl="2" w:tplc="18090005" w:tentative="1">
      <w:start w:val="1"/>
      <w:numFmt w:val="lowerRoman"/>
      <w:lvlText w:val="%3."/>
      <w:lvlJc w:val="right"/>
      <w:pPr>
        <w:ind w:left="2160" w:hanging="180"/>
      </w:pPr>
    </w:lvl>
    <w:lvl w:ilvl="3" w:tplc="18090001" w:tentative="1">
      <w:start w:val="1"/>
      <w:numFmt w:val="decimal"/>
      <w:lvlText w:val="%4."/>
      <w:lvlJc w:val="left"/>
      <w:pPr>
        <w:ind w:left="2880" w:hanging="360"/>
      </w:pPr>
    </w:lvl>
    <w:lvl w:ilvl="4" w:tplc="18090003" w:tentative="1">
      <w:start w:val="1"/>
      <w:numFmt w:val="lowerLetter"/>
      <w:lvlText w:val="%5."/>
      <w:lvlJc w:val="left"/>
      <w:pPr>
        <w:ind w:left="3600" w:hanging="360"/>
      </w:pPr>
    </w:lvl>
    <w:lvl w:ilvl="5" w:tplc="18090005" w:tentative="1">
      <w:start w:val="1"/>
      <w:numFmt w:val="lowerRoman"/>
      <w:lvlText w:val="%6."/>
      <w:lvlJc w:val="right"/>
      <w:pPr>
        <w:ind w:left="4320" w:hanging="180"/>
      </w:pPr>
    </w:lvl>
    <w:lvl w:ilvl="6" w:tplc="18090001" w:tentative="1">
      <w:start w:val="1"/>
      <w:numFmt w:val="decimal"/>
      <w:lvlText w:val="%7."/>
      <w:lvlJc w:val="left"/>
      <w:pPr>
        <w:ind w:left="5040" w:hanging="360"/>
      </w:pPr>
    </w:lvl>
    <w:lvl w:ilvl="7" w:tplc="18090003" w:tentative="1">
      <w:start w:val="1"/>
      <w:numFmt w:val="lowerLetter"/>
      <w:lvlText w:val="%8."/>
      <w:lvlJc w:val="left"/>
      <w:pPr>
        <w:ind w:left="5760" w:hanging="360"/>
      </w:pPr>
    </w:lvl>
    <w:lvl w:ilvl="8" w:tplc="18090005" w:tentative="1">
      <w:start w:val="1"/>
      <w:numFmt w:val="lowerRoman"/>
      <w:lvlText w:val="%9."/>
      <w:lvlJc w:val="right"/>
      <w:pPr>
        <w:ind w:left="6480" w:hanging="180"/>
      </w:pPr>
    </w:lvl>
  </w:abstractNum>
  <w:abstractNum w:abstractNumId="36" w15:restartNumberingAfterBreak="0">
    <w:nsid w:val="58C36D74"/>
    <w:multiLevelType w:val="hybridMultilevel"/>
    <w:tmpl w:val="1F8697C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1A408EC"/>
    <w:multiLevelType w:val="hybridMultilevel"/>
    <w:tmpl w:val="0CE274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31D2532"/>
    <w:multiLevelType w:val="hybridMultilevel"/>
    <w:tmpl w:val="305CBE36"/>
    <w:lvl w:ilvl="0" w:tplc="1809000F">
      <w:start w:val="1"/>
      <w:numFmt w:val="bullet"/>
      <w:lvlText w:val=""/>
      <w:lvlJc w:val="left"/>
      <w:pPr>
        <w:ind w:left="1440" w:hanging="360"/>
      </w:pPr>
      <w:rPr>
        <w:rFonts w:ascii="Symbol" w:hAnsi="Symbol" w:hint="default"/>
      </w:rPr>
    </w:lvl>
    <w:lvl w:ilvl="1" w:tplc="18090019" w:tentative="1">
      <w:start w:val="1"/>
      <w:numFmt w:val="bullet"/>
      <w:lvlText w:val="o"/>
      <w:lvlJc w:val="left"/>
      <w:pPr>
        <w:ind w:left="2160" w:hanging="360"/>
      </w:pPr>
      <w:rPr>
        <w:rFonts w:ascii="Courier New" w:hAnsi="Courier New" w:cs="Courier New" w:hint="default"/>
      </w:rPr>
    </w:lvl>
    <w:lvl w:ilvl="2" w:tplc="1809001B" w:tentative="1">
      <w:start w:val="1"/>
      <w:numFmt w:val="bullet"/>
      <w:lvlText w:val=""/>
      <w:lvlJc w:val="left"/>
      <w:pPr>
        <w:ind w:left="2880" w:hanging="360"/>
      </w:pPr>
      <w:rPr>
        <w:rFonts w:ascii="Wingdings" w:hAnsi="Wingdings" w:hint="default"/>
      </w:rPr>
    </w:lvl>
    <w:lvl w:ilvl="3" w:tplc="1809000F" w:tentative="1">
      <w:start w:val="1"/>
      <w:numFmt w:val="bullet"/>
      <w:lvlText w:val=""/>
      <w:lvlJc w:val="left"/>
      <w:pPr>
        <w:ind w:left="3600" w:hanging="360"/>
      </w:pPr>
      <w:rPr>
        <w:rFonts w:ascii="Symbol" w:hAnsi="Symbol" w:hint="default"/>
      </w:rPr>
    </w:lvl>
    <w:lvl w:ilvl="4" w:tplc="18090019" w:tentative="1">
      <w:start w:val="1"/>
      <w:numFmt w:val="bullet"/>
      <w:lvlText w:val="o"/>
      <w:lvlJc w:val="left"/>
      <w:pPr>
        <w:ind w:left="4320" w:hanging="360"/>
      </w:pPr>
      <w:rPr>
        <w:rFonts w:ascii="Courier New" w:hAnsi="Courier New" w:cs="Courier New" w:hint="default"/>
      </w:rPr>
    </w:lvl>
    <w:lvl w:ilvl="5" w:tplc="1809001B" w:tentative="1">
      <w:start w:val="1"/>
      <w:numFmt w:val="bullet"/>
      <w:lvlText w:val=""/>
      <w:lvlJc w:val="left"/>
      <w:pPr>
        <w:ind w:left="5040" w:hanging="360"/>
      </w:pPr>
      <w:rPr>
        <w:rFonts w:ascii="Wingdings" w:hAnsi="Wingdings" w:hint="default"/>
      </w:rPr>
    </w:lvl>
    <w:lvl w:ilvl="6" w:tplc="1809000F" w:tentative="1">
      <w:start w:val="1"/>
      <w:numFmt w:val="bullet"/>
      <w:lvlText w:val=""/>
      <w:lvlJc w:val="left"/>
      <w:pPr>
        <w:ind w:left="5760" w:hanging="360"/>
      </w:pPr>
      <w:rPr>
        <w:rFonts w:ascii="Symbol" w:hAnsi="Symbol" w:hint="default"/>
      </w:rPr>
    </w:lvl>
    <w:lvl w:ilvl="7" w:tplc="18090019" w:tentative="1">
      <w:start w:val="1"/>
      <w:numFmt w:val="bullet"/>
      <w:lvlText w:val="o"/>
      <w:lvlJc w:val="left"/>
      <w:pPr>
        <w:ind w:left="6480" w:hanging="360"/>
      </w:pPr>
      <w:rPr>
        <w:rFonts w:ascii="Courier New" w:hAnsi="Courier New" w:cs="Courier New" w:hint="default"/>
      </w:rPr>
    </w:lvl>
    <w:lvl w:ilvl="8" w:tplc="1809001B" w:tentative="1">
      <w:start w:val="1"/>
      <w:numFmt w:val="bullet"/>
      <w:lvlText w:val=""/>
      <w:lvlJc w:val="left"/>
      <w:pPr>
        <w:ind w:left="7200" w:hanging="360"/>
      </w:pPr>
      <w:rPr>
        <w:rFonts w:ascii="Wingdings" w:hAnsi="Wingdings" w:hint="default"/>
      </w:rPr>
    </w:lvl>
  </w:abstractNum>
  <w:abstractNum w:abstractNumId="39" w15:restartNumberingAfterBreak="0">
    <w:nsid w:val="636E2C11"/>
    <w:multiLevelType w:val="hybridMultilevel"/>
    <w:tmpl w:val="831E80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55C4F79"/>
    <w:multiLevelType w:val="hybridMultilevel"/>
    <w:tmpl w:val="30BC1C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7B44418"/>
    <w:multiLevelType w:val="hybridMultilevel"/>
    <w:tmpl w:val="7B3417F6"/>
    <w:lvl w:ilvl="0" w:tplc="F6EE946A">
      <w:start w:val="1"/>
      <w:numFmt w:val="bullet"/>
      <w:lvlText w:val="o"/>
      <w:lvlJc w:val="left"/>
      <w:pPr>
        <w:ind w:left="1440" w:hanging="360"/>
      </w:pPr>
      <w:rPr>
        <w:rFonts w:ascii="Courier New" w:hAnsi="Courier New" w:cs="Courier New" w:hint="default"/>
        <w:sz w:val="36"/>
        <w:szCs w:val="36"/>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2" w15:restartNumberingAfterBreak="0">
    <w:nsid w:val="69F47424"/>
    <w:multiLevelType w:val="hybridMultilevel"/>
    <w:tmpl w:val="8756847C"/>
    <w:lvl w:ilvl="0" w:tplc="18090001">
      <w:start w:val="1"/>
      <w:numFmt w:val="decimal"/>
      <w:lvlText w:val="%1."/>
      <w:lvlJc w:val="left"/>
      <w:pPr>
        <w:ind w:left="720" w:hanging="360"/>
      </w:pPr>
      <w:rPr>
        <w:rFonts w:hint="default"/>
      </w:rPr>
    </w:lvl>
    <w:lvl w:ilvl="1" w:tplc="18090003" w:tentative="1">
      <w:start w:val="1"/>
      <w:numFmt w:val="lowerLetter"/>
      <w:lvlText w:val="%2."/>
      <w:lvlJc w:val="left"/>
      <w:pPr>
        <w:ind w:left="1440" w:hanging="360"/>
      </w:pPr>
    </w:lvl>
    <w:lvl w:ilvl="2" w:tplc="18090005" w:tentative="1">
      <w:start w:val="1"/>
      <w:numFmt w:val="lowerRoman"/>
      <w:lvlText w:val="%3."/>
      <w:lvlJc w:val="right"/>
      <w:pPr>
        <w:ind w:left="2160" w:hanging="180"/>
      </w:pPr>
    </w:lvl>
    <w:lvl w:ilvl="3" w:tplc="18090001" w:tentative="1">
      <w:start w:val="1"/>
      <w:numFmt w:val="decimal"/>
      <w:lvlText w:val="%4."/>
      <w:lvlJc w:val="left"/>
      <w:pPr>
        <w:ind w:left="2880" w:hanging="360"/>
      </w:pPr>
    </w:lvl>
    <w:lvl w:ilvl="4" w:tplc="18090003" w:tentative="1">
      <w:start w:val="1"/>
      <w:numFmt w:val="lowerLetter"/>
      <w:lvlText w:val="%5."/>
      <w:lvlJc w:val="left"/>
      <w:pPr>
        <w:ind w:left="3600" w:hanging="360"/>
      </w:pPr>
    </w:lvl>
    <w:lvl w:ilvl="5" w:tplc="18090005" w:tentative="1">
      <w:start w:val="1"/>
      <w:numFmt w:val="lowerRoman"/>
      <w:lvlText w:val="%6."/>
      <w:lvlJc w:val="right"/>
      <w:pPr>
        <w:ind w:left="4320" w:hanging="180"/>
      </w:pPr>
    </w:lvl>
    <w:lvl w:ilvl="6" w:tplc="18090001" w:tentative="1">
      <w:start w:val="1"/>
      <w:numFmt w:val="decimal"/>
      <w:lvlText w:val="%7."/>
      <w:lvlJc w:val="left"/>
      <w:pPr>
        <w:ind w:left="5040" w:hanging="360"/>
      </w:pPr>
    </w:lvl>
    <w:lvl w:ilvl="7" w:tplc="18090003" w:tentative="1">
      <w:start w:val="1"/>
      <w:numFmt w:val="lowerLetter"/>
      <w:lvlText w:val="%8."/>
      <w:lvlJc w:val="left"/>
      <w:pPr>
        <w:ind w:left="5760" w:hanging="360"/>
      </w:pPr>
    </w:lvl>
    <w:lvl w:ilvl="8" w:tplc="18090005" w:tentative="1">
      <w:start w:val="1"/>
      <w:numFmt w:val="lowerRoman"/>
      <w:lvlText w:val="%9."/>
      <w:lvlJc w:val="right"/>
      <w:pPr>
        <w:ind w:left="6480" w:hanging="180"/>
      </w:pPr>
    </w:lvl>
  </w:abstractNum>
  <w:abstractNum w:abstractNumId="43" w15:restartNumberingAfterBreak="0">
    <w:nsid w:val="6A286007"/>
    <w:multiLevelType w:val="hybridMultilevel"/>
    <w:tmpl w:val="D62CEFB6"/>
    <w:lvl w:ilvl="0" w:tplc="18090001">
      <w:start w:val="1"/>
      <w:numFmt w:val="decimal"/>
      <w:lvlText w:val="%1."/>
      <w:lvlJc w:val="left"/>
      <w:pPr>
        <w:ind w:left="720" w:hanging="360"/>
      </w:pPr>
    </w:lvl>
    <w:lvl w:ilvl="1" w:tplc="18090003" w:tentative="1">
      <w:start w:val="1"/>
      <w:numFmt w:val="lowerLetter"/>
      <w:lvlText w:val="%2."/>
      <w:lvlJc w:val="left"/>
      <w:pPr>
        <w:ind w:left="1440" w:hanging="360"/>
      </w:pPr>
    </w:lvl>
    <w:lvl w:ilvl="2" w:tplc="18090005" w:tentative="1">
      <w:start w:val="1"/>
      <w:numFmt w:val="lowerRoman"/>
      <w:lvlText w:val="%3."/>
      <w:lvlJc w:val="right"/>
      <w:pPr>
        <w:ind w:left="2160" w:hanging="180"/>
      </w:pPr>
    </w:lvl>
    <w:lvl w:ilvl="3" w:tplc="18090001" w:tentative="1">
      <w:start w:val="1"/>
      <w:numFmt w:val="decimal"/>
      <w:lvlText w:val="%4."/>
      <w:lvlJc w:val="left"/>
      <w:pPr>
        <w:ind w:left="2880" w:hanging="360"/>
      </w:pPr>
    </w:lvl>
    <w:lvl w:ilvl="4" w:tplc="18090003" w:tentative="1">
      <w:start w:val="1"/>
      <w:numFmt w:val="lowerLetter"/>
      <w:lvlText w:val="%5."/>
      <w:lvlJc w:val="left"/>
      <w:pPr>
        <w:ind w:left="3600" w:hanging="360"/>
      </w:pPr>
    </w:lvl>
    <w:lvl w:ilvl="5" w:tplc="18090005" w:tentative="1">
      <w:start w:val="1"/>
      <w:numFmt w:val="lowerRoman"/>
      <w:lvlText w:val="%6."/>
      <w:lvlJc w:val="right"/>
      <w:pPr>
        <w:ind w:left="4320" w:hanging="180"/>
      </w:pPr>
    </w:lvl>
    <w:lvl w:ilvl="6" w:tplc="18090001" w:tentative="1">
      <w:start w:val="1"/>
      <w:numFmt w:val="decimal"/>
      <w:lvlText w:val="%7."/>
      <w:lvlJc w:val="left"/>
      <w:pPr>
        <w:ind w:left="5040" w:hanging="360"/>
      </w:pPr>
    </w:lvl>
    <w:lvl w:ilvl="7" w:tplc="18090003" w:tentative="1">
      <w:start w:val="1"/>
      <w:numFmt w:val="lowerLetter"/>
      <w:lvlText w:val="%8."/>
      <w:lvlJc w:val="left"/>
      <w:pPr>
        <w:ind w:left="5760" w:hanging="360"/>
      </w:pPr>
    </w:lvl>
    <w:lvl w:ilvl="8" w:tplc="18090005" w:tentative="1">
      <w:start w:val="1"/>
      <w:numFmt w:val="lowerRoman"/>
      <w:lvlText w:val="%9."/>
      <w:lvlJc w:val="right"/>
      <w:pPr>
        <w:ind w:left="6480" w:hanging="180"/>
      </w:pPr>
    </w:lvl>
  </w:abstractNum>
  <w:abstractNum w:abstractNumId="44" w15:restartNumberingAfterBreak="0">
    <w:nsid w:val="6BEF7BB3"/>
    <w:multiLevelType w:val="hybridMultilevel"/>
    <w:tmpl w:val="4E243F64"/>
    <w:lvl w:ilvl="0" w:tplc="44722792">
      <w:start w:val="1"/>
      <w:numFmt w:val="bullet"/>
      <w:lvlText w:val=""/>
      <w:lvlJc w:val="left"/>
      <w:pPr>
        <w:ind w:left="720" w:hanging="360"/>
      </w:pPr>
      <w:rPr>
        <w:rFonts w:ascii="Symbol" w:hAnsi="Symbol" w:hint="default"/>
      </w:rPr>
    </w:lvl>
    <w:lvl w:ilvl="1" w:tplc="18090019" w:tentative="1">
      <w:start w:val="1"/>
      <w:numFmt w:val="bullet"/>
      <w:lvlText w:val="o"/>
      <w:lvlJc w:val="left"/>
      <w:pPr>
        <w:ind w:left="1440" w:hanging="360"/>
      </w:pPr>
      <w:rPr>
        <w:rFonts w:ascii="Courier New" w:hAnsi="Courier New" w:cs="Courier New" w:hint="default"/>
      </w:rPr>
    </w:lvl>
    <w:lvl w:ilvl="2" w:tplc="1809001B" w:tentative="1">
      <w:start w:val="1"/>
      <w:numFmt w:val="bullet"/>
      <w:lvlText w:val=""/>
      <w:lvlJc w:val="left"/>
      <w:pPr>
        <w:ind w:left="2160" w:hanging="360"/>
      </w:pPr>
      <w:rPr>
        <w:rFonts w:ascii="Wingdings" w:hAnsi="Wingdings" w:hint="default"/>
      </w:rPr>
    </w:lvl>
    <w:lvl w:ilvl="3" w:tplc="1809000F" w:tentative="1">
      <w:start w:val="1"/>
      <w:numFmt w:val="bullet"/>
      <w:lvlText w:val=""/>
      <w:lvlJc w:val="left"/>
      <w:pPr>
        <w:ind w:left="2880" w:hanging="360"/>
      </w:pPr>
      <w:rPr>
        <w:rFonts w:ascii="Symbol" w:hAnsi="Symbol" w:hint="default"/>
      </w:rPr>
    </w:lvl>
    <w:lvl w:ilvl="4" w:tplc="18090019" w:tentative="1">
      <w:start w:val="1"/>
      <w:numFmt w:val="bullet"/>
      <w:lvlText w:val="o"/>
      <w:lvlJc w:val="left"/>
      <w:pPr>
        <w:ind w:left="3600" w:hanging="360"/>
      </w:pPr>
      <w:rPr>
        <w:rFonts w:ascii="Courier New" w:hAnsi="Courier New" w:cs="Courier New" w:hint="default"/>
      </w:rPr>
    </w:lvl>
    <w:lvl w:ilvl="5" w:tplc="1809001B" w:tentative="1">
      <w:start w:val="1"/>
      <w:numFmt w:val="bullet"/>
      <w:lvlText w:val=""/>
      <w:lvlJc w:val="left"/>
      <w:pPr>
        <w:ind w:left="4320" w:hanging="360"/>
      </w:pPr>
      <w:rPr>
        <w:rFonts w:ascii="Wingdings" w:hAnsi="Wingdings" w:hint="default"/>
      </w:rPr>
    </w:lvl>
    <w:lvl w:ilvl="6" w:tplc="1809000F" w:tentative="1">
      <w:start w:val="1"/>
      <w:numFmt w:val="bullet"/>
      <w:lvlText w:val=""/>
      <w:lvlJc w:val="left"/>
      <w:pPr>
        <w:ind w:left="5040" w:hanging="360"/>
      </w:pPr>
      <w:rPr>
        <w:rFonts w:ascii="Symbol" w:hAnsi="Symbol" w:hint="default"/>
      </w:rPr>
    </w:lvl>
    <w:lvl w:ilvl="7" w:tplc="18090019" w:tentative="1">
      <w:start w:val="1"/>
      <w:numFmt w:val="bullet"/>
      <w:lvlText w:val="o"/>
      <w:lvlJc w:val="left"/>
      <w:pPr>
        <w:ind w:left="5760" w:hanging="360"/>
      </w:pPr>
      <w:rPr>
        <w:rFonts w:ascii="Courier New" w:hAnsi="Courier New" w:cs="Courier New" w:hint="default"/>
      </w:rPr>
    </w:lvl>
    <w:lvl w:ilvl="8" w:tplc="1809001B" w:tentative="1">
      <w:start w:val="1"/>
      <w:numFmt w:val="bullet"/>
      <w:lvlText w:val=""/>
      <w:lvlJc w:val="left"/>
      <w:pPr>
        <w:ind w:left="6480" w:hanging="360"/>
      </w:pPr>
      <w:rPr>
        <w:rFonts w:ascii="Wingdings" w:hAnsi="Wingdings" w:hint="default"/>
      </w:rPr>
    </w:lvl>
  </w:abstractNum>
  <w:abstractNum w:abstractNumId="45" w15:restartNumberingAfterBreak="0">
    <w:nsid w:val="6D6C062C"/>
    <w:multiLevelType w:val="hybridMultilevel"/>
    <w:tmpl w:val="C68EC292"/>
    <w:lvl w:ilvl="0" w:tplc="F6EE946A">
      <w:start w:val="1"/>
      <w:numFmt w:val="bullet"/>
      <w:lvlText w:val="o"/>
      <w:lvlJc w:val="left"/>
      <w:pPr>
        <w:ind w:left="927" w:hanging="360"/>
      </w:pPr>
      <w:rPr>
        <w:rFonts w:ascii="Courier New" w:hAnsi="Courier New" w:cs="Courier New" w:hint="default"/>
        <w:sz w:val="36"/>
        <w:szCs w:val="36"/>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46" w15:restartNumberingAfterBreak="0">
    <w:nsid w:val="7151787E"/>
    <w:multiLevelType w:val="hybridMultilevel"/>
    <w:tmpl w:val="B3CC4CAA"/>
    <w:lvl w:ilvl="0" w:tplc="1809000F">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7D3E3D19"/>
    <w:multiLevelType w:val="hybridMultilevel"/>
    <w:tmpl w:val="FFFFFFFF"/>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hint="default"/>
      </w:rPr>
    </w:lvl>
    <w:lvl w:ilvl="8" w:tplc="18090005">
      <w:start w:val="1"/>
      <w:numFmt w:val="bullet"/>
      <w:lvlText w:val=""/>
      <w:lvlJc w:val="left"/>
      <w:pPr>
        <w:ind w:left="6480" w:hanging="360"/>
      </w:pPr>
      <w:rPr>
        <w:rFonts w:ascii="Wingdings" w:hAnsi="Wingdings" w:hint="default"/>
      </w:rPr>
    </w:lvl>
  </w:abstractNum>
  <w:abstractNum w:abstractNumId="48" w15:restartNumberingAfterBreak="0">
    <w:nsid w:val="7E782834"/>
    <w:multiLevelType w:val="hybridMultilevel"/>
    <w:tmpl w:val="2C3093CE"/>
    <w:lvl w:ilvl="0" w:tplc="F6EE946A">
      <w:start w:val="1"/>
      <w:numFmt w:val="bullet"/>
      <w:lvlText w:val="o"/>
      <w:lvlJc w:val="left"/>
      <w:pPr>
        <w:ind w:left="1211" w:hanging="360"/>
      </w:pPr>
      <w:rPr>
        <w:rFonts w:ascii="Courier New" w:hAnsi="Courier New" w:cs="Courier New" w:hint="default"/>
        <w:sz w:val="36"/>
        <w:szCs w:val="36"/>
      </w:rPr>
    </w:lvl>
    <w:lvl w:ilvl="1" w:tplc="18090003" w:tentative="1">
      <w:start w:val="1"/>
      <w:numFmt w:val="bullet"/>
      <w:lvlText w:val="o"/>
      <w:lvlJc w:val="left"/>
      <w:pPr>
        <w:ind w:left="1931" w:hanging="360"/>
      </w:pPr>
      <w:rPr>
        <w:rFonts w:ascii="Courier New" w:hAnsi="Courier New" w:cs="Courier New" w:hint="default"/>
      </w:rPr>
    </w:lvl>
    <w:lvl w:ilvl="2" w:tplc="18090005" w:tentative="1">
      <w:start w:val="1"/>
      <w:numFmt w:val="bullet"/>
      <w:lvlText w:val=""/>
      <w:lvlJc w:val="left"/>
      <w:pPr>
        <w:ind w:left="2651" w:hanging="360"/>
      </w:pPr>
      <w:rPr>
        <w:rFonts w:ascii="Wingdings" w:hAnsi="Wingdings" w:hint="default"/>
      </w:rPr>
    </w:lvl>
    <w:lvl w:ilvl="3" w:tplc="18090001" w:tentative="1">
      <w:start w:val="1"/>
      <w:numFmt w:val="bullet"/>
      <w:lvlText w:val=""/>
      <w:lvlJc w:val="left"/>
      <w:pPr>
        <w:ind w:left="3371" w:hanging="360"/>
      </w:pPr>
      <w:rPr>
        <w:rFonts w:ascii="Symbol" w:hAnsi="Symbol" w:hint="default"/>
      </w:rPr>
    </w:lvl>
    <w:lvl w:ilvl="4" w:tplc="18090003" w:tentative="1">
      <w:start w:val="1"/>
      <w:numFmt w:val="bullet"/>
      <w:lvlText w:val="o"/>
      <w:lvlJc w:val="left"/>
      <w:pPr>
        <w:ind w:left="4091" w:hanging="360"/>
      </w:pPr>
      <w:rPr>
        <w:rFonts w:ascii="Courier New" w:hAnsi="Courier New" w:cs="Courier New" w:hint="default"/>
      </w:rPr>
    </w:lvl>
    <w:lvl w:ilvl="5" w:tplc="18090005" w:tentative="1">
      <w:start w:val="1"/>
      <w:numFmt w:val="bullet"/>
      <w:lvlText w:val=""/>
      <w:lvlJc w:val="left"/>
      <w:pPr>
        <w:ind w:left="4811" w:hanging="360"/>
      </w:pPr>
      <w:rPr>
        <w:rFonts w:ascii="Wingdings" w:hAnsi="Wingdings" w:hint="default"/>
      </w:rPr>
    </w:lvl>
    <w:lvl w:ilvl="6" w:tplc="18090001" w:tentative="1">
      <w:start w:val="1"/>
      <w:numFmt w:val="bullet"/>
      <w:lvlText w:val=""/>
      <w:lvlJc w:val="left"/>
      <w:pPr>
        <w:ind w:left="5531" w:hanging="360"/>
      </w:pPr>
      <w:rPr>
        <w:rFonts w:ascii="Symbol" w:hAnsi="Symbol" w:hint="default"/>
      </w:rPr>
    </w:lvl>
    <w:lvl w:ilvl="7" w:tplc="18090003" w:tentative="1">
      <w:start w:val="1"/>
      <w:numFmt w:val="bullet"/>
      <w:lvlText w:val="o"/>
      <w:lvlJc w:val="left"/>
      <w:pPr>
        <w:ind w:left="6251" w:hanging="360"/>
      </w:pPr>
      <w:rPr>
        <w:rFonts w:ascii="Courier New" w:hAnsi="Courier New" w:cs="Courier New" w:hint="default"/>
      </w:rPr>
    </w:lvl>
    <w:lvl w:ilvl="8" w:tplc="18090005" w:tentative="1">
      <w:start w:val="1"/>
      <w:numFmt w:val="bullet"/>
      <w:lvlText w:val=""/>
      <w:lvlJc w:val="left"/>
      <w:pPr>
        <w:ind w:left="6971"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 w:numId="6">
    <w:abstractNumId w:val="15"/>
  </w:num>
  <w:num w:numId="7">
    <w:abstractNumId w:val="23"/>
  </w:num>
  <w:num w:numId="8">
    <w:abstractNumId w:val="12"/>
  </w:num>
  <w:num w:numId="9">
    <w:abstractNumId w:val="26"/>
  </w:num>
  <w:num w:numId="10">
    <w:abstractNumId w:val="32"/>
  </w:num>
  <w:num w:numId="11">
    <w:abstractNumId w:val="39"/>
  </w:num>
  <w:num w:numId="12">
    <w:abstractNumId w:val="40"/>
  </w:num>
  <w:num w:numId="13">
    <w:abstractNumId w:val="25"/>
  </w:num>
  <w:num w:numId="14">
    <w:abstractNumId w:val="6"/>
  </w:num>
  <w:num w:numId="15">
    <w:abstractNumId w:val="34"/>
  </w:num>
  <w:num w:numId="16">
    <w:abstractNumId w:val="17"/>
  </w:num>
  <w:num w:numId="17">
    <w:abstractNumId w:val="35"/>
  </w:num>
  <w:num w:numId="18">
    <w:abstractNumId w:val="8"/>
  </w:num>
  <w:num w:numId="19">
    <w:abstractNumId w:val="30"/>
  </w:num>
  <w:num w:numId="20">
    <w:abstractNumId w:val="18"/>
  </w:num>
  <w:num w:numId="21">
    <w:abstractNumId w:val="11"/>
  </w:num>
  <w:num w:numId="22">
    <w:abstractNumId w:val="29"/>
  </w:num>
  <w:num w:numId="23">
    <w:abstractNumId w:val="31"/>
  </w:num>
  <w:num w:numId="24">
    <w:abstractNumId w:val="7"/>
  </w:num>
  <w:num w:numId="25">
    <w:abstractNumId w:val="44"/>
  </w:num>
  <w:num w:numId="26">
    <w:abstractNumId w:val="42"/>
  </w:num>
  <w:num w:numId="27">
    <w:abstractNumId w:val="14"/>
  </w:num>
  <w:num w:numId="28">
    <w:abstractNumId w:val="20"/>
  </w:num>
  <w:num w:numId="29">
    <w:abstractNumId w:val="10"/>
  </w:num>
  <w:num w:numId="30">
    <w:abstractNumId w:val="37"/>
  </w:num>
  <w:num w:numId="31">
    <w:abstractNumId w:val="33"/>
  </w:num>
  <w:num w:numId="32">
    <w:abstractNumId w:val="43"/>
  </w:num>
  <w:num w:numId="33">
    <w:abstractNumId w:val="27"/>
  </w:num>
  <w:num w:numId="34">
    <w:abstractNumId w:val="16"/>
  </w:num>
  <w:num w:numId="35">
    <w:abstractNumId w:val="22"/>
  </w:num>
  <w:num w:numId="36">
    <w:abstractNumId w:val="24"/>
  </w:num>
  <w:num w:numId="37">
    <w:abstractNumId w:val="47"/>
  </w:num>
  <w:num w:numId="38">
    <w:abstractNumId w:val="9"/>
  </w:num>
  <w:num w:numId="39">
    <w:abstractNumId w:val="13"/>
  </w:num>
  <w:num w:numId="40">
    <w:abstractNumId w:val="46"/>
  </w:num>
  <w:num w:numId="41">
    <w:abstractNumId w:val="28"/>
  </w:num>
  <w:num w:numId="42">
    <w:abstractNumId w:val="38"/>
  </w:num>
  <w:num w:numId="43">
    <w:abstractNumId w:val="21"/>
  </w:num>
  <w:num w:numId="44">
    <w:abstractNumId w:val="48"/>
  </w:num>
  <w:num w:numId="45">
    <w:abstractNumId w:val="5"/>
  </w:num>
  <w:num w:numId="46">
    <w:abstractNumId w:val="41"/>
  </w:num>
  <w:num w:numId="47">
    <w:abstractNumId w:val="19"/>
  </w:num>
  <w:num w:numId="48">
    <w:abstractNumId w:val="45"/>
  </w:num>
  <w:num w:numId="49">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Q0MDI3N7AwtDQ1MDFQ0lEKTi0uzszPAykwMaoFAFgrZkUtAAAA"/>
    <w:docVar w:name="EN.InstantFormat" w:val="&lt;ENInstantFormat&gt;&lt;Enabled&gt;1&lt;/Enabled&gt;&lt;ScanUnformatted&gt;1&lt;/ScanUnformatted&gt;&lt;ScanChanges&gt;1&lt;/ScanChanges&gt;&lt;Suspended&gt;1&lt;/Suspended&gt;&lt;/ENInstantFormat&gt;"/>
    <w:docVar w:name="EN.Layout" w:val="&lt;ENLayout&gt;&lt;Style&gt;APA 7th Copy&lt;/Style&gt;&lt;LeftDelim&gt;{&lt;/LeftDelim&gt;&lt;RightDelim&gt;}&lt;/RightDelim&gt;&lt;FontName&gt;Gill Sans&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twfdzde5ttr0zevxrh5sf0c2wfzw5zf2vra&quot;&gt;My EndNote Library&lt;record-ids&gt;&lt;item&gt;302&lt;/item&gt;&lt;item&gt;304&lt;/item&gt;&lt;item&gt;308&lt;/item&gt;&lt;item&gt;309&lt;/item&gt;&lt;item&gt;310&lt;/item&gt;&lt;item&gt;315&lt;/item&gt;&lt;item&gt;316&lt;/item&gt;&lt;item&gt;319&lt;/item&gt;&lt;item&gt;321&lt;/item&gt;&lt;item&gt;323&lt;/item&gt;&lt;item&gt;329&lt;/item&gt;&lt;item&gt;339&lt;/item&gt;&lt;item&gt;340&lt;/item&gt;&lt;item&gt;350&lt;/item&gt;&lt;item&gt;357&lt;/item&gt;&lt;item&gt;358&lt;/item&gt;&lt;item&gt;361&lt;/item&gt;&lt;item&gt;364&lt;/item&gt;&lt;item&gt;367&lt;/item&gt;&lt;item&gt;371&lt;/item&gt;&lt;item&gt;372&lt;/item&gt;&lt;item&gt;373&lt;/item&gt;&lt;item&gt;376&lt;/item&gt;&lt;item&gt;387&lt;/item&gt;&lt;item&gt;390&lt;/item&gt;&lt;item&gt;391&lt;/item&gt;&lt;item&gt;392&lt;/item&gt;&lt;item&gt;393&lt;/item&gt;&lt;item&gt;394&lt;/item&gt;&lt;item&gt;395&lt;/item&gt;&lt;item&gt;405&lt;/item&gt;&lt;item&gt;410&lt;/item&gt;&lt;item&gt;416&lt;/item&gt;&lt;item&gt;418&lt;/item&gt;&lt;item&gt;421&lt;/item&gt;&lt;item&gt;424&lt;/item&gt;&lt;item&gt;447&lt;/item&gt;&lt;item&gt;450&lt;/item&gt;&lt;item&gt;452&lt;/item&gt;&lt;item&gt;453&lt;/item&gt;&lt;item&gt;454&lt;/item&gt;&lt;item&gt;456&lt;/item&gt;&lt;item&gt;457&lt;/item&gt;&lt;item&gt;458&lt;/item&gt;&lt;item&gt;459&lt;/item&gt;&lt;item&gt;460&lt;/item&gt;&lt;item&gt;462&lt;/item&gt;&lt;item&gt;465&lt;/item&gt;&lt;item&gt;466&lt;/item&gt;&lt;item&gt;468&lt;/item&gt;&lt;item&gt;470&lt;/item&gt;&lt;item&gt;472&lt;/item&gt;&lt;item&gt;473&lt;/item&gt;&lt;item&gt;475&lt;/item&gt;&lt;item&gt;476&lt;/item&gt;&lt;item&gt;479&lt;/item&gt;&lt;item&gt;482&lt;/item&gt;&lt;item&gt;483&lt;/item&gt;&lt;item&gt;488&lt;/item&gt;&lt;item&gt;489&lt;/item&gt;&lt;item&gt;490&lt;/item&gt;&lt;item&gt;492&lt;/item&gt;&lt;item&gt;493&lt;/item&gt;&lt;item&gt;494&lt;/item&gt;&lt;item&gt;495&lt;/item&gt;&lt;item&gt;496&lt;/item&gt;&lt;item&gt;497&lt;/item&gt;&lt;item&gt;498&lt;/item&gt;&lt;item&gt;499&lt;/item&gt;&lt;item&gt;500&lt;/item&gt;&lt;item&gt;501&lt;/item&gt;&lt;item&gt;502&lt;/item&gt;&lt;item&gt;503&lt;/item&gt;&lt;item&gt;504&lt;/item&gt;&lt;item&gt;507&lt;/item&gt;&lt;item&gt;510&lt;/item&gt;&lt;item&gt;511&lt;/item&gt;&lt;item&gt;512&lt;/item&gt;&lt;item&gt;514&lt;/item&gt;&lt;item&gt;515&lt;/item&gt;&lt;item&gt;517&lt;/item&gt;&lt;item&gt;518&lt;/item&gt;&lt;item&gt;519&lt;/item&gt;&lt;item&gt;520&lt;/item&gt;&lt;item&gt;521&lt;/item&gt;&lt;item&gt;522&lt;/item&gt;&lt;item&gt;525&lt;/item&gt;&lt;item&gt;526&lt;/item&gt;&lt;item&gt;527&lt;/item&gt;&lt;item&gt;529&lt;/item&gt;&lt;item&gt;531&lt;/item&gt;&lt;item&gt;532&lt;/item&gt;&lt;item&gt;533&lt;/item&gt;&lt;item&gt;534&lt;/item&gt;&lt;item&gt;535&lt;/item&gt;&lt;item&gt;536&lt;/item&gt;&lt;item&gt;538&lt;/item&gt;&lt;item&gt;539&lt;/item&gt;&lt;item&gt;541&lt;/item&gt;&lt;item&gt;542&lt;/item&gt;&lt;item&gt;544&lt;/item&gt;&lt;item&gt;546&lt;/item&gt;&lt;item&gt;550&lt;/item&gt;&lt;item&gt;554&lt;/item&gt;&lt;item&gt;555&lt;/item&gt;&lt;item&gt;556&lt;/item&gt;&lt;item&gt;561&lt;/item&gt;&lt;item&gt;562&lt;/item&gt;&lt;item&gt;563&lt;/item&gt;&lt;item&gt;564&lt;/item&gt;&lt;item&gt;567&lt;/item&gt;&lt;item&gt;568&lt;/item&gt;&lt;item&gt;569&lt;/item&gt;&lt;item&gt;570&lt;/item&gt;&lt;item&gt;571&lt;/item&gt;&lt;item&gt;573&lt;/item&gt;&lt;item&gt;574&lt;/item&gt;&lt;item&gt;575&lt;/item&gt;&lt;item&gt;576&lt;/item&gt;&lt;item&gt;577&lt;/item&gt;&lt;item&gt;578&lt;/item&gt;&lt;item&gt;579&lt;/item&gt;&lt;item&gt;580&lt;/item&gt;&lt;item&gt;581&lt;/item&gt;&lt;item&gt;582&lt;/item&gt;&lt;item&gt;583&lt;/item&gt;&lt;item&gt;585&lt;/item&gt;&lt;item&gt;586&lt;/item&gt;&lt;item&gt;588&lt;/item&gt;&lt;item&gt;591&lt;/item&gt;&lt;item&gt;600&lt;/item&gt;&lt;item&gt;602&lt;/item&gt;&lt;item&gt;604&lt;/item&gt;&lt;item&gt;605&lt;/item&gt;&lt;item&gt;607&lt;/item&gt;&lt;item&gt;611&lt;/item&gt;&lt;item&gt;612&lt;/item&gt;&lt;item&gt;614&lt;/item&gt;&lt;item&gt;617&lt;/item&gt;&lt;item&gt;620&lt;/item&gt;&lt;item&gt;623&lt;/item&gt;&lt;item&gt;624&lt;/item&gt;&lt;item&gt;627&lt;/item&gt;&lt;item&gt;628&lt;/item&gt;&lt;item&gt;629&lt;/item&gt;&lt;item&gt;630&lt;/item&gt;&lt;item&gt;631&lt;/item&gt;&lt;item&gt;634&lt;/item&gt;&lt;item&gt;635&lt;/item&gt;&lt;item&gt;636&lt;/item&gt;&lt;item&gt;637&lt;/item&gt;&lt;item&gt;638&lt;/item&gt;&lt;item&gt;639&lt;/item&gt;&lt;item&gt;640&lt;/item&gt;&lt;item&gt;641&lt;/item&gt;&lt;item&gt;642&lt;/item&gt;&lt;item&gt;643&lt;/item&gt;&lt;item&gt;644&lt;/item&gt;&lt;item&gt;645&lt;/item&gt;&lt;item&gt;646&lt;/item&gt;&lt;item&gt;647&lt;/item&gt;&lt;item&gt;648&lt;/item&gt;&lt;item&gt;649&lt;/item&gt;&lt;item&gt;650&lt;/item&gt;&lt;item&gt;651&lt;/item&gt;&lt;item&gt;654&lt;/item&gt;&lt;item&gt;655&lt;/item&gt;&lt;item&gt;656&lt;/item&gt;&lt;item&gt;658&lt;/item&gt;&lt;item&gt;661&lt;/item&gt;&lt;item&gt;662&lt;/item&gt;&lt;item&gt;666&lt;/item&gt;&lt;item&gt;667&lt;/item&gt;&lt;item&gt;668&lt;/item&gt;&lt;item&gt;669&lt;/item&gt;&lt;item&gt;670&lt;/item&gt;&lt;item&gt;671&lt;/item&gt;&lt;item&gt;672&lt;/item&gt;&lt;item&gt;673&lt;/item&gt;&lt;item&gt;675&lt;/item&gt;&lt;item&gt;679&lt;/item&gt;&lt;item&gt;680&lt;/item&gt;&lt;item&gt;681&lt;/item&gt;&lt;item&gt;682&lt;/item&gt;&lt;item&gt;683&lt;/item&gt;&lt;item&gt;684&lt;/item&gt;&lt;item&gt;685&lt;/item&gt;&lt;item&gt;687&lt;/item&gt;&lt;item&gt;688&lt;/item&gt;&lt;item&gt;689&lt;/item&gt;&lt;item&gt;692&lt;/item&gt;&lt;item&gt;693&lt;/item&gt;&lt;item&gt;696&lt;/item&gt;&lt;item&gt;697&lt;/item&gt;&lt;item&gt;698&lt;/item&gt;&lt;item&gt;701&lt;/item&gt;&lt;item&gt;702&lt;/item&gt;&lt;item&gt;703&lt;/item&gt;&lt;item&gt;704&lt;/item&gt;&lt;item&gt;705&lt;/item&gt;&lt;item&gt;706&lt;/item&gt;&lt;item&gt;708&lt;/item&gt;&lt;item&gt;710&lt;/item&gt;&lt;item&gt;711&lt;/item&gt;&lt;item&gt;713&lt;/item&gt;&lt;item&gt;714&lt;/item&gt;&lt;item&gt;715&lt;/item&gt;&lt;item&gt;716&lt;/item&gt;&lt;item&gt;717&lt;/item&gt;&lt;item&gt;719&lt;/item&gt;&lt;item&gt;720&lt;/item&gt;&lt;item&gt;721&lt;/item&gt;&lt;item&gt;724&lt;/item&gt;&lt;item&gt;725&lt;/item&gt;&lt;item&gt;726&lt;/item&gt;&lt;item&gt;727&lt;/item&gt;&lt;item&gt;730&lt;/item&gt;&lt;item&gt;731&lt;/item&gt;&lt;item&gt;732&lt;/item&gt;&lt;item&gt;735&lt;/item&gt;&lt;item&gt;736&lt;/item&gt;&lt;item&gt;737&lt;/item&gt;&lt;item&gt;738&lt;/item&gt;&lt;item&gt;739&lt;/item&gt;&lt;item&gt;740&lt;/item&gt;&lt;item&gt;741&lt;/item&gt;&lt;item&gt;742&lt;/item&gt;&lt;item&gt;743&lt;/item&gt;&lt;item&gt;744&lt;/item&gt;&lt;item&gt;745&lt;/item&gt;&lt;item&gt;746&lt;/item&gt;&lt;item&gt;747&lt;/item&gt;&lt;item&gt;748&lt;/item&gt;&lt;item&gt;749&lt;/item&gt;&lt;item&gt;750&lt;/item&gt;&lt;item&gt;751&lt;/item&gt;&lt;item&gt;752&lt;/item&gt;&lt;item&gt;754&lt;/item&gt;&lt;item&gt;755&lt;/item&gt;&lt;item&gt;756&lt;/item&gt;&lt;item&gt;757&lt;/item&gt;&lt;item&gt;758&lt;/item&gt;&lt;item&gt;760&lt;/item&gt;&lt;item&gt;761&lt;/item&gt;&lt;item&gt;762&lt;/item&gt;&lt;item&gt;763&lt;/item&gt;&lt;item&gt;764&lt;/item&gt;&lt;item&gt;765&lt;/item&gt;&lt;item&gt;766&lt;/item&gt;&lt;item&gt;767&lt;/item&gt;&lt;item&gt;769&lt;/item&gt;&lt;item&gt;770&lt;/item&gt;&lt;item&gt;771&lt;/item&gt;&lt;item&gt;772&lt;/item&gt;&lt;item&gt;774&lt;/item&gt;&lt;item&gt;775&lt;/item&gt;&lt;item&gt;776&lt;/item&gt;&lt;item&gt;777&lt;/item&gt;&lt;item&gt;778&lt;/item&gt;&lt;item&gt;781&lt;/item&gt;&lt;item&gt;782&lt;/item&gt;&lt;item&gt;783&lt;/item&gt;&lt;item&gt;784&lt;/item&gt;&lt;item&gt;785&lt;/item&gt;&lt;item&gt;786&lt;/item&gt;&lt;item&gt;787&lt;/item&gt;&lt;item&gt;788&lt;/item&gt;&lt;/record-ids&gt;&lt;/item&gt;&lt;/Libraries&gt;"/>
  </w:docVars>
  <w:rsids>
    <w:rsidRoot w:val="0059743C"/>
    <w:rsid w:val="0000001A"/>
    <w:rsid w:val="000002E0"/>
    <w:rsid w:val="00000497"/>
    <w:rsid w:val="0000079A"/>
    <w:rsid w:val="00000935"/>
    <w:rsid w:val="00000ADB"/>
    <w:rsid w:val="00000C50"/>
    <w:rsid w:val="00000F10"/>
    <w:rsid w:val="0000113B"/>
    <w:rsid w:val="00001400"/>
    <w:rsid w:val="00001988"/>
    <w:rsid w:val="00001AD0"/>
    <w:rsid w:val="00001DAA"/>
    <w:rsid w:val="00001F02"/>
    <w:rsid w:val="0000229C"/>
    <w:rsid w:val="0000272F"/>
    <w:rsid w:val="00002C3F"/>
    <w:rsid w:val="00002C99"/>
    <w:rsid w:val="0000372F"/>
    <w:rsid w:val="000038DF"/>
    <w:rsid w:val="0000391F"/>
    <w:rsid w:val="000039E5"/>
    <w:rsid w:val="000042EB"/>
    <w:rsid w:val="0000514C"/>
    <w:rsid w:val="00005A55"/>
    <w:rsid w:val="00005E47"/>
    <w:rsid w:val="00005E94"/>
    <w:rsid w:val="0000612C"/>
    <w:rsid w:val="0000641C"/>
    <w:rsid w:val="00006454"/>
    <w:rsid w:val="0000696D"/>
    <w:rsid w:val="00006B59"/>
    <w:rsid w:val="00006F2C"/>
    <w:rsid w:val="00007131"/>
    <w:rsid w:val="00007224"/>
    <w:rsid w:val="00007A34"/>
    <w:rsid w:val="0001067C"/>
    <w:rsid w:val="00010949"/>
    <w:rsid w:val="00011018"/>
    <w:rsid w:val="0001163B"/>
    <w:rsid w:val="0001163F"/>
    <w:rsid w:val="00011B6B"/>
    <w:rsid w:val="00011F8B"/>
    <w:rsid w:val="000122D2"/>
    <w:rsid w:val="00012455"/>
    <w:rsid w:val="00012BA5"/>
    <w:rsid w:val="00012BB9"/>
    <w:rsid w:val="00012C5A"/>
    <w:rsid w:val="0001340E"/>
    <w:rsid w:val="000136F5"/>
    <w:rsid w:val="000138DD"/>
    <w:rsid w:val="00013DE2"/>
    <w:rsid w:val="000143E3"/>
    <w:rsid w:val="000147D4"/>
    <w:rsid w:val="00014D50"/>
    <w:rsid w:val="00014EE1"/>
    <w:rsid w:val="000155FD"/>
    <w:rsid w:val="00015630"/>
    <w:rsid w:val="00015D35"/>
    <w:rsid w:val="0001616D"/>
    <w:rsid w:val="00016670"/>
    <w:rsid w:val="000169D0"/>
    <w:rsid w:val="000169E3"/>
    <w:rsid w:val="00016A5C"/>
    <w:rsid w:val="00016D04"/>
    <w:rsid w:val="00017244"/>
    <w:rsid w:val="0001726E"/>
    <w:rsid w:val="0001732D"/>
    <w:rsid w:val="00017F0E"/>
    <w:rsid w:val="00017FB2"/>
    <w:rsid w:val="0002020F"/>
    <w:rsid w:val="000202B2"/>
    <w:rsid w:val="000210C2"/>
    <w:rsid w:val="000210F7"/>
    <w:rsid w:val="000217EC"/>
    <w:rsid w:val="00021B6F"/>
    <w:rsid w:val="00022264"/>
    <w:rsid w:val="00022452"/>
    <w:rsid w:val="000225A6"/>
    <w:rsid w:val="00022A35"/>
    <w:rsid w:val="00022EB4"/>
    <w:rsid w:val="000230D0"/>
    <w:rsid w:val="00023395"/>
    <w:rsid w:val="000234DE"/>
    <w:rsid w:val="0002389B"/>
    <w:rsid w:val="00023F20"/>
    <w:rsid w:val="0002475B"/>
    <w:rsid w:val="00024AD6"/>
    <w:rsid w:val="00024ADD"/>
    <w:rsid w:val="00024BBF"/>
    <w:rsid w:val="00024C1F"/>
    <w:rsid w:val="00024DCE"/>
    <w:rsid w:val="0002519F"/>
    <w:rsid w:val="00025289"/>
    <w:rsid w:val="00025500"/>
    <w:rsid w:val="000263CD"/>
    <w:rsid w:val="000264C1"/>
    <w:rsid w:val="0002676F"/>
    <w:rsid w:val="00026B92"/>
    <w:rsid w:val="00026BC0"/>
    <w:rsid w:val="00026D9F"/>
    <w:rsid w:val="00026FA1"/>
    <w:rsid w:val="00027790"/>
    <w:rsid w:val="000277E8"/>
    <w:rsid w:val="00029E5C"/>
    <w:rsid w:val="0003033B"/>
    <w:rsid w:val="00030353"/>
    <w:rsid w:val="000303FC"/>
    <w:rsid w:val="00030B28"/>
    <w:rsid w:val="00031119"/>
    <w:rsid w:val="0003116B"/>
    <w:rsid w:val="000314C7"/>
    <w:rsid w:val="0003182E"/>
    <w:rsid w:val="00031D16"/>
    <w:rsid w:val="00031FC3"/>
    <w:rsid w:val="00032155"/>
    <w:rsid w:val="0003229B"/>
    <w:rsid w:val="000324BB"/>
    <w:rsid w:val="0003262D"/>
    <w:rsid w:val="00032AB4"/>
    <w:rsid w:val="00032D2F"/>
    <w:rsid w:val="00033012"/>
    <w:rsid w:val="00033AE5"/>
    <w:rsid w:val="00034117"/>
    <w:rsid w:val="00034442"/>
    <w:rsid w:val="00034AFA"/>
    <w:rsid w:val="000356D0"/>
    <w:rsid w:val="00035A18"/>
    <w:rsid w:val="00035A7B"/>
    <w:rsid w:val="00035A91"/>
    <w:rsid w:val="00035BDB"/>
    <w:rsid w:val="00035D5A"/>
    <w:rsid w:val="00035F92"/>
    <w:rsid w:val="0003664C"/>
    <w:rsid w:val="000367AC"/>
    <w:rsid w:val="00036E62"/>
    <w:rsid w:val="00036F38"/>
    <w:rsid w:val="00037750"/>
    <w:rsid w:val="0003787B"/>
    <w:rsid w:val="00037A34"/>
    <w:rsid w:val="00037F8A"/>
    <w:rsid w:val="00040219"/>
    <w:rsid w:val="00040E5A"/>
    <w:rsid w:val="000414CD"/>
    <w:rsid w:val="00041657"/>
    <w:rsid w:val="0004170B"/>
    <w:rsid w:val="00042309"/>
    <w:rsid w:val="00042344"/>
    <w:rsid w:val="000423E6"/>
    <w:rsid w:val="000426C7"/>
    <w:rsid w:val="0004287C"/>
    <w:rsid w:val="00042914"/>
    <w:rsid w:val="000429E1"/>
    <w:rsid w:val="000430CA"/>
    <w:rsid w:val="000431B9"/>
    <w:rsid w:val="000432D0"/>
    <w:rsid w:val="00043497"/>
    <w:rsid w:val="00043C46"/>
    <w:rsid w:val="00044839"/>
    <w:rsid w:val="00044D00"/>
    <w:rsid w:val="00044FC5"/>
    <w:rsid w:val="00044FE9"/>
    <w:rsid w:val="00045139"/>
    <w:rsid w:val="00046432"/>
    <w:rsid w:val="0004678D"/>
    <w:rsid w:val="00046A15"/>
    <w:rsid w:val="000471B8"/>
    <w:rsid w:val="000473AC"/>
    <w:rsid w:val="00047774"/>
    <w:rsid w:val="0004F610"/>
    <w:rsid w:val="00050158"/>
    <w:rsid w:val="0005019F"/>
    <w:rsid w:val="0005025D"/>
    <w:rsid w:val="00050458"/>
    <w:rsid w:val="00050C87"/>
    <w:rsid w:val="0005123A"/>
    <w:rsid w:val="00051507"/>
    <w:rsid w:val="000518DB"/>
    <w:rsid w:val="00051A37"/>
    <w:rsid w:val="00051AE2"/>
    <w:rsid w:val="00051D96"/>
    <w:rsid w:val="00051DC4"/>
    <w:rsid w:val="00051DFF"/>
    <w:rsid w:val="0005243F"/>
    <w:rsid w:val="00052491"/>
    <w:rsid w:val="00052C80"/>
    <w:rsid w:val="00052FFC"/>
    <w:rsid w:val="000531B1"/>
    <w:rsid w:val="00053784"/>
    <w:rsid w:val="00053868"/>
    <w:rsid w:val="00053BE7"/>
    <w:rsid w:val="00053D88"/>
    <w:rsid w:val="000543B8"/>
    <w:rsid w:val="00054574"/>
    <w:rsid w:val="00054793"/>
    <w:rsid w:val="000547B6"/>
    <w:rsid w:val="0005484A"/>
    <w:rsid w:val="000549E2"/>
    <w:rsid w:val="00054B74"/>
    <w:rsid w:val="00054E03"/>
    <w:rsid w:val="00054E96"/>
    <w:rsid w:val="0005507B"/>
    <w:rsid w:val="000550B5"/>
    <w:rsid w:val="00055418"/>
    <w:rsid w:val="00055559"/>
    <w:rsid w:val="000555B2"/>
    <w:rsid w:val="00055EE7"/>
    <w:rsid w:val="0005660D"/>
    <w:rsid w:val="00056BD9"/>
    <w:rsid w:val="000574A8"/>
    <w:rsid w:val="00057F82"/>
    <w:rsid w:val="000601FF"/>
    <w:rsid w:val="00060303"/>
    <w:rsid w:val="000603F6"/>
    <w:rsid w:val="00060810"/>
    <w:rsid w:val="00060AD6"/>
    <w:rsid w:val="00060D19"/>
    <w:rsid w:val="00060D7E"/>
    <w:rsid w:val="00061054"/>
    <w:rsid w:val="00061364"/>
    <w:rsid w:val="000613D4"/>
    <w:rsid w:val="00061896"/>
    <w:rsid w:val="00062C04"/>
    <w:rsid w:val="00062CAB"/>
    <w:rsid w:val="0006402C"/>
    <w:rsid w:val="000641A1"/>
    <w:rsid w:val="00064F30"/>
    <w:rsid w:val="00064F56"/>
    <w:rsid w:val="000652ED"/>
    <w:rsid w:val="0006559A"/>
    <w:rsid w:val="00065B67"/>
    <w:rsid w:val="000663AA"/>
    <w:rsid w:val="00066A9B"/>
    <w:rsid w:val="00066C0D"/>
    <w:rsid w:val="000671EF"/>
    <w:rsid w:val="00067237"/>
    <w:rsid w:val="00067722"/>
    <w:rsid w:val="00067A56"/>
    <w:rsid w:val="00067C3E"/>
    <w:rsid w:val="00067E40"/>
    <w:rsid w:val="00070183"/>
    <w:rsid w:val="000705B8"/>
    <w:rsid w:val="0007086B"/>
    <w:rsid w:val="00070C93"/>
    <w:rsid w:val="00070FB4"/>
    <w:rsid w:val="0007148D"/>
    <w:rsid w:val="000717C1"/>
    <w:rsid w:val="0007187F"/>
    <w:rsid w:val="00071FFC"/>
    <w:rsid w:val="00072056"/>
    <w:rsid w:val="000723D7"/>
    <w:rsid w:val="00072CE2"/>
    <w:rsid w:val="000730D1"/>
    <w:rsid w:val="00073E16"/>
    <w:rsid w:val="000743CC"/>
    <w:rsid w:val="00074618"/>
    <w:rsid w:val="0007471D"/>
    <w:rsid w:val="00075179"/>
    <w:rsid w:val="000751B8"/>
    <w:rsid w:val="00075635"/>
    <w:rsid w:val="0007593C"/>
    <w:rsid w:val="00075BC6"/>
    <w:rsid w:val="00075F4D"/>
    <w:rsid w:val="00076215"/>
    <w:rsid w:val="00076555"/>
    <w:rsid w:val="0007660A"/>
    <w:rsid w:val="0007695F"/>
    <w:rsid w:val="00076A8E"/>
    <w:rsid w:val="00076DD9"/>
    <w:rsid w:val="00076E87"/>
    <w:rsid w:val="00076F56"/>
    <w:rsid w:val="000778D1"/>
    <w:rsid w:val="00077D23"/>
    <w:rsid w:val="00077F2D"/>
    <w:rsid w:val="00080123"/>
    <w:rsid w:val="00080403"/>
    <w:rsid w:val="00080662"/>
    <w:rsid w:val="000806BF"/>
    <w:rsid w:val="000807FE"/>
    <w:rsid w:val="00080EB3"/>
    <w:rsid w:val="000814B8"/>
    <w:rsid w:val="000814C9"/>
    <w:rsid w:val="000817E5"/>
    <w:rsid w:val="00082409"/>
    <w:rsid w:val="00082622"/>
    <w:rsid w:val="00082756"/>
    <w:rsid w:val="000828E9"/>
    <w:rsid w:val="0008323B"/>
    <w:rsid w:val="000837BF"/>
    <w:rsid w:val="000837FF"/>
    <w:rsid w:val="00083811"/>
    <w:rsid w:val="00083CBC"/>
    <w:rsid w:val="00083E15"/>
    <w:rsid w:val="00083F46"/>
    <w:rsid w:val="00084023"/>
    <w:rsid w:val="0008402A"/>
    <w:rsid w:val="00084770"/>
    <w:rsid w:val="000849B1"/>
    <w:rsid w:val="000849C1"/>
    <w:rsid w:val="00084BFC"/>
    <w:rsid w:val="000850CE"/>
    <w:rsid w:val="000853BE"/>
    <w:rsid w:val="00085654"/>
    <w:rsid w:val="0008575D"/>
    <w:rsid w:val="0008586C"/>
    <w:rsid w:val="00086075"/>
    <w:rsid w:val="00086568"/>
    <w:rsid w:val="00086723"/>
    <w:rsid w:val="000867A6"/>
    <w:rsid w:val="000867E6"/>
    <w:rsid w:val="00086969"/>
    <w:rsid w:val="00086A18"/>
    <w:rsid w:val="00087138"/>
    <w:rsid w:val="00087402"/>
    <w:rsid w:val="000876A2"/>
    <w:rsid w:val="000902B9"/>
    <w:rsid w:val="00090518"/>
    <w:rsid w:val="00090730"/>
    <w:rsid w:val="0009160F"/>
    <w:rsid w:val="00092887"/>
    <w:rsid w:val="00092B12"/>
    <w:rsid w:val="00092D99"/>
    <w:rsid w:val="0009336B"/>
    <w:rsid w:val="00093511"/>
    <w:rsid w:val="00093911"/>
    <w:rsid w:val="00093EA5"/>
    <w:rsid w:val="00094291"/>
    <w:rsid w:val="000942E8"/>
    <w:rsid w:val="0009435E"/>
    <w:rsid w:val="00094515"/>
    <w:rsid w:val="00094D0A"/>
    <w:rsid w:val="00095156"/>
    <w:rsid w:val="0009538F"/>
    <w:rsid w:val="00095D47"/>
    <w:rsid w:val="0009615F"/>
    <w:rsid w:val="00096663"/>
    <w:rsid w:val="00096681"/>
    <w:rsid w:val="00096F4F"/>
    <w:rsid w:val="000970FC"/>
    <w:rsid w:val="00097795"/>
    <w:rsid w:val="00097C66"/>
    <w:rsid w:val="00097D74"/>
    <w:rsid w:val="00097F2B"/>
    <w:rsid w:val="00097F4E"/>
    <w:rsid w:val="000A0DA1"/>
    <w:rsid w:val="000A0F97"/>
    <w:rsid w:val="000A1374"/>
    <w:rsid w:val="000A1480"/>
    <w:rsid w:val="000A15F1"/>
    <w:rsid w:val="000A1767"/>
    <w:rsid w:val="000A2662"/>
    <w:rsid w:val="000A31B2"/>
    <w:rsid w:val="000A3357"/>
    <w:rsid w:val="000A406E"/>
    <w:rsid w:val="000A44E5"/>
    <w:rsid w:val="000A4942"/>
    <w:rsid w:val="000A4AFB"/>
    <w:rsid w:val="000A5001"/>
    <w:rsid w:val="000A5009"/>
    <w:rsid w:val="000A52D3"/>
    <w:rsid w:val="000A542C"/>
    <w:rsid w:val="000A5922"/>
    <w:rsid w:val="000A5F25"/>
    <w:rsid w:val="000A5FA3"/>
    <w:rsid w:val="000A6352"/>
    <w:rsid w:val="000A68E5"/>
    <w:rsid w:val="000A6B17"/>
    <w:rsid w:val="000A6DF5"/>
    <w:rsid w:val="000A708A"/>
    <w:rsid w:val="000A741E"/>
    <w:rsid w:val="000A770C"/>
    <w:rsid w:val="000A7720"/>
    <w:rsid w:val="000A7BE5"/>
    <w:rsid w:val="000A7C59"/>
    <w:rsid w:val="000A7D0C"/>
    <w:rsid w:val="000A7F14"/>
    <w:rsid w:val="000B01D9"/>
    <w:rsid w:val="000B0CF8"/>
    <w:rsid w:val="000B197C"/>
    <w:rsid w:val="000B1A46"/>
    <w:rsid w:val="000B1B04"/>
    <w:rsid w:val="000B20DC"/>
    <w:rsid w:val="000B2196"/>
    <w:rsid w:val="000B2652"/>
    <w:rsid w:val="000B2B07"/>
    <w:rsid w:val="000B2BC3"/>
    <w:rsid w:val="000B2BDE"/>
    <w:rsid w:val="000B2E04"/>
    <w:rsid w:val="000B2F60"/>
    <w:rsid w:val="000B2FC2"/>
    <w:rsid w:val="000B2FDB"/>
    <w:rsid w:val="000B3080"/>
    <w:rsid w:val="000B3420"/>
    <w:rsid w:val="000B35AE"/>
    <w:rsid w:val="000B3704"/>
    <w:rsid w:val="000B3956"/>
    <w:rsid w:val="000B3A10"/>
    <w:rsid w:val="000B4020"/>
    <w:rsid w:val="000B43A4"/>
    <w:rsid w:val="000B4830"/>
    <w:rsid w:val="000B4D79"/>
    <w:rsid w:val="000B53EE"/>
    <w:rsid w:val="000B563A"/>
    <w:rsid w:val="000B5706"/>
    <w:rsid w:val="000B5C5C"/>
    <w:rsid w:val="000B6568"/>
    <w:rsid w:val="000B6639"/>
    <w:rsid w:val="000B6CC4"/>
    <w:rsid w:val="000B6DCC"/>
    <w:rsid w:val="000B7388"/>
    <w:rsid w:val="000B7706"/>
    <w:rsid w:val="000B78C4"/>
    <w:rsid w:val="000B793C"/>
    <w:rsid w:val="000C02F4"/>
    <w:rsid w:val="000C06F9"/>
    <w:rsid w:val="000C0774"/>
    <w:rsid w:val="000C1056"/>
    <w:rsid w:val="000C1095"/>
    <w:rsid w:val="000C12A5"/>
    <w:rsid w:val="000C13C5"/>
    <w:rsid w:val="000C155A"/>
    <w:rsid w:val="000C1D05"/>
    <w:rsid w:val="000C2009"/>
    <w:rsid w:val="000C2A86"/>
    <w:rsid w:val="000C38D0"/>
    <w:rsid w:val="000C3F8D"/>
    <w:rsid w:val="000C43B5"/>
    <w:rsid w:val="000C47EB"/>
    <w:rsid w:val="000C4D03"/>
    <w:rsid w:val="000C51B1"/>
    <w:rsid w:val="000C5DF5"/>
    <w:rsid w:val="000C5FF7"/>
    <w:rsid w:val="000C61DE"/>
    <w:rsid w:val="000C64E6"/>
    <w:rsid w:val="000C66FA"/>
    <w:rsid w:val="000C6847"/>
    <w:rsid w:val="000C6AD7"/>
    <w:rsid w:val="000C6E3E"/>
    <w:rsid w:val="000C77B6"/>
    <w:rsid w:val="000C77D2"/>
    <w:rsid w:val="000C79A9"/>
    <w:rsid w:val="000C7DE5"/>
    <w:rsid w:val="000C7FB4"/>
    <w:rsid w:val="000D0120"/>
    <w:rsid w:val="000D018E"/>
    <w:rsid w:val="000D026D"/>
    <w:rsid w:val="000D0411"/>
    <w:rsid w:val="000D098A"/>
    <w:rsid w:val="000D14CF"/>
    <w:rsid w:val="000D1C2D"/>
    <w:rsid w:val="000D1CDB"/>
    <w:rsid w:val="000D1D2A"/>
    <w:rsid w:val="000D1DAE"/>
    <w:rsid w:val="000D21DB"/>
    <w:rsid w:val="000D2311"/>
    <w:rsid w:val="000D2710"/>
    <w:rsid w:val="000D276F"/>
    <w:rsid w:val="000D27B2"/>
    <w:rsid w:val="000D2A02"/>
    <w:rsid w:val="000D2ADE"/>
    <w:rsid w:val="000D2F5B"/>
    <w:rsid w:val="000D3438"/>
    <w:rsid w:val="000D349C"/>
    <w:rsid w:val="000D3564"/>
    <w:rsid w:val="000D3611"/>
    <w:rsid w:val="000D37B4"/>
    <w:rsid w:val="000D3B19"/>
    <w:rsid w:val="000D4287"/>
    <w:rsid w:val="000D545C"/>
    <w:rsid w:val="000D56A6"/>
    <w:rsid w:val="000D6258"/>
    <w:rsid w:val="000D6327"/>
    <w:rsid w:val="000D6331"/>
    <w:rsid w:val="000D67D2"/>
    <w:rsid w:val="000D68A6"/>
    <w:rsid w:val="000D6BF2"/>
    <w:rsid w:val="000D6CD6"/>
    <w:rsid w:val="000D70C7"/>
    <w:rsid w:val="000D7476"/>
    <w:rsid w:val="000D7965"/>
    <w:rsid w:val="000D7CAF"/>
    <w:rsid w:val="000E0575"/>
    <w:rsid w:val="000E096C"/>
    <w:rsid w:val="000E09F7"/>
    <w:rsid w:val="000E0A5A"/>
    <w:rsid w:val="000E0D4D"/>
    <w:rsid w:val="000E0E7C"/>
    <w:rsid w:val="000E11B6"/>
    <w:rsid w:val="000E173F"/>
    <w:rsid w:val="000E1749"/>
    <w:rsid w:val="000E19B1"/>
    <w:rsid w:val="000E1A6D"/>
    <w:rsid w:val="000E1DB4"/>
    <w:rsid w:val="000E1E47"/>
    <w:rsid w:val="000E2268"/>
    <w:rsid w:val="000E229C"/>
    <w:rsid w:val="000E24A6"/>
    <w:rsid w:val="000E2757"/>
    <w:rsid w:val="000E2C07"/>
    <w:rsid w:val="000E2F9E"/>
    <w:rsid w:val="000E3000"/>
    <w:rsid w:val="000E31F4"/>
    <w:rsid w:val="000E3BC2"/>
    <w:rsid w:val="000E3C03"/>
    <w:rsid w:val="000E3C86"/>
    <w:rsid w:val="000E3D08"/>
    <w:rsid w:val="000E3D5C"/>
    <w:rsid w:val="000E3FE1"/>
    <w:rsid w:val="000E41B3"/>
    <w:rsid w:val="000E4387"/>
    <w:rsid w:val="000E48DA"/>
    <w:rsid w:val="000E4BED"/>
    <w:rsid w:val="000E4F2F"/>
    <w:rsid w:val="000E506F"/>
    <w:rsid w:val="000E51DB"/>
    <w:rsid w:val="000E52E8"/>
    <w:rsid w:val="000E5557"/>
    <w:rsid w:val="000E5945"/>
    <w:rsid w:val="000E59AC"/>
    <w:rsid w:val="000E5BE4"/>
    <w:rsid w:val="000E5C30"/>
    <w:rsid w:val="000E5CE1"/>
    <w:rsid w:val="000E604F"/>
    <w:rsid w:val="000E6284"/>
    <w:rsid w:val="000E650A"/>
    <w:rsid w:val="000E67D5"/>
    <w:rsid w:val="000E68FA"/>
    <w:rsid w:val="000E6EF1"/>
    <w:rsid w:val="000E712A"/>
    <w:rsid w:val="000E75EB"/>
    <w:rsid w:val="000E7B08"/>
    <w:rsid w:val="000F032E"/>
    <w:rsid w:val="000F06A7"/>
    <w:rsid w:val="000F0A5F"/>
    <w:rsid w:val="000F0BAF"/>
    <w:rsid w:val="000F0FBD"/>
    <w:rsid w:val="000F146A"/>
    <w:rsid w:val="000F1E41"/>
    <w:rsid w:val="000F1F6A"/>
    <w:rsid w:val="000F241B"/>
    <w:rsid w:val="000F2496"/>
    <w:rsid w:val="000F2847"/>
    <w:rsid w:val="000F2FE8"/>
    <w:rsid w:val="000F340D"/>
    <w:rsid w:val="000F3776"/>
    <w:rsid w:val="000F39DF"/>
    <w:rsid w:val="000F40C0"/>
    <w:rsid w:val="000F41C9"/>
    <w:rsid w:val="000F4361"/>
    <w:rsid w:val="000F448E"/>
    <w:rsid w:val="000F4A98"/>
    <w:rsid w:val="000F4CA6"/>
    <w:rsid w:val="000F4DB0"/>
    <w:rsid w:val="000F5282"/>
    <w:rsid w:val="000F599F"/>
    <w:rsid w:val="000F5AD1"/>
    <w:rsid w:val="000F5C21"/>
    <w:rsid w:val="000F5C76"/>
    <w:rsid w:val="000F5E23"/>
    <w:rsid w:val="000F5FD5"/>
    <w:rsid w:val="000F61B9"/>
    <w:rsid w:val="000F625E"/>
    <w:rsid w:val="000F639B"/>
    <w:rsid w:val="000F6945"/>
    <w:rsid w:val="000F6AB8"/>
    <w:rsid w:val="000F6CF0"/>
    <w:rsid w:val="000F7076"/>
    <w:rsid w:val="000F7095"/>
    <w:rsid w:val="000F70F5"/>
    <w:rsid w:val="000F7180"/>
    <w:rsid w:val="000F7269"/>
    <w:rsid w:val="000F738B"/>
    <w:rsid w:val="000F7C32"/>
    <w:rsid w:val="000F8D9D"/>
    <w:rsid w:val="001000E8"/>
    <w:rsid w:val="00100270"/>
    <w:rsid w:val="00100298"/>
    <w:rsid w:val="001004DA"/>
    <w:rsid w:val="00100A38"/>
    <w:rsid w:val="001010FE"/>
    <w:rsid w:val="00101B0C"/>
    <w:rsid w:val="00101B84"/>
    <w:rsid w:val="00101B9E"/>
    <w:rsid w:val="00101C9E"/>
    <w:rsid w:val="0010232D"/>
    <w:rsid w:val="001025C5"/>
    <w:rsid w:val="0010283F"/>
    <w:rsid w:val="0010287F"/>
    <w:rsid w:val="001028BC"/>
    <w:rsid w:val="001029CE"/>
    <w:rsid w:val="00102E62"/>
    <w:rsid w:val="001033B1"/>
    <w:rsid w:val="001039E7"/>
    <w:rsid w:val="00103A8E"/>
    <w:rsid w:val="00103F8F"/>
    <w:rsid w:val="00104183"/>
    <w:rsid w:val="001043DB"/>
    <w:rsid w:val="001044B9"/>
    <w:rsid w:val="00104573"/>
    <w:rsid w:val="0010478F"/>
    <w:rsid w:val="00104F32"/>
    <w:rsid w:val="00104F34"/>
    <w:rsid w:val="001055EF"/>
    <w:rsid w:val="00105881"/>
    <w:rsid w:val="00105B04"/>
    <w:rsid w:val="001067EF"/>
    <w:rsid w:val="001075C6"/>
    <w:rsid w:val="00107885"/>
    <w:rsid w:val="00107E31"/>
    <w:rsid w:val="00107EA2"/>
    <w:rsid w:val="00110153"/>
    <w:rsid w:val="0011035D"/>
    <w:rsid w:val="0011053B"/>
    <w:rsid w:val="00110801"/>
    <w:rsid w:val="00111738"/>
    <w:rsid w:val="00111849"/>
    <w:rsid w:val="00111999"/>
    <w:rsid w:val="00111A59"/>
    <w:rsid w:val="00111B8E"/>
    <w:rsid w:val="00111BCB"/>
    <w:rsid w:val="00111C88"/>
    <w:rsid w:val="00111E82"/>
    <w:rsid w:val="00111F48"/>
    <w:rsid w:val="001121A4"/>
    <w:rsid w:val="001125F2"/>
    <w:rsid w:val="00112674"/>
    <w:rsid w:val="0011282B"/>
    <w:rsid w:val="00112926"/>
    <w:rsid w:val="0011298B"/>
    <w:rsid w:val="00112ADF"/>
    <w:rsid w:val="00112BC9"/>
    <w:rsid w:val="00112DDD"/>
    <w:rsid w:val="00112F8B"/>
    <w:rsid w:val="0011328F"/>
    <w:rsid w:val="001135C6"/>
    <w:rsid w:val="00113698"/>
    <w:rsid w:val="00113A32"/>
    <w:rsid w:val="0011405E"/>
    <w:rsid w:val="00114228"/>
    <w:rsid w:val="0011461E"/>
    <w:rsid w:val="00114BA8"/>
    <w:rsid w:val="00114D98"/>
    <w:rsid w:val="00114DD3"/>
    <w:rsid w:val="0011508B"/>
    <w:rsid w:val="00115A20"/>
    <w:rsid w:val="00116236"/>
    <w:rsid w:val="00116C50"/>
    <w:rsid w:val="00116C6F"/>
    <w:rsid w:val="00116CA6"/>
    <w:rsid w:val="00116E42"/>
    <w:rsid w:val="00117510"/>
    <w:rsid w:val="00117E73"/>
    <w:rsid w:val="00117EC4"/>
    <w:rsid w:val="001200B3"/>
    <w:rsid w:val="001202AE"/>
    <w:rsid w:val="00120A7F"/>
    <w:rsid w:val="00120ACF"/>
    <w:rsid w:val="00120B57"/>
    <w:rsid w:val="00120C93"/>
    <w:rsid w:val="00120CCB"/>
    <w:rsid w:val="00120D52"/>
    <w:rsid w:val="00120E83"/>
    <w:rsid w:val="001219C5"/>
    <w:rsid w:val="00121B2A"/>
    <w:rsid w:val="001222BA"/>
    <w:rsid w:val="0012237B"/>
    <w:rsid w:val="00122751"/>
    <w:rsid w:val="00122822"/>
    <w:rsid w:val="00122B74"/>
    <w:rsid w:val="00122C66"/>
    <w:rsid w:val="00122FF3"/>
    <w:rsid w:val="001234A1"/>
    <w:rsid w:val="00123DAC"/>
    <w:rsid w:val="00124B01"/>
    <w:rsid w:val="00124B72"/>
    <w:rsid w:val="00124D3A"/>
    <w:rsid w:val="00125008"/>
    <w:rsid w:val="001253E0"/>
    <w:rsid w:val="001254BB"/>
    <w:rsid w:val="00125598"/>
    <w:rsid w:val="00126080"/>
    <w:rsid w:val="001260FB"/>
    <w:rsid w:val="0012637D"/>
    <w:rsid w:val="001264EA"/>
    <w:rsid w:val="0012651B"/>
    <w:rsid w:val="00126775"/>
    <w:rsid w:val="0012678E"/>
    <w:rsid w:val="0012681C"/>
    <w:rsid w:val="00126B10"/>
    <w:rsid w:val="00126E7A"/>
    <w:rsid w:val="00127E5D"/>
    <w:rsid w:val="00127F8F"/>
    <w:rsid w:val="001301E8"/>
    <w:rsid w:val="001302DC"/>
    <w:rsid w:val="00130998"/>
    <w:rsid w:val="001312A2"/>
    <w:rsid w:val="00131498"/>
    <w:rsid w:val="001317B3"/>
    <w:rsid w:val="00131EEC"/>
    <w:rsid w:val="001322D0"/>
    <w:rsid w:val="001324E2"/>
    <w:rsid w:val="001328E3"/>
    <w:rsid w:val="00132A9B"/>
    <w:rsid w:val="00132B4B"/>
    <w:rsid w:val="00133026"/>
    <w:rsid w:val="001335D5"/>
    <w:rsid w:val="00133641"/>
    <w:rsid w:val="00133A18"/>
    <w:rsid w:val="00133C90"/>
    <w:rsid w:val="001340C0"/>
    <w:rsid w:val="0013443C"/>
    <w:rsid w:val="00134B88"/>
    <w:rsid w:val="00135007"/>
    <w:rsid w:val="0013520A"/>
    <w:rsid w:val="001354C7"/>
    <w:rsid w:val="001354FA"/>
    <w:rsid w:val="0013566B"/>
    <w:rsid w:val="0013585D"/>
    <w:rsid w:val="00135B45"/>
    <w:rsid w:val="001361E9"/>
    <w:rsid w:val="00136410"/>
    <w:rsid w:val="00136580"/>
    <w:rsid w:val="00136924"/>
    <w:rsid w:val="001373D5"/>
    <w:rsid w:val="0013755B"/>
    <w:rsid w:val="00137899"/>
    <w:rsid w:val="00137BF0"/>
    <w:rsid w:val="00137CDA"/>
    <w:rsid w:val="00140D8F"/>
    <w:rsid w:val="001410A7"/>
    <w:rsid w:val="001410F4"/>
    <w:rsid w:val="00141AF3"/>
    <w:rsid w:val="001429CB"/>
    <w:rsid w:val="00142D86"/>
    <w:rsid w:val="00142E29"/>
    <w:rsid w:val="00142F2E"/>
    <w:rsid w:val="00142F63"/>
    <w:rsid w:val="001430DA"/>
    <w:rsid w:val="001432AB"/>
    <w:rsid w:val="001432D8"/>
    <w:rsid w:val="00143708"/>
    <w:rsid w:val="00143D63"/>
    <w:rsid w:val="001444EB"/>
    <w:rsid w:val="001451CF"/>
    <w:rsid w:val="0014538D"/>
    <w:rsid w:val="001453F1"/>
    <w:rsid w:val="0014540C"/>
    <w:rsid w:val="00145490"/>
    <w:rsid w:val="00145B7A"/>
    <w:rsid w:val="00145F48"/>
    <w:rsid w:val="00146168"/>
    <w:rsid w:val="00146222"/>
    <w:rsid w:val="00146486"/>
    <w:rsid w:val="00146543"/>
    <w:rsid w:val="001466E9"/>
    <w:rsid w:val="001466FF"/>
    <w:rsid w:val="001468DE"/>
    <w:rsid w:val="0014692F"/>
    <w:rsid w:val="00146F8B"/>
    <w:rsid w:val="00147292"/>
    <w:rsid w:val="001472D9"/>
    <w:rsid w:val="0014744F"/>
    <w:rsid w:val="001476BE"/>
    <w:rsid w:val="00147AE2"/>
    <w:rsid w:val="00147D6A"/>
    <w:rsid w:val="0014B4C1"/>
    <w:rsid w:val="0014C83C"/>
    <w:rsid w:val="00150167"/>
    <w:rsid w:val="001502F5"/>
    <w:rsid w:val="0015078D"/>
    <w:rsid w:val="00150841"/>
    <w:rsid w:val="00150BA1"/>
    <w:rsid w:val="00150D85"/>
    <w:rsid w:val="00150EA8"/>
    <w:rsid w:val="00151424"/>
    <w:rsid w:val="00151AE9"/>
    <w:rsid w:val="00151BFC"/>
    <w:rsid w:val="00151D2F"/>
    <w:rsid w:val="00151D9D"/>
    <w:rsid w:val="00152080"/>
    <w:rsid w:val="0015253A"/>
    <w:rsid w:val="0015292C"/>
    <w:rsid w:val="00152F74"/>
    <w:rsid w:val="00152FF3"/>
    <w:rsid w:val="001534E2"/>
    <w:rsid w:val="0015364B"/>
    <w:rsid w:val="0015394D"/>
    <w:rsid w:val="0015395B"/>
    <w:rsid w:val="00153970"/>
    <w:rsid w:val="00154548"/>
    <w:rsid w:val="001545B1"/>
    <w:rsid w:val="001549E5"/>
    <w:rsid w:val="00154ABE"/>
    <w:rsid w:val="001550D0"/>
    <w:rsid w:val="00155354"/>
    <w:rsid w:val="00155740"/>
    <w:rsid w:val="001557C3"/>
    <w:rsid w:val="00155A01"/>
    <w:rsid w:val="00156201"/>
    <w:rsid w:val="001564E8"/>
    <w:rsid w:val="001569D6"/>
    <w:rsid w:val="00156B64"/>
    <w:rsid w:val="00156B7A"/>
    <w:rsid w:val="00157054"/>
    <w:rsid w:val="00157457"/>
    <w:rsid w:val="001574A4"/>
    <w:rsid w:val="001603F8"/>
    <w:rsid w:val="001604F4"/>
    <w:rsid w:val="001605B2"/>
    <w:rsid w:val="00160A8C"/>
    <w:rsid w:val="001611D2"/>
    <w:rsid w:val="001615B3"/>
    <w:rsid w:val="00161997"/>
    <w:rsid w:val="00161A04"/>
    <w:rsid w:val="0016254D"/>
    <w:rsid w:val="00162726"/>
    <w:rsid w:val="00162815"/>
    <w:rsid w:val="0016286D"/>
    <w:rsid w:val="00163043"/>
    <w:rsid w:val="001638C3"/>
    <w:rsid w:val="00163974"/>
    <w:rsid w:val="00163B7A"/>
    <w:rsid w:val="00163CC2"/>
    <w:rsid w:val="00163D3A"/>
    <w:rsid w:val="00164E4E"/>
    <w:rsid w:val="0016504E"/>
    <w:rsid w:val="001651D7"/>
    <w:rsid w:val="00165487"/>
    <w:rsid w:val="0016592C"/>
    <w:rsid w:val="00165E2B"/>
    <w:rsid w:val="00165F33"/>
    <w:rsid w:val="0016642B"/>
    <w:rsid w:val="00166677"/>
    <w:rsid w:val="00166B57"/>
    <w:rsid w:val="00166D50"/>
    <w:rsid w:val="00167578"/>
    <w:rsid w:val="001675A0"/>
    <w:rsid w:val="00167C6E"/>
    <w:rsid w:val="00167C91"/>
    <w:rsid w:val="00167CA8"/>
    <w:rsid w:val="00167CD1"/>
    <w:rsid w:val="00167CFE"/>
    <w:rsid w:val="001702B4"/>
    <w:rsid w:val="00170586"/>
    <w:rsid w:val="00170687"/>
    <w:rsid w:val="0017079D"/>
    <w:rsid w:val="001707F2"/>
    <w:rsid w:val="00170C7F"/>
    <w:rsid w:val="00170CB2"/>
    <w:rsid w:val="00170D28"/>
    <w:rsid w:val="00170F16"/>
    <w:rsid w:val="001722C2"/>
    <w:rsid w:val="0017290F"/>
    <w:rsid w:val="00172C03"/>
    <w:rsid w:val="00172CDA"/>
    <w:rsid w:val="001731F7"/>
    <w:rsid w:val="0017342A"/>
    <w:rsid w:val="0017368D"/>
    <w:rsid w:val="001736C4"/>
    <w:rsid w:val="00173BDC"/>
    <w:rsid w:val="00173D2B"/>
    <w:rsid w:val="00173DD3"/>
    <w:rsid w:val="001742E3"/>
    <w:rsid w:val="00174950"/>
    <w:rsid w:val="001749FD"/>
    <w:rsid w:val="00174A54"/>
    <w:rsid w:val="0017525F"/>
    <w:rsid w:val="00175517"/>
    <w:rsid w:val="0017552C"/>
    <w:rsid w:val="00175687"/>
    <w:rsid w:val="001756FE"/>
    <w:rsid w:val="00175830"/>
    <w:rsid w:val="00175CAF"/>
    <w:rsid w:val="00175DDE"/>
    <w:rsid w:val="001760EE"/>
    <w:rsid w:val="00176215"/>
    <w:rsid w:val="00176580"/>
    <w:rsid w:val="00176BAE"/>
    <w:rsid w:val="00176E77"/>
    <w:rsid w:val="001774A8"/>
    <w:rsid w:val="00177D33"/>
    <w:rsid w:val="00177F4E"/>
    <w:rsid w:val="001800C0"/>
    <w:rsid w:val="00180287"/>
    <w:rsid w:val="00180892"/>
    <w:rsid w:val="001808AD"/>
    <w:rsid w:val="00180922"/>
    <w:rsid w:val="001812BC"/>
    <w:rsid w:val="00181CC6"/>
    <w:rsid w:val="00181FE6"/>
    <w:rsid w:val="00182B9A"/>
    <w:rsid w:val="00182C8D"/>
    <w:rsid w:val="00182D53"/>
    <w:rsid w:val="00183015"/>
    <w:rsid w:val="001831C7"/>
    <w:rsid w:val="00183319"/>
    <w:rsid w:val="0018376F"/>
    <w:rsid w:val="001838D3"/>
    <w:rsid w:val="00183E14"/>
    <w:rsid w:val="00183EF2"/>
    <w:rsid w:val="00183F2B"/>
    <w:rsid w:val="0018459D"/>
    <w:rsid w:val="0018511B"/>
    <w:rsid w:val="0018543B"/>
    <w:rsid w:val="001857F2"/>
    <w:rsid w:val="00185A1A"/>
    <w:rsid w:val="00185BB8"/>
    <w:rsid w:val="00185CB7"/>
    <w:rsid w:val="00185DAA"/>
    <w:rsid w:val="0018684B"/>
    <w:rsid w:val="0018696D"/>
    <w:rsid w:val="00187059"/>
    <w:rsid w:val="00187575"/>
    <w:rsid w:val="001876DF"/>
    <w:rsid w:val="00187869"/>
    <w:rsid w:val="00187918"/>
    <w:rsid w:val="00187B31"/>
    <w:rsid w:val="00187B86"/>
    <w:rsid w:val="00187E1E"/>
    <w:rsid w:val="001903EB"/>
    <w:rsid w:val="00190DE0"/>
    <w:rsid w:val="00190FCA"/>
    <w:rsid w:val="0019100E"/>
    <w:rsid w:val="00191535"/>
    <w:rsid w:val="0019185A"/>
    <w:rsid w:val="00191D70"/>
    <w:rsid w:val="001921FF"/>
    <w:rsid w:val="00192200"/>
    <w:rsid w:val="0019231C"/>
    <w:rsid w:val="00192DF0"/>
    <w:rsid w:val="00193099"/>
    <w:rsid w:val="00193925"/>
    <w:rsid w:val="0019395C"/>
    <w:rsid w:val="00193C84"/>
    <w:rsid w:val="00194450"/>
    <w:rsid w:val="00194872"/>
    <w:rsid w:val="0019490B"/>
    <w:rsid w:val="00195544"/>
    <w:rsid w:val="00195571"/>
    <w:rsid w:val="00195761"/>
    <w:rsid w:val="00195785"/>
    <w:rsid w:val="001957DB"/>
    <w:rsid w:val="00195C81"/>
    <w:rsid w:val="0019606B"/>
    <w:rsid w:val="001969ED"/>
    <w:rsid w:val="00196B0E"/>
    <w:rsid w:val="00196FC6"/>
    <w:rsid w:val="00197460"/>
    <w:rsid w:val="001975D7"/>
    <w:rsid w:val="0019798A"/>
    <w:rsid w:val="00197DE1"/>
    <w:rsid w:val="001A0068"/>
    <w:rsid w:val="001A031F"/>
    <w:rsid w:val="001A050E"/>
    <w:rsid w:val="001A076B"/>
    <w:rsid w:val="001A082E"/>
    <w:rsid w:val="001A0C7C"/>
    <w:rsid w:val="001A0DC4"/>
    <w:rsid w:val="001A0F17"/>
    <w:rsid w:val="001A15FF"/>
    <w:rsid w:val="001A1C9D"/>
    <w:rsid w:val="001A20CC"/>
    <w:rsid w:val="001A22C7"/>
    <w:rsid w:val="001A22FC"/>
    <w:rsid w:val="001A2767"/>
    <w:rsid w:val="001A2B40"/>
    <w:rsid w:val="001A2C2E"/>
    <w:rsid w:val="001A3369"/>
    <w:rsid w:val="001A363D"/>
    <w:rsid w:val="001A39DC"/>
    <w:rsid w:val="001A4209"/>
    <w:rsid w:val="001A5124"/>
    <w:rsid w:val="001A516C"/>
    <w:rsid w:val="001A56B9"/>
    <w:rsid w:val="001A5A88"/>
    <w:rsid w:val="001A5E77"/>
    <w:rsid w:val="001A5FEE"/>
    <w:rsid w:val="001A64C2"/>
    <w:rsid w:val="001A6970"/>
    <w:rsid w:val="001A6B93"/>
    <w:rsid w:val="001A6C4A"/>
    <w:rsid w:val="001A6D6C"/>
    <w:rsid w:val="001A72B7"/>
    <w:rsid w:val="001A7404"/>
    <w:rsid w:val="001A7A12"/>
    <w:rsid w:val="001B00C0"/>
    <w:rsid w:val="001B05D7"/>
    <w:rsid w:val="001B0ABB"/>
    <w:rsid w:val="001B0D60"/>
    <w:rsid w:val="001B0D84"/>
    <w:rsid w:val="001B0E5F"/>
    <w:rsid w:val="001B146B"/>
    <w:rsid w:val="001B1A5F"/>
    <w:rsid w:val="001B2090"/>
    <w:rsid w:val="001B2230"/>
    <w:rsid w:val="001B2870"/>
    <w:rsid w:val="001B2904"/>
    <w:rsid w:val="001B2945"/>
    <w:rsid w:val="001B29AC"/>
    <w:rsid w:val="001B2E82"/>
    <w:rsid w:val="001B3100"/>
    <w:rsid w:val="001B35C7"/>
    <w:rsid w:val="001B387C"/>
    <w:rsid w:val="001B3A49"/>
    <w:rsid w:val="001B3C2C"/>
    <w:rsid w:val="001B3F38"/>
    <w:rsid w:val="001B537D"/>
    <w:rsid w:val="001B5A06"/>
    <w:rsid w:val="001B5FD5"/>
    <w:rsid w:val="001B6075"/>
    <w:rsid w:val="001B62BC"/>
    <w:rsid w:val="001B65F8"/>
    <w:rsid w:val="001B66CF"/>
    <w:rsid w:val="001B6837"/>
    <w:rsid w:val="001B6ACB"/>
    <w:rsid w:val="001B6F84"/>
    <w:rsid w:val="001B7280"/>
    <w:rsid w:val="001B7390"/>
    <w:rsid w:val="001B73AE"/>
    <w:rsid w:val="001B7986"/>
    <w:rsid w:val="001C02C5"/>
    <w:rsid w:val="001C0788"/>
    <w:rsid w:val="001C0833"/>
    <w:rsid w:val="001C0A3E"/>
    <w:rsid w:val="001C0D23"/>
    <w:rsid w:val="001C1226"/>
    <w:rsid w:val="001C142B"/>
    <w:rsid w:val="001C2025"/>
    <w:rsid w:val="001C2082"/>
    <w:rsid w:val="001C2527"/>
    <w:rsid w:val="001C2618"/>
    <w:rsid w:val="001C28EC"/>
    <w:rsid w:val="001C330D"/>
    <w:rsid w:val="001C335D"/>
    <w:rsid w:val="001C35DC"/>
    <w:rsid w:val="001C392E"/>
    <w:rsid w:val="001C41F1"/>
    <w:rsid w:val="001C4776"/>
    <w:rsid w:val="001C47F5"/>
    <w:rsid w:val="001C495D"/>
    <w:rsid w:val="001C4B30"/>
    <w:rsid w:val="001C4CF9"/>
    <w:rsid w:val="001C51F8"/>
    <w:rsid w:val="001C528F"/>
    <w:rsid w:val="001C530E"/>
    <w:rsid w:val="001C5328"/>
    <w:rsid w:val="001C53F5"/>
    <w:rsid w:val="001C5B32"/>
    <w:rsid w:val="001C67AC"/>
    <w:rsid w:val="001C6BF7"/>
    <w:rsid w:val="001C6D63"/>
    <w:rsid w:val="001C6D98"/>
    <w:rsid w:val="001C7A02"/>
    <w:rsid w:val="001D09D7"/>
    <w:rsid w:val="001D0B78"/>
    <w:rsid w:val="001D0BEB"/>
    <w:rsid w:val="001D0C08"/>
    <w:rsid w:val="001D0C14"/>
    <w:rsid w:val="001D0DEB"/>
    <w:rsid w:val="001D0F6B"/>
    <w:rsid w:val="001D129A"/>
    <w:rsid w:val="001D1689"/>
    <w:rsid w:val="001D19C4"/>
    <w:rsid w:val="001D1A70"/>
    <w:rsid w:val="001D1AB0"/>
    <w:rsid w:val="001D2392"/>
    <w:rsid w:val="001D27BA"/>
    <w:rsid w:val="001D286E"/>
    <w:rsid w:val="001D290B"/>
    <w:rsid w:val="001D319B"/>
    <w:rsid w:val="001D320D"/>
    <w:rsid w:val="001D35C2"/>
    <w:rsid w:val="001D3BF2"/>
    <w:rsid w:val="001D3EB9"/>
    <w:rsid w:val="001D41EF"/>
    <w:rsid w:val="001D4483"/>
    <w:rsid w:val="001D465C"/>
    <w:rsid w:val="001D4783"/>
    <w:rsid w:val="001D4790"/>
    <w:rsid w:val="001D4903"/>
    <w:rsid w:val="001D4A46"/>
    <w:rsid w:val="001D5413"/>
    <w:rsid w:val="001D5884"/>
    <w:rsid w:val="001D5B0C"/>
    <w:rsid w:val="001D5C5E"/>
    <w:rsid w:val="001D5C70"/>
    <w:rsid w:val="001D609B"/>
    <w:rsid w:val="001D60E1"/>
    <w:rsid w:val="001D6372"/>
    <w:rsid w:val="001D65B2"/>
    <w:rsid w:val="001D670C"/>
    <w:rsid w:val="001D6898"/>
    <w:rsid w:val="001D69ED"/>
    <w:rsid w:val="001D6C31"/>
    <w:rsid w:val="001D6D38"/>
    <w:rsid w:val="001D74CF"/>
    <w:rsid w:val="001D76AB"/>
    <w:rsid w:val="001D78F5"/>
    <w:rsid w:val="001D7A06"/>
    <w:rsid w:val="001D7E67"/>
    <w:rsid w:val="001E0272"/>
    <w:rsid w:val="001E031E"/>
    <w:rsid w:val="001E0FCC"/>
    <w:rsid w:val="001E10E8"/>
    <w:rsid w:val="001E11A5"/>
    <w:rsid w:val="001E20BB"/>
    <w:rsid w:val="001E213F"/>
    <w:rsid w:val="001E234C"/>
    <w:rsid w:val="001E2427"/>
    <w:rsid w:val="001E26CF"/>
    <w:rsid w:val="001E28E4"/>
    <w:rsid w:val="001E2B17"/>
    <w:rsid w:val="001E2F89"/>
    <w:rsid w:val="001E3326"/>
    <w:rsid w:val="001E33D5"/>
    <w:rsid w:val="001E3AE8"/>
    <w:rsid w:val="001E3D37"/>
    <w:rsid w:val="001E3EF2"/>
    <w:rsid w:val="001E4061"/>
    <w:rsid w:val="001E47F5"/>
    <w:rsid w:val="001E4946"/>
    <w:rsid w:val="001E4968"/>
    <w:rsid w:val="001E4DDF"/>
    <w:rsid w:val="001E51B7"/>
    <w:rsid w:val="001E5986"/>
    <w:rsid w:val="001E5BBE"/>
    <w:rsid w:val="001E5CFC"/>
    <w:rsid w:val="001E5D6D"/>
    <w:rsid w:val="001E5DD2"/>
    <w:rsid w:val="001E62D8"/>
    <w:rsid w:val="001E635C"/>
    <w:rsid w:val="001E7021"/>
    <w:rsid w:val="001E74A3"/>
    <w:rsid w:val="001E776C"/>
    <w:rsid w:val="001E78CE"/>
    <w:rsid w:val="001E7932"/>
    <w:rsid w:val="001E7BFF"/>
    <w:rsid w:val="001E7CF2"/>
    <w:rsid w:val="001E7F84"/>
    <w:rsid w:val="001F00FA"/>
    <w:rsid w:val="001F0B28"/>
    <w:rsid w:val="001F0C23"/>
    <w:rsid w:val="001F0C79"/>
    <w:rsid w:val="001F0D22"/>
    <w:rsid w:val="001F1226"/>
    <w:rsid w:val="001F1683"/>
    <w:rsid w:val="001F1DE1"/>
    <w:rsid w:val="001F1F8B"/>
    <w:rsid w:val="001F2851"/>
    <w:rsid w:val="001F2DB3"/>
    <w:rsid w:val="001F2DCF"/>
    <w:rsid w:val="001F3632"/>
    <w:rsid w:val="001F3E46"/>
    <w:rsid w:val="001F5679"/>
    <w:rsid w:val="001F5BFF"/>
    <w:rsid w:val="001F5CF9"/>
    <w:rsid w:val="001F642E"/>
    <w:rsid w:val="001F64DA"/>
    <w:rsid w:val="001F6603"/>
    <w:rsid w:val="001F72D8"/>
    <w:rsid w:val="001F7DE3"/>
    <w:rsid w:val="0020006D"/>
    <w:rsid w:val="0020025C"/>
    <w:rsid w:val="002011FD"/>
    <w:rsid w:val="002015C3"/>
    <w:rsid w:val="00201EEC"/>
    <w:rsid w:val="0020215F"/>
    <w:rsid w:val="00202D86"/>
    <w:rsid w:val="00202DA0"/>
    <w:rsid w:val="00202F5F"/>
    <w:rsid w:val="002033CA"/>
    <w:rsid w:val="00203D10"/>
    <w:rsid w:val="002040C6"/>
    <w:rsid w:val="00204B0D"/>
    <w:rsid w:val="002054BB"/>
    <w:rsid w:val="0020556A"/>
    <w:rsid w:val="002057DF"/>
    <w:rsid w:val="00205A4A"/>
    <w:rsid w:val="00205AD1"/>
    <w:rsid w:val="00206061"/>
    <w:rsid w:val="00206250"/>
    <w:rsid w:val="002062DA"/>
    <w:rsid w:val="0020681F"/>
    <w:rsid w:val="00206963"/>
    <w:rsid w:val="00206980"/>
    <w:rsid w:val="00206A6C"/>
    <w:rsid w:val="00206B00"/>
    <w:rsid w:val="0020749B"/>
    <w:rsid w:val="002077AF"/>
    <w:rsid w:val="00207997"/>
    <w:rsid w:val="00207C33"/>
    <w:rsid w:val="00207F73"/>
    <w:rsid w:val="0021008A"/>
    <w:rsid w:val="00210610"/>
    <w:rsid w:val="00210EC4"/>
    <w:rsid w:val="002110CF"/>
    <w:rsid w:val="00211172"/>
    <w:rsid w:val="00211416"/>
    <w:rsid w:val="002117B9"/>
    <w:rsid w:val="0021186D"/>
    <w:rsid w:val="00211964"/>
    <w:rsid w:val="00211A9A"/>
    <w:rsid w:val="00211BEC"/>
    <w:rsid w:val="0021205B"/>
    <w:rsid w:val="0021276B"/>
    <w:rsid w:val="00212879"/>
    <w:rsid w:val="0021299D"/>
    <w:rsid w:val="00213065"/>
    <w:rsid w:val="00213786"/>
    <w:rsid w:val="00213794"/>
    <w:rsid w:val="0021381D"/>
    <w:rsid w:val="002143D8"/>
    <w:rsid w:val="002146AE"/>
    <w:rsid w:val="0021488A"/>
    <w:rsid w:val="0021495D"/>
    <w:rsid w:val="00214987"/>
    <w:rsid w:val="002151FB"/>
    <w:rsid w:val="002153B7"/>
    <w:rsid w:val="00215405"/>
    <w:rsid w:val="00215938"/>
    <w:rsid w:val="00216D83"/>
    <w:rsid w:val="00216DE4"/>
    <w:rsid w:val="002173A6"/>
    <w:rsid w:val="00217591"/>
    <w:rsid w:val="002175CB"/>
    <w:rsid w:val="0021764D"/>
    <w:rsid w:val="00217A47"/>
    <w:rsid w:val="00217BBB"/>
    <w:rsid w:val="00217F31"/>
    <w:rsid w:val="00220208"/>
    <w:rsid w:val="00220870"/>
    <w:rsid w:val="002208BD"/>
    <w:rsid w:val="0022153C"/>
    <w:rsid w:val="00221890"/>
    <w:rsid w:val="00221CC3"/>
    <w:rsid w:val="00221F1B"/>
    <w:rsid w:val="0022226B"/>
    <w:rsid w:val="00222970"/>
    <w:rsid w:val="002229C9"/>
    <w:rsid w:val="00222C53"/>
    <w:rsid w:val="00222F22"/>
    <w:rsid w:val="00223130"/>
    <w:rsid w:val="00223322"/>
    <w:rsid w:val="00223352"/>
    <w:rsid w:val="0022394A"/>
    <w:rsid w:val="00223A46"/>
    <w:rsid w:val="002240C7"/>
    <w:rsid w:val="00224195"/>
    <w:rsid w:val="00224213"/>
    <w:rsid w:val="002243ED"/>
    <w:rsid w:val="002248D3"/>
    <w:rsid w:val="002248D9"/>
    <w:rsid w:val="00224CDF"/>
    <w:rsid w:val="00224E4A"/>
    <w:rsid w:val="00224E7C"/>
    <w:rsid w:val="00225127"/>
    <w:rsid w:val="0022523C"/>
    <w:rsid w:val="00225280"/>
    <w:rsid w:val="002257A5"/>
    <w:rsid w:val="0022626C"/>
    <w:rsid w:val="002262B8"/>
    <w:rsid w:val="00226AE6"/>
    <w:rsid w:val="00226DC7"/>
    <w:rsid w:val="002270B2"/>
    <w:rsid w:val="002270C8"/>
    <w:rsid w:val="00227660"/>
    <w:rsid w:val="00227A9F"/>
    <w:rsid w:val="00227CEC"/>
    <w:rsid w:val="00227F47"/>
    <w:rsid w:val="0023027C"/>
    <w:rsid w:val="0023034B"/>
    <w:rsid w:val="002304DE"/>
    <w:rsid w:val="00230C41"/>
    <w:rsid w:val="00230F71"/>
    <w:rsid w:val="002311C2"/>
    <w:rsid w:val="002311F0"/>
    <w:rsid w:val="002319FA"/>
    <w:rsid w:val="00231FDC"/>
    <w:rsid w:val="00232005"/>
    <w:rsid w:val="0023229B"/>
    <w:rsid w:val="002331EC"/>
    <w:rsid w:val="00234141"/>
    <w:rsid w:val="002346C0"/>
    <w:rsid w:val="00234703"/>
    <w:rsid w:val="0023470F"/>
    <w:rsid w:val="00234D04"/>
    <w:rsid w:val="00235565"/>
    <w:rsid w:val="00236053"/>
    <w:rsid w:val="00236213"/>
    <w:rsid w:val="00236EFD"/>
    <w:rsid w:val="002373D4"/>
    <w:rsid w:val="00237818"/>
    <w:rsid w:val="0023792A"/>
    <w:rsid w:val="00237CF3"/>
    <w:rsid w:val="0024029D"/>
    <w:rsid w:val="002407E5"/>
    <w:rsid w:val="00240BD9"/>
    <w:rsid w:val="00241EDD"/>
    <w:rsid w:val="00241F81"/>
    <w:rsid w:val="0024209F"/>
    <w:rsid w:val="00242AE1"/>
    <w:rsid w:val="00242C55"/>
    <w:rsid w:val="00242F5A"/>
    <w:rsid w:val="002432F5"/>
    <w:rsid w:val="0024401B"/>
    <w:rsid w:val="002444A6"/>
    <w:rsid w:val="00244C04"/>
    <w:rsid w:val="00245576"/>
    <w:rsid w:val="0024580B"/>
    <w:rsid w:val="002459D6"/>
    <w:rsid w:val="00245C07"/>
    <w:rsid w:val="00245DB0"/>
    <w:rsid w:val="00246051"/>
    <w:rsid w:val="0024681C"/>
    <w:rsid w:val="00246B87"/>
    <w:rsid w:val="00247446"/>
    <w:rsid w:val="0024752F"/>
    <w:rsid w:val="002476FF"/>
    <w:rsid w:val="0024786E"/>
    <w:rsid w:val="00247D48"/>
    <w:rsid w:val="00247DF8"/>
    <w:rsid w:val="00247F33"/>
    <w:rsid w:val="00250412"/>
    <w:rsid w:val="00250B40"/>
    <w:rsid w:val="00250CE2"/>
    <w:rsid w:val="0025105C"/>
    <w:rsid w:val="00251430"/>
    <w:rsid w:val="00251598"/>
    <w:rsid w:val="002518EC"/>
    <w:rsid w:val="00251AA0"/>
    <w:rsid w:val="00251C45"/>
    <w:rsid w:val="00251EBF"/>
    <w:rsid w:val="00251FEB"/>
    <w:rsid w:val="002522EA"/>
    <w:rsid w:val="002523AB"/>
    <w:rsid w:val="002523E5"/>
    <w:rsid w:val="00252A9E"/>
    <w:rsid w:val="00252C57"/>
    <w:rsid w:val="002537A1"/>
    <w:rsid w:val="00253BDA"/>
    <w:rsid w:val="00253EC5"/>
    <w:rsid w:val="0025442B"/>
    <w:rsid w:val="002545A9"/>
    <w:rsid w:val="00254BB4"/>
    <w:rsid w:val="00254D1E"/>
    <w:rsid w:val="0025530B"/>
    <w:rsid w:val="002554B6"/>
    <w:rsid w:val="00255D89"/>
    <w:rsid w:val="00255EA9"/>
    <w:rsid w:val="002562B9"/>
    <w:rsid w:val="002562DD"/>
    <w:rsid w:val="00256646"/>
    <w:rsid w:val="0025698A"/>
    <w:rsid w:val="00256A63"/>
    <w:rsid w:val="00256D86"/>
    <w:rsid w:val="00256F60"/>
    <w:rsid w:val="0025752B"/>
    <w:rsid w:val="00257C14"/>
    <w:rsid w:val="00257F10"/>
    <w:rsid w:val="00257F83"/>
    <w:rsid w:val="002600CC"/>
    <w:rsid w:val="00260356"/>
    <w:rsid w:val="00260602"/>
    <w:rsid w:val="00260ACD"/>
    <w:rsid w:val="002616FE"/>
    <w:rsid w:val="00261799"/>
    <w:rsid w:val="00262318"/>
    <w:rsid w:val="00262399"/>
    <w:rsid w:val="002623DD"/>
    <w:rsid w:val="00262936"/>
    <w:rsid w:val="00262BCD"/>
    <w:rsid w:val="00262E4D"/>
    <w:rsid w:val="0026339B"/>
    <w:rsid w:val="002633FA"/>
    <w:rsid w:val="00263642"/>
    <w:rsid w:val="00263778"/>
    <w:rsid w:val="0026393F"/>
    <w:rsid w:val="00263FB5"/>
    <w:rsid w:val="00264061"/>
    <w:rsid w:val="002643FE"/>
    <w:rsid w:val="00264658"/>
    <w:rsid w:val="00264860"/>
    <w:rsid w:val="0026523E"/>
    <w:rsid w:val="002659FC"/>
    <w:rsid w:val="00265A74"/>
    <w:rsid w:val="00265D8E"/>
    <w:rsid w:val="0026614F"/>
    <w:rsid w:val="00266181"/>
    <w:rsid w:val="002662AE"/>
    <w:rsid w:val="002662ED"/>
    <w:rsid w:val="00266309"/>
    <w:rsid w:val="002667BD"/>
    <w:rsid w:val="00266938"/>
    <w:rsid w:val="00266C2F"/>
    <w:rsid w:val="00267337"/>
    <w:rsid w:val="00267889"/>
    <w:rsid w:val="00267B17"/>
    <w:rsid w:val="00267D3D"/>
    <w:rsid w:val="0026ABD9"/>
    <w:rsid w:val="00270030"/>
    <w:rsid w:val="002701E9"/>
    <w:rsid w:val="002707F2"/>
    <w:rsid w:val="00270B4B"/>
    <w:rsid w:val="00270BA0"/>
    <w:rsid w:val="00270BF9"/>
    <w:rsid w:val="0027104D"/>
    <w:rsid w:val="00271152"/>
    <w:rsid w:val="0027130B"/>
    <w:rsid w:val="00271B1E"/>
    <w:rsid w:val="002722C6"/>
    <w:rsid w:val="0027241A"/>
    <w:rsid w:val="002724F8"/>
    <w:rsid w:val="00272714"/>
    <w:rsid w:val="00272715"/>
    <w:rsid w:val="002729FC"/>
    <w:rsid w:val="00272A27"/>
    <w:rsid w:val="00272AA6"/>
    <w:rsid w:val="00272C1E"/>
    <w:rsid w:val="00273040"/>
    <w:rsid w:val="0027331A"/>
    <w:rsid w:val="002734C7"/>
    <w:rsid w:val="0027364B"/>
    <w:rsid w:val="002736A5"/>
    <w:rsid w:val="002744B4"/>
    <w:rsid w:val="002745BD"/>
    <w:rsid w:val="00274BD1"/>
    <w:rsid w:val="00274DAF"/>
    <w:rsid w:val="00274DD5"/>
    <w:rsid w:val="002755A6"/>
    <w:rsid w:val="00275825"/>
    <w:rsid w:val="00275B3D"/>
    <w:rsid w:val="00275C03"/>
    <w:rsid w:val="002764BA"/>
    <w:rsid w:val="002765E0"/>
    <w:rsid w:val="00276763"/>
    <w:rsid w:val="002767E1"/>
    <w:rsid w:val="00276B4C"/>
    <w:rsid w:val="00277A51"/>
    <w:rsid w:val="0028006D"/>
    <w:rsid w:val="002803FC"/>
    <w:rsid w:val="002806EB"/>
    <w:rsid w:val="00280909"/>
    <w:rsid w:val="00280C0E"/>
    <w:rsid w:val="00280E44"/>
    <w:rsid w:val="00281016"/>
    <w:rsid w:val="002810AB"/>
    <w:rsid w:val="002817B2"/>
    <w:rsid w:val="00281B55"/>
    <w:rsid w:val="00281E3C"/>
    <w:rsid w:val="002826B5"/>
    <w:rsid w:val="00282B10"/>
    <w:rsid w:val="00282D62"/>
    <w:rsid w:val="00283255"/>
    <w:rsid w:val="00283300"/>
    <w:rsid w:val="00283444"/>
    <w:rsid w:val="0028378D"/>
    <w:rsid w:val="00283AE0"/>
    <w:rsid w:val="002840B7"/>
    <w:rsid w:val="002843D3"/>
    <w:rsid w:val="002844C5"/>
    <w:rsid w:val="00284BF2"/>
    <w:rsid w:val="002850D9"/>
    <w:rsid w:val="00285837"/>
    <w:rsid w:val="0028583A"/>
    <w:rsid w:val="002858A6"/>
    <w:rsid w:val="00285970"/>
    <w:rsid w:val="00286512"/>
    <w:rsid w:val="00286583"/>
    <w:rsid w:val="002868CE"/>
    <w:rsid w:val="00286D2E"/>
    <w:rsid w:val="00286FEA"/>
    <w:rsid w:val="00287291"/>
    <w:rsid w:val="0028775C"/>
    <w:rsid w:val="00287898"/>
    <w:rsid w:val="00287B8E"/>
    <w:rsid w:val="00287FEC"/>
    <w:rsid w:val="002902BC"/>
    <w:rsid w:val="00290843"/>
    <w:rsid w:val="0029096A"/>
    <w:rsid w:val="002909E2"/>
    <w:rsid w:val="00290BAA"/>
    <w:rsid w:val="00290CC7"/>
    <w:rsid w:val="002916A1"/>
    <w:rsid w:val="002916AE"/>
    <w:rsid w:val="00291789"/>
    <w:rsid w:val="002918F0"/>
    <w:rsid w:val="00291A23"/>
    <w:rsid w:val="0029224F"/>
    <w:rsid w:val="0029244B"/>
    <w:rsid w:val="00292626"/>
    <w:rsid w:val="00292809"/>
    <w:rsid w:val="002928D2"/>
    <w:rsid w:val="00292B72"/>
    <w:rsid w:val="00293175"/>
    <w:rsid w:val="00293340"/>
    <w:rsid w:val="002934A9"/>
    <w:rsid w:val="00293775"/>
    <w:rsid w:val="002939D2"/>
    <w:rsid w:val="00293B01"/>
    <w:rsid w:val="00293CEB"/>
    <w:rsid w:val="0029492D"/>
    <w:rsid w:val="00294AAA"/>
    <w:rsid w:val="00294B45"/>
    <w:rsid w:val="00294CC2"/>
    <w:rsid w:val="0029508C"/>
    <w:rsid w:val="00295108"/>
    <w:rsid w:val="00295895"/>
    <w:rsid w:val="0029589B"/>
    <w:rsid w:val="002958C8"/>
    <w:rsid w:val="00295D5B"/>
    <w:rsid w:val="00296074"/>
    <w:rsid w:val="002964DE"/>
    <w:rsid w:val="0029660C"/>
    <w:rsid w:val="0029686A"/>
    <w:rsid w:val="00296EFD"/>
    <w:rsid w:val="002970CE"/>
    <w:rsid w:val="002971C9"/>
    <w:rsid w:val="002972F6"/>
    <w:rsid w:val="0029749B"/>
    <w:rsid w:val="00297752"/>
    <w:rsid w:val="002977BC"/>
    <w:rsid w:val="00297CE9"/>
    <w:rsid w:val="002A005F"/>
    <w:rsid w:val="002A037C"/>
    <w:rsid w:val="002A07E1"/>
    <w:rsid w:val="002A090C"/>
    <w:rsid w:val="002A0EB1"/>
    <w:rsid w:val="002A10D2"/>
    <w:rsid w:val="002A11C1"/>
    <w:rsid w:val="002A1432"/>
    <w:rsid w:val="002A1593"/>
    <w:rsid w:val="002A16E0"/>
    <w:rsid w:val="002A1735"/>
    <w:rsid w:val="002A2438"/>
    <w:rsid w:val="002A24F0"/>
    <w:rsid w:val="002A2B53"/>
    <w:rsid w:val="002A30F2"/>
    <w:rsid w:val="002A3467"/>
    <w:rsid w:val="002A3491"/>
    <w:rsid w:val="002A3596"/>
    <w:rsid w:val="002A398D"/>
    <w:rsid w:val="002A3AAE"/>
    <w:rsid w:val="002A410A"/>
    <w:rsid w:val="002A41FC"/>
    <w:rsid w:val="002A47CB"/>
    <w:rsid w:val="002A4B0A"/>
    <w:rsid w:val="002A525D"/>
    <w:rsid w:val="002A530E"/>
    <w:rsid w:val="002A5CAF"/>
    <w:rsid w:val="002A5CBB"/>
    <w:rsid w:val="002A5E49"/>
    <w:rsid w:val="002A63A0"/>
    <w:rsid w:val="002A6479"/>
    <w:rsid w:val="002A67D2"/>
    <w:rsid w:val="002A6B6A"/>
    <w:rsid w:val="002A6B7A"/>
    <w:rsid w:val="002A6E3A"/>
    <w:rsid w:val="002A7252"/>
    <w:rsid w:val="002A7331"/>
    <w:rsid w:val="002A75DA"/>
    <w:rsid w:val="002A76E3"/>
    <w:rsid w:val="002A77A8"/>
    <w:rsid w:val="002A7FA4"/>
    <w:rsid w:val="002A7FE6"/>
    <w:rsid w:val="002AB49A"/>
    <w:rsid w:val="002B05BD"/>
    <w:rsid w:val="002B0903"/>
    <w:rsid w:val="002B0B03"/>
    <w:rsid w:val="002B0D33"/>
    <w:rsid w:val="002B0EBE"/>
    <w:rsid w:val="002B0ECA"/>
    <w:rsid w:val="002B0F02"/>
    <w:rsid w:val="002B13E7"/>
    <w:rsid w:val="002B14F8"/>
    <w:rsid w:val="002B1C03"/>
    <w:rsid w:val="002B1D14"/>
    <w:rsid w:val="002B1DE5"/>
    <w:rsid w:val="002B1E2D"/>
    <w:rsid w:val="002B2067"/>
    <w:rsid w:val="002B27A6"/>
    <w:rsid w:val="002B2A70"/>
    <w:rsid w:val="002B2E59"/>
    <w:rsid w:val="002B2F6F"/>
    <w:rsid w:val="002B3097"/>
    <w:rsid w:val="002B3322"/>
    <w:rsid w:val="002B3476"/>
    <w:rsid w:val="002B349C"/>
    <w:rsid w:val="002B34D6"/>
    <w:rsid w:val="002B3A68"/>
    <w:rsid w:val="002B3D00"/>
    <w:rsid w:val="002B3EA0"/>
    <w:rsid w:val="002B435A"/>
    <w:rsid w:val="002B4977"/>
    <w:rsid w:val="002B49C3"/>
    <w:rsid w:val="002B4C5B"/>
    <w:rsid w:val="002B5507"/>
    <w:rsid w:val="002B5E22"/>
    <w:rsid w:val="002B6333"/>
    <w:rsid w:val="002B6424"/>
    <w:rsid w:val="002B6478"/>
    <w:rsid w:val="002B674D"/>
    <w:rsid w:val="002B6AF2"/>
    <w:rsid w:val="002B6CC7"/>
    <w:rsid w:val="002B704B"/>
    <w:rsid w:val="002B76F6"/>
    <w:rsid w:val="002B781F"/>
    <w:rsid w:val="002B78C9"/>
    <w:rsid w:val="002C01EB"/>
    <w:rsid w:val="002C035F"/>
    <w:rsid w:val="002C0414"/>
    <w:rsid w:val="002C0A6D"/>
    <w:rsid w:val="002C0C83"/>
    <w:rsid w:val="002C0E9C"/>
    <w:rsid w:val="002C1071"/>
    <w:rsid w:val="002C16CF"/>
    <w:rsid w:val="002C1B74"/>
    <w:rsid w:val="002C1BBC"/>
    <w:rsid w:val="002C1BDA"/>
    <w:rsid w:val="002C1D1A"/>
    <w:rsid w:val="002C1F52"/>
    <w:rsid w:val="002C25BF"/>
    <w:rsid w:val="002C2886"/>
    <w:rsid w:val="002C2C7C"/>
    <w:rsid w:val="002C2C83"/>
    <w:rsid w:val="002C2CD6"/>
    <w:rsid w:val="002C3269"/>
    <w:rsid w:val="002C34C2"/>
    <w:rsid w:val="002C3E2E"/>
    <w:rsid w:val="002C4065"/>
    <w:rsid w:val="002C41A2"/>
    <w:rsid w:val="002C42EB"/>
    <w:rsid w:val="002C467B"/>
    <w:rsid w:val="002C5731"/>
    <w:rsid w:val="002C594E"/>
    <w:rsid w:val="002C5D28"/>
    <w:rsid w:val="002C5D82"/>
    <w:rsid w:val="002C5E6F"/>
    <w:rsid w:val="002C60DE"/>
    <w:rsid w:val="002C61DA"/>
    <w:rsid w:val="002C621B"/>
    <w:rsid w:val="002C636F"/>
    <w:rsid w:val="002C6658"/>
    <w:rsid w:val="002C66AA"/>
    <w:rsid w:val="002C6A80"/>
    <w:rsid w:val="002C6F63"/>
    <w:rsid w:val="002C73FF"/>
    <w:rsid w:val="002C76B6"/>
    <w:rsid w:val="002C7E0A"/>
    <w:rsid w:val="002D0039"/>
    <w:rsid w:val="002D01B0"/>
    <w:rsid w:val="002D03AF"/>
    <w:rsid w:val="002D0457"/>
    <w:rsid w:val="002D0709"/>
    <w:rsid w:val="002D0A32"/>
    <w:rsid w:val="002D100B"/>
    <w:rsid w:val="002D136C"/>
    <w:rsid w:val="002D26F7"/>
    <w:rsid w:val="002D28EF"/>
    <w:rsid w:val="002D2AF8"/>
    <w:rsid w:val="002D2F46"/>
    <w:rsid w:val="002D30F0"/>
    <w:rsid w:val="002D3171"/>
    <w:rsid w:val="002D3293"/>
    <w:rsid w:val="002D3F58"/>
    <w:rsid w:val="002D41F8"/>
    <w:rsid w:val="002D455B"/>
    <w:rsid w:val="002D4CAD"/>
    <w:rsid w:val="002D52C8"/>
    <w:rsid w:val="002D564A"/>
    <w:rsid w:val="002D5758"/>
    <w:rsid w:val="002D60C5"/>
    <w:rsid w:val="002D668B"/>
    <w:rsid w:val="002D6744"/>
    <w:rsid w:val="002D675F"/>
    <w:rsid w:val="002D70A9"/>
    <w:rsid w:val="002D7412"/>
    <w:rsid w:val="002D75DD"/>
    <w:rsid w:val="002D7867"/>
    <w:rsid w:val="002D78A6"/>
    <w:rsid w:val="002D7EC5"/>
    <w:rsid w:val="002E0B3C"/>
    <w:rsid w:val="002E0EE3"/>
    <w:rsid w:val="002E13D4"/>
    <w:rsid w:val="002E1640"/>
    <w:rsid w:val="002E22E7"/>
    <w:rsid w:val="002E23C7"/>
    <w:rsid w:val="002E2623"/>
    <w:rsid w:val="002E2F91"/>
    <w:rsid w:val="002E2FAC"/>
    <w:rsid w:val="002E319B"/>
    <w:rsid w:val="002E31EC"/>
    <w:rsid w:val="002E3347"/>
    <w:rsid w:val="002E3780"/>
    <w:rsid w:val="002E3A72"/>
    <w:rsid w:val="002E3AA3"/>
    <w:rsid w:val="002E3BD1"/>
    <w:rsid w:val="002E4443"/>
    <w:rsid w:val="002E4E42"/>
    <w:rsid w:val="002E4FFB"/>
    <w:rsid w:val="002E50BB"/>
    <w:rsid w:val="002E5323"/>
    <w:rsid w:val="002E5715"/>
    <w:rsid w:val="002E5806"/>
    <w:rsid w:val="002E5CDF"/>
    <w:rsid w:val="002E66E7"/>
    <w:rsid w:val="002E6BBF"/>
    <w:rsid w:val="002E6BC0"/>
    <w:rsid w:val="002E6D7A"/>
    <w:rsid w:val="002E6DAD"/>
    <w:rsid w:val="002E7928"/>
    <w:rsid w:val="002E7A9E"/>
    <w:rsid w:val="002E7AF6"/>
    <w:rsid w:val="002E7C65"/>
    <w:rsid w:val="002E7EEE"/>
    <w:rsid w:val="002F048A"/>
    <w:rsid w:val="002F059C"/>
    <w:rsid w:val="002F0A5F"/>
    <w:rsid w:val="002F0BED"/>
    <w:rsid w:val="002F0D2D"/>
    <w:rsid w:val="002F14A1"/>
    <w:rsid w:val="002F1806"/>
    <w:rsid w:val="002F1847"/>
    <w:rsid w:val="002F1D6E"/>
    <w:rsid w:val="002F2422"/>
    <w:rsid w:val="002F279E"/>
    <w:rsid w:val="002F27FB"/>
    <w:rsid w:val="002F30AF"/>
    <w:rsid w:val="002F34F2"/>
    <w:rsid w:val="002F38BB"/>
    <w:rsid w:val="002F3925"/>
    <w:rsid w:val="002F398F"/>
    <w:rsid w:val="002F3BCA"/>
    <w:rsid w:val="002F3E12"/>
    <w:rsid w:val="002F3E7D"/>
    <w:rsid w:val="002F429E"/>
    <w:rsid w:val="002F4745"/>
    <w:rsid w:val="002F4ED7"/>
    <w:rsid w:val="002F5001"/>
    <w:rsid w:val="002F51D0"/>
    <w:rsid w:val="002F523A"/>
    <w:rsid w:val="002F54E6"/>
    <w:rsid w:val="002F5E1F"/>
    <w:rsid w:val="002F619D"/>
    <w:rsid w:val="002F6D5D"/>
    <w:rsid w:val="002F7976"/>
    <w:rsid w:val="002F7DB6"/>
    <w:rsid w:val="003003A2"/>
    <w:rsid w:val="0030044E"/>
    <w:rsid w:val="00300485"/>
    <w:rsid w:val="00300904"/>
    <w:rsid w:val="0030120E"/>
    <w:rsid w:val="003014FF"/>
    <w:rsid w:val="00301C17"/>
    <w:rsid w:val="00301DF9"/>
    <w:rsid w:val="00301E92"/>
    <w:rsid w:val="0030203A"/>
    <w:rsid w:val="00302314"/>
    <w:rsid w:val="0030239D"/>
    <w:rsid w:val="003024DE"/>
    <w:rsid w:val="0030268D"/>
    <w:rsid w:val="003026B7"/>
    <w:rsid w:val="00302735"/>
    <w:rsid w:val="00302995"/>
    <w:rsid w:val="00302E1A"/>
    <w:rsid w:val="00302EDC"/>
    <w:rsid w:val="003031F6"/>
    <w:rsid w:val="003035AF"/>
    <w:rsid w:val="003036DC"/>
    <w:rsid w:val="0030373B"/>
    <w:rsid w:val="00303957"/>
    <w:rsid w:val="00303C61"/>
    <w:rsid w:val="0030400F"/>
    <w:rsid w:val="00304331"/>
    <w:rsid w:val="00304359"/>
    <w:rsid w:val="003044AE"/>
    <w:rsid w:val="00304C32"/>
    <w:rsid w:val="00305648"/>
    <w:rsid w:val="00305B9F"/>
    <w:rsid w:val="00305EC0"/>
    <w:rsid w:val="0030603C"/>
    <w:rsid w:val="00306325"/>
    <w:rsid w:val="00307122"/>
    <w:rsid w:val="00307123"/>
    <w:rsid w:val="0030721D"/>
    <w:rsid w:val="003072BF"/>
    <w:rsid w:val="0030748C"/>
    <w:rsid w:val="003100F2"/>
    <w:rsid w:val="003103DA"/>
    <w:rsid w:val="0031107A"/>
    <w:rsid w:val="0031163A"/>
    <w:rsid w:val="0031175B"/>
    <w:rsid w:val="003118DC"/>
    <w:rsid w:val="00311A95"/>
    <w:rsid w:val="00311A96"/>
    <w:rsid w:val="00311C6D"/>
    <w:rsid w:val="00311C73"/>
    <w:rsid w:val="00311E61"/>
    <w:rsid w:val="00312404"/>
    <w:rsid w:val="00312443"/>
    <w:rsid w:val="003127A9"/>
    <w:rsid w:val="0031284F"/>
    <w:rsid w:val="0031293D"/>
    <w:rsid w:val="003129A7"/>
    <w:rsid w:val="00312DBA"/>
    <w:rsid w:val="00312F02"/>
    <w:rsid w:val="003133F9"/>
    <w:rsid w:val="0031345A"/>
    <w:rsid w:val="0031351D"/>
    <w:rsid w:val="003137C4"/>
    <w:rsid w:val="00314010"/>
    <w:rsid w:val="003144EF"/>
    <w:rsid w:val="003146F4"/>
    <w:rsid w:val="00314A67"/>
    <w:rsid w:val="00314DB4"/>
    <w:rsid w:val="0031501A"/>
    <w:rsid w:val="003152AC"/>
    <w:rsid w:val="00315863"/>
    <w:rsid w:val="003158C1"/>
    <w:rsid w:val="00316033"/>
    <w:rsid w:val="00316836"/>
    <w:rsid w:val="003169BE"/>
    <w:rsid w:val="00316A64"/>
    <w:rsid w:val="00316BE3"/>
    <w:rsid w:val="00316FDF"/>
    <w:rsid w:val="003177DA"/>
    <w:rsid w:val="00317844"/>
    <w:rsid w:val="00317AE3"/>
    <w:rsid w:val="00317D4D"/>
    <w:rsid w:val="00317EDE"/>
    <w:rsid w:val="00320061"/>
    <w:rsid w:val="00320392"/>
    <w:rsid w:val="00320847"/>
    <w:rsid w:val="00320894"/>
    <w:rsid w:val="0032098B"/>
    <w:rsid w:val="00320B84"/>
    <w:rsid w:val="00321244"/>
    <w:rsid w:val="0032136E"/>
    <w:rsid w:val="00321421"/>
    <w:rsid w:val="00321659"/>
    <w:rsid w:val="00321AFC"/>
    <w:rsid w:val="00321B32"/>
    <w:rsid w:val="00321BA2"/>
    <w:rsid w:val="00321CC1"/>
    <w:rsid w:val="00321CE5"/>
    <w:rsid w:val="0032226A"/>
    <w:rsid w:val="003228EE"/>
    <w:rsid w:val="00322A18"/>
    <w:rsid w:val="00322AA6"/>
    <w:rsid w:val="003230F8"/>
    <w:rsid w:val="00323916"/>
    <w:rsid w:val="00323B49"/>
    <w:rsid w:val="00323B81"/>
    <w:rsid w:val="00323F1C"/>
    <w:rsid w:val="00323F3E"/>
    <w:rsid w:val="00323F84"/>
    <w:rsid w:val="003240AB"/>
    <w:rsid w:val="003243E9"/>
    <w:rsid w:val="00324C2D"/>
    <w:rsid w:val="00324F12"/>
    <w:rsid w:val="00324FBA"/>
    <w:rsid w:val="003250FF"/>
    <w:rsid w:val="003253BA"/>
    <w:rsid w:val="003255A1"/>
    <w:rsid w:val="003256B6"/>
    <w:rsid w:val="003256FC"/>
    <w:rsid w:val="00325821"/>
    <w:rsid w:val="00325B67"/>
    <w:rsid w:val="003260BF"/>
    <w:rsid w:val="00326204"/>
    <w:rsid w:val="003262C8"/>
    <w:rsid w:val="00326B99"/>
    <w:rsid w:val="00326C61"/>
    <w:rsid w:val="00326F93"/>
    <w:rsid w:val="00327787"/>
    <w:rsid w:val="003277BC"/>
    <w:rsid w:val="003277C6"/>
    <w:rsid w:val="00327BE4"/>
    <w:rsid w:val="00327CF1"/>
    <w:rsid w:val="00327EE1"/>
    <w:rsid w:val="00327F6A"/>
    <w:rsid w:val="00327FF6"/>
    <w:rsid w:val="003302D0"/>
    <w:rsid w:val="003306FE"/>
    <w:rsid w:val="00330D5F"/>
    <w:rsid w:val="003315A1"/>
    <w:rsid w:val="00331611"/>
    <w:rsid w:val="00331628"/>
    <w:rsid w:val="003318DB"/>
    <w:rsid w:val="0033195A"/>
    <w:rsid w:val="00331A6F"/>
    <w:rsid w:val="00331D0A"/>
    <w:rsid w:val="00332092"/>
    <w:rsid w:val="00332356"/>
    <w:rsid w:val="003324AE"/>
    <w:rsid w:val="00332617"/>
    <w:rsid w:val="0033276D"/>
    <w:rsid w:val="003328DF"/>
    <w:rsid w:val="00333658"/>
    <w:rsid w:val="00333776"/>
    <w:rsid w:val="00333B4E"/>
    <w:rsid w:val="00333BA1"/>
    <w:rsid w:val="00333BCD"/>
    <w:rsid w:val="00333F0F"/>
    <w:rsid w:val="0033493C"/>
    <w:rsid w:val="00334A04"/>
    <w:rsid w:val="00334E28"/>
    <w:rsid w:val="00334EB7"/>
    <w:rsid w:val="0033523E"/>
    <w:rsid w:val="00335381"/>
    <w:rsid w:val="00335895"/>
    <w:rsid w:val="00335DF5"/>
    <w:rsid w:val="00335E3A"/>
    <w:rsid w:val="003362AA"/>
    <w:rsid w:val="00336CCF"/>
    <w:rsid w:val="00336F67"/>
    <w:rsid w:val="00337378"/>
    <w:rsid w:val="00337984"/>
    <w:rsid w:val="00340092"/>
    <w:rsid w:val="00340183"/>
    <w:rsid w:val="00340590"/>
    <w:rsid w:val="003406FD"/>
    <w:rsid w:val="00340917"/>
    <w:rsid w:val="00340C23"/>
    <w:rsid w:val="00340CD5"/>
    <w:rsid w:val="00340D7A"/>
    <w:rsid w:val="00340E22"/>
    <w:rsid w:val="003410E5"/>
    <w:rsid w:val="003414E7"/>
    <w:rsid w:val="00341563"/>
    <w:rsid w:val="003417C0"/>
    <w:rsid w:val="00341889"/>
    <w:rsid w:val="003418B1"/>
    <w:rsid w:val="00341F19"/>
    <w:rsid w:val="00342BEE"/>
    <w:rsid w:val="00343366"/>
    <w:rsid w:val="0034356F"/>
    <w:rsid w:val="00343D03"/>
    <w:rsid w:val="003442D4"/>
    <w:rsid w:val="003442D6"/>
    <w:rsid w:val="0034448A"/>
    <w:rsid w:val="0034471C"/>
    <w:rsid w:val="00344BD3"/>
    <w:rsid w:val="0034515E"/>
    <w:rsid w:val="00345238"/>
    <w:rsid w:val="00345585"/>
    <w:rsid w:val="0034571B"/>
    <w:rsid w:val="00345DB8"/>
    <w:rsid w:val="00345FD4"/>
    <w:rsid w:val="003462AF"/>
    <w:rsid w:val="0034648B"/>
    <w:rsid w:val="003464C2"/>
    <w:rsid w:val="003467BA"/>
    <w:rsid w:val="00346ED3"/>
    <w:rsid w:val="00346F6D"/>
    <w:rsid w:val="00346FE1"/>
    <w:rsid w:val="003470EA"/>
    <w:rsid w:val="003471AC"/>
    <w:rsid w:val="00347D9A"/>
    <w:rsid w:val="0035010C"/>
    <w:rsid w:val="003502AF"/>
    <w:rsid w:val="00350313"/>
    <w:rsid w:val="00350682"/>
    <w:rsid w:val="00350A56"/>
    <w:rsid w:val="00350AE1"/>
    <w:rsid w:val="00350DDE"/>
    <w:rsid w:val="00351205"/>
    <w:rsid w:val="003513D5"/>
    <w:rsid w:val="00351542"/>
    <w:rsid w:val="003515C6"/>
    <w:rsid w:val="0035178A"/>
    <w:rsid w:val="00351BFE"/>
    <w:rsid w:val="003520C7"/>
    <w:rsid w:val="00352185"/>
    <w:rsid w:val="00352279"/>
    <w:rsid w:val="003523AD"/>
    <w:rsid w:val="00352403"/>
    <w:rsid w:val="00352B3D"/>
    <w:rsid w:val="00352CCB"/>
    <w:rsid w:val="00352E9D"/>
    <w:rsid w:val="00352EC8"/>
    <w:rsid w:val="00353024"/>
    <w:rsid w:val="0035319B"/>
    <w:rsid w:val="0035351C"/>
    <w:rsid w:val="00353947"/>
    <w:rsid w:val="00354558"/>
    <w:rsid w:val="00354DD5"/>
    <w:rsid w:val="00354E5F"/>
    <w:rsid w:val="0035516B"/>
    <w:rsid w:val="003552FF"/>
    <w:rsid w:val="0035581D"/>
    <w:rsid w:val="0035597A"/>
    <w:rsid w:val="0035599E"/>
    <w:rsid w:val="00355AFE"/>
    <w:rsid w:val="00355DF7"/>
    <w:rsid w:val="00355E4B"/>
    <w:rsid w:val="00356174"/>
    <w:rsid w:val="003561B2"/>
    <w:rsid w:val="00356347"/>
    <w:rsid w:val="00356879"/>
    <w:rsid w:val="003568A0"/>
    <w:rsid w:val="00356CBF"/>
    <w:rsid w:val="00356D87"/>
    <w:rsid w:val="00356F11"/>
    <w:rsid w:val="00356FEF"/>
    <w:rsid w:val="003575D1"/>
    <w:rsid w:val="003576E6"/>
    <w:rsid w:val="00357863"/>
    <w:rsid w:val="00360B0D"/>
    <w:rsid w:val="00361076"/>
    <w:rsid w:val="00361306"/>
    <w:rsid w:val="003613BB"/>
    <w:rsid w:val="00361937"/>
    <w:rsid w:val="0036219D"/>
    <w:rsid w:val="003621E3"/>
    <w:rsid w:val="0036220C"/>
    <w:rsid w:val="003623E9"/>
    <w:rsid w:val="003627F6"/>
    <w:rsid w:val="00362ACB"/>
    <w:rsid w:val="00362D9A"/>
    <w:rsid w:val="00362F7E"/>
    <w:rsid w:val="00363230"/>
    <w:rsid w:val="003634D4"/>
    <w:rsid w:val="0036362E"/>
    <w:rsid w:val="0036374C"/>
    <w:rsid w:val="003639AB"/>
    <w:rsid w:val="00363F2C"/>
    <w:rsid w:val="00363F8A"/>
    <w:rsid w:val="003641B2"/>
    <w:rsid w:val="00364D02"/>
    <w:rsid w:val="00365260"/>
    <w:rsid w:val="00365613"/>
    <w:rsid w:val="003656F1"/>
    <w:rsid w:val="00365909"/>
    <w:rsid w:val="00365929"/>
    <w:rsid w:val="00365A2A"/>
    <w:rsid w:val="00365CE5"/>
    <w:rsid w:val="003662AC"/>
    <w:rsid w:val="003665AC"/>
    <w:rsid w:val="0036667C"/>
    <w:rsid w:val="0036674E"/>
    <w:rsid w:val="00366923"/>
    <w:rsid w:val="00366BC6"/>
    <w:rsid w:val="00366F41"/>
    <w:rsid w:val="00367734"/>
    <w:rsid w:val="00367B4E"/>
    <w:rsid w:val="00367B89"/>
    <w:rsid w:val="00367C9B"/>
    <w:rsid w:val="00370235"/>
    <w:rsid w:val="0037023B"/>
    <w:rsid w:val="00370399"/>
    <w:rsid w:val="003706A5"/>
    <w:rsid w:val="003709AE"/>
    <w:rsid w:val="00370B0C"/>
    <w:rsid w:val="00371BCE"/>
    <w:rsid w:val="00371D8A"/>
    <w:rsid w:val="00371FCA"/>
    <w:rsid w:val="003722D5"/>
    <w:rsid w:val="00372DF6"/>
    <w:rsid w:val="0037321C"/>
    <w:rsid w:val="0037333F"/>
    <w:rsid w:val="003734B0"/>
    <w:rsid w:val="00373923"/>
    <w:rsid w:val="00374958"/>
    <w:rsid w:val="00374AFC"/>
    <w:rsid w:val="00374B7F"/>
    <w:rsid w:val="00374DCA"/>
    <w:rsid w:val="00375076"/>
    <w:rsid w:val="003754D9"/>
    <w:rsid w:val="00375567"/>
    <w:rsid w:val="00375679"/>
    <w:rsid w:val="003758B4"/>
    <w:rsid w:val="00375D07"/>
    <w:rsid w:val="00375D44"/>
    <w:rsid w:val="00376121"/>
    <w:rsid w:val="00376425"/>
    <w:rsid w:val="003765A3"/>
    <w:rsid w:val="0037686E"/>
    <w:rsid w:val="00376D4A"/>
    <w:rsid w:val="00377236"/>
    <w:rsid w:val="00377292"/>
    <w:rsid w:val="0037744C"/>
    <w:rsid w:val="003776A7"/>
    <w:rsid w:val="00377BAF"/>
    <w:rsid w:val="00377D6D"/>
    <w:rsid w:val="00380094"/>
    <w:rsid w:val="00380344"/>
    <w:rsid w:val="003804A3"/>
    <w:rsid w:val="003804A5"/>
    <w:rsid w:val="00380BD3"/>
    <w:rsid w:val="0038112F"/>
    <w:rsid w:val="003814B4"/>
    <w:rsid w:val="00381764"/>
    <w:rsid w:val="00381A9D"/>
    <w:rsid w:val="00382383"/>
    <w:rsid w:val="00382A28"/>
    <w:rsid w:val="00382B4E"/>
    <w:rsid w:val="00382B65"/>
    <w:rsid w:val="00382E76"/>
    <w:rsid w:val="00383145"/>
    <w:rsid w:val="003832A1"/>
    <w:rsid w:val="003832C8"/>
    <w:rsid w:val="003832F9"/>
    <w:rsid w:val="0038364D"/>
    <w:rsid w:val="003837B2"/>
    <w:rsid w:val="00384385"/>
    <w:rsid w:val="00384530"/>
    <w:rsid w:val="00384AA5"/>
    <w:rsid w:val="00384E97"/>
    <w:rsid w:val="0038521C"/>
    <w:rsid w:val="003856FF"/>
    <w:rsid w:val="00385A03"/>
    <w:rsid w:val="00385B3B"/>
    <w:rsid w:val="00385DB7"/>
    <w:rsid w:val="00386108"/>
    <w:rsid w:val="003861EF"/>
    <w:rsid w:val="003867A9"/>
    <w:rsid w:val="0038681D"/>
    <w:rsid w:val="00386B3A"/>
    <w:rsid w:val="00386D5F"/>
    <w:rsid w:val="00386DD7"/>
    <w:rsid w:val="00387033"/>
    <w:rsid w:val="003870B4"/>
    <w:rsid w:val="0038797D"/>
    <w:rsid w:val="00391022"/>
    <w:rsid w:val="003910A6"/>
    <w:rsid w:val="003910D2"/>
    <w:rsid w:val="003912CF"/>
    <w:rsid w:val="00391536"/>
    <w:rsid w:val="00391887"/>
    <w:rsid w:val="00391904"/>
    <w:rsid w:val="003919B3"/>
    <w:rsid w:val="003919E7"/>
    <w:rsid w:val="00391A68"/>
    <w:rsid w:val="00391C67"/>
    <w:rsid w:val="00391D9F"/>
    <w:rsid w:val="0039240D"/>
    <w:rsid w:val="00392BD1"/>
    <w:rsid w:val="00392E52"/>
    <w:rsid w:val="00393176"/>
    <w:rsid w:val="00393330"/>
    <w:rsid w:val="0039336C"/>
    <w:rsid w:val="0039380B"/>
    <w:rsid w:val="00393DDA"/>
    <w:rsid w:val="00393F3C"/>
    <w:rsid w:val="00393FF2"/>
    <w:rsid w:val="0039443D"/>
    <w:rsid w:val="0039454E"/>
    <w:rsid w:val="00394734"/>
    <w:rsid w:val="0039488C"/>
    <w:rsid w:val="00394CE7"/>
    <w:rsid w:val="003951E5"/>
    <w:rsid w:val="003954C9"/>
    <w:rsid w:val="00395793"/>
    <w:rsid w:val="00395A53"/>
    <w:rsid w:val="00395A9D"/>
    <w:rsid w:val="00395B21"/>
    <w:rsid w:val="00395E31"/>
    <w:rsid w:val="00396108"/>
    <w:rsid w:val="00396152"/>
    <w:rsid w:val="00396486"/>
    <w:rsid w:val="003964E0"/>
    <w:rsid w:val="003978E1"/>
    <w:rsid w:val="003979B3"/>
    <w:rsid w:val="00397C51"/>
    <w:rsid w:val="003A000F"/>
    <w:rsid w:val="003A0157"/>
    <w:rsid w:val="003A06FC"/>
    <w:rsid w:val="003A0A83"/>
    <w:rsid w:val="003A0E7D"/>
    <w:rsid w:val="003A1123"/>
    <w:rsid w:val="003A15D5"/>
    <w:rsid w:val="003A18AA"/>
    <w:rsid w:val="003A23C2"/>
    <w:rsid w:val="003A285C"/>
    <w:rsid w:val="003A2963"/>
    <w:rsid w:val="003A2B31"/>
    <w:rsid w:val="003A3332"/>
    <w:rsid w:val="003A35A6"/>
    <w:rsid w:val="003A3AC7"/>
    <w:rsid w:val="003A3B85"/>
    <w:rsid w:val="003A3CFA"/>
    <w:rsid w:val="003A3DEB"/>
    <w:rsid w:val="003A3F0F"/>
    <w:rsid w:val="003A40C1"/>
    <w:rsid w:val="003A40FF"/>
    <w:rsid w:val="003A4144"/>
    <w:rsid w:val="003A44C8"/>
    <w:rsid w:val="003A48C2"/>
    <w:rsid w:val="003A4A7D"/>
    <w:rsid w:val="003A4F11"/>
    <w:rsid w:val="003A51EC"/>
    <w:rsid w:val="003A5934"/>
    <w:rsid w:val="003A5F27"/>
    <w:rsid w:val="003A63BC"/>
    <w:rsid w:val="003A6534"/>
    <w:rsid w:val="003A6941"/>
    <w:rsid w:val="003A6BC1"/>
    <w:rsid w:val="003A6BF8"/>
    <w:rsid w:val="003A6ECB"/>
    <w:rsid w:val="003A739C"/>
    <w:rsid w:val="003A79A1"/>
    <w:rsid w:val="003A7A13"/>
    <w:rsid w:val="003A7C30"/>
    <w:rsid w:val="003B006D"/>
    <w:rsid w:val="003B0128"/>
    <w:rsid w:val="003B01F8"/>
    <w:rsid w:val="003B059F"/>
    <w:rsid w:val="003B07C1"/>
    <w:rsid w:val="003B0AF4"/>
    <w:rsid w:val="003B0C1F"/>
    <w:rsid w:val="003B0C71"/>
    <w:rsid w:val="003B0EA1"/>
    <w:rsid w:val="003B0ED3"/>
    <w:rsid w:val="003B0F04"/>
    <w:rsid w:val="003B10EC"/>
    <w:rsid w:val="003B1493"/>
    <w:rsid w:val="003B172C"/>
    <w:rsid w:val="003B17A1"/>
    <w:rsid w:val="003B1F67"/>
    <w:rsid w:val="003B202F"/>
    <w:rsid w:val="003B206F"/>
    <w:rsid w:val="003B21D6"/>
    <w:rsid w:val="003B286B"/>
    <w:rsid w:val="003B289B"/>
    <w:rsid w:val="003B29B4"/>
    <w:rsid w:val="003B2F5B"/>
    <w:rsid w:val="003B3D2A"/>
    <w:rsid w:val="003B4094"/>
    <w:rsid w:val="003B422D"/>
    <w:rsid w:val="003B4474"/>
    <w:rsid w:val="003B4970"/>
    <w:rsid w:val="003B4A7A"/>
    <w:rsid w:val="003B4D4C"/>
    <w:rsid w:val="003B5052"/>
    <w:rsid w:val="003B5324"/>
    <w:rsid w:val="003B5911"/>
    <w:rsid w:val="003B5A78"/>
    <w:rsid w:val="003B65D7"/>
    <w:rsid w:val="003B6797"/>
    <w:rsid w:val="003B6E41"/>
    <w:rsid w:val="003B7217"/>
    <w:rsid w:val="003B78AD"/>
    <w:rsid w:val="003B7985"/>
    <w:rsid w:val="003B79BD"/>
    <w:rsid w:val="003B7CE3"/>
    <w:rsid w:val="003B7E6A"/>
    <w:rsid w:val="003C02C7"/>
    <w:rsid w:val="003C05E3"/>
    <w:rsid w:val="003C0A2C"/>
    <w:rsid w:val="003C0F2E"/>
    <w:rsid w:val="003C1205"/>
    <w:rsid w:val="003C17CA"/>
    <w:rsid w:val="003C17CB"/>
    <w:rsid w:val="003C1BBC"/>
    <w:rsid w:val="003C1CE0"/>
    <w:rsid w:val="003C2761"/>
    <w:rsid w:val="003C2855"/>
    <w:rsid w:val="003C29EF"/>
    <w:rsid w:val="003C2ACA"/>
    <w:rsid w:val="003C2BC2"/>
    <w:rsid w:val="003C370D"/>
    <w:rsid w:val="003C37B0"/>
    <w:rsid w:val="003C3838"/>
    <w:rsid w:val="003C3C18"/>
    <w:rsid w:val="003C3C45"/>
    <w:rsid w:val="003C3D66"/>
    <w:rsid w:val="003C432C"/>
    <w:rsid w:val="003C48E6"/>
    <w:rsid w:val="003C4AF9"/>
    <w:rsid w:val="003C4E38"/>
    <w:rsid w:val="003C5001"/>
    <w:rsid w:val="003C537D"/>
    <w:rsid w:val="003C5A12"/>
    <w:rsid w:val="003C5B53"/>
    <w:rsid w:val="003C5D33"/>
    <w:rsid w:val="003C6549"/>
    <w:rsid w:val="003C6B41"/>
    <w:rsid w:val="003C6E0E"/>
    <w:rsid w:val="003C6F2F"/>
    <w:rsid w:val="003C708C"/>
    <w:rsid w:val="003C744E"/>
    <w:rsid w:val="003C7799"/>
    <w:rsid w:val="003C7996"/>
    <w:rsid w:val="003C79FA"/>
    <w:rsid w:val="003D0008"/>
    <w:rsid w:val="003D0019"/>
    <w:rsid w:val="003D04DD"/>
    <w:rsid w:val="003D08C2"/>
    <w:rsid w:val="003D0977"/>
    <w:rsid w:val="003D17C7"/>
    <w:rsid w:val="003D18C9"/>
    <w:rsid w:val="003D1979"/>
    <w:rsid w:val="003D1BEE"/>
    <w:rsid w:val="003D2742"/>
    <w:rsid w:val="003D2894"/>
    <w:rsid w:val="003D3179"/>
    <w:rsid w:val="003D33B4"/>
    <w:rsid w:val="003D34CE"/>
    <w:rsid w:val="003D37BA"/>
    <w:rsid w:val="003D39E1"/>
    <w:rsid w:val="003D3B02"/>
    <w:rsid w:val="003D42E9"/>
    <w:rsid w:val="003D43E1"/>
    <w:rsid w:val="003D461F"/>
    <w:rsid w:val="003D48A1"/>
    <w:rsid w:val="003D4EF4"/>
    <w:rsid w:val="003D5299"/>
    <w:rsid w:val="003D5721"/>
    <w:rsid w:val="003D5A04"/>
    <w:rsid w:val="003D5A97"/>
    <w:rsid w:val="003D5CA6"/>
    <w:rsid w:val="003D6111"/>
    <w:rsid w:val="003D6A3E"/>
    <w:rsid w:val="003D6C51"/>
    <w:rsid w:val="003D6D4B"/>
    <w:rsid w:val="003D6D71"/>
    <w:rsid w:val="003D70EE"/>
    <w:rsid w:val="003D7396"/>
    <w:rsid w:val="003D741A"/>
    <w:rsid w:val="003D7B77"/>
    <w:rsid w:val="003D7C4F"/>
    <w:rsid w:val="003D7E15"/>
    <w:rsid w:val="003E00DF"/>
    <w:rsid w:val="003E0811"/>
    <w:rsid w:val="003E0F58"/>
    <w:rsid w:val="003E1012"/>
    <w:rsid w:val="003E1036"/>
    <w:rsid w:val="003E155C"/>
    <w:rsid w:val="003E1561"/>
    <w:rsid w:val="003E19CE"/>
    <w:rsid w:val="003E19F0"/>
    <w:rsid w:val="003E2040"/>
    <w:rsid w:val="003E2651"/>
    <w:rsid w:val="003E328C"/>
    <w:rsid w:val="003E34BC"/>
    <w:rsid w:val="003E3963"/>
    <w:rsid w:val="003E3F55"/>
    <w:rsid w:val="003E41CA"/>
    <w:rsid w:val="003E4586"/>
    <w:rsid w:val="003E4895"/>
    <w:rsid w:val="003E4A3D"/>
    <w:rsid w:val="003E4B3C"/>
    <w:rsid w:val="003E5A58"/>
    <w:rsid w:val="003E5C51"/>
    <w:rsid w:val="003E5D16"/>
    <w:rsid w:val="003E5ED8"/>
    <w:rsid w:val="003E6734"/>
    <w:rsid w:val="003E67F3"/>
    <w:rsid w:val="003E6C70"/>
    <w:rsid w:val="003E7179"/>
    <w:rsid w:val="003E73A0"/>
    <w:rsid w:val="003E7B71"/>
    <w:rsid w:val="003E7B96"/>
    <w:rsid w:val="003F0819"/>
    <w:rsid w:val="003F0A1C"/>
    <w:rsid w:val="003F0BE7"/>
    <w:rsid w:val="003F0D0B"/>
    <w:rsid w:val="003F0DBA"/>
    <w:rsid w:val="003F0ED5"/>
    <w:rsid w:val="003F113C"/>
    <w:rsid w:val="003F17E2"/>
    <w:rsid w:val="003F1AA8"/>
    <w:rsid w:val="003F1ADC"/>
    <w:rsid w:val="003F2419"/>
    <w:rsid w:val="003F2C63"/>
    <w:rsid w:val="003F2D9B"/>
    <w:rsid w:val="003F2E0E"/>
    <w:rsid w:val="003F324C"/>
    <w:rsid w:val="003F434A"/>
    <w:rsid w:val="003F45DB"/>
    <w:rsid w:val="003F47F1"/>
    <w:rsid w:val="003F488B"/>
    <w:rsid w:val="003F496E"/>
    <w:rsid w:val="003F4A97"/>
    <w:rsid w:val="003F4B69"/>
    <w:rsid w:val="003F53C8"/>
    <w:rsid w:val="003F543B"/>
    <w:rsid w:val="003F553C"/>
    <w:rsid w:val="003F592B"/>
    <w:rsid w:val="003F59FA"/>
    <w:rsid w:val="003F630F"/>
    <w:rsid w:val="003F66FC"/>
    <w:rsid w:val="003F6CFB"/>
    <w:rsid w:val="003F6D21"/>
    <w:rsid w:val="003F728B"/>
    <w:rsid w:val="003F73A5"/>
    <w:rsid w:val="003F741F"/>
    <w:rsid w:val="003F7727"/>
    <w:rsid w:val="003F7B4F"/>
    <w:rsid w:val="0040006C"/>
    <w:rsid w:val="0040012F"/>
    <w:rsid w:val="004003A7"/>
    <w:rsid w:val="0040076B"/>
    <w:rsid w:val="004008A8"/>
    <w:rsid w:val="00400B13"/>
    <w:rsid w:val="00401049"/>
    <w:rsid w:val="004011A7"/>
    <w:rsid w:val="00401771"/>
    <w:rsid w:val="004017DE"/>
    <w:rsid w:val="00401B53"/>
    <w:rsid w:val="00402310"/>
    <w:rsid w:val="00402483"/>
    <w:rsid w:val="0040257A"/>
    <w:rsid w:val="004028F1"/>
    <w:rsid w:val="00402B5D"/>
    <w:rsid w:val="00402FC5"/>
    <w:rsid w:val="00403000"/>
    <w:rsid w:val="004030CC"/>
    <w:rsid w:val="00403A76"/>
    <w:rsid w:val="00403D65"/>
    <w:rsid w:val="00403D89"/>
    <w:rsid w:val="00403E0E"/>
    <w:rsid w:val="0040422D"/>
    <w:rsid w:val="00404263"/>
    <w:rsid w:val="00404644"/>
    <w:rsid w:val="004046CD"/>
    <w:rsid w:val="00404BF3"/>
    <w:rsid w:val="004050FD"/>
    <w:rsid w:val="0040558D"/>
    <w:rsid w:val="00405C77"/>
    <w:rsid w:val="00405F1F"/>
    <w:rsid w:val="004069BA"/>
    <w:rsid w:val="00406DC4"/>
    <w:rsid w:val="004070D5"/>
    <w:rsid w:val="00407175"/>
    <w:rsid w:val="004072F3"/>
    <w:rsid w:val="00407685"/>
    <w:rsid w:val="00407AC7"/>
    <w:rsid w:val="00410356"/>
    <w:rsid w:val="00410402"/>
    <w:rsid w:val="004104B3"/>
    <w:rsid w:val="0041053C"/>
    <w:rsid w:val="00410731"/>
    <w:rsid w:val="0041090E"/>
    <w:rsid w:val="00410C67"/>
    <w:rsid w:val="00411021"/>
    <w:rsid w:val="004114AC"/>
    <w:rsid w:val="00411E7D"/>
    <w:rsid w:val="00411F7F"/>
    <w:rsid w:val="00412A43"/>
    <w:rsid w:val="00412ADA"/>
    <w:rsid w:val="00412DA4"/>
    <w:rsid w:val="00412F49"/>
    <w:rsid w:val="00413102"/>
    <w:rsid w:val="00413129"/>
    <w:rsid w:val="0041328C"/>
    <w:rsid w:val="004137EE"/>
    <w:rsid w:val="0041398F"/>
    <w:rsid w:val="00413BC0"/>
    <w:rsid w:val="00414160"/>
    <w:rsid w:val="004146CD"/>
    <w:rsid w:val="00414B7D"/>
    <w:rsid w:val="00414DA0"/>
    <w:rsid w:val="00414EE4"/>
    <w:rsid w:val="00415BC9"/>
    <w:rsid w:val="00415E18"/>
    <w:rsid w:val="00416B30"/>
    <w:rsid w:val="004173AC"/>
    <w:rsid w:val="0041769F"/>
    <w:rsid w:val="00417753"/>
    <w:rsid w:val="00417852"/>
    <w:rsid w:val="004178A9"/>
    <w:rsid w:val="00417A3F"/>
    <w:rsid w:val="00417AA9"/>
    <w:rsid w:val="004205AC"/>
    <w:rsid w:val="00420AE7"/>
    <w:rsid w:val="00420C69"/>
    <w:rsid w:val="00420EF7"/>
    <w:rsid w:val="0042105F"/>
    <w:rsid w:val="00421092"/>
    <w:rsid w:val="00421A9C"/>
    <w:rsid w:val="004222FF"/>
    <w:rsid w:val="00422459"/>
    <w:rsid w:val="0042252D"/>
    <w:rsid w:val="00422819"/>
    <w:rsid w:val="00422820"/>
    <w:rsid w:val="00423A17"/>
    <w:rsid w:val="00423E1C"/>
    <w:rsid w:val="004242A2"/>
    <w:rsid w:val="00424CCE"/>
    <w:rsid w:val="004250FB"/>
    <w:rsid w:val="00425197"/>
    <w:rsid w:val="004254C9"/>
    <w:rsid w:val="0042557C"/>
    <w:rsid w:val="00425C88"/>
    <w:rsid w:val="00425F87"/>
    <w:rsid w:val="00425F97"/>
    <w:rsid w:val="00425FB1"/>
    <w:rsid w:val="00426462"/>
    <w:rsid w:val="004265E8"/>
    <w:rsid w:val="004268B3"/>
    <w:rsid w:val="00426E5E"/>
    <w:rsid w:val="00426E76"/>
    <w:rsid w:val="00427063"/>
    <w:rsid w:val="00427122"/>
    <w:rsid w:val="0042767C"/>
    <w:rsid w:val="004278A5"/>
    <w:rsid w:val="004278D7"/>
    <w:rsid w:val="00427C55"/>
    <w:rsid w:val="00427E6F"/>
    <w:rsid w:val="00427F55"/>
    <w:rsid w:val="004300E5"/>
    <w:rsid w:val="00430214"/>
    <w:rsid w:val="004303CF"/>
    <w:rsid w:val="00430BE3"/>
    <w:rsid w:val="00430C19"/>
    <w:rsid w:val="00430C81"/>
    <w:rsid w:val="00430E59"/>
    <w:rsid w:val="0043113F"/>
    <w:rsid w:val="0043168D"/>
    <w:rsid w:val="00431CEB"/>
    <w:rsid w:val="0043226E"/>
    <w:rsid w:val="00432CED"/>
    <w:rsid w:val="004330CB"/>
    <w:rsid w:val="00433277"/>
    <w:rsid w:val="004332D6"/>
    <w:rsid w:val="004332E7"/>
    <w:rsid w:val="00433570"/>
    <w:rsid w:val="00433A93"/>
    <w:rsid w:val="00433C4B"/>
    <w:rsid w:val="00434274"/>
    <w:rsid w:val="00434631"/>
    <w:rsid w:val="00434900"/>
    <w:rsid w:val="00434D0A"/>
    <w:rsid w:val="0043526C"/>
    <w:rsid w:val="0043540F"/>
    <w:rsid w:val="0043586D"/>
    <w:rsid w:val="00435EB5"/>
    <w:rsid w:val="0043619F"/>
    <w:rsid w:val="00436707"/>
    <w:rsid w:val="00436A0F"/>
    <w:rsid w:val="00436B51"/>
    <w:rsid w:val="0043744E"/>
    <w:rsid w:val="0043764E"/>
    <w:rsid w:val="0043781C"/>
    <w:rsid w:val="00437908"/>
    <w:rsid w:val="00437952"/>
    <w:rsid w:val="00437A1D"/>
    <w:rsid w:val="00437BA7"/>
    <w:rsid w:val="00437CFE"/>
    <w:rsid w:val="00437DEB"/>
    <w:rsid w:val="00440020"/>
    <w:rsid w:val="00440548"/>
    <w:rsid w:val="004409CE"/>
    <w:rsid w:val="00440CCB"/>
    <w:rsid w:val="0044117F"/>
    <w:rsid w:val="00441309"/>
    <w:rsid w:val="00441482"/>
    <w:rsid w:val="00441768"/>
    <w:rsid w:val="00442280"/>
    <w:rsid w:val="004427B0"/>
    <w:rsid w:val="00442AFC"/>
    <w:rsid w:val="00442E35"/>
    <w:rsid w:val="00443304"/>
    <w:rsid w:val="00443821"/>
    <w:rsid w:val="00443C75"/>
    <w:rsid w:val="00443D77"/>
    <w:rsid w:val="00443DCE"/>
    <w:rsid w:val="00443F07"/>
    <w:rsid w:val="00443F33"/>
    <w:rsid w:val="004440FF"/>
    <w:rsid w:val="004441DC"/>
    <w:rsid w:val="004444D9"/>
    <w:rsid w:val="00444508"/>
    <w:rsid w:val="004447F2"/>
    <w:rsid w:val="0044495C"/>
    <w:rsid w:val="00444AC8"/>
    <w:rsid w:val="00444D1A"/>
    <w:rsid w:val="00444E02"/>
    <w:rsid w:val="00445C40"/>
    <w:rsid w:val="00445E18"/>
    <w:rsid w:val="00446211"/>
    <w:rsid w:val="00446254"/>
    <w:rsid w:val="0044639A"/>
    <w:rsid w:val="004468BB"/>
    <w:rsid w:val="00446CAC"/>
    <w:rsid w:val="00446CD5"/>
    <w:rsid w:val="00446D60"/>
    <w:rsid w:val="004474CA"/>
    <w:rsid w:val="00447666"/>
    <w:rsid w:val="0045043C"/>
    <w:rsid w:val="0045090C"/>
    <w:rsid w:val="00450F85"/>
    <w:rsid w:val="00451460"/>
    <w:rsid w:val="0045186A"/>
    <w:rsid w:val="004518F9"/>
    <w:rsid w:val="00451E20"/>
    <w:rsid w:val="004522E9"/>
    <w:rsid w:val="0045234A"/>
    <w:rsid w:val="0045256D"/>
    <w:rsid w:val="00452860"/>
    <w:rsid w:val="00452A04"/>
    <w:rsid w:val="00452BE5"/>
    <w:rsid w:val="00452F24"/>
    <w:rsid w:val="00452F35"/>
    <w:rsid w:val="00453131"/>
    <w:rsid w:val="00453C96"/>
    <w:rsid w:val="00453E69"/>
    <w:rsid w:val="0045416C"/>
    <w:rsid w:val="00454719"/>
    <w:rsid w:val="0045484A"/>
    <w:rsid w:val="00454E06"/>
    <w:rsid w:val="00455419"/>
    <w:rsid w:val="004563DB"/>
    <w:rsid w:val="0045687A"/>
    <w:rsid w:val="00456C18"/>
    <w:rsid w:val="00456E2D"/>
    <w:rsid w:val="004571A4"/>
    <w:rsid w:val="00457790"/>
    <w:rsid w:val="00457A05"/>
    <w:rsid w:val="00457F60"/>
    <w:rsid w:val="00459D5D"/>
    <w:rsid w:val="004600C6"/>
    <w:rsid w:val="00460775"/>
    <w:rsid w:val="00460903"/>
    <w:rsid w:val="004609F3"/>
    <w:rsid w:val="00460FED"/>
    <w:rsid w:val="0046152B"/>
    <w:rsid w:val="004617C9"/>
    <w:rsid w:val="004617CC"/>
    <w:rsid w:val="004617E0"/>
    <w:rsid w:val="00461EF7"/>
    <w:rsid w:val="00462089"/>
    <w:rsid w:val="004622DF"/>
    <w:rsid w:val="004623DC"/>
    <w:rsid w:val="004626C6"/>
    <w:rsid w:val="00462920"/>
    <w:rsid w:val="00462B89"/>
    <w:rsid w:val="00462F98"/>
    <w:rsid w:val="004630BA"/>
    <w:rsid w:val="0046317E"/>
    <w:rsid w:val="004631D0"/>
    <w:rsid w:val="0046344A"/>
    <w:rsid w:val="00463ABF"/>
    <w:rsid w:val="00463BB1"/>
    <w:rsid w:val="00464412"/>
    <w:rsid w:val="00464928"/>
    <w:rsid w:val="00465197"/>
    <w:rsid w:val="004653E8"/>
    <w:rsid w:val="0046560B"/>
    <w:rsid w:val="00465781"/>
    <w:rsid w:val="0046583D"/>
    <w:rsid w:val="004659EA"/>
    <w:rsid w:val="00466048"/>
    <w:rsid w:val="004663E7"/>
    <w:rsid w:val="004663F5"/>
    <w:rsid w:val="00466E09"/>
    <w:rsid w:val="004670AA"/>
    <w:rsid w:val="004671D8"/>
    <w:rsid w:val="00467215"/>
    <w:rsid w:val="004678C8"/>
    <w:rsid w:val="00467E0D"/>
    <w:rsid w:val="004716CC"/>
    <w:rsid w:val="0047196C"/>
    <w:rsid w:val="00471ADA"/>
    <w:rsid w:val="004722E6"/>
    <w:rsid w:val="00472421"/>
    <w:rsid w:val="004726EC"/>
    <w:rsid w:val="00472D69"/>
    <w:rsid w:val="00472EEE"/>
    <w:rsid w:val="00472F95"/>
    <w:rsid w:val="0047309A"/>
    <w:rsid w:val="00473A10"/>
    <w:rsid w:val="00473AFF"/>
    <w:rsid w:val="00473B97"/>
    <w:rsid w:val="00473C93"/>
    <w:rsid w:val="00473D07"/>
    <w:rsid w:val="00473FEF"/>
    <w:rsid w:val="00474915"/>
    <w:rsid w:val="00474B2D"/>
    <w:rsid w:val="00474EEF"/>
    <w:rsid w:val="0047531F"/>
    <w:rsid w:val="00475915"/>
    <w:rsid w:val="004759CF"/>
    <w:rsid w:val="00475AE6"/>
    <w:rsid w:val="00475F03"/>
    <w:rsid w:val="004760DF"/>
    <w:rsid w:val="004765E3"/>
    <w:rsid w:val="00477296"/>
    <w:rsid w:val="00477809"/>
    <w:rsid w:val="0048014E"/>
    <w:rsid w:val="004809C2"/>
    <w:rsid w:val="004810F7"/>
    <w:rsid w:val="0048164C"/>
    <w:rsid w:val="00481C97"/>
    <w:rsid w:val="00482330"/>
    <w:rsid w:val="004823DA"/>
    <w:rsid w:val="00482EDB"/>
    <w:rsid w:val="00483060"/>
    <w:rsid w:val="00483126"/>
    <w:rsid w:val="004832C6"/>
    <w:rsid w:val="00483F29"/>
    <w:rsid w:val="00484151"/>
    <w:rsid w:val="00484231"/>
    <w:rsid w:val="0048430D"/>
    <w:rsid w:val="00484436"/>
    <w:rsid w:val="00484531"/>
    <w:rsid w:val="004846C9"/>
    <w:rsid w:val="00484907"/>
    <w:rsid w:val="00484EEF"/>
    <w:rsid w:val="00484F7D"/>
    <w:rsid w:val="00484FD3"/>
    <w:rsid w:val="0048555B"/>
    <w:rsid w:val="00485B5A"/>
    <w:rsid w:val="00485CF7"/>
    <w:rsid w:val="00485E2D"/>
    <w:rsid w:val="004862AD"/>
    <w:rsid w:val="00486550"/>
    <w:rsid w:val="00486DE4"/>
    <w:rsid w:val="004871D3"/>
    <w:rsid w:val="0048735E"/>
    <w:rsid w:val="004873EB"/>
    <w:rsid w:val="0049021A"/>
    <w:rsid w:val="00490332"/>
    <w:rsid w:val="004905D5"/>
    <w:rsid w:val="00490693"/>
    <w:rsid w:val="004908C9"/>
    <w:rsid w:val="00490A85"/>
    <w:rsid w:val="00490BE4"/>
    <w:rsid w:val="00490E41"/>
    <w:rsid w:val="00490F18"/>
    <w:rsid w:val="00490F9A"/>
    <w:rsid w:val="00491307"/>
    <w:rsid w:val="00491657"/>
    <w:rsid w:val="004916C6"/>
    <w:rsid w:val="00491B50"/>
    <w:rsid w:val="00491F1E"/>
    <w:rsid w:val="00492213"/>
    <w:rsid w:val="00492442"/>
    <w:rsid w:val="004924F8"/>
    <w:rsid w:val="0049284E"/>
    <w:rsid w:val="00492A5E"/>
    <w:rsid w:val="00492E40"/>
    <w:rsid w:val="00492E59"/>
    <w:rsid w:val="00492EEE"/>
    <w:rsid w:val="00493205"/>
    <w:rsid w:val="004934C9"/>
    <w:rsid w:val="004938DA"/>
    <w:rsid w:val="00493C8F"/>
    <w:rsid w:val="00493CB1"/>
    <w:rsid w:val="00494150"/>
    <w:rsid w:val="004941A3"/>
    <w:rsid w:val="004945AE"/>
    <w:rsid w:val="0049469D"/>
    <w:rsid w:val="00494C19"/>
    <w:rsid w:val="004952A6"/>
    <w:rsid w:val="004955A8"/>
    <w:rsid w:val="0049581A"/>
    <w:rsid w:val="004959C3"/>
    <w:rsid w:val="00495D1A"/>
    <w:rsid w:val="00495F9E"/>
    <w:rsid w:val="004960AB"/>
    <w:rsid w:val="0049627A"/>
    <w:rsid w:val="00496698"/>
    <w:rsid w:val="00496898"/>
    <w:rsid w:val="00496B25"/>
    <w:rsid w:val="00496E6E"/>
    <w:rsid w:val="00497035"/>
    <w:rsid w:val="0049710E"/>
    <w:rsid w:val="004971F9"/>
    <w:rsid w:val="004973B4"/>
    <w:rsid w:val="0049742A"/>
    <w:rsid w:val="004977B3"/>
    <w:rsid w:val="004977F4"/>
    <w:rsid w:val="00497C71"/>
    <w:rsid w:val="00497DA7"/>
    <w:rsid w:val="004A0222"/>
    <w:rsid w:val="004A02A4"/>
    <w:rsid w:val="004A05A2"/>
    <w:rsid w:val="004A08AB"/>
    <w:rsid w:val="004A097D"/>
    <w:rsid w:val="004A0D99"/>
    <w:rsid w:val="004A1566"/>
    <w:rsid w:val="004A17C4"/>
    <w:rsid w:val="004A191C"/>
    <w:rsid w:val="004A2176"/>
    <w:rsid w:val="004A2691"/>
    <w:rsid w:val="004A2F16"/>
    <w:rsid w:val="004A2F53"/>
    <w:rsid w:val="004A3752"/>
    <w:rsid w:val="004A3876"/>
    <w:rsid w:val="004A45B8"/>
    <w:rsid w:val="004A4B70"/>
    <w:rsid w:val="004A4E72"/>
    <w:rsid w:val="004A4E91"/>
    <w:rsid w:val="004A5481"/>
    <w:rsid w:val="004A5A2B"/>
    <w:rsid w:val="004A5BC5"/>
    <w:rsid w:val="004A615C"/>
    <w:rsid w:val="004A670D"/>
    <w:rsid w:val="004A68DA"/>
    <w:rsid w:val="004A6900"/>
    <w:rsid w:val="004A6CC2"/>
    <w:rsid w:val="004A6F23"/>
    <w:rsid w:val="004A6F92"/>
    <w:rsid w:val="004A7323"/>
    <w:rsid w:val="004A7494"/>
    <w:rsid w:val="004A749C"/>
    <w:rsid w:val="004A7675"/>
    <w:rsid w:val="004A788A"/>
    <w:rsid w:val="004A79DF"/>
    <w:rsid w:val="004A7EFD"/>
    <w:rsid w:val="004AEE1B"/>
    <w:rsid w:val="004B0160"/>
    <w:rsid w:val="004B05A5"/>
    <w:rsid w:val="004B077C"/>
    <w:rsid w:val="004B0843"/>
    <w:rsid w:val="004B09C8"/>
    <w:rsid w:val="004B0AC0"/>
    <w:rsid w:val="004B0F9D"/>
    <w:rsid w:val="004B1680"/>
    <w:rsid w:val="004B170A"/>
    <w:rsid w:val="004B177C"/>
    <w:rsid w:val="004B1A43"/>
    <w:rsid w:val="004B1EC9"/>
    <w:rsid w:val="004B203E"/>
    <w:rsid w:val="004B2316"/>
    <w:rsid w:val="004B26D8"/>
    <w:rsid w:val="004B276B"/>
    <w:rsid w:val="004B281A"/>
    <w:rsid w:val="004B2BED"/>
    <w:rsid w:val="004B2D9B"/>
    <w:rsid w:val="004B300B"/>
    <w:rsid w:val="004B301D"/>
    <w:rsid w:val="004B3076"/>
    <w:rsid w:val="004B31FB"/>
    <w:rsid w:val="004B3A9C"/>
    <w:rsid w:val="004B40CF"/>
    <w:rsid w:val="004B4431"/>
    <w:rsid w:val="004B44BA"/>
    <w:rsid w:val="004B4787"/>
    <w:rsid w:val="004B497D"/>
    <w:rsid w:val="004B49A0"/>
    <w:rsid w:val="004B51A3"/>
    <w:rsid w:val="004B53BD"/>
    <w:rsid w:val="004B5413"/>
    <w:rsid w:val="004B56B8"/>
    <w:rsid w:val="004B5786"/>
    <w:rsid w:val="004B57D4"/>
    <w:rsid w:val="004B59C1"/>
    <w:rsid w:val="004B59E9"/>
    <w:rsid w:val="004B5B2D"/>
    <w:rsid w:val="004B62D2"/>
    <w:rsid w:val="004B641E"/>
    <w:rsid w:val="004B64F2"/>
    <w:rsid w:val="004B6C2F"/>
    <w:rsid w:val="004B77FC"/>
    <w:rsid w:val="004B78D4"/>
    <w:rsid w:val="004B7A68"/>
    <w:rsid w:val="004B7F51"/>
    <w:rsid w:val="004C008B"/>
    <w:rsid w:val="004C0183"/>
    <w:rsid w:val="004C019A"/>
    <w:rsid w:val="004C01EB"/>
    <w:rsid w:val="004C0836"/>
    <w:rsid w:val="004C08F4"/>
    <w:rsid w:val="004C0A51"/>
    <w:rsid w:val="004C0E61"/>
    <w:rsid w:val="004C12F1"/>
    <w:rsid w:val="004C1806"/>
    <w:rsid w:val="004C1C2B"/>
    <w:rsid w:val="004C1EBE"/>
    <w:rsid w:val="004C2402"/>
    <w:rsid w:val="004C2463"/>
    <w:rsid w:val="004C250D"/>
    <w:rsid w:val="004C2596"/>
    <w:rsid w:val="004C2E24"/>
    <w:rsid w:val="004C2F10"/>
    <w:rsid w:val="004C3201"/>
    <w:rsid w:val="004C322C"/>
    <w:rsid w:val="004C32B6"/>
    <w:rsid w:val="004C3325"/>
    <w:rsid w:val="004C340F"/>
    <w:rsid w:val="004C345D"/>
    <w:rsid w:val="004C3EE4"/>
    <w:rsid w:val="004C410B"/>
    <w:rsid w:val="004C4310"/>
    <w:rsid w:val="004C4590"/>
    <w:rsid w:val="004C4C33"/>
    <w:rsid w:val="004C5083"/>
    <w:rsid w:val="004C5336"/>
    <w:rsid w:val="004C571A"/>
    <w:rsid w:val="004C5836"/>
    <w:rsid w:val="004C5F5C"/>
    <w:rsid w:val="004C6233"/>
    <w:rsid w:val="004C645C"/>
    <w:rsid w:val="004C65C9"/>
    <w:rsid w:val="004C6902"/>
    <w:rsid w:val="004C694D"/>
    <w:rsid w:val="004C6AF6"/>
    <w:rsid w:val="004C6DE4"/>
    <w:rsid w:val="004C7292"/>
    <w:rsid w:val="004C73B4"/>
    <w:rsid w:val="004C740B"/>
    <w:rsid w:val="004C76B1"/>
    <w:rsid w:val="004C79AF"/>
    <w:rsid w:val="004C7BEF"/>
    <w:rsid w:val="004C7C99"/>
    <w:rsid w:val="004CE0BE"/>
    <w:rsid w:val="004D070F"/>
    <w:rsid w:val="004D1098"/>
    <w:rsid w:val="004D15ED"/>
    <w:rsid w:val="004D170E"/>
    <w:rsid w:val="004D1DF7"/>
    <w:rsid w:val="004D1F65"/>
    <w:rsid w:val="004D2163"/>
    <w:rsid w:val="004D225A"/>
    <w:rsid w:val="004D28BA"/>
    <w:rsid w:val="004D2DCD"/>
    <w:rsid w:val="004D32D5"/>
    <w:rsid w:val="004D377F"/>
    <w:rsid w:val="004D3CD1"/>
    <w:rsid w:val="004D3F4A"/>
    <w:rsid w:val="004D435A"/>
    <w:rsid w:val="004D45B6"/>
    <w:rsid w:val="004D4D83"/>
    <w:rsid w:val="004D5078"/>
    <w:rsid w:val="004D529C"/>
    <w:rsid w:val="004D57F1"/>
    <w:rsid w:val="004D5ACB"/>
    <w:rsid w:val="004D5C3B"/>
    <w:rsid w:val="004D64C3"/>
    <w:rsid w:val="004D70C4"/>
    <w:rsid w:val="004D794F"/>
    <w:rsid w:val="004D7950"/>
    <w:rsid w:val="004D7B3F"/>
    <w:rsid w:val="004DFE38"/>
    <w:rsid w:val="004E05FF"/>
    <w:rsid w:val="004E0DA9"/>
    <w:rsid w:val="004E10EE"/>
    <w:rsid w:val="004E1185"/>
    <w:rsid w:val="004E12A1"/>
    <w:rsid w:val="004E14A1"/>
    <w:rsid w:val="004E1937"/>
    <w:rsid w:val="004E1950"/>
    <w:rsid w:val="004E1EA0"/>
    <w:rsid w:val="004E232A"/>
    <w:rsid w:val="004E243E"/>
    <w:rsid w:val="004E26BA"/>
    <w:rsid w:val="004E26EA"/>
    <w:rsid w:val="004E27CD"/>
    <w:rsid w:val="004E2E0E"/>
    <w:rsid w:val="004E2F6F"/>
    <w:rsid w:val="004E302F"/>
    <w:rsid w:val="004E34E0"/>
    <w:rsid w:val="004E36BC"/>
    <w:rsid w:val="004E3969"/>
    <w:rsid w:val="004E40E2"/>
    <w:rsid w:val="004E42CC"/>
    <w:rsid w:val="004E4802"/>
    <w:rsid w:val="004E4BD6"/>
    <w:rsid w:val="004E4D7C"/>
    <w:rsid w:val="004E509F"/>
    <w:rsid w:val="004E5210"/>
    <w:rsid w:val="004E589D"/>
    <w:rsid w:val="004E5BC3"/>
    <w:rsid w:val="004E5CBB"/>
    <w:rsid w:val="004E5E8C"/>
    <w:rsid w:val="004E62F7"/>
    <w:rsid w:val="004E66EA"/>
    <w:rsid w:val="004E688F"/>
    <w:rsid w:val="004E6908"/>
    <w:rsid w:val="004E6BDB"/>
    <w:rsid w:val="004E6C8D"/>
    <w:rsid w:val="004E70AA"/>
    <w:rsid w:val="004E7B80"/>
    <w:rsid w:val="004E7DB9"/>
    <w:rsid w:val="004F02AB"/>
    <w:rsid w:val="004F0313"/>
    <w:rsid w:val="004F0550"/>
    <w:rsid w:val="004F11EF"/>
    <w:rsid w:val="004F2BC3"/>
    <w:rsid w:val="004F2FEE"/>
    <w:rsid w:val="004F3A37"/>
    <w:rsid w:val="004F4108"/>
    <w:rsid w:val="004F44DA"/>
    <w:rsid w:val="004F4B53"/>
    <w:rsid w:val="004F532D"/>
    <w:rsid w:val="004F5984"/>
    <w:rsid w:val="004F5B7D"/>
    <w:rsid w:val="004F5BC1"/>
    <w:rsid w:val="004F5C3D"/>
    <w:rsid w:val="004F5D43"/>
    <w:rsid w:val="004F5D97"/>
    <w:rsid w:val="004F622F"/>
    <w:rsid w:val="004F6630"/>
    <w:rsid w:val="004F6EAB"/>
    <w:rsid w:val="004F7268"/>
    <w:rsid w:val="004F798F"/>
    <w:rsid w:val="004F7C1A"/>
    <w:rsid w:val="00500274"/>
    <w:rsid w:val="005005DE"/>
    <w:rsid w:val="00500A7A"/>
    <w:rsid w:val="0050114C"/>
    <w:rsid w:val="00501167"/>
    <w:rsid w:val="00501212"/>
    <w:rsid w:val="00501666"/>
    <w:rsid w:val="00501840"/>
    <w:rsid w:val="00501A2F"/>
    <w:rsid w:val="0050234F"/>
    <w:rsid w:val="0050239B"/>
    <w:rsid w:val="005024D5"/>
    <w:rsid w:val="00502756"/>
    <w:rsid w:val="00502A43"/>
    <w:rsid w:val="00502A4E"/>
    <w:rsid w:val="00502EEB"/>
    <w:rsid w:val="0050319A"/>
    <w:rsid w:val="00503312"/>
    <w:rsid w:val="00503512"/>
    <w:rsid w:val="0050384E"/>
    <w:rsid w:val="005040AD"/>
    <w:rsid w:val="005043D1"/>
    <w:rsid w:val="005043F6"/>
    <w:rsid w:val="00504A83"/>
    <w:rsid w:val="00504CE0"/>
    <w:rsid w:val="00505216"/>
    <w:rsid w:val="00505BE8"/>
    <w:rsid w:val="00505C76"/>
    <w:rsid w:val="00505D54"/>
    <w:rsid w:val="00505E5D"/>
    <w:rsid w:val="00506224"/>
    <w:rsid w:val="005063CF"/>
    <w:rsid w:val="005065B4"/>
    <w:rsid w:val="005065D1"/>
    <w:rsid w:val="00506855"/>
    <w:rsid w:val="0050687A"/>
    <w:rsid w:val="00506BCB"/>
    <w:rsid w:val="00506F9A"/>
    <w:rsid w:val="0050726E"/>
    <w:rsid w:val="0050751C"/>
    <w:rsid w:val="00507A81"/>
    <w:rsid w:val="00507C3C"/>
    <w:rsid w:val="00507E11"/>
    <w:rsid w:val="00507E7F"/>
    <w:rsid w:val="005100FF"/>
    <w:rsid w:val="00510497"/>
    <w:rsid w:val="005107C2"/>
    <w:rsid w:val="005108BE"/>
    <w:rsid w:val="005111FA"/>
    <w:rsid w:val="00511224"/>
    <w:rsid w:val="00511355"/>
    <w:rsid w:val="00511511"/>
    <w:rsid w:val="005116DE"/>
    <w:rsid w:val="00511D14"/>
    <w:rsid w:val="00512117"/>
    <w:rsid w:val="00512348"/>
    <w:rsid w:val="005125EB"/>
    <w:rsid w:val="005126D6"/>
    <w:rsid w:val="00512CC6"/>
    <w:rsid w:val="00512EDA"/>
    <w:rsid w:val="00513018"/>
    <w:rsid w:val="005131B0"/>
    <w:rsid w:val="00513814"/>
    <w:rsid w:val="00513C1D"/>
    <w:rsid w:val="00513F49"/>
    <w:rsid w:val="00514987"/>
    <w:rsid w:val="00515080"/>
    <w:rsid w:val="005152F7"/>
    <w:rsid w:val="0051534E"/>
    <w:rsid w:val="005153DD"/>
    <w:rsid w:val="0051575A"/>
    <w:rsid w:val="005157EC"/>
    <w:rsid w:val="00515920"/>
    <w:rsid w:val="00515CD3"/>
    <w:rsid w:val="00515E70"/>
    <w:rsid w:val="005164F1"/>
    <w:rsid w:val="0051650F"/>
    <w:rsid w:val="00516544"/>
    <w:rsid w:val="00516754"/>
    <w:rsid w:val="00516B3A"/>
    <w:rsid w:val="00516BA1"/>
    <w:rsid w:val="00516C48"/>
    <w:rsid w:val="00516FC8"/>
    <w:rsid w:val="005170E4"/>
    <w:rsid w:val="00517161"/>
    <w:rsid w:val="00517423"/>
    <w:rsid w:val="0051746D"/>
    <w:rsid w:val="005176E3"/>
    <w:rsid w:val="00517861"/>
    <w:rsid w:val="005179A0"/>
    <w:rsid w:val="00517B56"/>
    <w:rsid w:val="00517E29"/>
    <w:rsid w:val="00517E37"/>
    <w:rsid w:val="005208CE"/>
    <w:rsid w:val="00520C88"/>
    <w:rsid w:val="00520E8E"/>
    <w:rsid w:val="0052167D"/>
    <w:rsid w:val="005216A6"/>
    <w:rsid w:val="005216CC"/>
    <w:rsid w:val="00521720"/>
    <w:rsid w:val="00521A02"/>
    <w:rsid w:val="00521A40"/>
    <w:rsid w:val="00521E48"/>
    <w:rsid w:val="005220CD"/>
    <w:rsid w:val="00522573"/>
    <w:rsid w:val="0052346F"/>
    <w:rsid w:val="005237E8"/>
    <w:rsid w:val="00523D26"/>
    <w:rsid w:val="00523D35"/>
    <w:rsid w:val="00523E86"/>
    <w:rsid w:val="00524339"/>
    <w:rsid w:val="0052593F"/>
    <w:rsid w:val="00525CB3"/>
    <w:rsid w:val="0052692D"/>
    <w:rsid w:val="005269D8"/>
    <w:rsid w:val="00526C58"/>
    <w:rsid w:val="00526F97"/>
    <w:rsid w:val="00526FFB"/>
    <w:rsid w:val="00527304"/>
    <w:rsid w:val="00527485"/>
    <w:rsid w:val="0052780D"/>
    <w:rsid w:val="0052781B"/>
    <w:rsid w:val="00527AE0"/>
    <w:rsid w:val="00527EB8"/>
    <w:rsid w:val="0053027D"/>
    <w:rsid w:val="0053053D"/>
    <w:rsid w:val="00530B29"/>
    <w:rsid w:val="00530D74"/>
    <w:rsid w:val="005313D9"/>
    <w:rsid w:val="005315F0"/>
    <w:rsid w:val="005315FA"/>
    <w:rsid w:val="00531648"/>
    <w:rsid w:val="005316AD"/>
    <w:rsid w:val="005319E4"/>
    <w:rsid w:val="00531A8B"/>
    <w:rsid w:val="00532269"/>
    <w:rsid w:val="00532530"/>
    <w:rsid w:val="00532613"/>
    <w:rsid w:val="00532A36"/>
    <w:rsid w:val="00533084"/>
    <w:rsid w:val="005331AB"/>
    <w:rsid w:val="00533444"/>
    <w:rsid w:val="005335F4"/>
    <w:rsid w:val="00533610"/>
    <w:rsid w:val="005337A1"/>
    <w:rsid w:val="005337B9"/>
    <w:rsid w:val="00533ED8"/>
    <w:rsid w:val="0053402D"/>
    <w:rsid w:val="005342C7"/>
    <w:rsid w:val="00534606"/>
    <w:rsid w:val="005347C6"/>
    <w:rsid w:val="00534814"/>
    <w:rsid w:val="00534B67"/>
    <w:rsid w:val="00535014"/>
    <w:rsid w:val="005352F3"/>
    <w:rsid w:val="00535657"/>
    <w:rsid w:val="005358BD"/>
    <w:rsid w:val="005358DD"/>
    <w:rsid w:val="00535B5C"/>
    <w:rsid w:val="005360C1"/>
    <w:rsid w:val="00536575"/>
    <w:rsid w:val="005366C0"/>
    <w:rsid w:val="005367B9"/>
    <w:rsid w:val="005367CF"/>
    <w:rsid w:val="00536A8F"/>
    <w:rsid w:val="00536C91"/>
    <w:rsid w:val="00536D5A"/>
    <w:rsid w:val="005370C4"/>
    <w:rsid w:val="005371D1"/>
    <w:rsid w:val="005372ED"/>
    <w:rsid w:val="005376DC"/>
    <w:rsid w:val="005376E0"/>
    <w:rsid w:val="00537A19"/>
    <w:rsid w:val="00537D50"/>
    <w:rsid w:val="00537E1F"/>
    <w:rsid w:val="00537ED1"/>
    <w:rsid w:val="0054091F"/>
    <w:rsid w:val="00540D23"/>
    <w:rsid w:val="00540ED5"/>
    <w:rsid w:val="0054106D"/>
    <w:rsid w:val="005410BE"/>
    <w:rsid w:val="005412C0"/>
    <w:rsid w:val="0054143A"/>
    <w:rsid w:val="0054172F"/>
    <w:rsid w:val="0054198D"/>
    <w:rsid w:val="00541993"/>
    <w:rsid w:val="00541B62"/>
    <w:rsid w:val="00541DE6"/>
    <w:rsid w:val="0054228A"/>
    <w:rsid w:val="00542390"/>
    <w:rsid w:val="00543305"/>
    <w:rsid w:val="0054383F"/>
    <w:rsid w:val="0054397E"/>
    <w:rsid w:val="005439DC"/>
    <w:rsid w:val="00543ACD"/>
    <w:rsid w:val="00543CA2"/>
    <w:rsid w:val="00543F8F"/>
    <w:rsid w:val="0054431F"/>
    <w:rsid w:val="00544677"/>
    <w:rsid w:val="00544E32"/>
    <w:rsid w:val="00545762"/>
    <w:rsid w:val="00545792"/>
    <w:rsid w:val="005458A1"/>
    <w:rsid w:val="00546100"/>
    <w:rsid w:val="005463AD"/>
    <w:rsid w:val="005464F6"/>
    <w:rsid w:val="00546685"/>
    <w:rsid w:val="00546AEC"/>
    <w:rsid w:val="00546DF8"/>
    <w:rsid w:val="0054730D"/>
    <w:rsid w:val="00547911"/>
    <w:rsid w:val="00547AB8"/>
    <w:rsid w:val="00547E34"/>
    <w:rsid w:val="00547F17"/>
    <w:rsid w:val="00547F4E"/>
    <w:rsid w:val="00547FEC"/>
    <w:rsid w:val="00550523"/>
    <w:rsid w:val="00550A35"/>
    <w:rsid w:val="0055143C"/>
    <w:rsid w:val="005519AA"/>
    <w:rsid w:val="005519DC"/>
    <w:rsid w:val="00551B0F"/>
    <w:rsid w:val="005523FD"/>
    <w:rsid w:val="00552C2D"/>
    <w:rsid w:val="00553132"/>
    <w:rsid w:val="00553190"/>
    <w:rsid w:val="005534D0"/>
    <w:rsid w:val="00553811"/>
    <w:rsid w:val="005541E0"/>
    <w:rsid w:val="00554338"/>
    <w:rsid w:val="00554370"/>
    <w:rsid w:val="005548AE"/>
    <w:rsid w:val="00555CB4"/>
    <w:rsid w:val="0055604C"/>
    <w:rsid w:val="0055660C"/>
    <w:rsid w:val="00556C42"/>
    <w:rsid w:val="005570A3"/>
    <w:rsid w:val="0055715C"/>
    <w:rsid w:val="005572C1"/>
    <w:rsid w:val="005574CD"/>
    <w:rsid w:val="00557561"/>
    <w:rsid w:val="0055777B"/>
    <w:rsid w:val="00557EF4"/>
    <w:rsid w:val="00557F88"/>
    <w:rsid w:val="00557F9A"/>
    <w:rsid w:val="00560033"/>
    <w:rsid w:val="005601C0"/>
    <w:rsid w:val="00560536"/>
    <w:rsid w:val="005605D5"/>
    <w:rsid w:val="00560610"/>
    <w:rsid w:val="00560DCE"/>
    <w:rsid w:val="005615A5"/>
    <w:rsid w:val="00561704"/>
    <w:rsid w:val="005617E5"/>
    <w:rsid w:val="00561A0A"/>
    <w:rsid w:val="005623AE"/>
    <w:rsid w:val="005625C9"/>
    <w:rsid w:val="00562668"/>
    <w:rsid w:val="0056267C"/>
    <w:rsid w:val="0056284F"/>
    <w:rsid w:val="005628D8"/>
    <w:rsid w:val="00563000"/>
    <w:rsid w:val="00563445"/>
    <w:rsid w:val="005635C6"/>
    <w:rsid w:val="005638FF"/>
    <w:rsid w:val="00563EEB"/>
    <w:rsid w:val="00564AB7"/>
    <w:rsid w:val="00564D85"/>
    <w:rsid w:val="00564E85"/>
    <w:rsid w:val="00565050"/>
    <w:rsid w:val="005651C9"/>
    <w:rsid w:val="00565395"/>
    <w:rsid w:val="00565F51"/>
    <w:rsid w:val="00566091"/>
    <w:rsid w:val="00566141"/>
    <w:rsid w:val="0056669B"/>
    <w:rsid w:val="005669B4"/>
    <w:rsid w:val="005669FE"/>
    <w:rsid w:val="00566A55"/>
    <w:rsid w:val="00566E6D"/>
    <w:rsid w:val="00567192"/>
    <w:rsid w:val="005675D0"/>
    <w:rsid w:val="00567C9B"/>
    <w:rsid w:val="00567D85"/>
    <w:rsid w:val="00567D9B"/>
    <w:rsid w:val="0056A12A"/>
    <w:rsid w:val="00570E40"/>
    <w:rsid w:val="005710C3"/>
    <w:rsid w:val="0057114E"/>
    <w:rsid w:val="0057136A"/>
    <w:rsid w:val="005715E4"/>
    <w:rsid w:val="0057162B"/>
    <w:rsid w:val="00571C6C"/>
    <w:rsid w:val="00572032"/>
    <w:rsid w:val="005726E8"/>
    <w:rsid w:val="00572881"/>
    <w:rsid w:val="005735F8"/>
    <w:rsid w:val="00573D25"/>
    <w:rsid w:val="00573E17"/>
    <w:rsid w:val="00573F7E"/>
    <w:rsid w:val="005743C6"/>
    <w:rsid w:val="00574879"/>
    <w:rsid w:val="00574B8E"/>
    <w:rsid w:val="00574D4E"/>
    <w:rsid w:val="00575440"/>
    <w:rsid w:val="00576050"/>
    <w:rsid w:val="005765A7"/>
    <w:rsid w:val="005765D3"/>
    <w:rsid w:val="00576636"/>
    <w:rsid w:val="00576B4E"/>
    <w:rsid w:val="00576C84"/>
    <w:rsid w:val="00577022"/>
    <w:rsid w:val="00577067"/>
    <w:rsid w:val="005770AD"/>
    <w:rsid w:val="00577442"/>
    <w:rsid w:val="005774EF"/>
    <w:rsid w:val="00577EFD"/>
    <w:rsid w:val="0058004A"/>
    <w:rsid w:val="0058049F"/>
    <w:rsid w:val="005805CD"/>
    <w:rsid w:val="00580D32"/>
    <w:rsid w:val="00580DC9"/>
    <w:rsid w:val="0058124F"/>
    <w:rsid w:val="005815C0"/>
    <w:rsid w:val="00581983"/>
    <w:rsid w:val="00581F7C"/>
    <w:rsid w:val="005822E6"/>
    <w:rsid w:val="005827F4"/>
    <w:rsid w:val="00582CD7"/>
    <w:rsid w:val="00582ECC"/>
    <w:rsid w:val="00583416"/>
    <w:rsid w:val="00583447"/>
    <w:rsid w:val="00583570"/>
    <w:rsid w:val="005837C7"/>
    <w:rsid w:val="00583901"/>
    <w:rsid w:val="00583985"/>
    <w:rsid w:val="005845B1"/>
    <w:rsid w:val="005847CF"/>
    <w:rsid w:val="005847E5"/>
    <w:rsid w:val="005852BC"/>
    <w:rsid w:val="005855D3"/>
    <w:rsid w:val="00585856"/>
    <w:rsid w:val="00586481"/>
    <w:rsid w:val="00587297"/>
    <w:rsid w:val="005877D9"/>
    <w:rsid w:val="0059015F"/>
    <w:rsid w:val="0059020A"/>
    <w:rsid w:val="005902A6"/>
    <w:rsid w:val="0059070D"/>
    <w:rsid w:val="00590F12"/>
    <w:rsid w:val="0059103C"/>
    <w:rsid w:val="005912E8"/>
    <w:rsid w:val="00591395"/>
    <w:rsid w:val="0059154C"/>
    <w:rsid w:val="00591C7C"/>
    <w:rsid w:val="00591D1B"/>
    <w:rsid w:val="00591D84"/>
    <w:rsid w:val="00591DD5"/>
    <w:rsid w:val="005921E1"/>
    <w:rsid w:val="00592A47"/>
    <w:rsid w:val="00592C0C"/>
    <w:rsid w:val="00592ED2"/>
    <w:rsid w:val="005930DA"/>
    <w:rsid w:val="005931C2"/>
    <w:rsid w:val="00593CA1"/>
    <w:rsid w:val="0059410B"/>
    <w:rsid w:val="0059473E"/>
    <w:rsid w:val="005948C5"/>
    <w:rsid w:val="00594A6A"/>
    <w:rsid w:val="00594FF7"/>
    <w:rsid w:val="0059503F"/>
    <w:rsid w:val="005952C2"/>
    <w:rsid w:val="00595D6E"/>
    <w:rsid w:val="005961FE"/>
    <w:rsid w:val="00596706"/>
    <w:rsid w:val="00596716"/>
    <w:rsid w:val="00596868"/>
    <w:rsid w:val="00596AD5"/>
    <w:rsid w:val="00596BA0"/>
    <w:rsid w:val="00596BAB"/>
    <w:rsid w:val="00596F84"/>
    <w:rsid w:val="0059709C"/>
    <w:rsid w:val="00597381"/>
    <w:rsid w:val="00597428"/>
    <w:rsid w:val="0059743C"/>
    <w:rsid w:val="005976EB"/>
    <w:rsid w:val="00597B25"/>
    <w:rsid w:val="00597E94"/>
    <w:rsid w:val="00597F5D"/>
    <w:rsid w:val="005A0976"/>
    <w:rsid w:val="005A141F"/>
    <w:rsid w:val="005A1502"/>
    <w:rsid w:val="005A1941"/>
    <w:rsid w:val="005A1B23"/>
    <w:rsid w:val="005A2186"/>
    <w:rsid w:val="005A229E"/>
    <w:rsid w:val="005A235B"/>
    <w:rsid w:val="005A2689"/>
    <w:rsid w:val="005A26D2"/>
    <w:rsid w:val="005A2C43"/>
    <w:rsid w:val="005A32B7"/>
    <w:rsid w:val="005A336B"/>
    <w:rsid w:val="005A33CF"/>
    <w:rsid w:val="005A3630"/>
    <w:rsid w:val="005A3F0F"/>
    <w:rsid w:val="005A4476"/>
    <w:rsid w:val="005A4C01"/>
    <w:rsid w:val="005A4EEB"/>
    <w:rsid w:val="005A5698"/>
    <w:rsid w:val="005A5CA7"/>
    <w:rsid w:val="005A5D32"/>
    <w:rsid w:val="005A606B"/>
    <w:rsid w:val="005A6073"/>
    <w:rsid w:val="005A62ED"/>
    <w:rsid w:val="005A6372"/>
    <w:rsid w:val="005A64FD"/>
    <w:rsid w:val="005A6872"/>
    <w:rsid w:val="005A6B1B"/>
    <w:rsid w:val="005A6F96"/>
    <w:rsid w:val="005A71DD"/>
    <w:rsid w:val="005A7417"/>
    <w:rsid w:val="005A762C"/>
    <w:rsid w:val="005A7AF8"/>
    <w:rsid w:val="005A7D54"/>
    <w:rsid w:val="005A7F8B"/>
    <w:rsid w:val="005B0012"/>
    <w:rsid w:val="005B0661"/>
    <w:rsid w:val="005B09EE"/>
    <w:rsid w:val="005B0A03"/>
    <w:rsid w:val="005B0D15"/>
    <w:rsid w:val="005B12D8"/>
    <w:rsid w:val="005B1494"/>
    <w:rsid w:val="005B1646"/>
    <w:rsid w:val="005B16F7"/>
    <w:rsid w:val="005B1724"/>
    <w:rsid w:val="005B1936"/>
    <w:rsid w:val="005B1A8C"/>
    <w:rsid w:val="005B1B0F"/>
    <w:rsid w:val="005B1DB7"/>
    <w:rsid w:val="005B23D4"/>
    <w:rsid w:val="005B314A"/>
    <w:rsid w:val="005B366A"/>
    <w:rsid w:val="005B36C8"/>
    <w:rsid w:val="005B382B"/>
    <w:rsid w:val="005B4074"/>
    <w:rsid w:val="005B4145"/>
    <w:rsid w:val="005B45C2"/>
    <w:rsid w:val="005B48C7"/>
    <w:rsid w:val="005B4A33"/>
    <w:rsid w:val="005B4D0C"/>
    <w:rsid w:val="005B4F82"/>
    <w:rsid w:val="005B5A68"/>
    <w:rsid w:val="005B5A75"/>
    <w:rsid w:val="005B5C29"/>
    <w:rsid w:val="005B5FD0"/>
    <w:rsid w:val="005B608E"/>
    <w:rsid w:val="005B623F"/>
    <w:rsid w:val="005B6493"/>
    <w:rsid w:val="005B65D7"/>
    <w:rsid w:val="005B7656"/>
    <w:rsid w:val="005B791C"/>
    <w:rsid w:val="005B7D9D"/>
    <w:rsid w:val="005C01FC"/>
    <w:rsid w:val="005C0347"/>
    <w:rsid w:val="005C05A0"/>
    <w:rsid w:val="005C09CE"/>
    <w:rsid w:val="005C0B39"/>
    <w:rsid w:val="005C0E48"/>
    <w:rsid w:val="005C1A1F"/>
    <w:rsid w:val="005C1A78"/>
    <w:rsid w:val="005C1BD2"/>
    <w:rsid w:val="005C2269"/>
    <w:rsid w:val="005C22E7"/>
    <w:rsid w:val="005C26ED"/>
    <w:rsid w:val="005C280E"/>
    <w:rsid w:val="005C292B"/>
    <w:rsid w:val="005C2F61"/>
    <w:rsid w:val="005C30D1"/>
    <w:rsid w:val="005C312F"/>
    <w:rsid w:val="005C31D1"/>
    <w:rsid w:val="005C37D2"/>
    <w:rsid w:val="005C38FA"/>
    <w:rsid w:val="005C391D"/>
    <w:rsid w:val="005C3932"/>
    <w:rsid w:val="005C3CB5"/>
    <w:rsid w:val="005C4023"/>
    <w:rsid w:val="005C42F1"/>
    <w:rsid w:val="005C42F4"/>
    <w:rsid w:val="005C4A22"/>
    <w:rsid w:val="005C4A32"/>
    <w:rsid w:val="005C4C25"/>
    <w:rsid w:val="005C4CEF"/>
    <w:rsid w:val="005C4DA5"/>
    <w:rsid w:val="005C4E79"/>
    <w:rsid w:val="005C540F"/>
    <w:rsid w:val="005C576E"/>
    <w:rsid w:val="005C5901"/>
    <w:rsid w:val="005C5BC6"/>
    <w:rsid w:val="005C5E5A"/>
    <w:rsid w:val="005C5F33"/>
    <w:rsid w:val="005C629F"/>
    <w:rsid w:val="005C6593"/>
    <w:rsid w:val="005C6BB2"/>
    <w:rsid w:val="005C6DA4"/>
    <w:rsid w:val="005C71F7"/>
    <w:rsid w:val="005C720B"/>
    <w:rsid w:val="005C7468"/>
    <w:rsid w:val="005C77ED"/>
    <w:rsid w:val="005C9F03"/>
    <w:rsid w:val="005D030A"/>
    <w:rsid w:val="005D055A"/>
    <w:rsid w:val="005D05BD"/>
    <w:rsid w:val="005D0F5D"/>
    <w:rsid w:val="005D19AD"/>
    <w:rsid w:val="005D1CC3"/>
    <w:rsid w:val="005D1EC0"/>
    <w:rsid w:val="005D227A"/>
    <w:rsid w:val="005D24E0"/>
    <w:rsid w:val="005D26A5"/>
    <w:rsid w:val="005D2905"/>
    <w:rsid w:val="005D2A5F"/>
    <w:rsid w:val="005D2DDC"/>
    <w:rsid w:val="005D2EFD"/>
    <w:rsid w:val="005D319E"/>
    <w:rsid w:val="005D32D2"/>
    <w:rsid w:val="005D364D"/>
    <w:rsid w:val="005D3686"/>
    <w:rsid w:val="005D3A3B"/>
    <w:rsid w:val="005D3C7E"/>
    <w:rsid w:val="005D3E0C"/>
    <w:rsid w:val="005D47D6"/>
    <w:rsid w:val="005D483D"/>
    <w:rsid w:val="005D4ECD"/>
    <w:rsid w:val="005D528F"/>
    <w:rsid w:val="005D5813"/>
    <w:rsid w:val="005D5A6D"/>
    <w:rsid w:val="005D5A86"/>
    <w:rsid w:val="005D5F9E"/>
    <w:rsid w:val="005D6229"/>
    <w:rsid w:val="005D62C8"/>
    <w:rsid w:val="005D64E9"/>
    <w:rsid w:val="005D65AB"/>
    <w:rsid w:val="005D66FB"/>
    <w:rsid w:val="005D67E5"/>
    <w:rsid w:val="005D7200"/>
    <w:rsid w:val="005D7496"/>
    <w:rsid w:val="005D754F"/>
    <w:rsid w:val="005D7552"/>
    <w:rsid w:val="005D7F84"/>
    <w:rsid w:val="005D7FC8"/>
    <w:rsid w:val="005D8869"/>
    <w:rsid w:val="005E0126"/>
    <w:rsid w:val="005E0132"/>
    <w:rsid w:val="005E0849"/>
    <w:rsid w:val="005E0893"/>
    <w:rsid w:val="005E08F7"/>
    <w:rsid w:val="005E0D40"/>
    <w:rsid w:val="005E0EA6"/>
    <w:rsid w:val="005E0EE0"/>
    <w:rsid w:val="005E0F80"/>
    <w:rsid w:val="005E10A0"/>
    <w:rsid w:val="005E1926"/>
    <w:rsid w:val="005E1B10"/>
    <w:rsid w:val="005E2621"/>
    <w:rsid w:val="005E2953"/>
    <w:rsid w:val="005E2BBA"/>
    <w:rsid w:val="005E2CAC"/>
    <w:rsid w:val="005E3955"/>
    <w:rsid w:val="005E3A0E"/>
    <w:rsid w:val="005E3BBB"/>
    <w:rsid w:val="005E45DB"/>
    <w:rsid w:val="005E5513"/>
    <w:rsid w:val="005E55C7"/>
    <w:rsid w:val="005E5DF9"/>
    <w:rsid w:val="005E6195"/>
    <w:rsid w:val="005E677C"/>
    <w:rsid w:val="005E67C3"/>
    <w:rsid w:val="005E6A35"/>
    <w:rsid w:val="005E6AFC"/>
    <w:rsid w:val="005E75E1"/>
    <w:rsid w:val="005E76B9"/>
    <w:rsid w:val="005E777B"/>
    <w:rsid w:val="005F0025"/>
    <w:rsid w:val="005F02AF"/>
    <w:rsid w:val="005F0614"/>
    <w:rsid w:val="005F0900"/>
    <w:rsid w:val="005F0A61"/>
    <w:rsid w:val="005F1331"/>
    <w:rsid w:val="005F1591"/>
    <w:rsid w:val="005F1A24"/>
    <w:rsid w:val="005F1E4C"/>
    <w:rsid w:val="005F2016"/>
    <w:rsid w:val="005F246D"/>
    <w:rsid w:val="005F2733"/>
    <w:rsid w:val="005F2B4D"/>
    <w:rsid w:val="005F2C5D"/>
    <w:rsid w:val="005F2C6F"/>
    <w:rsid w:val="005F2D83"/>
    <w:rsid w:val="005F3752"/>
    <w:rsid w:val="005F3FD3"/>
    <w:rsid w:val="005F4080"/>
    <w:rsid w:val="005F4257"/>
    <w:rsid w:val="005F49AA"/>
    <w:rsid w:val="005F5816"/>
    <w:rsid w:val="005F635D"/>
    <w:rsid w:val="005F63E0"/>
    <w:rsid w:val="005F6C9B"/>
    <w:rsid w:val="005F6CC8"/>
    <w:rsid w:val="005F6E2B"/>
    <w:rsid w:val="005F7A86"/>
    <w:rsid w:val="005F7E95"/>
    <w:rsid w:val="006000F0"/>
    <w:rsid w:val="0060070E"/>
    <w:rsid w:val="00600C5C"/>
    <w:rsid w:val="00600DC0"/>
    <w:rsid w:val="006010C1"/>
    <w:rsid w:val="006013DF"/>
    <w:rsid w:val="00601692"/>
    <w:rsid w:val="006016F0"/>
    <w:rsid w:val="00601934"/>
    <w:rsid w:val="00601ED0"/>
    <w:rsid w:val="00602708"/>
    <w:rsid w:val="0060292B"/>
    <w:rsid w:val="00603367"/>
    <w:rsid w:val="00603A8E"/>
    <w:rsid w:val="00603AB4"/>
    <w:rsid w:val="006040FF"/>
    <w:rsid w:val="00604434"/>
    <w:rsid w:val="00604560"/>
    <w:rsid w:val="00604661"/>
    <w:rsid w:val="0060476C"/>
    <w:rsid w:val="00604831"/>
    <w:rsid w:val="00604EC0"/>
    <w:rsid w:val="00604EFE"/>
    <w:rsid w:val="00605267"/>
    <w:rsid w:val="00605830"/>
    <w:rsid w:val="00605DC7"/>
    <w:rsid w:val="006061DC"/>
    <w:rsid w:val="00606576"/>
    <w:rsid w:val="006074A5"/>
    <w:rsid w:val="0060751E"/>
    <w:rsid w:val="00607C2F"/>
    <w:rsid w:val="00607FF6"/>
    <w:rsid w:val="006101AA"/>
    <w:rsid w:val="006102B0"/>
    <w:rsid w:val="00610340"/>
    <w:rsid w:val="006104A0"/>
    <w:rsid w:val="0061171B"/>
    <w:rsid w:val="006121AD"/>
    <w:rsid w:val="00612D39"/>
    <w:rsid w:val="00612F1F"/>
    <w:rsid w:val="00612FEF"/>
    <w:rsid w:val="00613457"/>
    <w:rsid w:val="0061389D"/>
    <w:rsid w:val="006140AB"/>
    <w:rsid w:val="006147DA"/>
    <w:rsid w:val="00614CB1"/>
    <w:rsid w:val="00614E03"/>
    <w:rsid w:val="00614E11"/>
    <w:rsid w:val="00614EE4"/>
    <w:rsid w:val="006151FA"/>
    <w:rsid w:val="00615209"/>
    <w:rsid w:val="006158CE"/>
    <w:rsid w:val="00615A9D"/>
    <w:rsid w:val="0061621D"/>
    <w:rsid w:val="006167FC"/>
    <w:rsid w:val="00616B67"/>
    <w:rsid w:val="00616DF7"/>
    <w:rsid w:val="00617358"/>
    <w:rsid w:val="006173D5"/>
    <w:rsid w:val="00617C09"/>
    <w:rsid w:val="00620108"/>
    <w:rsid w:val="0062056B"/>
    <w:rsid w:val="006207B3"/>
    <w:rsid w:val="00620A66"/>
    <w:rsid w:val="00620CA7"/>
    <w:rsid w:val="006210EC"/>
    <w:rsid w:val="00621856"/>
    <w:rsid w:val="00621B89"/>
    <w:rsid w:val="00621D65"/>
    <w:rsid w:val="00621FD1"/>
    <w:rsid w:val="0062266F"/>
    <w:rsid w:val="0062285D"/>
    <w:rsid w:val="00622957"/>
    <w:rsid w:val="00622A27"/>
    <w:rsid w:val="00622C2B"/>
    <w:rsid w:val="00622C59"/>
    <w:rsid w:val="00622C5D"/>
    <w:rsid w:val="006235A1"/>
    <w:rsid w:val="006236BA"/>
    <w:rsid w:val="006237C9"/>
    <w:rsid w:val="006237EF"/>
    <w:rsid w:val="006239C6"/>
    <w:rsid w:val="00623BC2"/>
    <w:rsid w:val="00623D21"/>
    <w:rsid w:val="00623FCD"/>
    <w:rsid w:val="006246E1"/>
    <w:rsid w:val="00624BF2"/>
    <w:rsid w:val="00624E80"/>
    <w:rsid w:val="006250CA"/>
    <w:rsid w:val="00625383"/>
    <w:rsid w:val="00625AB2"/>
    <w:rsid w:val="00625E2A"/>
    <w:rsid w:val="00625FB0"/>
    <w:rsid w:val="00626C21"/>
    <w:rsid w:val="00626C8B"/>
    <w:rsid w:val="0062701E"/>
    <w:rsid w:val="0062753B"/>
    <w:rsid w:val="00630351"/>
    <w:rsid w:val="00630428"/>
    <w:rsid w:val="00630597"/>
    <w:rsid w:val="00630799"/>
    <w:rsid w:val="006307D4"/>
    <w:rsid w:val="00630C15"/>
    <w:rsid w:val="00630FB9"/>
    <w:rsid w:val="00630FBE"/>
    <w:rsid w:val="006312ED"/>
    <w:rsid w:val="00631886"/>
    <w:rsid w:val="006319AD"/>
    <w:rsid w:val="006319C9"/>
    <w:rsid w:val="00631ACB"/>
    <w:rsid w:val="00631B2B"/>
    <w:rsid w:val="00631DC8"/>
    <w:rsid w:val="00632369"/>
    <w:rsid w:val="00632DBC"/>
    <w:rsid w:val="00632DCA"/>
    <w:rsid w:val="00632EF2"/>
    <w:rsid w:val="00633007"/>
    <w:rsid w:val="0063371A"/>
    <w:rsid w:val="0063377E"/>
    <w:rsid w:val="00633C05"/>
    <w:rsid w:val="00633D83"/>
    <w:rsid w:val="00633E35"/>
    <w:rsid w:val="00634262"/>
    <w:rsid w:val="0063433D"/>
    <w:rsid w:val="00634368"/>
    <w:rsid w:val="00634370"/>
    <w:rsid w:val="00634572"/>
    <w:rsid w:val="006348F0"/>
    <w:rsid w:val="006350E7"/>
    <w:rsid w:val="00636020"/>
    <w:rsid w:val="00636E4B"/>
    <w:rsid w:val="00637BEF"/>
    <w:rsid w:val="00637D1B"/>
    <w:rsid w:val="00637DFC"/>
    <w:rsid w:val="0064004D"/>
    <w:rsid w:val="00640311"/>
    <w:rsid w:val="00640552"/>
    <w:rsid w:val="00640655"/>
    <w:rsid w:val="006406A3"/>
    <w:rsid w:val="00640742"/>
    <w:rsid w:val="00640787"/>
    <w:rsid w:val="006407FD"/>
    <w:rsid w:val="006408D0"/>
    <w:rsid w:val="00640BE3"/>
    <w:rsid w:val="00640BEE"/>
    <w:rsid w:val="00640DF3"/>
    <w:rsid w:val="00640ED1"/>
    <w:rsid w:val="00641003"/>
    <w:rsid w:val="0064102E"/>
    <w:rsid w:val="006412EB"/>
    <w:rsid w:val="0064140A"/>
    <w:rsid w:val="00641707"/>
    <w:rsid w:val="00641879"/>
    <w:rsid w:val="00641C22"/>
    <w:rsid w:val="00641D23"/>
    <w:rsid w:val="00641EC5"/>
    <w:rsid w:val="00641FE0"/>
    <w:rsid w:val="006426A3"/>
    <w:rsid w:val="00642958"/>
    <w:rsid w:val="00642E76"/>
    <w:rsid w:val="00642F84"/>
    <w:rsid w:val="00643746"/>
    <w:rsid w:val="00643DDA"/>
    <w:rsid w:val="006444D9"/>
    <w:rsid w:val="00644FE2"/>
    <w:rsid w:val="00645163"/>
    <w:rsid w:val="006455F1"/>
    <w:rsid w:val="006458F7"/>
    <w:rsid w:val="00645CDB"/>
    <w:rsid w:val="0064641A"/>
    <w:rsid w:val="00646831"/>
    <w:rsid w:val="00646EC7"/>
    <w:rsid w:val="00647582"/>
    <w:rsid w:val="006475F2"/>
    <w:rsid w:val="006475FC"/>
    <w:rsid w:val="00647909"/>
    <w:rsid w:val="00647D67"/>
    <w:rsid w:val="00647FED"/>
    <w:rsid w:val="006501CE"/>
    <w:rsid w:val="00650444"/>
    <w:rsid w:val="006506C2"/>
    <w:rsid w:val="0065083B"/>
    <w:rsid w:val="00650A13"/>
    <w:rsid w:val="00651035"/>
    <w:rsid w:val="00651150"/>
    <w:rsid w:val="0065147B"/>
    <w:rsid w:val="0065179E"/>
    <w:rsid w:val="00652280"/>
    <w:rsid w:val="006523C0"/>
    <w:rsid w:val="0065241E"/>
    <w:rsid w:val="006526F6"/>
    <w:rsid w:val="00652728"/>
    <w:rsid w:val="00652877"/>
    <w:rsid w:val="00652CCA"/>
    <w:rsid w:val="00653723"/>
    <w:rsid w:val="00653777"/>
    <w:rsid w:val="00653B67"/>
    <w:rsid w:val="006543BE"/>
    <w:rsid w:val="00654408"/>
    <w:rsid w:val="0065469C"/>
    <w:rsid w:val="006547FD"/>
    <w:rsid w:val="0065481E"/>
    <w:rsid w:val="00654A3D"/>
    <w:rsid w:val="00654A43"/>
    <w:rsid w:val="00654B95"/>
    <w:rsid w:val="00655094"/>
    <w:rsid w:val="00655181"/>
    <w:rsid w:val="00655458"/>
    <w:rsid w:val="00655607"/>
    <w:rsid w:val="006557F6"/>
    <w:rsid w:val="00655F22"/>
    <w:rsid w:val="006562EC"/>
    <w:rsid w:val="00656755"/>
    <w:rsid w:val="00656A64"/>
    <w:rsid w:val="00656B79"/>
    <w:rsid w:val="00656C04"/>
    <w:rsid w:val="00656E06"/>
    <w:rsid w:val="0065700F"/>
    <w:rsid w:val="00657531"/>
    <w:rsid w:val="006577CC"/>
    <w:rsid w:val="006577EB"/>
    <w:rsid w:val="006579D4"/>
    <w:rsid w:val="006602A2"/>
    <w:rsid w:val="00660A4F"/>
    <w:rsid w:val="00660F73"/>
    <w:rsid w:val="00660FB7"/>
    <w:rsid w:val="006619B9"/>
    <w:rsid w:val="00661A58"/>
    <w:rsid w:val="00661DFC"/>
    <w:rsid w:val="00661EAC"/>
    <w:rsid w:val="00661FC7"/>
    <w:rsid w:val="00662954"/>
    <w:rsid w:val="00663129"/>
    <w:rsid w:val="0066317A"/>
    <w:rsid w:val="00663A2D"/>
    <w:rsid w:val="00663FF7"/>
    <w:rsid w:val="006646CE"/>
    <w:rsid w:val="00664AB2"/>
    <w:rsid w:val="00664BCE"/>
    <w:rsid w:val="00664F79"/>
    <w:rsid w:val="00665168"/>
    <w:rsid w:val="006652C0"/>
    <w:rsid w:val="006655F4"/>
    <w:rsid w:val="00665B12"/>
    <w:rsid w:val="00665E13"/>
    <w:rsid w:val="00665EC9"/>
    <w:rsid w:val="0066602F"/>
    <w:rsid w:val="00666040"/>
    <w:rsid w:val="006662AE"/>
    <w:rsid w:val="0066644D"/>
    <w:rsid w:val="006669BC"/>
    <w:rsid w:val="006669D8"/>
    <w:rsid w:val="00666C0D"/>
    <w:rsid w:val="00666D91"/>
    <w:rsid w:val="00666FC6"/>
    <w:rsid w:val="0066713F"/>
    <w:rsid w:val="00667340"/>
    <w:rsid w:val="00667376"/>
    <w:rsid w:val="00667502"/>
    <w:rsid w:val="0066753B"/>
    <w:rsid w:val="00667A8F"/>
    <w:rsid w:val="00667FB6"/>
    <w:rsid w:val="00667FFB"/>
    <w:rsid w:val="00670065"/>
    <w:rsid w:val="006702F6"/>
    <w:rsid w:val="00670549"/>
    <w:rsid w:val="006705C3"/>
    <w:rsid w:val="00670A13"/>
    <w:rsid w:val="00670DD2"/>
    <w:rsid w:val="006711E7"/>
    <w:rsid w:val="0067191D"/>
    <w:rsid w:val="00671970"/>
    <w:rsid w:val="006719B2"/>
    <w:rsid w:val="006720D5"/>
    <w:rsid w:val="00672245"/>
    <w:rsid w:val="0067237C"/>
    <w:rsid w:val="0067255A"/>
    <w:rsid w:val="006729F1"/>
    <w:rsid w:val="00672E66"/>
    <w:rsid w:val="006735C7"/>
    <w:rsid w:val="006736B5"/>
    <w:rsid w:val="00673807"/>
    <w:rsid w:val="006739FE"/>
    <w:rsid w:val="00673B98"/>
    <w:rsid w:val="00674319"/>
    <w:rsid w:val="006746FC"/>
    <w:rsid w:val="00674775"/>
    <w:rsid w:val="006748A5"/>
    <w:rsid w:val="00674A70"/>
    <w:rsid w:val="00674B69"/>
    <w:rsid w:val="00674DC9"/>
    <w:rsid w:val="006751F1"/>
    <w:rsid w:val="00675212"/>
    <w:rsid w:val="00675381"/>
    <w:rsid w:val="006753C2"/>
    <w:rsid w:val="0067543F"/>
    <w:rsid w:val="006759B0"/>
    <w:rsid w:val="00675D31"/>
    <w:rsid w:val="00675F4D"/>
    <w:rsid w:val="006761F8"/>
    <w:rsid w:val="00677825"/>
    <w:rsid w:val="00677BC7"/>
    <w:rsid w:val="00677EA3"/>
    <w:rsid w:val="00677F45"/>
    <w:rsid w:val="00680639"/>
    <w:rsid w:val="006807EF"/>
    <w:rsid w:val="0068082B"/>
    <w:rsid w:val="00680B40"/>
    <w:rsid w:val="00680D7C"/>
    <w:rsid w:val="00681150"/>
    <w:rsid w:val="006817D9"/>
    <w:rsid w:val="0068192B"/>
    <w:rsid w:val="00681EB6"/>
    <w:rsid w:val="0068201F"/>
    <w:rsid w:val="0068205C"/>
    <w:rsid w:val="00682558"/>
    <w:rsid w:val="00683065"/>
    <w:rsid w:val="00683387"/>
    <w:rsid w:val="006833D9"/>
    <w:rsid w:val="00683B70"/>
    <w:rsid w:val="00683CEE"/>
    <w:rsid w:val="00683E9B"/>
    <w:rsid w:val="00683ED1"/>
    <w:rsid w:val="00683F78"/>
    <w:rsid w:val="006845A1"/>
    <w:rsid w:val="00684B91"/>
    <w:rsid w:val="00684CC7"/>
    <w:rsid w:val="00685496"/>
    <w:rsid w:val="0068587A"/>
    <w:rsid w:val="00685B71"/>
    <w:rsid w:val="0068615D"/>
    <w:rsid w:val="0068632F"/>
    <w:rsid w:val="006873F3"/>
    <w:rsid w:val="0068754F"/>
    <w:rsid w:val="006876A7"/>
    <w:rsid w:val="00687AFF"/>
    <w:rsid w:val="0069089E"/>
    <w:rsid w:val="00690A76"/>
    <w:rsid w:val="00690E92"/>
    <w:rsid w:val="00690F95"/>
    <w:rsid w:val="00691580"/>
    <w:rsid w:val="00691765"/>
    <w:rsid w:val="00691A64"/>
    <w:rsid w:val="00691B4C"/>
    <w:rsid w:val="00692FA0"/>
    <w:rsid w:val="00693454"/>
    <w:rsid w:val="00693698"/>
    <w:rsid w:val="00693AC8"/>
    <w:rsid w:val="00693FFE"/>
    <w:rsid w:val="00694434"/>
    <w:rsid w:val="006947F7"/>
    <w:rsid w:val="00694850"/>
    <w:rsid w:val="00694916"/>
    <w:rsid w:val="0069496A"/>
    <w:rsid w:val="00694F93"/>
    <w:rsid w:val="00695562"/>
    <w:rsid w:val="0069590D"/>
    <w:rsid w:val="00695C14"/>
    <w:rsid w:val="00695CC3"/>
    <w:rsid w:val="00696074"/>
    <w:rsid w:val="0069643F"/>
    <w:rsid w:val="00696520"/>
    <w:rsid w:val="0069686E"/>
    <w:rsid w:val="00696A5D"/>
    <w:rsid w:val="00696DAC"/>
    <w:rsid w:val="00696FBA"/>
    <w:rsid w:val="00697406"/>
    <w:rsid w:val="006975B9"/>
    <w:rsid w:val="0069764E"/>
    <w:rsid w:val="00697755"/>
    <w:rsid w:val="00697905"/>
    <w:rsid w:val="006A06DA"/>
    <w:rsid w:val="006A1040"/>
    <w:rsid w:val="006A1073"/>
    <w:rsid w:val="006A1237"/>
    <w:rsid w:val="006A14A3"/>
    <w:rsid w:val="006A17DE"/>
    <w:rsid w:val="006A1B10"/>
    <w:rsid w:val="006A1CE0"/>
    <w:rsid w:val="006A2874"/>
    <w:rsid w:val="006A2A45"/>
    <w:rsid w:val="006A2CF9"/>
    <w:rsid w:val="006A307A"/>
    <w:rsid w:val="006A3103"/>
    <w:rsid w:val="006A34B7"/>
    <w:rsid w:val="006A35FA"/>
    <w:rsid w:val="006A378C"/>
    <w:rsid w:val="006A3B77"/>
    <w:rsid w:val="006A3B7D"/>
    <w:rsid w:val="006A3F32"/>
    <w:rsid w:val="006A40BF"/>
    <w:rsid w:val="006A443F"/>
    <w:rsid w:val="006A4805"/>
    <w:rsid w:val="006A4B62"/>
    <w:rsid w:val="006A50FF"/>
    <w:rsid w:val="006A5114"/>
    <w:rsid w:val="006A515D"/>
    <w:rsid w:val="006A5220"/>
    <w:rsid w:val="006A5943"/>
    <w:rsid w:val="006A5A90"/>
    <w:rsid w:val="006A5BF5"/>
    <w:rsid w:val="006A5C1A"/>
    <w:rsid w:val="006A65B8"/>
    <w:rsid w:val="006A6AC1"/>
    <w:rsid w:val="006A6DA5"/>
    <w:rsid w:val="006A6ECB"/>
    <w:rsid w:val="006A730D"/>
    <w:rsid w:val="006A73B2"/>
    <w:rsid w:val="006A7815"/>
    <w:rsid w:val="006A7D2E"/>
    <w:rsid w:val="006A7F4A"/>
    <w:rsid w:val="006A7FB2"/>
    <w:rsid w:val="006B02BF"/>
    <w:rsid w:val="006B03D1"/>
    <w:rsid w:val="006B052F"/>
    <w:rsid w:val="006B0BC8"/>
    <w:rsid w:val="006B1742"/>
    <w:rsid w:val="006B17ED"/>
    <w:rsid w:val="006B21D6"/>
    <w:rsid w:val="006B2283"/>
    <w:rsid w:val="006B298C"/>
    <w:rsid w:val="006B2D60"/>
    <w:rsid w:val="006B2DF9"/>
    <w:rsid w:val="006B314A"/>
    <w:rsid w:val="006B3202"/>
    <w:rsid w:val="006B3CDB"/>
    <w:rsid w:val="006B3EB1"/>
    <w:rsid w:val="006B490A"/>
    <w:rsid w:val="006B4DB9"/>
    <w:rsid w:val="006B50ED"/>
    <w:rsid w:val="006B5344"/>
    <w:rsid w:val="006B57A2"/>
    <w:rsid w:val="006B5A79"/>
    <w:rsid w:val="006B5B10"/>
    <w:rsid w:val="006B5BFB"/>
    <w:rsid w:val="006B5CC1"/>
    <w:rsid w:val="006B5F11"/>
    <w:rsid w:val="006B6024"/>
    <w:rsid w:val="006B638D"/>
    <w:rsid w:val="006B6911"/>
    <w:rsid w:val="006B6F31"/>
    <w:rsid w:val="006B7483"/>
    <w:rsid w:val="006B7498"/>
    <w:rsid w:val="006B7587"/>
    <w:rsid w:val="006B7A75"/>
    <w:rsid w:val="006C05AC"/>
    <w:rsid w:val="006C0DD6"/>
    <w:rsid w:val="006C10B1"/>
    <w:rsid w:val="006C14D1"/>
    <w:rsid w:val="006C24A8"/>
    <w:rsid w:val="006C2753"/>
    <w:rsid w:val="006C2866"/>
    <w:rsid w:val="006C293E"/>
    <w:rsid w:val="006C31B8"/>
    <w:rsid w:val="006C36A2"/>
    <w:rsid w:val="006C36E6"/>
    <w:rsid w:val="006C3AC6"/>
    <w:rsid w:val="006C3D22"/>
    <w:rsid w:val="006C3F6A"/>
    <w:rsid w:val="006C4038"/>
    <w:rsid w:val="006C4635"/>
    <w:rsid w:val="006C4ED1"/>
    <w:rsid w:val="006C52D4"/>
    <w:rsid w:val="006C55F5"/>
    <w:rsid w:val="006C57C1"/>
    <w:rsid w:val="006C5932"/>
    <w:rsid w:val="006C59E4"/>
    <w:rsid w:val="006C5BA3"/>
    <w:rsid w:val="006C6A62"/>
    <w:rsid w:val="006C713E"/>
    <w:rsid w:val="006C71DE"/>
    <w:rsid w:val="006C740E"/>
    <w:rsid w:val="006C7472"/>
    <w:rsid w:val="006C7747"/>
    <w:rsid w:val="006C7955"/>
    <w:rsid w:val="006C7E5D"/>
    <w:rsid w:val="006C7EAD"/>
    <w:rsid w:val="006D0100"/>
    <w:rsid w:val="006D0151"/>
    <w:rsid w:val="006D01B1"/>
    <w:rsid w:val="006D0781"/>
    <w:rsid w:val="006D0A87"/>
    <w:rsid w:val="006D182D"/>
    <w:rsid w:val="006D1AEC"/>
    <w:rsid w:val="006D1F66"/>
    <w:rsid w:val="006D1FC9"/>
    <w:rsid w:val="006D21EC"/>
    <w:rsid w:val="006D2C47"/>
    <w:rsid w:val="006D2D66"/>
    <w:rsid w:val="006D3B37"/>
    <w:rsid w:val="006D3B7D"/>
    <w:rsid w:val="006D3C55"/>
    <w:rsid w:val="006D3E61"/>
    <w:rsid w:val="006D40B1"/>
    <w:rsid w:val="006D4206"/>
    <w:rsid w:val="006D45A2"/>
    <w:rsid w:val="006D4AB3"/>
    <w:rsid w:val="006D4CDF"/>
    <w:rsid w:val="006D4E4A"/>
    <w:rsid w:val="006D4F22"/>
    <w:rsid w:val="006D5390"/>
    <w:rsid w:val="006D55CB"/>
    <w:rsid w:val="006D58E6"/>
    <w:rsid w:val="006D5DEC"/>
    <w:rsid w:val="006D5F88"/>
    <w:rsid w:val="006D642F"/>
    <w:rsid w:val="006D650B"/>
    <w:rsid w:val="006D68FC"/>
    <w:rsid w:val="006D6BF9"/>
    <w:rsid w:val="006D6CD5"/>
    <w:rsid w:val="006D6F9F"/>
    <w:rsid w:val="006D725C"/>
    <w:rsid w:val="006D73D4"/>
    <w:rsid w:val="006D7C81"/>
    <w:rsid w:val="006D7CAB"/>
    <w:rsid w:val="006D7FE5"/>
    <w:rsid w:val="006E032A"/>
    <w:rsid w:val="006E04A6"/>
    <w:rsid w:val="006E089C"/>
    <w:rsid w:val="006E0969"/>
    <w:rsid w:val="006E0C6D"/>
    <w:rsid w:val="006E0C75"/>
    <w:rsid w:val="006E0F7A"/>
    <w:rsid w:val="006E111B"/>
    <w:rsid w:val="006E1523"/>
    <w:rsid w:val="006E1691"/>
    <w:rsid w:val="006E18D6"/>
    <w:rsid w:val="006E1A5E"/>
    <w:rsid w:val="006E1B2E"/>
    <w:rsid w:val="006E1FE2"/>
    <w:rsid w:val="006E231A"/>
    <w:rsid w:val="006E2646"/>
    <w:rsid w:val="006E338B"/>
    <w:rsid w:val="006E356C"/>
    <w:rsid w:val="006E3AA0"/>
    <w:rsid w:val="006E3D71"/>
    <w:rsid w:val="006E41E6"/>
    <w:rsid w:val="006E4201"/>
    <w:rsid w:val="006E498D"/>
    <w:rsid w:val="006E4E9C"/>
    <w:rsid w:val="006E51B4"/>
    <w:rsid w:val="006E53D2"/>
    <w:rsid w:val="006E5862"/>
    <w:rsid w:val="006E5970"/>
    <w:rsid w:val="006E5E0B"/>
    <w:rsid w:val="006E5EE4"/>
    <w:rsid w:val="006E6720"/>
    <w:rsid w:val="006E67A1"/>
    <w:rsid w:val="006E67F1"/>
    <w:rsid w:val="006E6810"/>
    <w:rsid w:val="006E68AF"/>
    <w:rsid w:val="006E71E2"/>
    <w:rsid w:val="006E755A"/>
    <w:rsid w:val="006E770B"/>
    <w:rsid w:val="006E79D3"/>
    <w:rsid w:val="006E7A68"/>
    <w:rsid w:val="006E7C68"/>
    <w:rsid w:val="006E7DE3"/>
    <w:rsid w:val="006E7E6C"/>
    <w:rsid w:val="006E7EB9"/>
    <w:rsid w:val="006F0326"/>
    <w:rsid w:val="006F095B"/>
    <w:rsid w:val="006F0C59"/>
    <w:rsid w:val="006F1013"/>
    <w:rsid w:val="006F12DB"/>
    <w:rsid w:val="006F13EC"/>
    <w:rsid w:val="006F157E"/>
    <w:rsid w:val="006F19D6"/>
    <w:rsid w:val="006F1B10"/>
    <w:rsid w:val="006F2003"/>
    <w:rsid w:val="006F2162"/>
    <w:rsid w:val="006F21F1"/>
    <w:rsid w:val="006F25EC"/>
    <w:rsid w:val="006F2B3C"/>
    <w:rsid w:val="006F2DF8"/>
    <w:rsid w:val="006F2E6E"/>
    <w:rsid w:val="006F303B"/>
    <w:rsid w:val="006F33F9"/>
    <w:rsid w:val="006F368B"/>
    <w:rsid w:val="006F3820"/>
    <w:rsid w:val="006F3975"/>
    <w:rsid w:val="006F471B"/>
    <w:rsid w:val="006F4E0D"/>
    <w:rsid w:val="006F4E88"/>
    <w:rsid w:val="006F543C"/>
    <w:rsid w:val="006F563B"/>
    <w:rsid w:val="006F58FC"/>
    <w:rsid w:val="006F5A11"/>
    <w:rsid w:val="006F5A32"/>
    <w:rsid w:val="006F5C45"/>
    <w:rsid w:val="006F5E82"/>
    <w:rsid w:val="006F60F1"/>
    <w:rsid w:val="006F6605"/>
    <w:rsid w:val="006F666D"/>
    <w:rsid w:val="006F68AC"/>
    <w:rsid w:val="006F69F9"/>
    <w:rsid w:val="006F6B1D"/>
    <w:rsid w:val="006F6F8B"/>
    <w:rsid w:val="006F767C"/>
    <w:rsid w:val="006F79A0"/>
    <w:rsid w:val="006F7EB0"/>
    <w:rsid w:val="006F7FD9"/>
    <w:rsid w:val="007006F2"/>
    <w:rsid w:val="00700BA4"/>
    <w:rsid w:val="00700FA8"/>
    <w:rsid w:val="007011CE"/>
    <w:rsid w:val="007013A5"/>
    <w:rsid w:val="0070166F"/>
    <w:rsid w:val="00701723"/>
    <w:rsid w:val="00701BA4"/>
    <w:rsid w:val="00701D56"/>
    <w:rsid w:val="0070223D"/>
    <w:rsid w:val="0070250B"/>
    <w:rsid w:val="007029A1"/>
    <w:rsid w:val="00702B9E"/>
    <w:rsid w:val="00702BCE"/>
    <w:rsid w:val="00702EE5"/>
    <w:rsid w:val="00702F47"/>
    <w:rsid w:val="0070314B"/>
    <w:rsid w:val="00703417"/>
    <w:rsid w:val="0070362C"/>
    <w:rsid w:val="007037B8"/>
    <w:rsid w:val="00703855"/>
    <w:rsid w:val="00703C26"/>
    <w:rsid w:val="00703FCB"/>
    <w:rsid w:val="00704414"/>
    <w:rsid w:val="007044FC"/>
    <w:rsid w:val="007047BE"/>
    <w:rsid w:val="00704867"/>
    <w:rsid w:val="00704B0B"/>
    <w:rsid w:val="00704C12"/>
    <w:rsid w:val="00704E24"/>
    <w:rsid w:val="00704F67"/>
    <w:rsid w:val="0070516D"/>
    <w:rsid w:val="0070518C"/>
    <w:rsid w:val="0070585E"/>
    <w:rsid w:val="00705FEE"/>
    <w:rsid w:val="0070624B"/>
    <w:rsid w:val="00706367"/>
    <w:rsid w:val="00706B11"/>
    <w:rsid w:val="00706D44"/>
    <w:rsid w:val="0070705B"/>
    <w:rsid w:val="00707391"/>
    <w:rsid w:val="007075B7"/>
    <w:rsid w:val="007076A6"/>
    <w:rsid w:val="00707E03"/>
    <w:rsid w:val="00707E7E"/>
    <w:rsid w:val="00707F30"/>
    <w:rsid w:val="007107C9"/>
    <w:rsid w:val="00710AF3"/>
    <w:rsid w:val="00710AFE"/>
    <w:rsid w:val="00710C5F"/>
    <w:rsid w:val="00710F01"/>
    <w:rsid w:val="00711216"/>
    <w:rsid w:val="007118BA"/>
    <w:rsid w:val="00711A48"/>
    <w:rsid w:val="00712031"/>
    <w:rsid w:val="0071257A"/>
    <w:rsid w:val="00712A8E"/>
    <w:rsid w:val="00712CB0"/>
    <w:rsid w:val="0071351F"/>
    <w:rsid w:val="00713D7C"/>
    <w:rsid w:val="0071433B"/>
    <w:rsid w:val="00714AB1"/>
    <w:rsid w:val="00714B62"/>
    <w:rsid w:val="007152FC"/>
    <w:rsid w:val="00715561"/>
    <w:rsid w:val="00715BA5"/>
    <w:rsid w:val="00715C49"/>
    <w:rsid w:val="00715C6D"/>
    <w:rsid w:val="00715C6F"/>
    <w:rsid w:val="00715CC7"/>
    <w:rsid w:val="0071620F"/>
    <w:rsid w:val="007165AA"/>
    <w:rsid w:val="007165D5"/>
    <w:rsid w:val="0071694C"/>
    <w:rsid w:val="00716EDD"/>
    <w:rsid w:val="00717218"/>
    <w:rsid w:val="00717510"/>
    <w:rsid w:val="00717561"/>
    <w:rsid w:val="007177C3"/>
    <w:rsid w:val="00717893"/>
    <w:rsid w:val="007202BD"/>
    <w:rsid w:val="00720739"/>
    <w:rsid w:val="0072089D"/>
    <w:rsid w:val="00720D3C"/>
    <w:rsid w:val="0072115C"/>
    <w:rsid w:val="00721315"/>
    <w:rsid w:val="00721A63"/>
    <w:rsid w:val="00721CE0"/>
    <w:rsid w:val="00721EE2"/>
    <w:rsid w:val="0072279F"/>
    <w:rsid w:val="00722BF1"/>
    <w:rsid w:val="00723050"/>
    <w:rsid w:val="00723250"/>
    <w:rsid w:val="0072370B"/>
    <w:rsid w:val="0072372E"/>
    <w:rsid w:val="00723912"/>
    <w:rsid w:val="00723A54"/>
    <w:rsid w:val="00723CB2"/>
    <w:rsid w:val="007240C2"/>
    <w:rsid w:val="00724413"/>
    <w:rsid w:val="007247D8"/>
    <w:rsid w:val="00724A13"/>
    <w:rsid w:val="00724A68"/>
    <w:rsid w:val="0072521D"/>
    <w:rsid w:val="007252B4"/>
    <w:rsid w:val="007253A2"/>
    <w:rsid w:val="00725A75"/>
    <w:rsid w:val="00725DEB"/>
    <w:rsid w:val="00725DF0"/>
    <w:rsid w:val="007260AD"/>
    <w:rsid w:val="007261C8"/>
    <w:rsid w:val="00726770"/>
    <w:rsid w:val="007269B8"/>
    <w:rsid w:val="00726B8C"/>
    <w:rsid w:val="00726E83"/>
    <w:rsid w:val="00727050"/>
    <w:rsid w:val="00727453"/>
    <w:rsid w:val="007276AC"/>
    <w:rsid w:val="00727D4C"/>
    <w:rsid w:val="00727E3F"/>
    <w:rsid w:val="007301EC"/>
    <w:rsid w:val="00730388"/>
    <w:rsid w:val="00730565"/>
    <w:rsid w:val="00730588"/>
    <w:rsid w:val="00730F28"/>
    <w:rsid w:val="007312E0"/>
    <w:rsid w:val="00731302"/>
    <w:rsid w:val="007316A9"/>
    <w:rsid w:val="00731A7E"/>
    <w:rsid w:val="00731AF5"/>
    <w:rsid w:val="00731B9C"/>
    <w:rsid w:val="00731E06"/>
    <w:rsid w:val="00731F17"/>
    <w:rsid w:val="0073200F"/>
    <w:rsid w:val="00732B54"/>
    <w:rsid w:val="00732C3E"/>
    <w:rsid w:val="00733163"/>
    <w:rsid w:val="0073350C"/>
    <w:rsid w:val="007337CF"/>
    <w:rsid w:val="00733B9F"/>
    <w:rsid w:val="00733DF7"/>
    <w:rsid w:val="00733E34"/>
    <w:rsid w:val="00733ED2"/>
    <w:rsid w:val="0073435C"/>
    <w:rsid w:val="00734723"/>
    <w:rsid w:val="007348D1"/>
    <w:rsid w:val="007348D7"/>
    <w:rsid w:val="00734A30"/>
    <w:rsid w:val="00734C1A"/>
    <w:rsid w:val="00734D88"/>
    <w:rsid w:val="00734E09"/>
    <w:rsid w:val="007350D8"/>
    <w:rsid w:val="007351EB"/>
    <w:rsid w:val="00735396"/>
    <w:rsid w:val="0073596D"/>
    <w:rsid w:val="00735AEC"/>
    <w:rsid w:val="00735E02"/>
    <w:rsid w:val="00735F47"/>
    <w:rsid w:val="0073635B"/>
    <w:rsid w:val="007363AD"/>
    <w:rsid w:val="00736597"/>
    <w:rsid w:val="00736A57"/>
    <w:rsid w:val="00736C38"/>
    <w:rsid w:val="00736D0A"/>
    <w:rsid w:val="00736F7B"/>
    <w:rsid w:val="00737093"/>
    <w:rsid w:val="0073741F"/>
    <w:rsid w:val="00737451"/>
    <w:rsid w:val="007378D7"/>
    <w:rsid w:val="00737A9E"/>
    <w:rsid w:val="00737BFC"/>
    <w:rsid w:val="00737F47"/>
    <w:rsid w:val="00740379"/>
    <w:rsid w:val="0074039B"/>
    <w:rsid w:val="007405BF"/>
    <w:rsid w:val="00740915"/>
    <w:rsid w:val="0074097D"/>
    <w:rsid w:val="00740B03"/>
    <w:rsid w:val="00741537"/>
    <w:rsid w:val="00741760"/>
    <w:rsid w:val="00741ABE"/>
    <w:rsid w:val="00741B88"/>
    <w:rsid w:val="00741DA1"/>
    <w:rsid w:val="00742B2C"/>
    <w:rsid w:val="00742BA2"/>
    <w:rsid w:val="00742D56"/>
    <w:rsid w:val="00743328"/>
    <w:rsid w:val="007433AD"/>
    <w:rsid w:val="0074359B"/>
    <w:rsid w:val="00743693"/>
    <w:rsid w:val="007436EC"/>
    <w:rsid w:val="007438CF"/>
    <w:rsid w:val="00743EE1"/>
    <w:rsid w:val="00744130"/>
    <w:rsid w:val="007442DD"/>
    <w:rsid w:val="007442FB"/>
    <w:rsid w:val="00744395"/>
    <w:rsid w:val="00744462"/>
    <w:rsid w:val="007453B8"/>
    <w:rsid w:val="00745519"/>
    <w:rsid w:val="00745B34"/>
    <w:rsid w:val="007468A6"/>
    <w:rsid w:val="00746C95"/>
    <w:rsid w:val="00746EEB"/>
    <w:rsid w:val="00746F4C"/>
    <w:rsid w:val="007470A1"/>
    <w:rsid w:val="007472E9"/>
    <w:rsid w:val="00747489"/>
    <w:rsid w:val="00747608"/>
    <w:rsid w:val="00747832"/>
    <w:rsid w:val="00747A90"/>
    <w:rsid w:val="00747B97"/>
    <w:rsid w:val="00750165"/>
    <w:rsid w:val="00750426"/>
    <w:rsid w:val="0075087E"/>
    <w:rsid w:val="00750AF0"/>
    <w:rsid w:val="00751584"/>
    <w:rsid w:val="007517B0"/>
    <w:rsid w:val="00751838"/>
    <w:rsid w:val="00751A6B"/>
    <w:rsid w:val="00751ABA"/>
    <w:rsid w:val="00752079"/>
    <w:rsid w:val="007521B9"/>
    <w:rsid w:val="00752208"/>
    <w:rsid w:val="0075249E"/>
    <w:rsid w:val="007524E8"/>
    <w:rsid w:val="00752762"/>
    <w:rsid w:val="00752AA1"/>
    <w:rsid w:val="00752AF8"/>
    <w:rsid w:val="00752FD3"/>
    <w:rsid w:val="00753224"/>
    <w:rsid w:val="007538D7"/>
    <w:rsid w:val="00753BC4"/>
    <w:rsid w:val="00753D56"/>
    <w:rsid w:val="0075419E"/>
    <w:rsid w:val="00754254"/>
    <w:rsid w:val="00754B23"/>
    <w:rsid w:val="00754E21"/>
    <w:rsid w:val="00754EB6"/>
    <w:rsid w:val="0075587D"/>
    <w:rsid w:val="007559BA"/>
    <w:rsid w:val="00755BF3"/>
    <w:rsid w:val="00755DA0"/>
    <w:rsid w:val="00755F51"/>
    <w:rsid w:val="00755F80"/>
    <w:rsid w:val="00755F92"/>
    <w:rsid w:val="00755FBF"/>
    <w:rsid w:val="00755FE9"/>
    <w:rsid w:val="007566D8"/>
    <w:rsid w:val="00756A89"/>
    <w:rsid w:val="00756AFF"/>
    <w:rsid w:val="00756DE2"/>
    <w:rsid w:val="00756DFE"/>
    <w:rsid w:val="00756F6A"/>
    <w:rsid w:val="00757074"/>
    <w:rsid w:val="007572A0"/>
    <w:rsid w:val="00757344"/>
    <w:rsid w:val="00757A18"/>
    <w:rsid w:val="00760015"/>
    <w:rsid w:val="0076046B"/>
    <w:rsid w:val="007604DC"/>
    <w:rsid w:val="0076073A"/>
    <w:rsid w:val="007608EF"/>
    <w:rsid w:val="00760958"/>
    <w:rsid w:val="00760A05"/>
    <w:rsid w:val="00760D3F"/>
    <w:rsid w:val="00760F40"/>
    <w:rsid w:val="00760FA2"/>
    <w:rsid w:val="0076113E"/>
    <w:rsid w:val="00761174"/>
    <w:rsid w:val="00761555"/>
    <w:rsid w:val="007615A3"/>
    <w:rsid w:val="00761649"/>
    <w:rsid w:val="007616FA"/>
    <w:rsid w:val="00761986"/>
    <w:rsid w:val="00761A3E"/>
    <w:rsid w:val="00761B14"/>
    <w:rsid w:val="00761D62"/>
    <w:rsid w:val="00762056"/>
    <w:rsid w:val="00762101"/>
    <w:rsid w:val="007628C6"/>
    <w:rsid w:val="00762C6E"/>
    <w:rsid w:val="00762E0C"/>
    <w:rsid w:val="007632DA"/>
    <w:rsid w:val="00763EB1"/>
    <w:rsid w:val="00763F71"/>
    <w:rsid w:val="00764126"/>
    <w:rsid w:val="007648C0"/>
    <w:rsid w:val="00764C0F"/>
    <w:rsid w:val="00764CDF"/>
    <w:rsid w:val="00764D2E"/>
    <w:rsid w:val="00764E1F"/>
    <w:rsid w:val="00764E3D"/>
    <w:rsid w:val="007651DD"/>
    <w:rsid w:val="00765A11"/>
    <w:rsid w:val="00765AE3"/>
    <w:rsid w:val="00765B44"/>
    <w:rsid w:val="00765C9A"/>
    <w:rsid w:val="0076613B"/>
    <w:rsid w:val="0076616F"/>
    <w:rsid w:val="007662C0"/>
    <w:rsid w:val="007664AB"/>
    <w:rsid w:val="00766A71"/>
    <w:rsid w:val="00766B0D"/>
    <w:rsid w:val="00766D83"/>
    <w:rsid w:val="00766EF0"/>
    <w:rsid w:val="00766F1D"/>
    <w:rsid w:val="0076711D"/>
    <w:rsid w:val="00767543"/>
    <w:rsid w:val="007676DB"/>
    <w:rsid w:val="00767B01"/>
    <w:rsid w:val="00767B6B"/>
    <w:rsid w:val="00767CF5"/>
    <w:rsid w:val="00767FFC"/>
    <w:rsid w:val="007700DA"/>
    <w:rsid w:val="007702CD"/>
    <w:rsid w:val="007702E0"/>
    <w:rsid w:val="0077060B"/>
    <w:rsid w:val="007708ED"/>
    <w:rsid w:val="007709E9"/>
    <w:rsid w:val="00770A2E"/>
    <w:rsid w:val="00770E78"/>
    <w:rsid w:val="00770F27"/>
    <w:rsid w:val="00771605"/>
    <w:rsid w:val="00771B8F"/>
    <w:rsid w:val="00772158"/>
    <w:rsid w:val="00772622"/>
    <w:rsid w:val="00772686"/>
    <w:rsid w:val="007729D1"/>
    <w:rsid w:val="00773772"/>
    <w:rsid w:val="007738F6"/>
    <w:rsid w:val="00773B04"/>
    <w:rsid w:val="00773C73"/>
    <w:rsid w:val="00773E52"/>
    <w:rsid w:val="00773E82"/>
    <w:rsid w:val="0077428E"/>
    <w:rsid w:val="007744B1"/>
    <w:rsid w:val="00774C73"/>
    <w:rsid w:val="00774FE3"/>
    <w:rsid w:val="007752DA"/>
    <w:rsid w:val="007752DF"/>
    <w:rsid w:val="007753B8"/>
    <w:rsid w:val="007753EC"/>
    <w:rsid w:val="00775769"/>
    <w:rsid w:val="00775951"/>
    <w:rsid w:val="00776406"/>
    <w:rsid w:val="007764BA"/>
    <w:rsid w:val="00776652"/>
    <w:rsid w:val="0077673E"/>
    <w:rsid w:val="00776982"/>
    <w:rsid w:val="00777A4C"/>
    <w:rsid w:val="00777ABF"/>
    <w:rsid w:val="00777DF3"/>
    <w:rsid w:val="00777F50"/>
    <w:rsid w:val="007800F7"/>
    <w:rsid w:val="00780608"/>
    <w:rsid w:val="00781015"/>
    <w:rsid w:val="007813A0"/>
    <w:rsid w:val="0078159F"/>
    <w:rsid w:val="007817CC"/>
    <w:rsid w:val="00781FB8"/>
    <w:rsid w:val="0078243A"/>
    <w:rsid w:val="007828CE"/>
    <w:rsid w:val="00782901"/>
    <w:rsid w:val="00782B6D"/>
    <w:rsid w:val="00782C1A"/>
    <w:rsid w:val="00782DFD"/>
    <w:rsid w:val="00782E6C"/>
    <w:rsid w:val="00783039"/>
    <w:rsid w:val="007831DE"/>
    <w:rsid w:val="00783449"/>
    <w:rsid w:val="00783926"/>
    <w:rsid w:val="007839F2"/>
    <w:rsid w:val="00783D5D"/>
    <w:rsid w:val="00784141"/>
    <w:rsid w:val="007845E7"/>
    <w:rsid w:val="007847CB"/>
    <w:rsid w:val="00784A4D"/>
    <w:rsid w:val="0078517B"/>
    <w:rsid w:val="007852F0"/>
    <w:rsid w:val="00785533"/>
    <w:rsid w:val="00785EDC"/>
    <w:rsid w:val="00785FC1"/>
    <w:rsid w:val="00787054"/>
    <w:rsid w:val="0078739F"/>
    <w:rsid w:val="007901DF"/>
    <w:rsid w:val="0079047A"/>
    <w:rsid w:val="007905A3"/>
    <w:rsid w:val="00790874"/>
    <w:rsid w:val="007909E6"/>
    <w:rsid w:val="00790A2F"/>
    <w:rsid w:val="00790CE1"/>
    <w:rsid w:val="00791207"/>
    <w:rsid w:val="0079125C"/>
    <w:rsid w:val="00791694"/>
    <w:rsid w:val="00791EF0"/>
    <w:rsid w:val="007921DE"/>
    <w:rsid w:val="0079278A"/>
    <w:rsid w:val="00792EB4"/>
    <w:rsid w:val="0079309B"/>
    <w:rsid w:val="0079321D"/>
    <w:rsid w:val="007933D0"/>
    <w:rsid w:val="00793CE4"/>
    <w:rsid w:val="0079453A"/>
    <w:rsid w:val="007946B1"/>
    <w:rsid w:val="00794A50"/>
    <w:rsid w:val="00794DFC"/>
    <w:rsid w:val="007954C1"/>
    <w:rsid w:val="00795F75"/>
    <w:rsid w:val="007962E8"/>
    <w:rsid w:val="007964F1"/>
    <w:rsid w:val="00796675"/>
    <w:rsid w:val="007966E3"/>
    <w:rsid w:val="00796A9E"/>
    <w:rsid w:val="00796AE0"/>
    <w:rsid w:val="00796F05"/>
    <w:rsid w:val="0079701A"/>
    <w:rsid w:val="007977C5"/>
    <w:rsid w:val="00797EB5"/>
    <w:rsid w:val="007A0305"/>
    <w:rsid w:val="007A06FB"/>
    <w:rsid w:val="007A072C"/>
    <w:rsid w:val="007A079C"/>
    <w:rsid w:val="007A27E0"/>
    <w:rsid w:val="007A2801"/>
    <w:rsid w:val="007A2AEC"/>
    <w:rsid w:val="007A2CD2"/>
    <w:rsid w:val="007A30DE"/>
    <w:rsid w:val="007A32E2"/>
    <w:rsid w:val="007A34EC"/>
    <w:rsid w:val="007A3A72"/>
    <w:rsid w:val="007A3BAE"/>
    <w:rsid w:val="007A3EDC"/>
    <w:rsid w:val="007A3FF2"/>
    <w:rsid w:val="007A46F8"/>
    <w:rsid w:val="007A49EA"/>
    <w:rsid w:val="007A4BAC"/>
    <w:rsid w:val="007A4C0D"/>
    <w:rsid w:val="007A4C35"/>
    <w:rsid w:val="007A4F13"/>
    <w:rsid w:val="007A4F6C"/>
    <w:rsid w:val="007A55B0"/>
    <w:rsid w:val="007A565B"/>
    <w:rsid w:val="007A56AF"/>
    <w:rsid w:val="007A6041"/>
    <w:rsid w:val="007A6096"/>
    <w:rsid w:val="007A6106"/>
    <w:rsid w:val="007A6261"/>
    <w:rsid w:val="007A6517"/>
    <w:rsid w:val="007A6730"/>
    <w:rsid w:val="007A719F"/>
    <w:rsid w:val="007A748D"/>
    <w:rsid w:val="007A7565"/>
    <w:rsid w:val="007A7EA3"/>
    <w:rsid w:val="007B03E4"/>
    <w:rsid w:val="007B074E"/>
    <w:rsid w:val="007B0FE1"/>
    <w:rsid w:val="007B13F9"/>
    <w:rsid w:val="007B1EAC"/>
    <w:rsid w:val="007B22D4"/>
    <w:rsid w:val="007B2843"/>
    <w:rsid w:val="007B2917"/>
    <w:rsid w:val="007B2D69"/>
    <w:rsid w:val="007B35A6"/>
    <w:rsid w:val="007B381B"/>
    <w:rsid w:val="007B40B6"/>
    <w:rsid w:val="007B441D"/>
    <w:rsid w:val="007B472E"/>
    <w:rsid w:val="007B4A0C"/>
    <w:rsid w:val="007B4EEB"/>
    <w:rsid w:val="007B4FB1"/>
    <w:rsid w:val="007B5921"/>
    <w:rsid w:val="007B59B7"/>
    <w:rsid w:val="007B5A85"/>
    <w:rsid w:val="007B5BD0"/>
    <w:rsid w:val="007B5EB6"/>
    <w:rsid w:val="007B6161"/>
    <w:rsid w:val="007B6238"/>
    <w:rsid w:val="007B628F"/>
    <w:rsid w:val="007B647B"/>
    <w:rsid w:val="007B6F6D"/>
    <w:rsid w:val="007B76FE"/>
    <w:rsid w:val="007B7BCB"/>
    <w:rsid w:val="007B7BEA"/>
    <w:rsid w:val="007B7D65"/>
    <w:rsid w:val="007B7F55"/>
    <w:rsid w:val="007C02CD"/>
    <w:rsid w:val="007C0395"/>
    <w:rsid w:val="007C067B"/>
    <w:rsid w:val="007C0CDE"/>
    <w:rsid w:val="007C0E38"/>
    <w:rsid w:val="007C10BF"/>
    <w:rsid w:val="007C12AB"/>
    <w:rsid w:val="007C1526"/>
    <w:rsid w:val="007C15A6"/>
    <w:rsid w:val="007C1883"/>
    <w:rsid w:val="007C1D90"/>
    <w:rsid w:val="007C204C"/>
    <w:rsid w:val="007C2744"/>
    <w:rsid w:val="007C2954"/>
    <w:rsid w:val="007C2A78"/>
    <w:rsid w:val="007C2B2A"/>
    <w:rsid w:val="007C309C"/>
    <w:rsid w:val="007C3180"/>
    <w:rsid w:val="007C3191"/>
    <w:rsid w:val="007C3228"/>
    <w:rsid w:val="007C3520"/>
    <w:rsid w:val="007C361D"/>
    <w:rsid w:val="007C3638"/>
    <w:rsid w:val="007C3A05"/>
    <w:rsid w:val="007C431B"/>
    <w:rsid w:val="007C4AEF"/>
    <w:rsid w:val="007C4D35"/>
    <w:rsid w:val="007C4DDD"/>
    <w:rsid w:val="007C5002"/>
    <w:rsid w:val="007C54A0"/>
    <w:rsid w:val="007C55F2"/>
    <w:rsid w:val="007C5BCE"/>
    <w:rsid w:val="007C5C0D"/>
    <w:rsid w:val="007C5FDB"/>
    <w:rsid w:val="007C63DE"/>
    <w:rsid w:val="007C6567"/>
    <w:rsid w:val="007C6DC3"/>
    <w:rsid w:val="007C7280"/>
    <w:rsid w:val="007C73F7"/>
    <w:rsid w:val="007C7420"/>
    <w:rsid w:val="007C76E3"/>
    <w:rsid w:val="007D0046"/>
    <w:rsid w:val="007D039D"/>
    <w:rsid w:val="007D03F6"/>
    <w:rsid w:val="007D04EF"/>
    <w:rsid w:val="007D157C"/>
    <w:rsid w:val="007D1886"/>
    <w:rsid w:val="007D192C"/>
    <w:rsid w:val="007D1B72"/>
    <w:rsid w:val="007D1CD2"/>
    <w:rsid w:val="007D2653"/>
    <w:rsid w:val="007D2B29"/>
    <w:rsid w:val="007D2CAB"/>
    <w:rsid w:val="007D356D"/>
    <w:rsid w:val="007D3AF7"/>
    <w:rsid w:val="007D40D4"/>
    <w:rsid w:val="007D40E9"/>
    <w:rsid w:val="007D4405"/>
    <w:rsid w:val="007D487C"/>
    <w:rsid w:val="007D4F9E"/>
    <w:rsid w:val="007D5370"/>
    <w:rsid w:val="007D5452"/>
    <w:rsid w:val="007D5EF5"/>
    <w:rsid w:val="007D6855"/>
    <w:rsid w:val="007D7014"/>
    <w:rsid w:val="007D706A"/>
    <w:rsid w:val="007D7193"/>
    <w:rsid w:val="007D71FC"/>
    <w:rsid w:val="007D762D"/>
    <w:rsid w:val="007E01AA"/>
    <w:rsid w:val="007E01AE"/>
    <w:rsid w:val="007E055A"/>
    <w:rsid w:val="007E061F"/>
    <w:rsid w:val="007E0850"/>
    <w:rsid w:val="007E0882"/>
    <w:rsid w:val="007E09DF"/>
    <w:rsid w:val="007E0B4A"/>
    <w:rsid w:val="007E0D98"/>
    <w:rsid w:val="007E126C"/>
    <w:rsid w:val="007E134E"/>
    <w:rsid w:val="007E1730"/>
    <w:rsid w:val="007E19A2"/>
    <w:rsid w:val="007E1F06"/>
    <w:rsid w:val="007E1F58"/>
    <w:rsid w:val="007E2116"/>
    <w:rsid w:val="007E21FF"/>
    <w:rsid w:val="007E2A15"/>
    <w:rsid w:val="007E2AB2"/>
    <w:rsid w:val="007E32E0"/>
    <w:rsid w:val="007E35EA"/>
    <w:rsid w:val="007E3A3F"/>
    <w:rsid w:val="007E3E3D"/>
    <w:rsid w:val="007E4076"/>
    <w:rsid w:val="007E424C"/>
    <w:rsid w:val="007E46D3"/>
    <w:rsid w:val="007E4880"/>
    <w:rsid w:val="007E4906"/>
    <w:rsid w:val="007E4B68"/>
    <w:rsid w:val="007E4CE8"/>
    <w:rsid w:val="007E4DBA"/>
    <w:rsid w:val="007E52C7"/>
    <w:rsid w:val="007E52D6"/>
    <w:rsid w:val="007E5332"/>
    <w:rsid w:val="007E5AB6"/>
    <w:rsid w:val="007E5D73"/>
    <w:rsid w:val="007E6373"/>
    <w:rsid w:val="007E684F"/>
    <w:rsid w:val="007E6B43"/>
    <w:rsid w:val="007E6C7B"/>
    <w:rsid w:val="007E6E62"/>
    <w:rsid w:val="007E7332"/>
    <w:rsid w:val="007E76BE"/>
    <w:rsid w:val="007E7927"/>
    <w:rsid w:val="007E7C94"/>
    <w:rsid w:val="007F0815"/>
    <w:rsid w:val="007F0821"/>
    <w:rsid w:val="007F0C6F"/>
    <w:rsid w:val="007F10C6"/>
    <w:rsid w:val="007F13AD"/>
    <w:rsid w:val="007F1A37"/>
    <w:rsid w:val="007F1D3B"/>
    <w:rsid w:val="007F1E81"/>
    <w:rsid w:val="007F1EFF"/>
    <w:rsid w:val="007F1F0D"/>
    <w:rsid w:val="007F26E4"/>
    <w:rsid w:val="007F2C82"/>
    <w:rsid w:val="007F2F1A"/>
    <w:rsid w:val="007F2FC7"/>
    <w:rsid w:val="007F39EE"/>
    <w:rsid w:val="007F3E82"/>
    <w:rsid w:val="007F42FA"/>
    <w:rsid w:val="007F44BC"/>
    <w:rsid w:val="007F4AFD"/>
    <w:rsid w:val="007F4BB5"/>
    <w:rsid w:val="007F4CC9"/>
    <w:rsid w:val="007F4D6A"/>
    <w:rsid w:val="007F4ECF"/>
    <w:rsid w:val="007F4F6F"/>
    <w:rsid w:val="007F58F9"/>
    <w:rsid w:val="007F5A65"/>
    <w:rsid w:val="007F5B50"/>
    <w:rsid w:val="007F607F"/>
    <w:rsid w:val="007F61C0"/>
    <w:rsid w:val="007F6639"/>
    <w:rsid w:val="007F6A42"/>
    <w:rsid w:val="007F6B8C"/>
    <w:rsid w:val="007F6BC7"/>
    <w:rsid w:val="007F6D2A"/>
    <w:rsid w:val="007F726F"/>
    <w:rsid w:val="007F7BD3"/>
    <w:rsid w:val="008000C1"/>
    <w:rsid w:val="0080039D"/>
    <w:rsid w:val="00800758"/>
    <w:rsid w:val="0080088B"/>
    <w:rsid w:val="008008D1"/>
    <w:rsid w:val="00801827"/>
    <w:rsid w:val="0080195C"/>
    <w:rsid w:val="00801C12"/>
    <w:rsid w:val="00801E5B"/>
    <w:rsid w:val="008020F6"/>
    <w:rsid w:val="00802324"/>
    <w:rsid w:val="0080238D"/>
    <w:rsid w:val="008023A6"/>
    <w:rsid w:val="008025BC"/>
    <w:rsid w:val="008026E6"/>
    <w:rsid w:val="00802755"/>
    <w:rsid w:val="0080275E"/>
    <w:rsid w:val="00802C07"/>
    <w:rsid w:val="00802CF5"/>
    <w:rsid w:val="00802E41"/>
    <w:rsid w:val="00802F72"/>
    <w:rsid w:val="008032E5"/>
    <w:rsid w:val="008032F6"/>
    <w:rsid w:val="008034F1"/>
    <w:rsid w:val="00803EE3"/>
    <w:rsid w:val="0080440B"/>
    <w:rsid w:val="0080471D"/>
    <w:rsid w:val="0080497D"/>
    <w:rsid w:val="00804983"/>
    <w:rsid w:val="008049A6"/>
    <w:rsid w:val="00804B99"/>
    <w:rsid w:val="00804C8D"/>
    <w:rsid w:val="00804D61"/>
    <w:rsid w:val="00804E73"/>
    <w:rsid w:val="00805A6D"/>
    <w:rsid w:val="00805BB8"/>
    <w:rsid w:val="00805EFF"/>
    <w:rsid w:val="00805F52"/>
    <w:rsid w:val="0080604B"/>
    <w:rsid w:val="0080658E"/>
    <w:rsid w:val="00806871"/>
    <w:rsid w:val="008073CB"/>
    <w:rsid w:val="008075AD"/>
    <w:rsid w:val="0080767F"/>
    <w:rsid w:val="00807863"/>
    <w:rsid w:val="00807B4A"/>
    <w:rsid w:val="00810087"/>
    <w:rsid w:val="008101F1"/>
    <w:rsid w:val="0081025E"/>
    <w:rsid w:val="008107C0"/>
    <w:rsid w:val="00811346"/>
    <w:rsid w:val="008114E3"/>
    <w:rsid w:val="0081150E"/>
    <w:rsid w:val="00811C33"/>
    <w:rsid w:val="008121A8"/>
    <w:rsid w:val="00812844"/>
    <w:rsid w:val="00812E9E"/>
    <w:rsid w:val="00812F93"/>
    <w:rsid w:val="00812FE1"/>
    <w:rsid w:val="0081301E"/>
    <w:rsid w:val="008131A0"/>
    <w:rsid w:val="008136F3"/>
    <w:rsid w:val="00813BEE"/>
    <w:rsid w:val="00814153"/>
    <w:rsid w:val="008142AB"/>
    <w:rsid w:val="008143C6"/>
    <w:rsid w:val="008143F5"/>
    <w:rsid w:val="00814537"/>
    <w:rsid w:val="00814662"/>
    <w:rsid w:val="00814D79"/>
    <w:rsid w:val="0081503F"/>
    <w:rsid w:val="00815598"/>
    <w:rsid w:val="00815F7C"/>
    <w:rsid w:val="008162D7"/>
    <w:rsid w:val="00816369"/>
    <w:rsid w:val="00816648"/>
    <w:rsid w:val="00817A37"/>
    <w:rsid w:val="00817D0D"/>
    <w:rsid w:val="00817D52"/>
    <w:rsid w:val="00820031"/>
    <w:rsid w:val="008208C4"/>
    <w:rsid w:val="00820995"/>
    <w:rsid w:val="00820B2A"/>
    <w:rsid w:val="00820FD5"/>
    <w:rsid w:val="00821101"/>
    <w:rsid w:val="0082132A"/>
    <w:rsid w:val="008213F5"/>
    <w:rsid w:val="00821410"/>
    <w:rsid w:val="00821579"/>
    <w:rsid w:val="00821EA3"/>
    <w:rsid w:val="00821ED2"/>
    <w:rsid w:val="00821EE8"/>
    <w:rsid w:val="00821F28"/>
    <w:rsid w:val="0082225D"/>
    <w:rsid w:val="0082251C"/>
    <w:rsid w:val="00822617"/>
    <w:rsid w:val="008227D5"/>
    <w:rsid w:val="00822C3F"/>
    <w:rsid w:val="00822DD2"/>
    <w:rsid w:val="00822EDF"/>
    <w:rsid w:val="00823997"/>
    <w:rsid w:val="00823BF5"/>
    <w:rsid w:val="0082407E"/>
    <w:rsid w:val="0082408C"/>
    <w:rsid w:val="008243CA"/>
    <w:rsid w:val="008245CF"/>
    <w:rsid w:val="00824940"/>
    <w:rsid w:val="008249DA"/>
    <w:rsid w:val="00824B1E"/>
    <w:rsid w:val="00824E3A"/>
    <w:rsid w:val="0082507A"/>
    <w:rsid w:val="0082519B"/>
    <w:rsid w:val="008256A1"/>
    <w:rsid w:val="00825819"/>
    <w:rsid w:val="00825BA3"/>
    <w:rsid w:val="0082620D"/>
    <w:rsid w:val="0082629B"/>
    <w:rsid w:val="0082656F"/>
    <w:rsid w:val="008267D7"/>
    <w:rsid w:val="008270E5"/>
    <w:rsid w:val="008271DD"/>
    <w:rsid w:val="008278C6"/>
    <w:rsid w:val="0082FCC3"/>
    <w:rsid w:val="00830057"/>
    <w:rsid w:val="00830429"/>
    <w:rsid w:val="00830537"/>
    <w:rsid w:val="00830922"/>
    <w:rsid w:val="00830BCF"/>
    <w:rsid w:val="008313F9"/>
    <w:rsid w:val="00831675"/>
    <w:rsid w:val="00831929"/>
    <w:rsid w:val="00831AA0"/>
    <w:rsid w:val="00831FA1"/>
    <w:rsid w:val="008327B4"/>
    <w:rsid w:val="00832B43"/>
    <w:rsid w:val="00832BD5"/>
    <w:rsid w:val="00833833"/>
    <w:rsid w:val="00833CF0"/>
    <w:rsid w:val="00833F91"/>
    <w:rsid w:val="008348E6"/>
    <w:rsid w:val="00834B90"/>
    <w:rsid w:val="00834C67"/>
    <w:rsid w:val="00834E5C"/>
    <w:rsid w:val="00835221"/>
    <w:rsid w:val="00835521"/>
    <w:rsid w:val="00835859"/>
    <w:rsid w:val="00835916"/>
    <w:rsid w:val="0083598C"/>
    <w:rsid w:val="00835DA5"/>
    <w:rsid w:val="00835E9D"/>
    <w:rsid w:val="00836E32"/>
    <w:rsid w:val="00837012"/>
    <w:rsid w:val="0083735B"/>
    <w:rsid w:val="0083749F"/>
    <w:rsid w:val="0083757F"/>
    <w:rsid w:val="00837634"/>
    <w:rsid w:val="0083785A"/>
    <w:rsid w:val="0083788B"/>
    <w:rsid w:val="008379B7"/>
    <w:rsid w:val="00837D97"/>
    <w:rsid w:val="00840742"/>
    <w:rsid w:val="00840840"/>
    <w:rsid w:val="00840867"/>
    <w:rsid w:val="008408F2"/>
    <w:rsid w:val="0084098A"/>
    <w:rsid w:val="00840B4B"/>
    <w:rsid w:val="00840D02"/>
    <w:rsid w:val="00840FA1"/>
    <w:rsid w:val="0084178B"/>
    <w:rsid w:val="00841ADE"/>
    <w:rsid w:val="0084215A"/>
    <w:rsid w:val="008421E4"/>
    <w:rsid w:val="0084236D"/>
    <w:rsid w:val="00842405"/>
    <w:rsid w:val="00842522"/>
    <w:rsid w:val="0084254D"/>
    <w:rsid w:val="008426E3"/>
    <w:rsid w:val="00842813"/>
    <w:rsid w:val="00842C4F"/>
    <w:rsid w:val="00843189"/>
    <w:rsid w:val="00843204"/>
    <w:rsid w:val="008434DE"/>
    <w:rsid w:val="00843597"/>
    <w:rsid w:val="008435FD"/>
    <w:rsid w:val="00843692"/>
    <w:rsid w:val="008437C9"/>
    <w:rsid w:val="0084392A"/>
    <w:rsid w:val="00843B18"/>
    <w:rsid w:val="00843E88"/>
    <w:rsid w:val="00843EF3"/>
    <w:rsid w:val="00843F81"/>
    <w:rsid w:val="00844043"/>
    <w:rsid w:val="008442A2"/>
    <w:rsid w:val="0084432D"/>
    <w:rsid w:val="008459D1"/>
    <w:rsid w:val="00845D30"/>
    <w:rsid w:val="00845F5B"/>
    <w:rsid w:val="00846148"/>
    <w:rsid w:val="008461D6"/>
    <w:rsid w:val="008466C8"/>
    <w:rsid w:val="00846A53"/>
    <w:rsid w:val="00846E6E"/>
    <w:rsid w:val="00847485"/>
    <w:rsid w:val="008475CC"/>
    <w:rsid w:val="00847EA1"/>
    <w:rsid w:val="00847FEA"/>
    <w:rsid w:val="00850165"/>
    <w:rsid w:val="008503EC"/>
    <w:rsid w:val="00850743"/>
    <w:rsid w:val="00850C27"/>
    <w:rsid w:val="00850DA2"/>
    <w:rsid w:val="00850E6C"/>
    <w:rsid w:val="00851141"/>
    <w:rsid w:val="008518C5"/>
    <w:rsid w:val="00851B35"/>
    <w:rsid w:val="00851BBA"/>
    <w:rsid w:val="00851CF7"/>
    <w:rsid w:val="00851EE1"/>
    <w:rsid w:val="00851F0E"/>
    <w:rsid w:val="00851FB3"/>
    <w:rsid w:val="00852A10"/>
    <w:rsid w:val="00852ADA"/>
    <w:rsid w:val="00853733"/>
    <w:rsid w:val="00853DC0"/>
    <w:rsid w:val="00854391"/>
    <w:rsid w:val="0085446C"/>
    <w:rsid w:val="00854525"/>
    <w:rsid w:val="0085479D"/>
    <w:rsid w:val="00854AE0"/>
    <w:rsid w:val="00854C24"/>
    <w:rsid w:val="00854DA3"/>
    <w:rsid w:val="00855189"/>
    <w:rsid w:val="00855347"/>
    <w:rsid w:val="008556C1"/>
    <w:rsid w:val="0085589A"/>
    <w:rsid w:val="00855DC8"/>
    <w:rsid w:val="008562F1"/>
    <w:rsid w:val="00856446"/>
    <w:rsid w:val="008565E3"/>
    <w:rsid w:val="0085666F"/>
    <w:rsid w:val="00856FB2"/>
    <w:rsid w:val="008571FE"/>
    <w:rsid w:val="0085771B"/>
    <w:rsid w:val="00857898"/>
    <w:rsid w:val="00857CBF"/>
    <w:rsid w:val="00857CD0"/>
    <w:rsid w:val="00857E40"/>
    <w:rsid w:val="00860504"/>
    <w:rsid w:val="008606D4"/>
    <w:rsid w:val="008607CB"/>
    <w:rsid w:val="00860B56"/>
    <w:rsid w:val="00860BE6"/>
    <w:rsid w:val="0086148B"/>
    <w:rsid w:val="00861549"/>
    <w:rsid w:val="008619D4"/>
    <w:rsid w:val="00861B14"/>
    <w:rsid w:val="00861FD0"/>
    <w:rsid w:val="00862251"/>
    <w:rsid w:val="008624C6"/>
    <w:rsid w:val="0086256C"/>
    <w:rsid w:val="00862621"/>
    <w:rsid w:val="00862657"/>
    <w:rsid w:val="00862B57"/>
    <w:rsid w:val="00862E6C"/>
    <w:rsid w:val="00862EBB"/>
    <w:rsid w:val="00863335"/>
    <w:rsid w:val="00863656"/>
    <w:rsid w:val="0086375D"/>
    <w:rsid w:val="00863CFA"/>
    <w:rsid w:val="00863F38"/>
    <w:rsid w:val="00864018"/>
    <w:rsid w:val="0086404B"/>
    <w:rsid w:val="00864050"/>
    <w:rsid w:val="008642AD"/>
    <w:rsid w:val="0086461E"/>
    <w:rsid w:val="008647B8"/>
    <w:rsid w:val="00865336"/>
    <w:rsid w:val="00865B76"/>
    <w:rsid w:val="00865E52"/>
    <w:rsid w:val="00866151"/>
    <w:rsid w:val="0086643D"/>
    <w:rsid w:val="008665D1"/>
    <w:rsid w:val="008668B5"/>
    <w:rsid w:val="008675D7"/>
    <w:rsid w:val="00867988"/>
    <w:rsid w:val="008702C6"/>
    <w:rsid w:val="008705DD"/>
    <w:rsid w:val="00870746"/>
    <w:rsid w:val="0087088A"/>
    <w:rsid w:val="008715BF"/>
    <w:rsid w:val="008720E4"/>
    <w:rsid w:val="0087262C"/>
    <w:rsid w:val="00872B3D"/>
    <w:rsid w:val="00872B68"/>
    <w:rsid w:val="00872E55"/>
    <w:rsid w:val="00872E7E"/>
    <w:rsid w:val="0087317F"/>
    <w:rsid w:val="008732EC"/>
    <w:rsid w:val="0087354F"/>
    <w:rsid w:val="0087384E"/>
    <w:rsid w:val="00873C42"/>
    <w:rsid w:val="00874893"/>
    <w:rsid w:val="00874A38"/>
    <w:rsid w:val="00874FDD"/>
    <w:rsid w:val="00875214"/>
    <w:rsid w:val="0087527D"/>
    <w:rsid w:val="0087537B"/>
    <w:rsid w:val="0087576A"/>
    <w:rsid w:val="00875E27"/>
    <w:rsid w:val="00875FBD"/>
    <w:rsid w:val="00876059"/>
    <w:rsid w:val="00876437"/>
    <w:rsid w:val="008765CE"/>
    <w:rsid w:val="00876A53"/>
    <w:rsid w:val="00876AAA"/>
    <w:rsid w:val="00876B59"/>
    <w:rsid w:val="00876D36"/>
    <w:rsid w:val="00876D71"/>
    <w:rsid w:val="00876DCC"/>
    <w:rsid w:val="00876E07"/>
    <w:rsid w:val="00877051"/>
    <w:rsid w:val="00877110"/>
    <w:rsid w:val="008777AB"/>
    <w:rsid w:val="008778A9"/>
    <w:rsid w:val="008803EF"/>
    <w:rsid w:val="008803F4"/>
    <w:rsid w:val="008805EA"/>
    <w:rsid w:val="00880613"/>
    <w:rsid w:val="00880C9F"/>
    <w:rsid w:val="00880D17"/>
    <w:rsid w:val="008815D2"/>
    <w:rsid w:val="00881C0B"/>
    <w:rsid w:val="0088222F"/>
    <w:rsid w:val="008822F1"/>
    <w:rsid w:val="0088238B"/>
    <w:rsid w:val="00882534"/>
    <w:rsid w:val="00882D42"/>
    <w:rsid w:val="00882F07"/>
    <w:rsid w:val="00883A75"/>
    <w:rsid w:val="00883ADA"/>
    <w:rsid w:val="008841FB"/>
    <w:rsid w:val="0088453F"/>
    <w:rsid w:val="008849E8"/>
    <w:rsid w:val="00885722"/>
    <w:rsid w:val="008858EF"/>
    <w:rsid w:val="00885BD3"/>
    <w:rsid w:val="00886030"/>
    <w:rsid w:val="00886133"/>
    <w:rsid w:val="00886C89"/>
    <w:rsid w:val="00887463"/>
    <w:rsid w:val="00887563"/>
    <w:rsid w:val="008878FE"/>
    <w:rsid w:val="00887905"/>
    <w:rsid w:val="00887CB4"/>
    <w:rsid w:val="00887D11"/>
    <w:rsid w:val="008902CD"/>
    <w:rsid w:val="008904C2"/>
    <w:rsid w:val="0089058C"/>
    <w:rsid w:val="0089065D"/>
    <w:rsid w:val="0089085C"/>
    <w:rsid w:val="00890A5C"/>
    <w:rsid w:val="00890AEE"/>
    <w:rsid w:val="00890B60"/>
    <w:rsid w:val="00890C28"/>
    <w:rsid w:val="00890D47"/>
    <w:rsid w:val="00891542"/>
    <w:rsid w:val="008918B4"/>
    <w:rsid w:val="0089201B"/>
    <w:rsid w:val="008925F1"/>
    <w:rsid w:val="00892722"/>
    <w:rsid w:val="00892E60"/>
    <w:rsid w:val="00893033"/>
    <w:rsid w:val="00893173"/>
    <w:rsid w:val="00893178"/>
    <w:rsid w:val="008932DE"/>
    <w:rsid w:val="00893721"/>
    <w:rsid w:val="008939B0"/>
    <w:rsid w:val="00893AE6"/>
    <w:rsid w:val="0089426F"/>
    <w:rsid w:val="0089477D"/>
    <w:rsid w:val="008950F1"/>
    <w:rsid w:val="0089547D"/>
    <w:rsid w:val="00895911"/>
    <w:rsid w:val="008967B6"/>
    <w:rsid w:val="00896B97"/>
    <w:rsid w:val="008971BF"/>
    <w:rsid w:val="008977D6"/>
    <w:rsid w:val="00897C00"/>
    <w:rsid w:val="00897C3F"/>
    <w:rsid w:val="008A038B"/>
    <w:rsid w:val="008A03F7"/>
    <w:rsid w:val="008A0B9D"/>
    <w:rsid w:val="008A106B"/>
    <w:rsid w:val="008A142F"/>
    <w:rsid w:val="008A1DAE"/>
    <w:rsid w:val="008A1DB1"/>
    <w:rsid w:val="008A1F03"/>
    <w:rsid w:val="008A270B"/>
    <w:rsid w:val="008A2B97"/>
    <w:rsid w:val="008A3578"/>
    <w:rsid w:val="008A3C08"/>
    <w:rsid w:val="008A3C79"/>
    <w:rsid w:val="008A3DBD"/>
    <w:rsid w:val="008A3FE4"/>
    <w:rsid w:val="008A410F"/>
    <w:rsid w:val="008A41A8"/>
    <w:rsid w:val="008A41F3"/>
    <w:rsid w:val="008A44BA"/>
    <w:rsid w:val="008A4795"/>
    <w:rsid w:val="008A4ECA"/>
    <w:rsid w:val="008A507E"/>
    <w:rsid w:val="008A567A"/>
    <w:rsid w:val="008A58F0"/>
    <w:rsid w:val="008A61F1"/>
    <w:rsid w:val="008A644A"/>
    <w:rsid w:val="008A6958"/>
    <w:rsid w:val="008A6C66"/>
    <w:rsid w:val="008A723B"/>
    <w:rsid w:val="008A726C"/>
    <w:rsid w:val="008A72A2"/>
    <w:rsid w:val="008A79A9"/>
    <w:rsid w:val="008A7B74"/>
    <w:rsid w:val="008A7E35"/>
    <w:rsid w:val="008A7EA4"/>
    <w:rsid w:val="008B01F6"/>
    <w:rsid w:val="008B0202"/>
    <w:rsid w:val="008B0E11"/>
    <w:rsid w:val="008B0F9D"/>
    <w:rsid w:val="008B14B5"/>
    <w:rsid w:val="008B2151"/>
    <w:rsid w:val="008B27E1"/>
    <w:rsid w:val="008B2ACA"/>
    <w:rsid w:val="008B33F0"/>
    <w:rsid w:val="008B393C"/>
    <w:rsid w:val="008B3C81"/>
    <w:rsid w:val="008B3E29"/>
    <w:rsid w:val="008B445F"/>
    <w:rsid w:val="008B4607"/>
    <w:rsid w:val="008B4EE3"/>
    <w:rsid w:val="008B531A"/>
    <w:rsid w:val="008B554D"/>
    <w:rsid w:val="008B5BF8"/>
    <w:rsid w:val="008B5C29"/>
    <w:rsid w:val="008B67C7"/>
    <w:rsid w:val="008B6A50"/>
    <w:rsid w:val="008B6B55"/>
    <w:rsid w:val="008B6CB8"/>
    <w:rsid w:val="008B6ED4"/>
    <w:rsid w:val="008B6F01"/>
    <w:rsid w:val="008B73CB"/>
    <w:rsid w:val="008B7684"/>
    <w:rsid w:val="008B79D4"/>
    <w:rsid w:val="008B7A1E"/>
    <w:rsid w:val="008B7EF4"/>
    <w:rsid w:val="008C027D"/>
    <w:rsid w:val="008C0B14"/>
    <w:rsid w:val="008C0BE5"/>
    <w:rsid w:val="008C0D6F"/>
    <w:rsid w:val="008C0FA0"/>
    <w:rsid w:val="008C0FB2"/>
    <w:rsid w:val="008C147C"/>
    <w:rsid w:val="008C17E8"/>
    <w:rsid w:val="008C1A54"/>
    <w:rsid w:val="008C1B6D"/>
    <w:rsid w:val="008C1BA4"/>
    <w:rsid w:val="008C1BA6"/>
    <w:rsid w:val="008C1F93"/>
    <w:rsid w:val="008C1FC6"/>
    <w:rsid w:val="008C26AA"/>
    <w:rsid w:val="008C27F2"/>
    <w:rsid w:val="008C2F32"/>
    <w:rsid w:val="008C31E3"/>
    <w:rsid w:val="008C3382"/>
    <w:rsid w:val="008C3E34"/>
    <w:rsid w:val="008C3E5C"/>
    <w:rsid w:val="008C432B"/>
    <w:rsid w:val="008C488F"/>
    <w:rsid w:val="008C4EB3"/>
    <w:rsid w:val="008C4FD1"/>
    <w:rsid w:val="008C550D"/>
    <w:rsid w:val="008C564D"/>
    <w:rsid w:val="008C56A4"/>
    <w:rsid w:val="008C58F7"/>
    <w:rsid w:val="008C5A76"/>
    <w:rsid w:val="008C5BBC"/>
    <w:rsid w:val="008C5E1B"/>
    <w:rsid w:val="008C5EE2"/>
    <w:rsid w:val="008C6400"/>
    <w:rsid w:val="008C65CE"/>
    <w:rsid w:val="008C6FF0"/>
    <w:rsid w:val="008C75DD"/>
    <w:rsid w:val="008C76EC"/>
    <w:rsid w:val="008C7C35"/>
    <w:rsid w:val="008C7C56"/>
    <w:rsid w:val="008C7DB2"/>
    <w:rsid w:val="008D0272"/>
    <w:rsid w:val="008D04AE"/>
    <w:rsid w:val="008D0610"/>
    <w:rsid w:val="008D067D"/>
    <w:rsid w:val="008D06CA"/>
    <w:rsid w:val="008D0CD8"/>
    <w:rsid w:val="008D163C"/>
    <w:rsid w:val="008D1D8D"/>
    <w:rsid w:val="008D1E5F"/>
    <w:rsid w:val="008D214A"/>
    <w:rsid w:val="008D2507"/>
    <w:rsid w:val="008D2DF6"/>
    <w:rsid w:val="008D2F39"/>
    <w:rsid w:val="008D34BA"/>
    <w:rsid w:val="008D386D"/>
    <w:rsid w:val="008D38FF"/>
    <w:rsid w:val="008D3F07"/>
    <w:rsid w:val="008D3F76"/>
    <w:rsid w:val="008D446F"/>
    <w:rsid w:val="008D4DF0"/>
    <w:rsid w:val="008D557D"/>
    <w:rsid w:val="008D56A8"/>
    <w:rsid w:val="008D588B"/>
    <w:rsid w:val="008D59AC"/>
    <w:rsid w:val="008D5A08"/>
    <w:rsid w:val="008D5A1C"/>
    <w:rsid w:val="008D6677"/>
    <w:rsid w:val="008D6E5E"/>
    <w:rsid w:val="008D6E8E"/>
    <w:rsid w:val="008D70C1"/>
    <w:rsid w:val="008D7395"/>
    <w:rsid w:val="008D751D"/>
    <w:rsid w:val="008D7674"/>
    <w:rsid w:val="008D7DAF"/>
    <w:rsid w:val="008D7DCF"/>
    <w:rsid w:val="008E04D7"/>
    <w:rsid w:val="008E06B3"/>
    <w:rsid w:val="008E0862"/>
    <w:rsid w:val="008E09D6"/>
    <w:rsid w:val="008E0AE2"/>
    <w:rsid w:val="008E0D0B"/>
    <w:rsid w:val="008E1053"/>
    <w:rsid w:val="008E125B"/>
    <w:rsid w:val="008E1B1D"/>
    <w:rsid w:val="008E1B39"/>
    <w:rsid w:val="008E1D5C"/>
    <w:rsid w:val="008E2118"/>
    <w:rsid w:val="008E2141"/>
    <w:rsid w:val="008E2168"/>
    <w:rsid w:val="008E2E3C"/>
    <w:rsid w:val="008E3184"/>
    <w:rsid w:val="008E318F"/>
    <w:rsid w:val="008E37A0"/>
    <w:rsid w:val="008E37D5"/>
    <w:rsid w:val="008E3D18"/>
    <w:rsid w:val="008E3D90"/>
    <w:rsid w:val="008E3F45"/>
    <w:rsid w:val="008E46FA"/>
    <w:rsid w:val="008E52F4"/>
    <w:rsid w:val="008E5740"/>
    <w:rsid w:val="008E59C1"/>
    <w:rsid w:val="008E5C10"/>
    <w:rsid w:val="008E5DC0"/>
    <w:rsid w:val="008E6298"/>
    <w:rsid w:val="008E6927"/>
    <w:rsid w:val="008E6B54"/>
    <w:rsid w:val="008E6BE9"/>
    <w:rsid w:val="008E6D1E"/>
    <w:rsid w:val="008E714F"/>
    <w:rsid w:val="008E765C"/>
    <w:rsid w:val="008E7768"/>
    <w:rsid w:val="008E7996"/>
    <w:rsid w:val="008E79DC"/>
    <w:rsid w:val="008E7A6A"/>
    <w:rsid w:val="008F02B5"/>
    <w:rsid w:val="008F0434"/>
    <w:rsid w:val="008F061D"/>
    <w:rsid w:val="008F06BA"/>
    <w:rsid w:val="008F1794"/>
    <w:rsid w:val="008F18E4"/>
    <w:rsid w:val="008F1DAD"/>
    <w:rsid w:val="008F1EFB"/>
    <w:rsid w:val="008F2383"/>
    <w:rsid w:val="008F29EC"/>
    <w:rsid w:val="008F2CAE"/>
    <w:rsid w:val="008F2FFC"/>
    <w:rsid w:val="008F333F"/>
    <w:rsid w:val="008F33D3"/>
    <w:rsid w:val="008F369C"/>
    <w:rsid w:val="008F3CF4"/>
    <w:rsid w:val="008F3F14"/>
    <w:rsid w:val="008F3F25"/>
    <w:rsid w:val="008F3FAA"/>
    <w:rsid w:val="008F41FA"/>
    <w:rsid w:val="008F42E4"/>
    <w:rsid w:val="008F4301"/>
    <w:rsid w:val="008F4441"/>
    <w:rsid w:val="008F454A"/>
    <w:rsid w:val="008F4622"/>
    <w:rsid w:val="008F479E"/>
    <w:rsid w:val="008F5049"/>
    <w:rsid w:val="008F5556"/>
    <w:rsid w:val="008F588C"/>
    <w:rsid w:val="008F5B22"/>
    <w:rsid w:val="008F5FF1"/>
    <w:rsid w:val="008F67B9"/>
    <w:rsid w:val="008F6916"/>
    <w:rsid w:val="008F6D67"/>
    <w:rsid w:val="008F6D9C"/>
    <w:rsid w:val="008F6E77"/>
    <w:rsid w:val="008F6EAD"/>
    <w:rsid w:val="008F701B"/>
    <w:rsid w:val="008F7292"/>
    <w:rsid w:val="008F740B"/>
    <w:rsid w:val="008F7CC9"/>
    <w:rsid w:val="008F7FF2"/>
    <w:rsid w:val="00900040"/>
    <w:rsid w:val="009004B0"/>
    <w:rsid w:val="0090070F"/>
    <w:rsid w:val="00900793"/>
    <w:rsid w:val="0090119A"/>
    <w:rsid w:val="00901215"/>
    <w:rsid w:val="009014ED"/>
    <w:rsid w:val="00901ACE"/>
    <w:rsid w:val="00901C76"/>
    <w:rsid w:val="00901F36"/>
    <w:rsid w:val="00902277"/>
    <w:rsid w:val="009027CF"/>
    <w:rsid w:val="00902DBA"/>
    <w:rsid w:val="00903172"/>
    <w:rsid w:val="00903E70"/>
    <w:rsid w:val="00903F86"/>
    <w:rsid w:val="00904150"/>
    <w:rsid w:val="00904307"/>
    <w:rsid w:val="009046D8"/>
    <w:rsid w:val="00904A63"/>
    <w:rsid w:val="00904B98"/>
    <w:rsid w:val="00904BB4"/>
    <w:rsid w:val="00904EA9"/>
    <w:rsid w:val="00904F9E"/>
    <w:rsid w:val="0090546C"/>
    <w:rsid w:val="0090566C"/>
    <w:rsid w:val="0090589F"/>
    <w:rsid w:val="00905936"/>
    <w:rsid w:val="00905A3B"/>
    <w:rsid w:val="00905D25"/>
    <w:rsid w:val="00905FB9"/>
    <w:rsid w:val="009064D2"/>
    <w:rsid w:val="00906B0B"/>
    <w:rsid w:val="00906B8B"/>
    <w:rsid w:val="00906FEB"/>
    <w:rsid w:val="00907446"/>
    <w:rsid w:val="00907455"/>
    <w:rsid w:val="00907852"/>
    <w:rsid w:val="00907ED5"/>
    <w:rsid w:val="0091064D"/>
    <w:rsid w:val="00910834"/>
    <w:rsid w:val="00910ACA"/>
    <w:rsid w:val="00911296"/>
    <w:rsid w:val="009112DE"/>
    <w:rsid w:val="009119A6"/>
    <w:rsid w:val="00911B81"/>
    <w:rsid w:val="00911DEA"/>
    <w:rsid w:val="0091228D"/>
    <w:rsid w:val="00912614"/>
    <w:rsid w:val="00912BD0"/>
    <w:rsid w:val="00913680"/>
    <w:rsid w:val="0091395D"/>
    <w:rsid w:val="00913AE4"/>
    <w:rsid w:val="00913BAF"/>
    <w:rsid w:val="00913F8E"/>
    <w:rsid w:val="009146C6"/>
    <w:rsid w:val="00914950"/>
    <w:rsid w:val="00914C43"/>
    <w:rsid w:val="00914D4E"/>
    <w:rsid w:val="00914D95"/>
    <w:rsid w:val="00915335"/>
    <w:rsid w:val="0091537A"/>
    <w:rsid w:val="00915A18"/>
    <w:rsid w:val="00915BBE"/>
    <w:rsid w:val="00915C44"/>
    <w:rsid w:val="00915D42"/>
    <w:rsid w:val="00915D44"/>
    <w:rsid w:val="00915F91"/>
    <w:rsid w:val="00916145"/>
    <w:rsid w:val="009166B3"/>
    <w:rsid w:val="00916A4E"/>
    <w:rsid w:val="00916A58"/>
    <w:rsid w:val="00916BB8"/>
    <w:rsid w:val="009177FB"/>
    <w:rsid w:val="00917DEB"/>
    <w:rsid w:val="009211B8"/>
    <w:rsid w:val="00921255"/>
    <w:rsid w:val="00921297"/>
    <w:rsid w:val="00921302"/>
    <w:rsid w:val="0092136D"/>
    <w:rsid w:val="00922132"/>
    <w:rsid w:val="009222D3"/>
    <w:rsid w:val="009223F2"/>
    <w:rsid w:val="00922639"/>
    <w:rsid w:val="00922B6D"/>
    <w:rsid w:val="00922BE8"/>
    <w:rsid w:val="00922E02"/>
    <w:rsid w:val="00922EF1"/>
    <w:rsid w:val="009230E3"/>
    <w:rsid w:val="009230F6"/>
    <w:rsid w:val="009235C9"/>
    <w:rsid w:val="009236D6"/>
    <w:rsid w:val="00923D87"/>
    <w:rsid w:val="00923D9B"/>
    <w:rsid w:val="00924137"/>
    <w:rsid w:val="009242B8"/>
    <w:rsid w:val="0092432B"/>
    <w:rsid w:val="00924BFB"/>
    <w:rsid w:val="009251C6"/>
    <w:rsid w:val="009252DC"/>
    <w:rsid w:val="0092557D"/>
    <w:rsid w:val="0092578A"/>
    <w:rsid w:val="009257F5"/>
    <w:rsid w:val="009257FE"/>
    <w:rsid w:val="00925841"/>
    <w:rsid w:val="009258A1"/>
    <w:rsid w:val="00925BFF"/>
    <w:rsid w:val="00925C9A"/>
    <w:rsid w:val="00925E5A"/>
    <w:rsid w:val="00925E98"/>
    <w:rsid w:val="00926162"/>
    <w:rsid w:val="009266B5"/>
    <w:rsid w:val="00926773"/>
    <w:rsid w:val="00926A11"/>
    <w:rsid w:val="00926EA2"/>
    <w:rsid w:val="00926F2E"/>
    <w:rsid w:val="0092700A"/>
    <w:rsid w:val="009271F3"/>
    <w:rsid w:val="00927263"/>
    <w:rsid w:val="009277B8"/>
    <w:rsid w:val="00927923"/>
    <w:rsid w:val="00927A9A"/>
    <w:rsid w:val="00927AD6"/>
    <w:rsid w:val="00927F0B"/>
    <w:rsid w:val="00930105"/>
    <w:rsid w:val="00930C50"/>
    <w:rsid w:val="00930E2B"/>
    <w:rsid w:val="00931016"/>
    <w:rsid w:val="00931064"/>
    <w:rsid w:val="00931161"/>
    <w:rsid w:val="009313AE"/>
    <w:rsid w:val="0093149F"/>
    <w:rsid w:val="00931A42"/>
    <w:rsid w:val="009320FF"/>
    <w:rsid w:val="00932103"/>
    <w:rsid w:val="00932490"/>
    <w:rsid w:val="0093287D"/>
    <w:rsid w:val="00932C8F"/>
    <w:rsid w:val="00932C98"/>
    <w:rsid w:val="00932EC1"/>
    <w:rsid w:val="0093301D"/>
    <w:rsid w:val="009331FD"/>
    <w:rsid w:val="009334AA"/>
    <w:rsid w:val="009334EB"/>
    <w:rsid w:val="009334EC"/>
    <w:rsid w:val="009335BE"/>
    <w:rsid w:val="0093360B"/>
    <w:rsid w:val="0093397C"/>
    <w:rsid w:val="00933DDF"/>
    <w:rsid w:val="009341D2"/>
    <w:rsid w:val="0093437E"/>
    <w:rsid w:val="00934A3F"/>
    <w:rsid w:val="00934A70"/>
    <w:rsid w:val="00934C44"/>
    <w:rsid w:val="00934D7D"/>
    <w:rsid w:val="00934F21"/>
    <w:rsid w:val="0093535E"/>
    <w:rsid w:val="009356CE"/>
    <w:rsid w:val="009358D0"/>
    <w:rsid w:val="00935F3D"/>
    <w:rsid w:val="00935FB6"/>
    <w:rsid w:val="0093611A"/>
    <w:rsid w:val="009361D8"/>
    <w:rsid w:val="0093622C"/>
    <w:rsid w:val="00936623"/>
    <w:rsid w:val="0093695A"/>
    <w:rsid w:val="0093751F"/>
    <w:rsid w:val="0094012B"/>
    <w:rsid w:val="00940384"/>
    <w:rsid w:val="00940E3E"/>
    <w:rsid w:val="009411BA"/>
    <w:rsid w:val="00941BAE"/>
    <w:rsid w:val="00941F2A"/>
    <w:rsid w:val="00942180"/>
    <w:rsid w:val="00942385"/>
    <w:rsid w:val="0094280B"/>
    <w:rsid w:val="00942816"/>
    <w:rsid w:val="009428DA"/>
    <w:rsid w:val="00942A2D"/>
    <w:rsid w:val="009432A1"/>
    <w:rsid w:val="009432B7"/>
    <w:rsid w:val="00943805"/>
    <w:rsid w:val="00943DDD"/>
    <w:rsid w:val="009442FE"/>
    <w:rsid w:val="00944BBD"/>
    <w:rsid w:val="00944E73"/>
    <w:rsid w:val="00945319"/>
    <w:rsid w:val="00945CDA"/>
    <w:rsid w:val="00945D18"/>
    <w:rsid w:val="009462D2"/>
    <w:rsid w:val="00946406"/>
    <w:rsid w:val="00946B71"/>
    <w:rsid w:val="00947024"/>
    <w:rsid w:val="0094743D"/>
    <w:rsid w:val="00947BA3"/>
    <w:rsid w:val="00950464"/>
    <w:rsid w:val="00950651"/>
    <w:rsid w:val="00950DB8"/>
    <w:rsid w:val="00950F7F"/>
    <w:rsid w:val="00951209"/>
    <w:rsid w:val="00951533"/>
    <w:rsid w:val="00951553"/>
    <w:rsid w:val="009517A6"/>
    <w:rsid w:val="0095182B"/>
    <w:rsid w:val="0095186C"/>
    <w:rsid w:val="0095228A"/>
    <w:rsid w:val="00952559"/>
    <w:rsid w:val="00952659"/>
    <w:rsid w:val="00952E88"/>
    <w:rsid w:val="009532B0"/>
    <w:rsid w:val="00953888"/>
    <w:rsid w:val="00953AB4"/>
    <w:rsid w:val="00953FA6"/>
    <w:rsid w:val="00954171"/>
    <w:rsid w:val="00954536"/>
    <w:rsid w:val="0095461D"/>
    <w:rsid w:val="00954705"/>
    <w:rsid w:val="0095472E"/>
    <w:rsid w:val="009547CD"/>
    <w:rsid w:val="009548B8"/>
    <w:rsid w:val="00954AA0"/>
    <w:rsid w:val="00954E7C"/>
    <w:rsid w:val="0095545F"/>
    <w:rsid w:val="0095594D"/>
    <w:rsid w:val="00955D2A"/>
    <w:rsid w:val="00955D56"/>
    <w:rsid w:val="00955FE7"/>
    <w:rsid w:val="00956227"/>
    <w:rsid w:val="00956CDC"/>
    <w:rsid w:val="00956FE4"/>
    <w:rsid w:val="009576F8"/>
    <w:rsid w:val="00957D01"/>
    <w:rsid w:val="00957E29"/>
    <w:rsid w:val="00957E9C"/>
    <w:rsid w:val="009601DA"/>
    <w:rsid w:val="009603D6"/>
    <w:rsid w:val="009605C6"/>
    <w:rsid w:val="009608D2"/>
    <w:rsid w:val="0096097A"/>
    <w:rsid w:val="00960A2C"/>
    <w:rsid w:val="00960ED2"/>
    <w:rsid w:val="009613DA"/>
    <w:rsid w:val="00961880"/>
    <w:rsid w:val="009618A1"/>
    <w:rsid w:val="00961DCE"/>
    <w:rsid w:val="00961F8C"/>
    <w:rsid w:val="009627D6"/>
    <w:rsid w:val="00962967"/>
    <w:rsid w:val="00963369"/>
    <w:rsid w:val="00963801"/>
    <w:rsid w:val="0096383B"/>
    <w:rsid w:val="00963FD6"/>
    <w:rsid w:val="00964083"/>
    <w:rsid w:val="009645ED"/>
    <w:rsid w:val="0096470C"/>
    <w:rsid w:val="00964800"/>
    <w:rsid w:val="009648B9"/>
    <w:rsid w:val="00965475"/>
    <w:rsid w:val="00965575"/>
    <w:rsid w:val="00965761"/>
    <w:rsid w:val="00965CF3"/>
    <w:rsid w:val="0096630E"/>
    <w:rsid w:val="009664BA"/>
    <w:rsid w:val="0096654F"/>
    <w:rsid w:val="00966A47"/>
    <w:rsid w:val="00966ADA"/>
    <w:rsid w:val="009670A9"/>
    <w:rsid w:val="00967294"/>
    <w:rsid w:val="00967580"/>
    <w:rsid w:val="00967837"/>
    <w:rsid w:val="00970140"/>
    <w:rsid w:val="0097064A"/>
    <w:rsid w:val="009708F8"/>
    <w:rsid w:val="00970AEA"/>
    <w:rsid w:val="0097190F"/>
    <w:rsid w:val="0097200E"/>
    <w:rsid w:val="0097233F"/>
    <w:rsid w:val="00972347"/>
    <w:rsid w:val="0097268E"/>
    <w:rsid w:val="0097283E"/>
    <w:rsid w:val="009729F8"/>
    <w:rsid w:val="00972D41"/>
    <w:rsid w:val="00974071"/>
    <w:rsid w:val="009740EA"/>
    <w:rsid w:val="009741B4"/>
    <w:rsid w:val="0097437C"/>
    <w:rsid w:val="00974469"/>
    <w:rsid w:val="00974B9D"/>
    <w:rsid w:val="00974EEE"/>
    <w:rsid w:val="0097505C"/>
    <w:rsid w:val="00975338"/>
    <w:rsid w:val="00975B07"/>
    <w:rsid w:val="00975C10"/>
    <w:rsid w:val="0097614C"/>
    <w:rsid w:val="00976196"/>
    <w:rsid w:val="00976530"/>
    <w:rsid w:val="0097669C"/>
    <w:rsid w:val="00976A97"/>
    <w:rsid w:val="00976B31"/>
    <w:rsid w:val="00976CFC"/>
    <w:rsid w:val="009773B9"/>
    <w:rsid w:val="00977631"/>
    <w:rsid w:val="0097893B"/>
    <w:rsid w:val="009802D5"/>
    <w:rsid w:val="009808C4"/>
    <w:rsid w:val="00980F00"/>
    <w:rsid w:val="009815AC"/>
    <w:rsid w:val="00981843"/>
    <w:rsid w:val="00981D57"/>
    <w:rsid w:val="00981D72"/>
    <w:rsid w:val="009820E9"/>
    <w:rsid w:val="009823B3"/>
    <w:rsid w:val="0098342D"/>
    <w:rsid w:val="009837FA"/>
    <w:rsid w:val="00983EB9"/>
    <w:rsid w:val="0098404E"/>
    <w:rsid w:val="009840BA"/>
    <w:rsid w:val="00984188"/>
    <w:rsid w:val="00984457"/>
    <w:rsid w:val="0098492C"/>
    <w:rsid w:val="00984D8C"/>
    <w:rsid w:val="0098532B"/>
    <w:rsid w:val="009858ED"/>
    <w:rsid w:val="00985944"/>
    <w:rsid w:val="00985DFD"/>
    <w:rsid w:val="00985E1C"/>
    <w:rsid w:val="00986543"/>
    <w:rsid w:val="009868F5"/>
    <w:rsid w:val="00986940"/>
    <w:rsid w:val="00986D41"/>
    <w:rsid w:val="00987423"/>
    <w:rsid w:val="00987C67"/>
    <w:rsid w:val="00990A2E"/>
    <w:rsid w:val="00990A81"/>
    <w:rsid w:val="00990BD8"/>
    <w:rsid w:val="00990C1A"/>
    <w:rsid w:val="00990E01"/>
    <w:rsid w:val="00991398"/>
    <w:rsid w:val="0099168D"/>
    <w:rsid w:val="00991DA4"/>
    <w:rsid w:val="00991E69"/>
    <w:rsid w:val="0099205F"/>
    <w:rsid w:val="00992069"/>
    <w:rsid w:val="0099251A"/>
    <w:rsid w:val="009925A4"/>
    <w:rsid w:val="00992E32"/>
    <w:rsid w:val="00992E9F"/>
    <w:rsid w:val="00993012"/>
    <w:rsid w:val="00993154"/>
    <w:rsid w:val="0099357B"/>
    <w:rsid w:val="00993754"/>
    <w:rsid w:val="00993F30"/>
    <w:rsid w:val="009941A0"/>
    <w:rsid w:val="009943FD"/>
    <w:rsid w:val="00994690"/>
    <w:rsid w:val="00994B2F"/>
    <w:rsid w:val="00995729"/>
    <w:rsid w:val="0099573E"/>
    <w:rsid w:val="00995F9A"/>
    <w:rsid w:val="0099626A"/>
    <w:rsid w:val="009963D5"/>
    <w:rsid w:val="009965C8"/>
    <w:rsid w:val="00996722"/>
    <w:rsid w:val="00996F35"/>
    <w:rsid w:val="0099714F"/>
    <w:rsid w:val="009971D6"/>
    <w:rsid w:val="009973E9"/>
    <w:rsid w:val="0099745D"/>
    <w:rsid w:val="00997471"/>
    <w:rsid w:val="0099748B"/>
    <w:rsid w:val="009975BE"/>
    <w:rsid w:val="00997C1D"/>
    <w:rsid w:val="009A0053"/>
    <w:rsid w:val="009A04F6"/>
    <w:rsid w:val="009A0527"/>
    <w:rsid w:val="009A07CB"/>
    <w:rsid w:val="009A0B64"/>
    <w:rsid w:val="009A0BCC"/>
    <w:rsid w:val="009A0D06"/>
    <w:rsid w:val="009A0E6F"/>
    <w:rsid w:val="009A14F0"/>
    <w:rsid w:val="009A16C8"/>
    <w:rsid w:val="009A1842"/>
    <w:rsid w:val="009A1A17"/>
    <w:rsid w:val="009A1C78"/>
    <w:rsid w:val="009A1D35"/>
    <w:rsid w:val="009A2019"/>
    <w:rsid w:val="009A201F"/>
    <w:rsid w:val="009A24C0"/>
    <w:rsid w:val="009A325E"/>
    <w:rsid w:val="009A33FE"/>
    <w:rsid w:val="009A3856"/>
    <w:rsid w:val="009A391F"/>
    <w:rsid w:val="009A39E7"/>
    <w:rsid w:val="009A3DDC"/>
    <w:rsid w:val="009A45D5"/>
    <w:rsid w:val="009A4609"/>
    <w:rsid w:val="009A4E2C"/>
    <w:rsid w:val="009A4F5E"/>
    <w:rsid w:val="009A5348"/>
    <w:rsid w:val="009A5A53"/>
    <w:rsid w:val="009A5D77"/>
    <w:rsid w:val="009A6078"/>
    <w:rsid w:val="009A646C"/>
    <w:rsid w:val="009A66A9"/>
    <w:rsid w:val="009A6BDB"/>
    <w:rsid w:val="009A6F3D"/>
    <w:rsid w:val="009A714D"/>
    <w:rsid w:val="009A7671"/>
    <w:rsid w:val="009A7BB6"/>
    <w:rsid w:val="009B009E"/>
    <w:rsid w:val="009B01FB"/>
    <w:rsid w:val="009B032F"/>
    <w:rsid w:val="009B0C34"/>
    <w:rsid w:val="009B0E7B"/>
    <w:rsid w:val="009B1793"/>
    <w:rsid w:val="009B18A4"/>
    <w:rsid w:val="009B1B88"/>
    <w:rsid w:val="009B1BF5"/>
    <w:rsid w:val="009B1C81"/>
    <w:rsid w:val="009B26B7"/>
    <w:rsid w:val="009B26ED"/>
    <w:rsid w:val="009B2897"/>
    <w:rsid w:val="009B2BA8"/>
    <w:rsid w:val="009B2BDB"/>
    <w:rsid w:val="009B2D4F"/>
    <w:rsid w:val="009B3191"/>
    <w:rsid w:val="009B319E"/>
    <w:rsid w:val="009B374B"/>
    <w:rsid w:val="009B398C"/>
    <w:rsid w:val="009B3BE5"/>
    <w:rsid w:val="009B3D3C"/>
    <w:rsid w:val="009B3FBC"/>
    <w:rsid w:val="009B40CB"/>
    <w:rsid w:val="009B410F"/>
    <w:rsid w:val="009B4245"/>
    <w:rsid w:val="009B42E4"/>
    <w:rsid w:val="009B441C"/>
    <w:rsid w:val="009B47BC"/>
    <w:rsid w:val="009B4BA5"/>
    <w:rsid w:val="009B4E71"/>
    <w:rsid w:val="009B4F4A"/>
    <w:rsid w:val="009B515B"/>
    <w:rsid w:val="009B51FC"/>
    <w:rsid w:val="009B536D"/>
    <w:rsid w:val="009B56AA"/>
    <w:rsid w:val="009B58EA"/>
    <w:rsid w:val="009B5BE2"/>
    <w:rsid w:val="009B6003"/>
    <w:rsid w:val="009B6058"/>
    <w:rsid w:val="009B647E"/>
    <w:rsid w:val="009B67FA"/>
    <w:rsid w:val="009B68CD"/>
    <w:rsid w:val="009B6A2B"/>
    <w:rsid w:val="009B6B50"/>
    <w:rsid w:val="009B6BA4"/>
    <w:rsid w:val="009B72D1"/>
    <w:rsid w:val="009B76C7"/>
    <w:rsid w:val="009B78F4"/>
    <w:rsid w:val="009B7972"/>
    <w:rsid w:val="009C006D"/>
    <w:rsid w:val="009C01F1"/>
    <w:rsid w:val="009C051E"/>
    <w:rsid w:val="009C0C21"/>
    <w:rsid w:val="009C13A7"/>
    <w:rsid w:val="009C13ED"/>
    <w:rsid w:val="009C18A6"/>
    <w:rsid w:val="009C18F1"/>
    <w:rsid w:val="009C1955"/>
    <w:rsid w:val="009C1A35"/>
    <w:rsid w:val="009C1E23"/>
    <w:rsid w:val="009C1E94"/>
    <w:rsid w:val="009C1FFB"/>
    <w:rsid w:val="009C22E3"/>
    <w:rsid w:val="009C2D0A"/>
    <w:rsid w:val="009C2DD4"/>
    <w:rsid w:val="009C32A6"/>
    <w:rsid w:val="009C339C"/>
    <w:rsid w:val="009C33E0"/>
    <w:rsid w:val="009C35F9"/>
    <w:rsid w:val="009C360D"/>
    <w:rsid w:val="009C3666"/>
    <w:rsid w:val="009C37BB"/>
    <w:rsid w:val="009C3BD7"/>
    <w:rsid w:val="009C3BED"/>
    <w:rsid w:val="009C3E41"/>
    <w:rsid w:val="009C3FCD"/>
    <w:rsid w:val="009C42F0"/>
    <w:rsid w:val="009C4722"/>
    <w:rsid w:val="009C4C03"/>
    <w:rsid w:val="009C4D62"/>
    <w:rsid w:val="009C53DF"/>
    <w:rsid w:val="009C58A2"/>
    <w:rsid w:val="009C5C22"/>
    <w:rsid w:val="009C6012"/>
    <w:rsid w:val="009C6640"/>
    <w:rsid w:val="009C6759"/>
    <w:rsid w:val="009C6A68"/>
    <w:rsid w:val="009C6B17"/>
    <w:rsid w:val="009C6D19"/>
    <w:rsid w:val="009C6D6C"/>
    <w:rsid w:val="009C6FB2"/>
    <w:rsid w:val="009C72E8"/>
    <w:rsid w:val="009C72EB"/>
    <w:rsid w:val="009C74E0"/>
    <w:rsid w:val="009C75B9"/>
    <w:rsid w:val="009C7B26"/>
    <w:rsid w:val="009D0440"/>
    <w:rsid w:val="009D0F4D"/>
    <w:rsid w:val="009D1212"/>
    <w:rsid w:val="009D1A7C"/>
    <w:rsid w:val="009D1AAC"/>
    <w:rsid w:val="009D1CC8"/>
    <w:rsid w:val="009D1E43"/>
    <w:rsid w:val="009D2406"/>
    <w:rsid w:val="009D28F4"/>
    <w:rsid w:val="009D3257"/>
    <w:rsid w:val="009D32B8"/>
    <w:rsid w:val="009D381F"/>
    <w:rsid w:val="009D3B5B"/>
    <w:rsid w:val="009D3C96"/>
    <w:rsid w:val="009D40A3"/>
    <w:rsid w:val="009D4304"/>
    <w:rsid w:val="009D4805"/>
    <w:rsid w:val="009D4944"/>
    <w:rsid w:val="009D523D"/>
    <w:rsid w:val="009D5303"/>
    <w:rsid w:val="009D536F"/>
    <w:rsid w:val="009D55F2"/>
    <w:rsid w:val="009D56E1"/>
    <w:rsid w:val="009D59D1"/>
    <w:rsid w:val="009D5BC9"/>
    <w:rsid w:val="009D609E"/>
    <w:rsid w:val="009D642E"/>
    <w:rsid w:val="009D6618"/>
    <w:rsid w:val="009D6752"/>
    <w:rsid w:val="009D6ABA"/>
    <w:rsid w:val="009D6B42"/>
    <w:rsid w:val="009D6BFA"/>
    <w:rsid w:val="009D6D22"/>
    <w:rsid w:val="009D6EC7"/>
    <w:rsid w:val="009D7524"/>
    <w:rsid w:val="009D79AE"/>
    <w:rsid w:val="009D7A03"/>
    <w:rsid w:val="009D7CAD"/>
    <w:rsid w:val="009D7CB0"/>
    <w:rsid w:val="009D7EEE"/>
    <w:rsid w:val="009E061E"/>
    <w:rsid w:val="009E0E3B"/>
    <w:rsid w:val="009E0FA8"/>
    <w:rsid w:val="009E1591"/>
    <w:rsid w:val="009E1633"/>
    <w:rsid w:val="009E179A"/>
    <w:rsid w:val="009E1875"/>
    <w:rsid w:val="009E194B"/>
    <w:rsid w:val="009E1983"/>
    <w:rsid w:val="009E1CCB"/>
    <w:rsid w:val="009E2300"/>
    <w:rsid w:val="009E2327"/>
    <w:rsid w:val="009E24F7"/>
    <w:rsid w:val="009E288C"/>
    <w:rsid w:val="009E2981"/>
    <w:rsid w:val="009E2996"/>
    <w:rsid w:val="009E2A4F"/>
    <w:rsid w:val="009E2AB0"/>
    <w:rsid w:val="009E3071"/>
    <w:rsid w:val="009E34D8"/>
    <w:rsid w:val="009E3B5F"/>
    <w:rsid w:val="009E417F"/>
    <w:rsid w:val="009E42C7"/>
    <w:rsid w:val="009E42D4"/>
    <w:rsid w:val="009E4869"/>
    <w:rsid w:val="009E4929"/>
    <w:rsid w:val="009E492F"/>
    <w:rsid w:val="009E4CA4"/>
    <w:rsid w:val="009E53E3"/>
    <w:rsid w:val="009E5772"/>
    <w:rsid w:val="009E57F4"/>
    <w:rsid w:val="009E58E3"/>
    <w:rsid w:val="009E5B67"/>
    <w:rsid w:val="009E5F6B"/>
    <w:rsid w:val="009E5FED"/>
    <w:rsid w:val="009E667D"/>
    <w:rsid w:val="009E6687"/>
    <w:rsid w:val="009E66C2"/>
    <w:rsid w:val="009E6CB7"/>
    <w:rsid w:val="009E6CE7"/>
    <w:rsid w:val="009E6D2F"/>
    <w:rsid w:val="009E6F5F"/>
    <w:rsid w:val="009E700F"/>
    <w:rsid w:val="009E7124"/>
    <w:rsid w:val="009E73BE"/>
    <w:rsid w:val="009E7729"/>
    <w:rsid w:val="009E7840"/>
    <w:rsid w:val="009E7988"/>
    <w:rsid w:val="009F01DD"/>
    <w:rsid w:val="009F02B5"/>
    <w:rsid w:val="009F0599"/>
    <w:rsid w:val="009F0D6F"/>
    <w:rsid w:val="009F0F1E"/>
    <w:rsid w:val="009F1197"/>
    <w:rsid w:val="009F14C6"/>
    <w:rsid w:val="009F17B3"/>
    <w:rsid w:val="009F1D7C"/>
    <w:rsid w:val="009F2252"/>
    <w:rsid w:val="009F225E"/>
    <w:rsid w:val="009F2319"/>
    <w:rsid w:val="009F2550"/>
    <w:rsid w:val="009F27CF"/>
    <w:rsid w:val="009F2920"/>
    <w:rsid w:val="009F2E84"/>
    <w:rsid w:val="009F31B0"/>
    <w:rsid w:val="009F35B8"/>
    <w:rsid w:val="009F35EC"/>
    <w:rsid w:val="009F3701"/>
    <w:rsid w:val="009F3A2F"/>
    <w:rsid w:val="009F3CE2"/>
    <w:rsid w:val="009F3D3D"/>
    <w:rsid w:val="009F452C"/>
    <w:rsid w:val="009F48CF"/>
    <w:rsid w:val="009F4C56"/>
    <w:rsid w:val="009F4F08"/>
    <w:rsid w:val="009F4F9E"/>
    <w:rsid w:val="009F537C"/>
    <w:rsid w:val="009F5680"/>
    <w:rsid w:val="009F577A"/>
    <w:rsid w:val="009F588B"/>
    <w:rsid w:val="009F627F"/>
    <w:rsid w:val="009F65DF"/>
    <w:rsid w:val="009F67AC"/>
    <w:rsid w:val="009F6A4F"/>
    <w:rsid w:val="009F6D98"/>
    <w:rsid w:val="009F6ED5"/>
    <w:rsid w:val="009F717C"/>
    <w:rsid w:val="009F778F"/>
    <w:rsid w:val="009F77C6"/>
    <w:rsid w:val="009F77E3"/>
    <w:rsid w:val="009F7C84"/>
    <w:rsid w:val="009F7CA3"/>
    <w:rsid w:val="009F7EF2"/>
    <w:rsid w:val="009FB3D2"/>
    <w:rsid w:val="00A000DA"/>
    <w:rsid w:val="00A00451"/>
    <w:rsid w:val="00A00879"/>
    <w:rsid w:val="00A00902"/>
    <w:rsid w:val="00A00903"/>
    <w:rsid w:val="00A00ADC"/>
    <w:rsid w:val="00A00BB0"/>
    <w:rsid w:val="00A00F1F"/>
    <w:rsid w:val="00A010D6"/>
    <w:rsid w:val="00A011F8"/>
    <w:rsid w:val="00A012D2"/>
    <w:rsid w:val="00A012EA"/>
    <w:rsid w:val="00A01663"/>
    <w:rsid w:val="00A01FBC"/>
    <w:rsid w:val="00A022CE"/>
    <w:rsid w:val="00A027EA"/>
    <w:rsid w:val="00A02D7C"/>
    <w:rsid w:val="00A03894"/>
    <w:rsid w:val="00A0399F"/>
    <w:rsid w:val="00A03BF7"/>
    <w:rsid w:val="00A04231"/>
    <w:rsid w:val="00A045D2"/>
    <w:rsid w:val="00A0471E"/>
    <w:rsid w:val="00A04BAD"/>
    <w:rsid w:val="00A0518A"/>
    <w:rsid w:val="00A051E7"/>
    <w:rsid w:val="00A05266"/>
    <w:rsid w:val="00A05270"/>
    <w:rsid w:val="00A05412"/>
    <w:rsid w:val="00A056E4"/>
    <w:rsid w:val="00A057D8"/>
    <w:rsid w:val="00A061C0"/>
    <w:rsid w:val="00A064FC"/>
    <w:rsid w:val="00A065EE"/>
    <w:rsid w:val="00A06733"/>
    <w:rsid w:val="00A06AAD"/>
    <w:rsid w:val="00A06DA0"/>
    <w:rsid w:val="00A072A3"/>
    <w:rsid w:val="00A075C4"/>
    <w:rsid w:val="00A077F7"/>
    <w:rsid w:val="00A0794C"/>
    <w:rsid w:val="00A07D36"/>
    <w:rsid w:val="00A07E11"/>
    <w:rsid w:val="00A07EAE"/>
    <w:rsid w:val="00A10027"/>
    <w:rsid w:val="00A1056C"/>
    <w:rsid w:val="00A1079C"/>
    <w:rsid w:val="00A10F75"/>
    <w:rsid w:val="00A11071"/>
    <w:rsid w:val="00A11073"/>
    <w:rsid w:val="00A114A8"/>
    <w:rsid w:val="00A11DCF"/>
    <w:rsid w:val="00A11F3F"/>
    <w:rsid w:val="00A11F76"/>
    <w:rsid w:val="00A11FF3"/>
    <w:rsid w:val="00A1229E"/>
    <w:rsid w:val="00A12460"/>
    <w:rsid w:val="00A125B3"/>
    <w:rsid w:val="00A127AD"/>
    <w:rsid w:val="00A12ACE"/>
    <w:rsid w:val="00A12E8D"/>
    <w:rsid w:val="00A13604"/>
    <w:rsid w:val="00A1365B"/>
    <w:rsid w:val="00A139EB"/>
    <w:rsid w:val="00A13AB8"/>
    <w:rsid w:val="00A13B22"/>
    <w:rsid w:val="00A143FF"/>
    <w:rsid w:val="00A14470"/>
    <w:rsid w:val="00A1459D"/>
    <w:rsid w:val="00A14F0B"/>
    <w:rsid w:val="00A15280"/>
    <w:rsid w:val="00A1554F"/>
    <w:rsid w:val="00A15850"/>
    <w:rsid w:val="00A15B3C"/>
    <w:rsid w:val="00A15F27"/>
    <w:rsid w:val="00A1687E"/>
    <w:rsid w:val="00A16B98"/>
    <w:rsid w:val="00A17305"/>
    <w:rsid w:val="00A17330"/>
    <w:rsid w:val="00A17C39"/>
    <w:rsid w:val="00A17FCA"/>
    <w:rsid w:val="00A201C6"/>
    <w:rsid w:val="00A206A5"/>
    <w:rsid w:val="00A20781"/>
    <w:rsid w:val="00A20915"/>
    <w:rsid w:val="00A20B68"/>
    <w:rsid w:val="00A20C01"/>
    <w:rsid w:val="00A21A0E"/>
    <w:rsid w:val="00A21EAC"/>
    <w:rsid w:val="00A220FD"/>
    <w:rsid w:val="00A22364"/>
    <w:rsid w:val="00A2300A"/>
    <w:rsid w:val="00A23090"/>
    <w:rsid w:val="00A230B5"/>
    <w:rsid w:val="00A23649"/>
    <w:rsid w:val="00A23B60"/>
    <w:rsid w:val="00A23C45"/>
    <w:rsid w:val="00A23DCA"/>
    <w:rsid w:val="00A240CA"/>
    <w:rsid w:val="00A2460A"/>
    <w:rsid w:val="00A2465A"/>
    <w:rsid w:val="00A25810"/>
    <w:rsid w:val="00A25D01"/>
    <w:rsid w:val="00A25ECA"/>
    <w:rsid w:val="00A26295"/>
    <w:rsid w:val="00A26CB5"/>
    <w:rsid w:val="00A27582"/>
    <w:rsid w:val="00A276BF"/>
    <w:rsid w:val="00A27836"/>
    <w:rsid w:val="00A27A02"/>
    <w:rsid w:val="00A27AA0"/>
    <w:rsid w:val="00A27EB1"/>
    <w:rsid w:val="00A3005C"/>
    <w:rsid w:val="00A30140"/>
    <w:rsid w:val="00A309FA"/>
    <w:rsid w:val="00A30C46"/>
    <w:rsid w:val="00A30FEE"/>
    <w:rsid w:val="00A312B3"/>
    <w:rsid w:val="00A31370"/>
    <w:rsid w:val="00A31749"/>
    <w:rsid w:val="00A31A89"/>
    <w:rsid w:val="00A31AB8"/>
    <w:rsid w:val="00A31B19"/>
    <w:rsid w:val="00A31CD0"/>
    <w:rsid w:val="00A31E70"/>
    <w:rsid w:val="00A31F1D"/>
    <w:rsid w:val="00A32075"/>
    <w:rsid w:val="00A3219C"/>
    <w:rsid w:val="00A321EC"/>
    <w:rsid w:val="00A32746"/>
    <w:rsid w:val="00A3279A"/>
    <w:rsid w:val="00A32A30"/>
    <w:rsid w:val="00A32A9C"/>
    <w:rsid w:val="00A32AA0"/>
    <w:rsid w:val="00A32FB3"/>
    <w:rsid w:val="00A33155"/>
    <w:rsid w:val="00A33397"/>
    <w:rsid w:val="00A339FB"/>
    <w:rsid w:val="00A33F03"/>
    <w:rsid w:val="00A341BC"/>
    <w:rsid w:val="00A34684"/>
    <w:rsid w:val="00A34688"/>
    <w:rsid w:val="00A3497D"/>
    <w:rsid w:val="00A3517B"/>
    <w:rsid w:val="00A35D54"/>
    <w:rsid w:val="00A35E9A"/>
    <w:rsid w:val="00A3622E"/>
    <w:rsid w:val="00A36536"/>
    <w:rsid w:val="00A36E2A"/>
    <w:rsid w:val="00A370E9"/>
    <w:rsid w:val="00A373A8"/>
    <w:rsid w:val="00A3778C"/>
    <w:rsid w:val="00A37996"/>
    <w:rsid w:val="00A409B8"/>
    <w:rsid w:val="00A40BD7"/>
    <w:rsid w:val="00A40C47"/>
    <w:rsid w:val="00A40E0B"/>
    <w:rsid w:val="00A410C9"/>
    <w:rsid w:val="00A412BC"/>
    <w:rsid w:val="00A413DA"/>
    <w:rsid w:val="00A42188"/>
    <w:rsid w:val="00A429FE"/>
    <w:rsid w:val="00A42BC8"/>
    <w:rsid w:val="00A42D81"/>
    <w:rsid w:val="00A4333B"/>
    <w:rsid w:val="00A4341B"/>
    <w:rsid w:val="00A4347F"/>
    <w:rsid w:val="00A43910"/>
    <w:rsid w:val="00A43ECE"/>
    <w:rsid w:val="00A443B9"/>
    <w:rsid w:val="00A44E9D"/>
    <w:rsid w:val="00A45332"/>
    <w:rsid w:val="00A45351"/>
    <w:rsid w:val="00A45374"/>
    <w:rsid w:val="00A45538"/>
    <w:rsid w:val="00A45643"/>
    <w:rsid w:val="00A45725"/>
    <w:rsid w:val="00A45EDB"/>
    <w:rsid w:val="00A467C7"/>
    <w:rsid w:val="00A46935"/>
    <w:rsid w:val="00A46B1E"/>
    <w:rsid w:val="00A46DBD"/>
    <w:rsid w:val="00A46DDC"/>
    <w:rsid w:val="00A4732A"/>
    <w:rsid w:val="00A47860"/>
    <w:rsid w:val="00A4798A"/>
    <w:rsid w:val="00A47BB6"/>
    <w:rsid w:val="00A47FEE"/>
    <w:rsid w:val="00A501A4"/>
    <w:rsid w:val="00A50BA9"/>
    <w:rsid w:val="00A514A9"/>
    <w:rsid w:val="00A51B5F"/>
    <w:rsid w:val="00A51E3A"/>
    <w:rsid w:val="00A52544"/>
    <w:rsid w:val="00A5296D"/>
    <w:rsid w:val="00A52B06"/>
    <w:rsid w:val="00A52D87"/>
    <w:rsid w:val="00A5316B"/>
    <w:rsid w:val="00A533A7"/>
    <w:rsid w:val="00A53431"/>
    <w:rsid w:val="00A53514"/>
    <w:rsid w:val="00A538FC"/>
    <w:rsid w:val="00A54264"/>
    <w:rsid w:val="00A54314"/>
    <w:rsid w:val="00A54D36"/>
    <w:rsid w:val="00A553C3"/>
    <w:rsid w:val="00A558A6"/>
    <w:rsid w:val="00A55A94"/>
    <w:rsid w:val="00A55AB8"/>
    <w:rsid w:val="00A55FA8"/>
    <w:rsid w:val="00A565FB"/>
    <w:rsid w:val="00A56BB9"/>
    <w:rsid w:val="00A5796D"/>
    <w:rsid w:val="00A57BB0"/>
    <w:rsid w:val="00A60019"/>
    <w:rsid w:val="00A602EF"/>
    <w:rsid w:val="00A608D7"/>
    <w:rsid w:val="00A609A3"/>
    <w:rsid w:val="00A60AA2"/>
    <w:rsid w:val="00A60C27"/>
    <w:rsid w:val="00A60C9C"/>
    <w:rsid w:val="00A60DAD"/>
    <w:rsid w:val="00A60FB0"/>
    <w:rsid w:val="00A61C62"/>
    <w:rsid w:val="00A61E38"/>
    <w:rsid w:val="00A620BF"/>
    <w:rsid w:val="00A62301"/>
    <w:rsid w:val="00A626DC"/>
    <w:rsid w:val="00A62855"/>
    <w:rsid w:val="00A62B42"/>
    <w:rsid w:val="00A62C3B"/>
    <w:rsid w:val="00A62F98"/>
    <w:rsid w:val="00A63627"/>
    <w:rsid w:val="00A637BD"/>
    <w:rsid w:val="00A63994"/>
    <w:rsid w:val="00A63CCA"/>
    <w:rsid w:val="00A63EE5"/>
    <w:rsid w:val="00A64292"/>
    <w:rsid w:val="00A643D0"/>
    <w:rsid w:val="00A64437"/>
    <w:rsid w:val="00A64515"/>
    <w:rsid w:val="00A64902"/>
    <w:rsid w:val="00A64ACC"/>
    <w:rsid w:val="00A64B96"/>
    <w:rsid w:val="00A64F66"/>
    <w:rsid w:val="00A6592D"/>
    <w:rsid w:val="00A65A4C"/>
    <w:rsid w:val="00A65CB9"/>
    <w:rsid w:val="00A66192"/>
    <w:rsid w:val="00A66B58"/>
    <w:rsid w:val="00A66E18"/>
    <w:rsid w:val="00A67197"/>
    <w:rsid w:val="00A672A4"/>
    <w:rsid w:val="00A6746A"/>
    <w:rsid w:val="00A674E6"/>
    <w:rsid w:val="00A6761A"/>
    <w:rsid w:val="00A67692"/>
    <w:rsid w:val="00A676C3"/>
    <w:rsid w:val="00A67821"/>
    <w:rsid w:val="00A67ADC"/>
    <w:rsid w:val="00A67C16"/>
    <w:rsid w:val="00A702FC"/>
    <w:rsid w:val="00A7052D"/>
    <w:rsid w:val="00A705A8"/>
    <w:rsid w:val="00A707E4"/>
    <w:rsid w:val="00A70C02"/>
    <w:rsid w:val="00A70CC8"/>
    <w:rsid w:val="00A711C4"/>
    <w:rsid w:val="00A7165A"/>
    <w:rsid w:val="00A719FE"/>
    <w:rsid w:val="00A7234B"/>
    <w:rsid w:val="00A726D5"/>
    <w:rsid w:val="00A72A5B"/>
    <w:rsid w:val="00A72C48"/>
    <w:rsid w:val="00A72F13"/>
    <w:rsid w:val="00A73349"/>
    <w:rsid w:val="00A7372D"/>
    <w:rsid w:val="00A737E0"/>
    <w:rsid w:val="00A73B57"/>
    <w:rsid w:val="00A73F08"/>
    <w:rsid w:val="00A73F68"/>
    <w:rsid w:val="00A740CF"/>
    <w:rsid w:val="00A746D8"/>
    <w:rsid w:val="00A7485D"/>
    <w:rsid w:val="00A749F5"/>
    <w:rsid w:val="00A74B71"/>
    <w:rsid w:val="00A74FDC"/>
    <w:rsid w:val="00A75604"/>
    <w:rsid w:val="00A76061"/>
    <w:rsid w:val="00A7617A"/>
    <w:rsid w:val="00A763AB"/>
    <w:rsid w:val="00A76B27"/>
    <w:rsid w:val="00A76EBC"/>
    <w:rsid w:val="00A77347"/>
    <w:rsid w:val="00A77362"/>
    <w:rsid w:val="00A77510"/>
    <w:rsid w:val="00A77670"/>
    <w:rsid w:val="00A77719"/>
    <w:rsid w:val="00A77D50"/>
    <w:rsid w:val="00A77EC3"/>
    <w:rsid w:val="00A807FB"/>
    <w:rsid w:val="00A80997"/>
    <w:rsid w:val="00A80BBF"/>
    <w:rsid w:val="00A80BEF"/>
    <w:rsid w:val="00A80C64"/>
    <w:rsid w:val="00A80D95"/>
    <w:rsid w:val="00A810C9"/>
    <w:rsid w:val="00A81319"/>
    <w:rsid w:val="00A81941"/>
    <w:rsid w:val="00A819E6"/>
    <w:rsid w:val="00A81ACB"/>
    <w:rsid w:val="00A81D58"/>
    <w:rsid w:val="00A8207F"/>
    <w:rsid w:val="00A821C0"/>
    <w:rsid w:val="00A826C3"/>
    <w:rsid w:val="00A83069"/>
    <w:rsid w:val="00A8343D"/>
    <w:rsid w:val="00A83B88"/>
    <w:rsid w:val="00A83BD8"/>
    <w:rsid w:val="00A83D41"/>
    <w:rsid w:val="00A83EB9"/>
    <w:rsid w:val="00A83F95"/>
    <w:rsid w:val="00A84670"/>
    <w:rsid w:val="00A849A7"/>
    <w:rsid w:val="00A84AE2"/>
    <w:rsid w:val="00A84BEE"/>
    <w:rsid w:val="00A853A3"/>
    <w:rsid w:val="00A85497"/>
    <w:rsid w:val="00A85FE0"/>
    <w:rsid w:val="00A860FA"/>
    <w:rsid w:val="00A86140"/>
    <w:rsid w:val="00A8621A"/>
    <w:rsid w:val="00A862D5"/>
    <w:rsid w:val="00A86832"/>
    <w:rsid w:val="00A86940"/>
    <w:rsid w:val="00A86F3C"/>
    <w:rsid w:val="00A87079"/>
    <w:rsid w:val="00A874EE"/>
    <w:rsid w:val="00A87587"/>
    <w:rsid w:val="00A876EA"/>
    <w:rsid w:val="00A879FE"/>
    <w:rsid w:val="00A87C7E"/>
    <w:rsid w:val="00A87FA9"/>
    <w:rsid w:val="00A87FC7"/>
    <w:rsid w:val="00A90095"/>
    <w:rsid w:val="00A9042F"/>
    <w:rsid w:val="00A90A31"/>
    <w:rsid w:val="00A90D11"/>
    <w:rsid w:val="00A90FAF"/>
    <w:rsid w:val="00A9137A"/>
    <w:rsid w:val="00A91650"/>
    <w:rsid w:val="00A91817"/>
    <w:rsid w:val="00A91869"/>
    <w:rsid w:val="00A91B78"/>
    <w:rsid w:val="00A91DCF"/>
    <w:rsid w:val="00A925F1"/>
    <w:rsid w:val="00A92893"/>
    <w:rsid w:val="00A92C02"/>
    <w:rsid w:val="00A92DB6"/>
    <w:rsid w:val="00A930DB"/>
    <w:rsid w:val="00A93199"/>
    <w:rsid w:val="00A931B6"/>
    <w:rsid w:val="00A93A88"/>
    <w:rsid w:val="00A93B31"/>
    <w:rsid w:val="00A93DB6"/>
    <w:rsid w:val="00A94277"/>
    <w:rsid w:val="00A945C5"/>
    <w:rsid w:val="00A94716"/>
    <w:rsid w:val="00A947AD"/>
    <w:rsid w:val="00A94806"/>
    <w:rsid w:val="00A94A7E"/>
    <w:rsid w:val="00A94E35"/>
    <w:rsid w:val="00A95009"/>
    <w:rsid w:val="00A9563B"/>
    <w:rsid w:val="00A956C5"/>
    <w:rsid w:val="00A9577E"/>
    <w:rsid w:val="00A95AE5"/>
    <w:rsid w:val="00A95BB1"/>
    <w:rsid w:val="00A96168"/>
    <w:rsid w:val="00A9650B"/>
    <w:rsid w:val="00A969C8"/>
    <w:rsid w:val="00A96DDC"/>
    <w:rsid w:val="00A97083"/>
    <w:rsid w:val="00A977E0"/>
    <w:rsid w:val="00A97811"/>
    <w:rsid w:val="00A978DD"/>
    <w:rsid w:val="00A97B7A"/>
    <w:rsid w:val="00A97D38"/>
    <w:rsid w:val="00AA0D76"/>
    <w:rsid w:val="00AA13ED"/>
    <w:rsid w:val="00AA1744"/>
    <w:rsid w:val="00AA1EAE"/>
    <w:rsid w:val="00AA1F9B"/>
    <w:rsid w:val="00AA2011"/>
    <w:rsid w:val="00AA2247"/>
    <w:rsid w:val="00AA2290"/>
    <w:rsid w:val="00AA2391"/>
    <w:rsid w:val="00AA23B0"/>
    <w:rsid w:val="00AA293E"/>
    <w:rsid w:val="00AA2BE8"/>
    <w:rsid w:val="00AA321E"/>
    <w:rsid w:val="00AA33C0"/>
    <w:rsid w:val="00AA356B"/>
    <w:rsid w:val="00AA376F"/>
    <w:rsid w:val="00AA3FEC"/>
    <w:rsid w:val="00AA441F"/>
    <w:rsid w:val="00AA47A6"/>
    <w:rsid w:val="00AA4982"/>
    <w:rsid w:val="00AA4E3B"/>
    <w:rsid w:val="00AA54D2"/>
    <w:rsid w:val="00AA5C5C"/>
    <w:rsid w:val="00AA5CB0"/>
    <w:rsid w:val="00AA6306"/>
    <w:rsid w:val="00AA6639"/>
    <w:rsid w:val="00AA664B"/>
    <w:rsid w:val="00AA6693"/>
    <w:rsid w:val="00AA6990"/>
    <w:rsid w:val="00AA6B07"/>
    <w:rsid w:val="00AA6C2A"/>
    <w:rsid w:val="00AA6F18"/>
    <w:rsid w:val="00AA7843"/>
    <w:rsid w:val="00AA7A81"/>
    <w:rsid w:val="00AA7ABA"/>
    <w:rsid w:val="00AB04D5"/>
    <w:rsid w:val="00AB0988"/>
    <w:rsid w:val="00AB0B7E"/>
    <w:rsid w:val="00AB0CED"/>
    <w:rsid w:val="00AB0FF7"/>
    <w:rsid w:val="00AB1370"/>
    <w:rsid w:val="00AB1494"/>
    <w:rsid w:val="00AB15E9"/>
    <w:rsid w:val="00AB18FD"/>
    <w:rsid w:val="00AB2C01"/>
    <w:rsid w:val="00AB30FF"/>
    <w:rsid w:val="00AB339F"/>
    <w:rsid w:val="00AB3669"/>
    <w:rsid w:val="00AB37E3"/>
    <w:rsid w:val="00AB3866"/>
    <w:rsid w:val="00AB46E1"/>
    <w:rsid w:val="00AB48AD"/>
    <w:rsid w:val="00AB4CFE"/>
    <w:rsid w:val="00AB53D2"/>
    <w:rsid w:val="00AB54F9"/>
    <w:rsid w:val="00AB5587"/>
    <w:rsid w:val="00AB5B0B"/>
    <w:rsid w:val="00AB5BF6"/>
    <w:rsid w:val="00AB5E2D"/>
    <w:rsid w:val="00AB6901"/>
    <w:rsid w:val="00AB6F6C"/>
    <w:rsid w:val="00AB714D"/>
    <w:rsid w:val="00AB7659"/>
    <w:rsid w:val="00AB77BD"/>
    <w:rsid w:val="00AB7893"/>
    <w:rsid w:val="00AB794D"/>
    <w:rsid w:val="00AB7A03"/>
    <w:rsid w:val="00AB7D16"/>
    <w:rsid w:val="00ABB6DA"/>
    <w:rsid w:val="00AC00FE"/>
    <w:rsid w:val="00AC0503"/>
    <w:rsid w:val="00AC088D"/>
    <w:rsid w:val="00AC0CD5"/>
    <w:rsid w:val="00AC11D8"/>
    <w:rsid w:val="00AC1454"/>
    <w:rsid w:val="00AC177A"/>
    <w:rsid w:val="00AC1AF1"/>
    <w:rsid w:val="00AC1E8E"/>
    <w:rsid w:val="00AC252B"/>
    <w:rsid w:val="00AC2653"/>
    <w:rsid w:val="00AC2A2A"/>
    <w:rsid w:val="00AC2B7B"/>
    <w:rsid w:val="00AC3145"/>
    <w:rsid w:val="00AC328B"/>
    <w:rsid w:val="00AC3636"/>
    <w:rsid w:val="00AC3B22"/>
    <w:rsid w:val="00AC3E77"/>
    <w:rsid w:val="00AC401A"/>
    <w:rsid w:val="00AC427B"/>
    <w:rsid w:val="00AC438C"/>
    <w:rsid w:val="00AC4419"/>
    <w:rsid w:val="00AC5353"/>
    <w:rsid w:val="00AC5368"/>
    <w:rsid w:val="00AC544A"/>
    <w:rsid w:val="00AC5465"/>
    <w:rsid w:val="00AC54C6"/>
    <w:rsid w:val="00AC5778"/>
    <w:rsid w:val="00AC5867"/>
    <w:rsid w:val="00AC5D42"/>
    <w:rsid w:val="00AC5EA4"/>
    <w:rsid w:val="00AC5F6F"/>
    <w:rsid w:val="00AC6266"/>
    <w:rsid w:val="00AC62B4"/>
    <w:rsid w:val="00AC66B5"/>
    <w:rsid w:val="00AC69C0"/>
    <w:rsid w:val="00AC6A27"/>
    <w:rsid w:val="00AC6AE9"/>
    <w:rsid w:val="00AC6F37"/>
    <w:rsid w:val="00AC6FDB"/>
    <w:rsid w:val="00AC7574"/>
    <w:rsid w:val="00AC7934"/>
    <w:rsid w:val="00AD010B"/>
    <w:rsid w:val="00AD037C"/>
    <w:rsid w:val="00AD060D"/>
    <w:rsid w:val="00AD071C"/>
    <w:rsid w:val="00AD0AFC"/>
    <w:rsid w:val="00AD0E01"/>
    <w:rsid w:val="00AD1440"/>
    <w:rsid w:val="00AD14F7"/>
    <w:rsid w:val="00AD1B6C"/>
    <w:rsid w:val="00AD1EF4"/>
    <w:rsid w:val="00AD236A"/>
    <w:rsid w:val="00AD249A"/>
    <w:rsid w:val="00AD24C0"/>
    <w:rsid w:val="00AD25B6"/>
    <w:rsid w:val="00AD278D"/>
    <w:rsid w:val="00AD2792"/>
    <w:rsid w:val="00AD2A40"/>
    <w:rsid w:val="00AD2E52"/>
    <w:rsid w:val="00AD2F9F"/>
    <w:rsid w:val="00AD3D96"/>
    <w:rsid w:val="00AD406D"/>
    <w:rsid w:val="00AD4194"/>
    <w:rsid w:val="00AD4622"/>
    <w:rsid w:val="00AD462E"/>
    <w:rsid w:val="00AD507D"/>
    <w:rsid w:val="00AD54D1"/>
    <w:rsid w:val="00AD563D"/>
    <w:rsid w:val="00AD58D4"/>
    <w:rsid w:val="00AD5EE5"/>
    <w:rsid w:val="00AD699D"/>
    <w:rsid w:val="00AD6E96"/>
    <w:rsid w:val="00AD70CD"/>
    <w:rsid w:val="00AD71D1"/>
    <w:rsid w:val="00AD7401"/>
    <w:rsid w:val="00AD740B"/>
    <w:rsid w:val="00AD7491"/>
    <w:rsid w:val="00AD7569"/>
    <w:rsid w:val="00AD7654"/>
    <w:rsid w:val="00AD7721"/>
    <w:rsid w:val="00AD7B5E"/>
    <w:rsid w:val="00AD7E58"/>
    <w:rsid w:val="00ADAD9E"/>
    <w:rsid w:val="00AE04C2"/>
    <w:rsid w:val="00AE05C3"/>
    <w:rsid w:val="00AE084E"/>
    <w:rsid w:val="00AE0B43"/>
    <w:rsid w:val="00AE0F73"/>
    <w:rsid w:val="00AE1178"/>
    <w:rsid w:val="00AE1983"/>
    <w:rsid w:val="00AE1D49"/>
    <w:rsid w:val="00AE1DB9"/>
    <w:rsid w:val="00AE1E9E"/>
    <w:rsid w:val="00AE1F7F"/>
    <w:rsid w:val="00AE205B"/>
    <w:rsid w:val="00AE253A"/>
    <w:rsid w:val="00AE25D2"/>
    <w:rsid w:val="00AE2682"/>
    <w:rsid w:val="00AE2894"/>
    <w:rsid w:val="00AE2C1A"/>
    <w:rsid w:val="00AE2DA2"/>
    <w:rsid w:val="00AE3315"/>
    <w:rsid w:val="00AE3527"/>
    <w:rsid w:val="00AE35BE"/>
    <w:rsid w:val="00AE3A4E"/>
    <w:rsid w:val="00AE3B40"/>
    <w:rsid w:val="00AE3DF5"/>
    <w:rsid w:val="00AE45B0"/>
    <w:rsid w:val="00AE45CE"/>
    <w:rsid w:val="00AE4878"/>
    <w:rsid w:val="00AE493E"/>
    <w:rsid w:val="00AE4B52"/>
    <w:rsid w:val="00AE4C2F"/>
    <w:rsid w:val="00AE4EA0"/>
    <w:rsid w:val="00AE5099"/>
    <w:rsid w:val="00AE5274"/>
    <w:rsid w:val="00AE53D9"/>
    <w:rsid w:val="00AE5443"/>
    <w:rsid w:val="00AE55AD"/>
    <w:rsid w:val="00AE5703"/>
    <w:rsid w:val="00AE597A"/>
    <w:rsid w:val="00AE5B8F"/>
    <w:rsid w:val="00AE5FF7"/>
    <w:rsid w:val="00AE62E8"/>
    <w:rsid w:val="00AE64D7"/>
    <w:rsid w:val="00AE678C"/>
    <w:rsid w:val="00AE7D96"/>
    <w:rsid w:val="00AF0161"/>
    <w:rsid w:val="00AF057C"/>
    <w:rsid w:val="00AF0B3E"/>
    <w:rsid w:val="00AF0F8D"/>
    <w:rsid w:val="00AF1C89"/>
    <w:rsid w:val="00AF251D"/>
    <w:rsid w:val="00AF2595"/>
    <w:rsid w:val="00AF2765"/>
    <w:rsid w:val="00AF2995"/>
    <w:rsid w:val="00AF2B1B"/>
    <w:rsid w:val="00AF350B"/>
    <w:rsid w:val="00AF35B8"/>
    <w:rsid w:val="00AF383C"/>
    <w:rsid w:val="00AF3D4A"/>
    <w:rsid w:val="00AF48EF"/>
    <w:rsid w:val="00AF4ABB"/>
    <w:rsid w:val="00AF4D8E"/>
    <w:rsid w:val="00AF5170"/>
    <w:rsid w:val="00AF5861"/>
    <w:rsid w:val="00AF5B05"/>
    <w:rsid w:val="00AF5D10"/>
    <w:rsid w:val="00AF5D92"/>
    <w:rsid w:val="00AF618B"/>
    <w:rsid w:val="00AF64E6"/>
    <w:rsid w:val="00AF66F7"/>
    <w:rsid w:val="00AF6B6F"/>
    <w:rsid w:val="00AF7009"/>
    <w:rsid w:val="00AF7442"/>
    <w:rsid w:val="00AF747B"/>
    <w:rsid w:val="00AF756B"/>
    <w:rsid w:val="00AF7670"/>
    <w:rsid w:val="00B00581"/>
    <w:rsid w:val="00B00BE9"/>
    <w:rsid w:val="00B01D16"/>
    <w:rsid w:val="00B023D1"/>
    <w:rsid w:val="00B02807"/>
    <w:rsid w:val="00B02BAA"/>
    <w:rsid w:val="00B02C73"/>
    <w:rsid w:val="00B0304D"/>
    <w:rsid w:val="00B032E8"/>
    <w:rsid w:val="00B032F7"/>
    <w:rsid w:val="00B033C5"/>
    <w:rsid w:val="00B0346F"/>
    <w:rsid w:val="00B035EE"/>
    <w:rsid w:val="00B03783"/>
    <w:rsid w:val="00B03A6A"/>
    <w:rsid w:val="00B03B94"/>
    <w:rsid w:val="00B03F5B"/>
    <w:rsid w:val="00B04159"/>
    <w:rsid w:val="00B04435"/>
    <w:rsid w:val="00B04463"/>
    <w:rsid w:val="00B04479"/>
    <w:rsid w:val="00B04E39"/>
    <w:rsid w:val="00B04F41"/>
    <w:rsid w:val="00B04F5E"/>
    <w:rsid w:val="00B05378"/>
    <w:rsid w:val="00B0537A"/>
    <w:rsid w:val="00B05459"/>
    <w:rsid w:val="00B058D0"/>
    <w:rsid w:val="00B05D50"/>
    <w:rsid w:val="00B05D5D"/>
    <w:rsid w:val="00B060DB"/>
    <w:rsid w:val="00B0637A"/>
    <w:rsid w:val="00B063DA"/>
    <w:rsid w:val="00B064A3"/>
    <w:rsid w:val="00B06DE1"/>
    <w:rsid w:val="00B07402"/>
    <w:rsid w:val="00B07418"/>
    <w:rsid w:val="00B074E8"/>
    <w:rsid w:val="00B07668"/>
    <w:rsid w:val="00B076F2"/>
    <w:rsid w:val="00B07789"/>
    <w:rsid w:val="00B07863"/>
    <w:rsid w:val="00B07E5A"/>
    <w:rsid w:val="00B100A6"/>
    <w:rsid w:val="00B1018C"/>
    <w:rsid w:val="00B10FFD"/>
    <w:rsid w:val="00B11259"/>
    <w:rsid w:val="00B1152C"/>
    <w:rsid w:val="00B12486"/>
    <w:rsid w:val="00B12A5D"/>
    <w:rsid w:val="00B12C84"/>
    <w:rsid w:val="00B12F6A"/>
    <w:rsid w:val="00B1384D"/>
    <w:rsid w:val="00B13A37"/>
    <w:rsid w:val="00B13EF1"/>
    <w:rsid w:val="00B13FCB"/>
    <w:rsid w:val="00B143C1"/>
    <w:rsid w:val="00B1445E"/>
    <w:rsid w:val="00B14682"/>
    <w:rsid w:val="00B150A9"/>
    <w:rsid w:val="00B151C7"/>
    <w:rsid w:val="00B1561C"/>
    <w:rsid w:val="00B15BDF"/>
    <w:rsid w:val="00B15BF7"/>
    <w:rsid w:val="00B15D40"/>
    <w:rsid w:val="00B1628C"/>
    <w:rsid w:val="00B16BA7"/>
    <w:rsid w:val="00B16E25"/>
    <w:rsid w:val="00B1720E"/>
    <w:rsid w:val="00B17781"/>
    <w:rsid w:val="00B17A81"/>
    <w:rsid w:val="00B20031"/>
    <w:rsid w:val="00B2013C"/>
    <w:rsid w:val="00B2046A"/>
    <w:rsid w:val="00B20660"/>
    <w:rsid w:val="00B207BC"/>
    <w:rsid w:val="00B209F6"/>
    <w:rsid w:val="00B20B98"/>
    <w:rsid w:val="00B2105B"/>
    <w:rsid w:val="00B210B6"/>
    <w:rsid w:val="00B21427"/>
    <w:rsid w:val="00B2174A"/>
    <w:rsid w:val="00B21D55"/>
    <w:rsid w:val="00B21E08"/>
    <w:rsid w:val="00B22210"/>
    <w:rsid w:val="00B2229B"/>
    <w:rsid w:val="00B228DC"/>
    <w:rsid w:val="00B22C45"/>
    <w:rsid w:val="00B2323D"/>
    <w:rsid w:val="00B235F4"/>
    <w:rsid w:val="00B23CF7"/>
    <w:rsid w:val="00B23DB0"/>
    <w:rsid w:val="00B2438B"/>
    <w:rsid w:val="00B2493C"/>
    <w:rsid w:val="00B250C0"/>
    <w:rsid w:val="00B251F3"/>
    <w:rsid w:val="00B25901"/>
    <w:rsid w:val="00B25DE2"/>
    <w:rsid w:val="00B2601E"/>
    <w:rsid w:val="00B26317"/>
    <w:rsid w:val="00B26399"/>
    <w:rsid w:val="00B2642C"/>
    <w:rsid w:val="00B267A5"/>
    <w:rsid w:val="00B26826"/>
    <w:rsid w:val="00B2699C"/>
    <w:rsid w:val="00B26AE2"/>
    <w:rsid w:val="00B26C0D"/>
    <w:rsid w:val="00B26CBF"/>
    <w:rsid w:val="00B26E57"/>
    <w:rsid w:val="00B2753B"/>
    <w:rsid w:val="00B27963"/>
    <w:rsid w:val="00B27A98"/>
    <w:rsid w:val="00B27D2C"/>
    <w:rsid w:val="00B30431"/>
    <w:rsid w:val="00B306DE"/>
    <w:rsid w:val="00B307CF"/>
    <w:rsid w:val="00B309DB"/>
    <w:rsid w:val="00B30C22"/>
    <w:rsid w:val="00B30CCF"/>
    <w:rsid w:val="00B31168"/>
    <w:rsid w:val="00B31A9D"/>
    <w:rsid w:val="00B31DA4"/>
    <w:rsid w:val="00B31FCC"/>
    <w:rsid w:val="00B3291D"/>
    <w:rsid w:val="00B3298D"/>
    <w:rsid w:val="00B32E7E"/>
    <w:rsid w:val="00B33469"/>
    <w:rsid w:val="00B33AC9"/>
    <w:rsid w:val="00B33C6A"/>
    <w:rsid w:val="00B34024"/>
    <w:rsid w:val="00B3456B"/>
    <w:rsid w:val="00B3462A"/>
    <w:rsid w:val="00B3487F"/>
    <w:rsid w:val="00B34F79"/>
    <w:rsid w:val="00B351A9"/>
    <w:rsid w:val="00B351FF"/>
    <w:rsid w:val="00B3525B"/>
    <w:rsid w:val="00B353D8"/>
    <w:rsid w:val="00B3584C"/>
    <w:rsid w:val="00B35F99"/>
    <w:rsid w:val="00B36763"/>
    <w:rsid w:val="00B36956"/>
    <w:rsid w:val="00B36BE5"/>
    <w:rsid w:val="00B36CBD"/>
    <w:rsid w:val="00B36DF4"/>
    <w:rsid w:val="00B36FE3"/>
    <w:rsid w:val="00B37BAC"/>
    <w:rsid w:val="00B37BE9"/>
    <w:rsid w:val="00B37E65"/>
    <w:rsid w:val="00B37EA8"/>
    <w:rsid w:val="00B37FFE"/>
    <w:rsid w:val="00B40114"/>
    <w:rsid w:val="00B40175"/>
    <w:rsid w:val="00B401D5"/>
    <w:rsid w:val="00B4024B"/>
    <w:rsid w:val="00B4043A"/>
    <w:rsid w:val="00B40640"/>
    <w:rsid w:val="00B40DBB"/>
    <w:rsid w:val="00B40F51"/>
    <w:rsid w:val="00B41094"/>
    <w:rsid w:val="00B421E8"/>
    <w:rsid w:val="00B429FE"/>
    <w:rsid w:val="00B42F98"/>
    <w:rsid w:val="00B43083"/>
    <w:rsid w:val="00B433E7"/>
    <w:rsid w:val="00B43B31"/>
    <w:rsid w:val="00B43F3F"/>
    <w:rsid w:val="00B44244"/>
    <w:rsid w:val="00B446D7"/>
    <w:rsid w:val="00B44BC9"/>
    <w:rsid w:val="00B44EBD"/>
    <w:rsid w:val="00B4517C"/>
    <w:rsid w:val="00B452CA"/>
    <w:rsid w:val="00B45A44"/>
    <w:rsid w:val="00B45FA2"/>
    <w:rsid w:val="00B461BB"/>
    <w:rsid w:val="00B46249"/>
    <w:rsid w:val="00B46930"/>
    <w:rsid w:val="00B46E10"/>
    <w:rsid w:val="00B47129"/>
    <w:rsid w:val="00B474E9"/>
    <w:rsid w:val="00B47689"/>
    <w:rsid w:val="00B50140"/>
    <w:rsid w:val="00B50438"/>
    <w:rsid w:val="00B5085A"/>
    <w:rsid w:val="00B50DFB"/>
    <w:rsid w:val="00B51045"/>
    <w:rsid w:val="00B5153F"/>
    <w:rsid w:val="00B5198B"/>
    <w:rsid w:val="00B519E2"/>
    <w:rsid w:val="00B5242D"/>
    <w:rsid w:val="00B5252B"/>
    <w:rsid w:val="00B5289E"/>
    <w:rsid w:val="00B5294E"/>
    <w:rsid w:val="00B52DF8"/>
    <w:rsid w:val="00B53112"/>
    <w:rsid w:val="00B5317E"/>
    <w:rsid w:val="00B5335A"/>
    <w:rsid w:val="00B5366E"/>
    <w:rsid w:val="00B5382A"/>
    <w:rsid w:val="00B540E7"/>
    <w:rsid w:val="00B541F5"/>
    <w:rsid w:val="00B54235"/>
    <w:rsid w:val="00B54311"/>
    <w:rsid w:val="00B54416"/>
    <w:rsid w:val="00B545EB"/>
    <w:rsid w:val="00B54613"/>
    <w:rsid w:val="00B546D9"/>
    <w:rsid w:val="00B54990"/>
    <w:rsid w:val="00B54B32"/>
    <w:rsid w:val="00B54FC5"/>
    <w:rsid w:val="00B557EC"/>
    <w:rsid w:val="00B55B36"/>
    <w:rsid w:val="00B5611F"/>
    <w:rsid w:val="00B5621E"/>
    <w:rsid w:val="00B56319"/>
    <w:rsid w:val="00B5654D"/>
    <w:rsid w:val="00B565FB"/>
    <w:rsid w:val="00B5663B"/>
    <w:rsid w:val="00B5681F"/>
    <w:rsid w:val="00B568DA"/>
    <w:rsid w:val="00B570AB"/>
    <w:rsid w:val="00B57111"/>
    <w:rsid w:val="00B571D4"/>
    <w:rsid w:val="00B5767E"/>
    <w:rsid w:val="00B57970"/>
    <w:rsid w:val="00B57BEA"/>
    <w:rsid w:val="00B60A01"/>
    <w:rsid w:val="00B60D7D"/>
    <w:rsid w:val="00B60EC7"/>
    <w:rsid w:val="00B61343"/>
    <w:rsid w:val="00B6152A"/>
    <w:rsid w:val="00B616F1"/>
    <w:rsid w:val="00B6176B"/>
    <w:rsid w:val="00B6195C"/>
    <w:rsid w:val="00B61E70"/>
    <w:rsid w:val="00B6269E"/>
    <w:rsid w:val="00B626A9"/>
    <w:rsid w:val="00B62EC4"/>
    <w:rsid w:val="00B630A1"/>
    <w:rsid w:val="00B6341B"/>
    <w:rsid w:val="00B63493"/>
    <w:rsid w:val="00B63891"/>
    <w:rsid w:val="00B63DD4"/>
    <w:rsid w:val="00B6424D"/>
    <w:rsid w:val="00B64264"/>
    <w:rsid w:val="00B64535"/>
    <w:rsid w:val="00B645B8"/>
    <w:rsid w:val="00B645F7"/>
    <w:rsid w:val="00B646D3"/>
    <w:rsid w:val="00B64CC7"/>
    <w:rsid w:val="00B64CFE"/>
    <w:rsid w:val="00B64EE9"/>
    <w:rsid w:val="00B64F0A"/>
    <w:rsid w:val="00B6500D"/>
    <w:rsid w:val="00B65205"/>
    <w:rsid w:val="00B6584F"/>
    <w:rsid w:val="00B65909"/>
    <w:rsid w:val="00B65911"/>
    <w:rsid w:val="00B65AE7"/>
    <w:rsid w:val="00B65FE8"/>
    <w:rsid w:val="00B66640"/>
    <w:rsid w:val="00B66862"/>
    <w:rsid w:val="00B668AD"/>
    <w:rsid w:val="00B66EEF"/>
    <w:rsid w:val="00B6749B"/>
    <w:rsid w:val="00B67790"/>
    <w:rsid w:val="00B679B0"/>
    <w:rsid w:val="00B679F7"/>
    <w:rsid w:val="00B67BA5"/>
    <w:rsid w:val="00B67CF0"/>
    <w:rsid w:val="00B67DB3"/>
    <w:rsid w:val="00B67EFF"/>
    <w:rsid w:val="00B701B1"/>
    <w:rsid w:val="00B702CB"/>
    <w:rsid w:val="00B70F01"/>
    <w:rsid w:val="00B71ABA"/>
    <w:rsid w:val="00B71AD3"/>
    <w:rsid w:val="00B71E4F"/>
    <w:rsid w:val="00B71E9D"/>
    <w:rsid w:val="00B72E85"/>
    <w:rsid w:val="00B72E9E"/>
    <w:rsid w:val="00B72EC9"/>
    <w:rsid w:val="00B730B4"/>
    <w:rsid w:val="00B731F1"/>
    <w:rsid w:val="00B7362D"/>
    <w:rsid w:val="00B73909"/>
    <w:rsid w:val="00B74364"/>
    <w:rsid w:val="00B744A6"/>
    <w:rsid w:val="00B7479F"/>
    <w:rsid w:val="00B749BF"/>
    <w:rsid w:val="00B74B5B"/>
    <w:rsid w:val="00B75072"/>
    <w:rsid w:val="00B75080"/>
    <w:rsid w:val="00B750C2"/>
    <w:rsid w:val="00B75102"/>
    <w:rsid w:val="00B75341"/>
    <w:rsid w:val="00B753C5"/>
    <w:rsid w:val="00B756EC"/>
    <w:rsid w:val="00B756FA"/>
    <w:rsid w:val="00B75977"/>
    <w:rsid w:val="00B75A3C"/>
    <w:rsid w:val="00B75FC4"/>
    <w:rsid w:val="00B7604C"/>
    <w:rsid w:val="00B7607F"/>
    <w:rsid w:val="00B76547"/>
    <w:rsid w:val="00B768E0"/>
    <w:rsid w:val="00B76D0B"/>
    <w:rsid w:val="00B76DFE"/>
    <w:rsid w:val="00B76EEF"/>
    <w:rsid w:val="00B77088"/>
    <w:rsid w:val="00B7776E"/>
    <w:rsid w:val="00B7777E"/>
    <w:rsid w:val="00B779DB"/>
    <w:rsid w:val="00B80068"/>
    <w:rsid w:val="00B80227"/>
    <w:rsid w:val="00B8044B"/>
    <w:rsid w:val="00B8109A"/>
    <w:rsid w:val="00B819B6"/>
    <w:rsid w:val="00B82677"/>
    <w:rsid w:val="00B827DE"/>
    <w:rsid w:val="00B82A4F"/>
    <w:rsid w:val="00B82A64"/>
    <w:rsid w:val="00B8370C"/>
    <w:rsid w:val="00B837E6"/>
    <w:rsid w:val="00B839E6"/>
    <w:rsid w:val="00B83C09"/>
    <w:rsid w:val="00B84314"/>
    <w:rsid w:val="00B84BFD"/>
    <w:rsid w:val="00B84C05"/>
    <w:rsid w:val="00B84D86"/>
    <w:rsid w:val="00B8507A"/>
    <w:rsid w:val="00B85299"/>
    <w:rsid w:val="00B86391"/>
    <w:rsid w:val="00B8677C"/>
    <w:rsid w:val="00B868ED"/>
    <w:rsid w:val="00B86BEB"/>
    <w:rsid w:val="00B87045"/>
    <w:rsid w:val="00B87159"/>
    <w:rsid w:val="00B87435"/>
    <w:rsid w:val="00B87761"/>
    <w:rsid w:val="00B897EB"/>
    <w:rsid w:val="00B9093E"/>
    <w:rsid w:val="00B91162"/>
    <w:rsid w:val="00B919BD"/>
    <w:rsid w:val="00B919D9"/>
    <w:rsid w:val="00B91BBB"/>
    <w:rsid w:val="00B9214D"/>
    <w:rsid w:val="00B92A7C"/>
    <w:rsid w:val="00B92B0B"/>
    <w:rsid w:val="00B93164"/>
    <w:rsid w:val="00B932C7"/>
    <w:rsid w:val="00B93442"/>
    <w:rsid w:val="00B9374D"/>
    <w:rsid w:val="00B939FE"/>
    <w:rsid w:val="00B940B0"/>
    <w:rsid w:val="00B943FF"/>
    <w:rsid w:val="00B9456C"/>
    <w:rsid w:val="00B94773"/>
    <w:rsid w:val="00B9493B"/>
    <w:rsid w:val="00B949BC"/>
    <w:rsid w:val="00B95D73"/>
    <w:rsid w:val="00B95D8A"/>
    <w:rsid w:val="00B96141"/>
    <w:rsid w:val="00B9671F"/>
    <w:rsid w:val="00B967CC"/>
    <w:rsid w:val="00B96A60"/>
    <w:rsid w:val="00B96ACA"/>
    <w:rsid w:val="00B96D70"/>
    <w:rsid w:val="00B96E6D"/>
    <w:rsid w:val="00B96F07"/>
    <w:rsid w:val="00B97050"/>
    <w:rsid w:val="00B97189"/>
    <w:rsid w:val="00B973BD"/>
    <w:rsid w:val="00B975C4"/>
    <w:rsid w:val="00B9768B"/>
    <w:rsid w:val="00B97778"/>
    <w:rsid w:val="00B97F10"/>
    <w:rsid w:val="00BA0734"/>
    <w:rsid w:val="00BA1019"/>
    <w:rsid w:val="00BA111D"/>
    <w:rsid w:val="00BA11FA"/>
    <w:rsid w:val="00BA1393"/>
    <w:rsid w:val="00BA1A6E"/>
    <w:rsid w:val="00BA1CF9"/>
    <w:rsid w:val="00BA1E0F"/>
    <w:rsid w:val="00BA201B"/>
    <w:rsid w:val="00BA2128"/>
    <w:rsid w:val="00BA2251"/>
    <w:rsid w:val="00BA234F"/>
    <w:rsid w:val="00BA2579"/>
    <w:rsid w:val="00BA26E8"/>
    <w:rsid w:val="00BA2AA2"/>
    <w:rsid w:val="00BA2B34"/>
    <w:rsid w:val="00BA2E5D"/>
    <w:rsid w:val="00BA3016"/>
    <w:rsid w:val="00BA32AF"/>
    <w:rsid w:val="00BA32FA"/>
    <w:rsid w:val="00BA3343"/>
    <w:rsid w:val="00BA33FE"/>
    <w:rsid w:val="00BA3525"/>
    <w:rsid w:val="00BA36D7"/>
    <w:rsid w:val="00BA4028"/>
    <w:rsid w:val="00BA4050"/>
    <w:rsid w:val="00BA40A8"/>
    <w:rsid w:val="00BA44E6"/>
    <w:rsid w:val="00BA470C"/>
    <w:rsid w:val="00BA47A4"/>
    <w:rsid w:val="00BA48C7"/>
    <w:rsid w:val="00BA4D81"/>
    <w:rsid w:val="00BA4F8A"/>
    <w:rsid w:val="00BA51FB"/>
    <w:rsid w:val="00BA5292"/>
    <w:rsid w:val="00BA5357"/>
    <w:rsid w:val="00BA5472"/>
    <w:rsid w:val="00BA57F8"/>
    <w:rsid w:val="00BA5B7F"/>
    <w:rsid w:val="00BA5C8C"/>
    <w:rsid w:val="00BA5E27"/>
    <w:rsid w:val="00BA6392"/>
    <w:rsid w:val="00BA6829"/>
    <w:rsid w:val="00BA69D2"/>
    <w:rsid w:val="00BA6A43"/>
    <w:rsid w:val="00BA701D"/>
    <w:rsid w:val="00BA7099"/>
    <w:rsid w:val="00BA7867"/>
    <w:rsid w:val="00BA7F8D"/>
    <w:rsid w:val="00BAAC95"/>
    <w:rsid w:val="00BB055F"/>
    <w:rsid w:val="00BB11F7"/>
    <w:rsid w:val="00BB163E"/>
    <w:rsid w:val="00BB17D0"/>
    <w:rsid w:val="00BB17EE"/>
    <w:rsid w:val="00BB19B2"/>
    <w:rsid w:val="00BB1B7B"/>
    <w:rsid w:val="00BB1BE9"/>
    <w:rsid w:val="00BB1FC5"/>
    <w:rsid w:val="00BB24A9"/>
    <w:rsid w:val="00BB2582"/>
    <w:rsid w:val="00BB25B3"/>
    <w:rsid w:val="00BB2E90"/>
    <w:rsid w:val="00BB4951"/>
    <w:rsid w:val="00BB49A1"/>
    <w:rsid w:val="00BB50A9"/>
    <w:rsid w:val="00BB539E"/>
    <w:rsid w:val="00BB59AC"/>
    <w:rsid w:val="00BB6309"/>
    <w:rsid w:val="00BB63A3"/>
    <w:rsid w:val="00BB69EC"/>
    <w:rsid w:val="00BB71C9"/>
    <w:rsid w:val="00BC025F"/>
    <w:rsid w:val="00BC02C3"/>
    <w:rsid w:val="00BC067B"/>
    <w:rsid w:val="00BC06BD"/>
    <w:rsid w:val="00BC0A36"/>
    <w:rsid w:val="00BC0AA7"/>
    <w:rsid w:val="00BC0D77"/>
    <w:rsid w:val="00BC0E56"/>
    <w:rsid w:val="00BC1066"/>
    <w:rsid w:val="00BC1459"/>
    <w:rsid w:val="00BC1661"/>
    <w:rsid w:val="00BC17D6"/>
    <w:rsid w:val="00BC17E2"/>
    <w:rsid w:val="00BC1913"/>
    <w:rsid w:val="00BC1941"/>
    <w:rsid w:val="00BC1A53"/>
    <w:rsid w:val="00BC1A91"/>
    <w:rsid w:val="00BC1AA9"/>
    <w:rsid w:val="00BC1B25"/>
    <w:rsid w:val="00BC24D8"/>
    <w:rsid w:val="00BC2645"/>
    <w:rsid w:val="00BC26A8"/>
    <w:rsid w:val="00BC2A29"/>
    <w:rsid w:val="00BC2A79"/>
    <w:rsid w:val="00BC2AE8"/>
    <w:rsid w:val="00BC30FC"/>
    <w:rsid w:val="00BC3161"/>
    <w:rsid w:val="00BC3591"/>
    <w:rsid w:val="00BC368B"/>
    <w:rsid w:val="00BC36D5"/>
    <w:rsid w:val="00BC3981"/>
    <w:rsid w:val="00BC3E0A"/>
    <w:rsid w:val="00BC449B"/>
    <w:rsid w:val="00BC46B4"/>
    <w:rsid w:val="00BC4869"/>
    <w:rsid w:val="00BC4A34"/>
    <w:rsid w:val="00BC4D8C"/>
    <w:rsid w:val="00BC500A"/>
    <w:rsid w:val="00BC50C3"/>
    <w:rsid w:val="00BC52A2"/>
    <w:rsid w:val="00BC5439"/>
    <w:rsid w:val="00BC5460"/>
    <w:rsid w:val="00BC5684"/>
    <w:rsid w:val="00BC5F44"/>
    <w:rsid w:val="00BC5FA6"/>
    <w:rsid w:val="00BC6699"/>
    <w:rsid w:val="00BC69D4"/>
    <w:rsid w:val="00BC6C9A"/>
    <w:rsid w:val="00BC6EF2"/>
    <w:rsid w:val="00BC74C2"/>
    <w:rsid w:val="00BC7B0F"/>
    <w:rsid w:val="00BC7B75"/>
    <w:rsid w:val="00BC7F9D"/>
    <w:rsid w:val="00BC7FCB"/>
    <w:rsid w:val="00BD00B9"/>
    <w:rsid w:val="00BD0A59"/>
    <w:rsid w:val="00BD0DCA"/>
    <w:rsid w:val="00BD0FA9"/>
    <w:rsid w:val="00BD1293"/>
    <w:rsid w:val="00BD1692"/>
    <w:rsid w:val="00BD1A8C"/>
    <w:rsid w:val="00BD1B69"/>
    <w:rsid w:val="00BD2187"/>
    <w:rsid w:val="00BD2271"/>
    <w:rsid w:val="00BD26F0"/>
    <w:rsid w:val="00BD2BB3"/>
    <w:rsid w:val="00BD2C5E"/>
    <w:rsid w:val="00BD3528"/>
    <w:rsid w:val="00BD3545"/>
    <w:rsid w:val="00BD3F98"/>
    <w:rsid w:val="00BD427A"/>
    <w:rsid w:val="00BD4293"/>
    <w:rsid w:val="00BD4DEC"/>
    <w:rsid w:val="00BD5294"/>
    <w:rsid w:val="00BD610D"/>
    <w:rsid w:val="00BD62CE"/>
    <w:rsid w:val="00BD698E"/>
    <w:rsid w:val="00BD6F0F"/>
    <w:rsid w:val="00BD6F95"/>
    <w:rsid w:val="00BD76D6"/>
    <w:rsid w:val="00BD7A51"/>
    <w:rsid w:val="00BD7C9B"/>
    <w:rsid w:val="00BE0729"/>
    <w:rsid w:val="00BE07BF"/>
    <w:rsid w:val="00BE0EA7"/>
    <w:rsid w:val="00BE0F5D"/>
    <w:rsid w:val="00BE1426"/>
    <w:rsid w:val="00BE1534"/>
    <w:rsid w:val="00BE1C39"/>
    <w:rsid w:val="00BE2982"/>
    <w:rsid w:val="00BE2AF7"/>
    <w:rsid w:val="00BE3186"/>
    <w:rsid w:val="00BE3310"/>
    <w:rsid w:val="00BE347E"/>
    <w:rsid w:val="00BE37CD"/>
    <w:rsid w:val="00BE3965"/>
    <w:rsid w:val="00BE3B97"/>
    <w:rsid w:val="00BE3DCC"/>
    <w:rsid w:val="00BE3EA9"/>
    <w:rsid w:val="00BE3F3F"/>
    <w:rsid w:val="00BE478F"/>
    <w:rsid w:val="00BE4BE7"/>
    <w:rsid w:val="00BE56F4"/>
    <w:rsid w:val="00BE5B91"/>
    <w:rsid w:val="00BE61D0"/>
    <w:rsid w:val="00BE6344"/>
    <w:rsid w:val="00BE6862"/>
    <w:rsid w:val="00BE6A1E"/>
    <w:rsid w:val="00BE6CD4"/>
    <w:rsid w:val="00BE6D05"/>
    <w:rsid w:val="00BE7337"/>
    <w:rsid w:val="00BE74BF"/>
    <w:rsid w:val="00BE761A"/>
    <w:rsid w:val="00BE7BA6"/>
    <w:rsid w:val="00BF00E6"/>
    <w:rsid w:val="00BF07C6"/>
    <w:rsid w:val="00BF0E21"/>
    <w:rsid w:val="00BF0FB0"/>
    <w:rsid w:val="00BF1362"/>
    <w:rsid w:val="00BF143C"/>
    <w:rsid w:val="00BF17BC"/>
    <w:rsid w:val="00BF1E74"/>
    <w:rsid w:val="00BF2039"/>
    <w:rsid w:val="00BF23F7"/>
    <w:rsid w:val="00BF2443"/>
    <w:rsid w:val="00BF253D"/>
    <w:rsid w:val="00BF25A4"/>
    <w:rsid w:val="00BF31F0"/>
    <w:rsid w:val="00BF3437"/>
    <w:rsid w:val="00BF3AD5"/>
    <w:rsid w:val="00BF3B46"/>
    <w:rsid w:val="00BF3D0C"/>
    <w:rsid w:val="00BF3E7F"/>
    <w:rsid w:val="00BF4296"/>
    <w:rsid w:val="00BF476F"/>
    <w:rsid w:val="00BF491E"/>
    <w:rsid w:val="00BF4949"/>
    <w:rsid w:val="00BF50EC"/>
    <w:rsid w:val="00BF5494"/>
    <w:rsid w:val="00BF5508"/>
    <w:rsid w:val="00BF571A"/>
    <w:rsid w:val="00BF590A"/>
    <w:rsid w:val="00BF5A85"/>
    <w:rsid w:val="00BF6138"/>
    <w:rsid w:val="00BF6275"/>
    <w:rsid w:val="00BF6DC0"/>
    <w:rsid w:val="00BF7248"/>
    <w:rsid w:val="00BF785B"/>
    <w:rsid w:val="00C00107"/>
    <w:rsid w:val="00C0028B"/>
    <w:rsid w:val="00C00413"/>
    <w:rsid w:val="00C00CFA"/>
    <w:rsid w:val="00C00D0F"/>
    <w:rsid w:val="00C00E5D"/>
    <w:rsid w:val="00C00E83"/>
    <w:rsid w:val="00C00ED4"/>
    <w:rsid w:val="00C01362"/>
    <w:rsid w:val="00C01634"/>
    <w:rsid w:val="00C02118"/>
    <w:rsid w:val="00C023F1"/>
    <w:rsid w:val="00C0249D"/>
    <w:rsid w:val="00C0251B"/>
    <w:rsid w:val="00C0271B"/>
    <w:rsid w:val="00C02771"/>
    <w:rsid w:val="00C02B60"/>
    <w:rsid w:val="00C02BCF"/>
    <w:rsid w:val="00C02DAD"/>
    <w:rsid w:val="00C02E94"/>
    <w:rsid w:val="00C02EF5"/>
    <w:rsid w:val="00C03249"/>
    <w:rsid w:val="00C0338A"/>
    <w:rsid w:val="00C03842"/>
    <w:rsid w:val="00C03CAE"/>
    <w:rsid w:val="00C03D4C"/>
    <w:rsid w:val="00C040A3"/>
    <w:rsid w:val="00C04362"/>
    <w:rsid w:val="00C04757"/>
    <w:rsid w:val="00C05229"/>
    <w:rsid w:val="00C053A0"/>
    <w:rsid w:val="00C06713"/>
    <w:rsid w:val="00C068DE"/>
    <w:rsid w:val="00C06946"/>
    <w:rsid w:val="00C06B06"/>
    <w:rsid w:val="00C06CBE"/>
    <w:rsid w:val="00C06CCD"/>
    <w:rsid w:val="00C06E62"/>
    <w:rsid w:val="00C07296"/>
    <w:rsid w:val="00C07646"/>
    <w:rsid w:val="00C10717"/>
    <w:rsid w:val="00C10A07"/>
    <w:rsid w:val="00C10B09"/>
    <w:rsid w:val="00C10F5B"/>
    <w:rsid w:val="00C11405"/>
    <w:rsid w:val="00C11501"/>
    <w:rsid w:val="00C11CC1"/>
    <w:rsid w:val="00C12217"/>
    <w:rsid w:val="00C125ED"/>
    <w:rsid w:val="00C1281A"/>
    <w:rsid w:val="00C12C07"/>
    <w:rsid w:val="00C1347A"/>
    <w:rsid w:val="00C13BA4"/>
    <w:rsid w:val="00C13C30"/>
    <w:rsid w:val="00C13E00"/>
    <w:rsid w:val="00C1408A"/>
    <w:rsid w:val="00C1484E"/>
    <w:rsid w:val="00C14DAA"/>
    <w:rsid w:val="00C14E07"/>
    <w:rsid w:val="00C1515F"/>
    <w:rsid w:val="00C1527F"/>
    <w:rsid w:val="00C154AE"/>
    <w:rsid w:val="00C15640"/>
    <w:rsid w:val="00C15AA2"/>
    <w:rsid w:val="00C15CD4"/>
    <w:rsid w:val="00C16002"/>
    <w:rsid w:val="00C1612D"/>
    <w:rsid w:val="00C1680F"/>
    <w:rsid w:val="00C16D8B"/>
    <w:rsid w:val="00C16E5D"/>
    <w:rsid w:val="00C16EF5"/>
    <w:rsid w:val="00C1723C"/>
    <w:rsid w:val="00C17A43"/>
    <w:rsid w:val="00C17CDB"/>
    <w:rsid w:val="00C202F5"/>
    <w:rsid w:val="00C20594"/>
    <w:rsid w:val="00C2095C"/>
    <w:rsid w:val="00C20F78"/>
    <w:rsid w:val="00C210CF"/>
    <w:rsid w:val="00C210F0"/>
    <w:rsid w:val="00C21263"/>
    <w:rsid w:val="00C21968"/>
    <w:rsid w:val="00C21CAA"/>
    <w:rsid w:val="00C21D42"/>
    <w:rsid w:val="00C21ED6"/>
    <w:rsid w:val="00C21EEB"/>
    <w:rsid w:val="00C220E8"/>
    <w:rsid w:val="00C22B30"/>
    <w:rsid w:val="00C22D61"/>
    <w:rsid w:val="00C23074"/>
    <w:rsid w:val="00C23275"/>
    <w:rsid w:val="00C237AD"/>
    <w:rsid w:val="00C23A73"/>
    <w:rsid w:val="00C23DBB"/>
    <w:rsid w:val="00C23E23"/>
    <w:rsid w:val="00C244E0"/>
    <w:rsid w:val="00C2464C"/>
    <w:rsid w:val="00C24AF4"/>
    <w:rsid w:val="00C2501B"/>
    <w:rsid w:val="00C25565"/>
    <w:rsid w:val="00C255A0"/>
    <w:rsid w:val="00C257E2"/>
    <w:rsid w:val="00C2588C"/>
    <w:rsid w:val="00C25B1E"/>
    <w:rsid w:val="00C2602A"/>
    <w:rsid w:val="00C26279"/>
    <w:rsid w:val="00C26679"/>
    <w:rsid w:val="00C266A9"/>
    <w:rsid w:val="00C26A26"/>
    <w:rsid w:val="00C26C66"/>
    <w:rsid w:val="00C26D9F"/>
    <w:rsid w:val="00C26DB2"/>
    <w:rsid w:val="00C26DF9"/>
    <w:rsid w:val="00C26E80"/>
    <w:rsid w:val="00C273C6"/>
    <w:rsid w:val="00C2770F"/>
    <w:rsid w:val="00C27AD2"/>
    <w:rsid w:val="00C302EC"/>
    <w:rsid w:val="00C3043C"/>
    <w:rsid w:val="00C30919"/>
    <w:rsid w:val="00C31213"/>
    <w:rsid w:val="00C313C4"/>
    <w:rsid w:val="00C3159C"/>
    <w:rsid w:val="00C3176E"/>
    <w:rsid w:val="00C3185F"/>
    <w:rsid w:val="00C31889"/>
    <w:rsid w:val="00C3197E"/>
    <w:rsid w:val="00C321B7"/>
    <w:rsid w:val="00C32658"/>
    <w:rsid w:val="00C32EC9"/>
    <w:rsid w:val="00C32FD8"/>
    <w:rsid w:val="00C32FED"/>
    <w:rsid w:val="00C33030"/>
    <w:rsid w:val="00C330A5"/>
    <w:rsid w:val="00C33838"/>
    <w:rsid w:val="00C338E4"/>
    <w:rsid w:val="00C33F7D"/>
    <w:rsid w:val="00C34150"/>
    <w:rsid w:val="00C34217"/>
    <w:rsid w:val="00C34452"/>
    <w:rsid w:val="00C349E4"/>
    <w:rsid w:val="00C34EE7"/>
    <w:rsid w:val="00C3500B"/>
    <w:rsid w:val="00C35DD8"/>
    <w:rsid w:val="00C362AB"/>
    <w:rsid w:val="00C36400"/>
    <w:rsid w:val="00C366EC"/>
    <w:rsid w:val="00C37115"/>
    <w:rsid w:val="00C371F0"/>
    <w:rsid w:val="00C374F8"/>
    <w:rsid w:val="00C37537"/>
    <w:rsid w:val="00C37B67"/>
    <w:rsid w:val="00C37E43"/>
    <w:rsid w:val="00C40210"/>
    <w:rsid w:val="00C403E1"/>
    <w:rsid w:val="00C404B6"/>
    <w:rsid w:val="00C405C8"/>
    <w:rsid w:val="00C40636"/>
    <w:rsid w:val="00C40E89"/>
    <w:rsid w:val="00C411AB"/>
    <w:rsid w:val="00C41204"/>
    <w:rsid w:val="00C413F4"/>
    <w:rsid w:val="00C41787"/>
    <w:rsid w:val="00C41EFC"/>
    <w:rsid w:val="00C42152"/>
    <w:rsid w:val="00C42415"/>
    <w:rsid w:val="00C428E6"/>
    <w:rsid w:val="00C42D1F"/>
    <w:rsid w:val="00C42D6D"/>
    <w:rsid w:val="00C42FBC"/>
    <w:rsid w:val="00C43251"/>
    <w:rsid w:val="00C439FC"/>
    <w:rsid w:val="00C43A66"/>
    <w:rsid w:val="00C4406D"/>
    <w:rsid w:val="00C4408A"/>
    <w:rsid w:val="00C440F7"/>
    <w:rsid w:val="00C44414"/>
    <w:rsid w:val="00C44445"/>
    <w:rsid w:val="00C444DB"/>
    <w:rsid w:val="00C446F8"/>
    <w:rsid w:val="00C44869"/>
    <w:rsid w:val="00C44B03"/>
    <w:rsid w:val="00C44BCE"/>
    <w:rsid w:val="00C44C6A"/>
    <w:rsid w:val="00C45321"/>
    <w:rsid w:val="00C45531"/>
    <w:rsid w:val="00C45565"/>
    <w:rsid w:val="00C4594A"/>
    <w:rsid w:val="00C45B71"/>
    <w:rsid w:val="00C46585"/>
    <w:rsid w:val="00C467D3"/>
    <w:rsid w:val="00C46BD4"/>
    <w:rsid w:val="00C46F18"/>
    <w:rsid w:val="00C4709D"/>
    <w:rsid w:val="00C471F9"/>
    <w:rsid w:val="00C472AE"/>
    <w:rsid w:val="00C47347"/>
    <w:rsid w:val="00C473C4"/>
    <w:rsid w:val="00C474B1"/>
    <w:rsid w:val="00C4785F"/>
    <w:rsid w:val="00C47999"/>
    <w:rsid w:val="00C47DD1"/>
    <w:rsid w:val="00C47E44"/>
    <w:rsid w:val="00C4955A"/>
    <w:rsid w:val="00C5011E"/>
    <w:rsid w:val="00C5011F"/>
    <w:rsid w:val="00C50201"/>
    <w:rsid w:val="00C5026F"/>
    <w:rsid w:val="00C502AC"/>
    <w:rsid w:val="00C507FD"/>
    <w:rsid w:val="00C51058"/>
    <w:rsid w:val="00C51259"/>
    <w:rsid w:val="00C51472"/>
    <w:rsid w:val="00C514DB"/>
    <w:rsid w:val="00C51666"/>
    <w:rsid w:val="00C51943"/>
    <w:rsid w:val="00C51E3F"/>
    <w:rsid w:val="00C51F95"/>
    <w:rsid w:val="00C51FCC"/>
    <w:rsid w:val="00C5210F"/>
    <w:rsid w:val="00C526EF"/>
    <w:rsid w:val="00C52A83"/>
    <w:rsid w:val="00C52BC7"/>
    <w:rsid w:val="00C52C9D"/>
    <w:rsid w:val="00C52D48"/>
    <w:rsid w:val="00C5343F"/>
    <w:rsid w:val="00C53C58"/>
    <w:rsid w:val="00C53DA8"/>
    <w:rsid w:val="00C53EE6"/>
    <w:rsid w:val="00C545EB"/>
    <w:rsid w:val="00C54AE2"/>
    <w:rsid w:val="00C553AF"/>
    <w:rsid w:val="00C553DE"/>
    <w:rsid w:val="00C55999"/>
    <w:rsid w:val="00C55F3C"/>
    <w:rsid w:val="00C55F94"/>
    <w:rsid w:val="00C560F2"/>
    <w:rsid w:val="00C5623C"/>
    <w:rsid w:val="00C564A8"/>
    <w:rsid w:val="00C565F8"/>
    <w:rsid w:val="00C566DD"/>
    <w:rsid w:val="00C56801"/>
    <w:rsid w:val="00C56A66"/>
    <w:rsid w:val="00C56BE8"/>
    <w:rsid w:val="00C56C11"/>
    <w:rsid w:val="00C56F8A"/>
    <w:rsid w:val="00C57400"/>
    <w:rsid w:val="00C576EF"/>
    <w:rsid w:val="00C579D0"/>
    <w:rsid w:val="00C57B5B"/>
    <w:rsid w:val="00C57B93"/>
    <w:rsid w:val="00C57C38"/>
    <w:rsid w:val="00C57EAF"/>
    <w:rsid w:val="00C603C7"/>
    <w:rsid w:val="00C60786"/>
    <w:rsid w:val="00C607B3"/>
    <w:rsid w:val="00C615A5"/>
    <w:rsid w:val="00C618F1"/>
    <w:rsid w:val="00C61A26"/>
    <w:rsid w:val="00C61AD7"/>
    <w:rsid w:val="00C61BB7"/>
    <w:rsid w:val="00C61C97"/>
    <w:rsid w:val="00C62262"/>
    <w:rsid w:val="00C6227E"/>
    <w:rsid w:val="00C6246E"/>
    <w:rsid w:val="00C62616"/>
    <w:rsid w:val="00C62836"/>
    <w:rsid w:val="00C62946"/>
    <w:rsid w:val="00C62CDF"/>
    <w:rsid w:val="00C63104"/>
    <w:rsid w:val="00C63189"/>
    <w:rsid w:val="00C632F9"/>
    <w:rsid w:val="00C6339A"/>
    <w:rsid w:val="00C6408D"/>
    <w:rsid w:val="00C6425C"/>
    <w:rsid w:val="00C6430C"/>
    <w:rsid w:val="00C648C2"/>
    <w:rsid w:val="00C64AE0"/>
    <w:rsid w:val="00C6534D"/>
    <w:rsid w:val="00C65943"/>
    <w:rsid w:val="00C66077"/>
    <w:rsid w:val="00C663AC"/>
    <w:rsid w:val="00C6648E"/>
    <w:rsid w:val="00C66750"/>
    <w:rsid w:val="00C673A5"/>
    <w:rsid w:val="00C67A1D"/>
    <w:rsid w:val="00C67ADD"/>
    <w:rsid w:val="00C7086B"/>
    <w:rsid w:val="00C70893"/>
    <w:rsid w:val="00C7095D"/>
    <w:rsid w:val="00C71025"/>
    <w:rsid w:val="00C711C1"/>
    <w:rsid w:val="00C717C5"/>
    <w:rsid w:val="00C71B81"/>
    <w:rsid w:val="00C71C77"/>
    <w:rsid w:val="00C71DC1"/>
    <w:rsid w:val="00C72446"/>
    <w:rsid w:val="00C7268F"/>
    <w:rsid w:val="00C72723"/>
    <w:rsid w:val="00C72921"/>
    <w:rsid w:val="00C73334"/>
    <w:rsid w:val="00C7388B"/>
    <w:rsid w:val="00C738E4"/>
    <w:rsid w:val="00C739E3"/>
    <w:rsid w:val="00C73AAD"/>
    <w:rsid w:val="00C740D4"/>
    <w:rsid w:val="00C7424B"/>
    <w:rsid w:val="00C7434E"/>
    <w:rsid w:val="00C74537"/>
    <w:rsid w:val="00C74A83"/>
    <w:rsid w:val="00C74B8B"/>
    <w:rsid w:val="00C7596F"/>
    <w:rsid w:val="00C75FF8"/>
    <w:rsid w:val="00C7621D"/>
    <w:rsid w:val="00C767E5"/>
    <w:rsid w:val="00C76B4D"/>
    <w:rsid w:val="00C76B5F"/>
    <w:rsid w:val="00C7780C"/>
    <w:rsid w:val="00C778AA"/>
    <w:rsid w:val="00C804B6"/>
    <w:rsid w:val="00C80C1D"/>
    <w:rsid w:val="00C80F73"/>
    <w:rsid w:val="00C812F3"/>
    <w:rsid w:val="00C81732"/>
    <w:rsid w:val="00C8177A"/>
    <w:rsid w:val="00C817C8"/>
    <w:rsid w:val="00C81CEB"/>
    <w:rsid w:val="00C81D2E"/>
    <w:rsid w:val="00C81ED9"/>
    <w:rsid w:val="00C821FD"/>
    <w:rsid w:val="00C8278E"/>
    <w:rsid w:val="00C82A37"/>
    <w:rsid w:val="00C82E26"/>
    <w:rsid w:val="00C83272"/>
    <w:rsid w:val="00C85510"/>
    <w:rsid w:val="00C85667"/>
    <w:rsid w:val="00C85736"/>
    <w:rsid w:val="00C85AFF"/>
    <w:rsid w:val="00C85B57"/>
    <w:rsid w:val="00C85F7C"/>
    <w:rsid w:val="00C865E0"/>
    <w:rsid w:val="00C867C9"/>
    <w:rsid w:val="00C870D8"/>
    <w:rsid w:val="00C900C1"/>
    <w:rsid w:val="00C9010F"/>
    <w:rsid w:val="00C9016A"/>
    <w:rsid w:val="00C903E5"/>
    <w:rsid w:val="00C90768"/>
    <w:rsid w:val="00C90B52"/>
    <w:rsid w:val="00C90BFF"/>
    <w:rsid w:val="00C91035"/>
    <w:rsid w:val="00C913A3"/>
    <w:rsid w:val="00C91A20"/>
    <w:rsid w:val="00C921A0"/>
    <w:rsid w:val="00C923CB"/>
    <w:rsid w:val="00C92677"/>
    <w:rsid w:val="00C92944"/>
    <w:rsid w:val="00C93406"/>
    <w:rsid w:val="00C935B0"/>
    <w:rsid w:val="00C937A6"/>
    <w:rsid w:val="00C93944"/>
    <w:rsid w:val="00C947D9"/>
    <w:rsid w:val="00C948F8"/>
    <w:rsid w:val="00C94B79"/>
    <w:rsid w:val="00C94BE9"/>
    <w:rsid w:val="00C94E63"/>
    <w:rsid w:val="00C95165"/>
    <w:rsid w:val="00C953B0"/>
    <w:rsid w:val="00C9552A"/>
    <w:rsid w:val="00C95F42"/>
    <w:rsid w:val="00C96512"/>
    <w:rsid w:val="00C96535"/>
    <w:rsid w:val="00C965D1"/>
    <w:rsid w:val="00C967DB"/>
    <w:rsid w:val="00C96BD9"/>
    <w:rsid w:val="00C96C1D"/>
    <w:rsid w:val="00C96F3A"/>
    <w:rsid w:val="00C97206"/>
    <w:rsid w:val="00C97275"/>
    <w:rsid w:val="00C9729F"/>
    <w:rsid w:val="00C978F5"/>
    <w:rsid w:val="00C97C88"/>
    <w:rsid w:val="00CA02B8"/>
    <w:rsid w:val="00CA0460"/>
    <w:rsid w:val="00CA0A51"/>
    <w:rsid w:val="00CA0ED7"/>
    <w:rsid w:val="00CA1199"/>
    <w:rsid w:val="00CA133C"/>
    <w:rsid w:val="00CA181E"/>
    <w:rsid w:val="00CA1C1C"/>
    <w:rsid w:val="00CA1F87"/>
    <w:rsid w:val="00CA2EC7"/>
    <w:rsid w:val="00CA30F5"/>
    <w:rsid w:val="00CA3FC3"/>
    <w:rsid w:val="00CA41E0"/>
    <w:rsid w:val="00CA420A"/>
    <w:rsid w:val="00CA47EE"/>
    <w:rsid w:val="00CA4841"/>
    <w:rsid w:val="00CA4A90"/>
    <w:rsid w:val="00CA58B1"/>
    <w:rsid w:val="00CA5A27"/>
    <w:rsid w:val="00CA5E34"/>
    <w:rsid w:val="00CA6434"/>
    <w:rsid w:val="00CA6D68"/>
    <w:rsid w:val="00CA6F83"/>
    <w:rsid w:val="00CA745A"/>
    <w:rsid w:val="00CA756E"/>
    <w:rsid w:val="00CA7DEF"/>
    <w:rsid w:val="00CA7E65"/>
    <w:rsid w:val="00CB0110"/>
    <w:rsid w:val="00CB0583"/>
    <w:rsid w:val="00CB0764"/>
    <w:rsid w:val="00CB0867"/>
    <w:rsid w:val="00CB0AE9"/>
    <w:rsid w:val="00CB0C34"/>
    <w:rsid w:val="00CB1068"/>
    <w:rsid w:val="00CB12C5"/>
    <w:rsid w:val="00CB154E"/>
    <w:rsid w:val="00CB280C"/>
    <w:rsid w:val="00CB2C9C"/>
    <w:rsid w:val="00CB2CB6"/>
    <w:rsid w:val="00CB2CE0"/>
    <w:rsid w:val="00CB3065"/>
    <w:rsid w:val="00CB319A"/>
    <w:rsid w:val="00CB341F"/>
    <w:rsid w:val="00CB3A9B"/>
    <w:rsid w:val="00CB3D47"/>
    <w:rsid w:val="00CB3DFB"/>
    <w:rsid w:val="00CB3F85"/>
    <w:rsid w:val="00CB4351"/>
    <w:rsid w:val="00CB47F6"/>
    <w:rsid w:val="00CB482D"/>
    <w:rsid w:val="00CB4AA2"/>
    <w:rsid w:val="00CB4D52"/>
    <w:rsid w:val="00CB5251"/>
    <w:rsid w:val="00CB575A"/>
    <w:rsid w:val="00CB5A08"/>
    <w:rsid w:val="00CB5B5A"/>
    <w:rsid w:val="00CB5D51"/>
    <w:rsid w:val="00CB5EAC"/>
    <w:rsid w:val="00CB686A"/>
    <w:rsid w:val="00CB69AA"/>
    <w:rsid w:val="00CB6D09"/>
    <w:rsid w:val="00CB7012"/>
    <w:rsid w:val="00CB70C5"/>
    <w:rsid w:val="00CB7635"/>
    <w:rsid w:val="00CB7AFF"/>
    <w:rsid w:val="00CB7CEC"/>
    <w:rsid w:val="00CB7FF1"/>
    <w:rsid w:val="00CC0185"/>
    <w:rsid w:val="00CC02A1"/>
    <w:rsid w:val="00CC0495"/>
    <w:rsid w:val="00CC0668"/>
    <w:rsid w:val="00CC0A49"/>
    <w:rsid w:val="00CC0C19"/>
    <w:rsid w:val="00CC0CFD"/>
    <w:rsid w:val="00CC0FFF"/>
    <w:rsid w:val="00CC1403"/>
    <w:rsid w:val="00CC172D"/>
    <w:rsid w:val="00CC1E0F"/>
    <w:rsid w:val="00CC208C"/>
    <w:rsid w:val="00CC2462"/>
    <w:rsid w:val="00CC2589"/>
    <w:rsid w:val="00CC305D"/>
    <w:rsid w:val="00CC327D"/>
    <w:rsid w:val="00CC3381"/>
    <w:rsid w:val="00CC3445"/>
    <w:rsid w:val="00CC345A"/>
    <w:rsid w:val="00CC3485"/>
    <w:rsid w:val="00CC35BB"/>
    <w:rsid w:val="00CC36C3"/>
    <w:rsid w:val="00CC37D9"/>
    <w:rsid w:val="00CC37F9"/>
    <w:rsid w:val="00CC3B06"/>
    <w:rsid w:val="00CC3BC3"/>
    <w:rsid w:val="00CC4554"/>
    <w:rsid w:val="00CC4AA6"/>
    <w:rsid w:val="00CC5868"/>
    <w:rsid w:val="00CC587C"/>
    <w:rsid w:val="00CC59E1"/>
    <w:rsid w:val="00CC61D5"/>
    <w:rsid w:val="00CC6645"/>
    <w:rsid w:val="00CC6869"/>
    <w:rsid w:val="00CC68ED"/>
    <w:rsid w:val="00CC702E"/>
    <w:rsid w:val="00CC7549"/>
    <w:rsid w:val="00CC760E"/>
    <w:rsid w:val="00CC7EBC"/>
    <w:rsid w:val="00CD02E5"/>
    <w:rsid w:val="00CD0388"/>
    <w:rsid w:val="00CD043E"/>
    <w:rsid w:val="00CD056F"/>
    <w:rsid w:val="00CD057F"/>
    <w:rsid w:val="00CD05A7"/>
    <w:rsid w:val="00CD06C1"/>
    <w:rsid w:val="00CD0AE1"/>
    <w:rsid w:val="00CD0CA4"/>
    <w:rsid w:val="00CD0F9F"/>
    <w:rsid w:val="00CD1149"/>
    <w:rsid w:val="00CD2986"/>
    <w:rsid w:val="00CD2B2B"/>
    <w:rsid w:val="00CD2C61"/>
    <w:rsid w:val="00CD2D39"/>
    <w:rsid w:val="00CD2E49"/>
    <w:rsid w:val="00CD2E69"/>
    <w:rsid w:val="00CD3014"/>
    <w:rsid w:val="00CD30E4"/>
    <w:rsid w:val="00CD3463"/>
    <w:rsid w:val="00CD3BFE"/>
    <w:rsid w:val="00CD3D31"/>
    <w:rsid w:val="00CD40D0"/>
    <w:rsid w:val="00CD477E"/>
    <w:rsid w:val="00CD493C"/>
    <w:rsid w:val="00CD4B9F"/>
    <w:rsid w:val="00CD4DC2"/>
    <w:rsid w:val="00CD4E0D"/>
    <w:rsid w:val="00CD5147"/>
    <w:rsid w:val="00CD53D4"/>
    <w:rsid w:val="00CD5663"/>
    <w:rsid w:val="00CD5668"/>
    <w:rsid w:val="00CD56CA"/>
    <w:rsid w:val="00CD589F"/>
    <w:rsid w:val="00CD597E"/>
    <w:rsid w:val="00CD5A4B"/>
    <w:rsid w:val="00CD5B46"/>
    <w:rsid w:val="00CD5C96"/>
    <w:rsid w:val="00CD5E45"/>
    <w:rsid w:val="00CD5FE6"/>
    <w:rsid w:val="00CD6013"/>
    <w:rsid w:val="00CD6029"/>
    <w:rsid w:val="00CD6525"/>
    <w:rsid w:val="00CD660F"/>
    <w:rsid w:val="00CD6AA6"/>
    <w:rsid w:val="00CD6B1E"/>
    <w:rsid w:val="00CD6CB2"/>
    <w:rsid w:val="00CD6F7A"/>
    <w:rsid w:val="00CD7119"/>
    <w:rsid w:val="00CD75BE"/>
    <w:rsid w:val="00CD773B"/>
    <w:rsid w:val="00CD77BD"/>
    <w:rsid w:val="00CD7B4A"/>
    <w:rsid w:val="00CD7EB4"/>
    <w:rsid w:val="00CD7FAD"/>
    <w:rsid w:val="00CDF21F"/>
    <w:rsid w:val="00CE006F"/>
    <w:rsid w:val="00CE0225"/>
    <w:rsid w:val="00CE04A6"/>
    <w:rsid w:val="00CE0770"/>
    <w:rsid w:val="00CE0E75"/>
    <w:rsid w:val="00CE136D"/>
    <w:rsid w:val="00CE165B"/>
    <w:rsid w:val="00CE1720"/>
    <w:rsid w:val="00CE17A2"/>
    <w:rsid w:val="00CE1B47"/>
    <w:rsid w:val="00CE2080"/>
    <w:rsid w:val="00CE23CC"/>
    <w:rsid w:val="00CE280A"/>
    <w:rsid w:val="00CE369B"/>
    <w:rsid w:val="00CE36F5"/>
    <w:rsid w:val="00CE3E52"/>
    <w:rsid w:val="00CE4A57"/>
    <w:rsid w:val="00CE4CFB"/>
    <w:rsid w:val="00CE4E42"/>
    <w:rsid w:val="00CE4E5D"/>
    <w:rsid w:val="00CE51E2"/>
    <w:rsid w:val="00CE5626"/>
    <w:rsid w:val="00CE56AC"/>
    <w:rsid w:val="00CE5D07"/>
    <w:rsid w:val="00CE5FBD"/>
    <w:rsid w:val="00CE725C"/>
    <w:rsid w:val="00CE74B0"/>
    <w:rsid w:val="00CE7579"/>
    <w:rsid w:val="00CE7783"/>
    <w:rsid w:val="00CE78F9"/>
    <w:rsid w:val="00CE7A50"/>
    <w:rsid w:val="00CE7E37"/>
    <w:rsid w:val="00CF085B"/>
    <w:rsid w:val="00CF08D3"/>
    <w:rsid w:val="00CF09E7"/>
    <w:rsid w:val="00CF0B26"/>
    <w:rsid w:val="00CF0BDA"/>
    <w:rsid w:val="00CF0C9A"/>
    <w:rsid w:val="00CF0D15"/>
    <w:rsid w:val="00CF13B5"/>
    <w:rsid w:val="00CF1627"/>
    <w:rsid w:val="00CF194F"/>
    <w:rsid w:val="00CF1C07"/>
    <w:rsid w:val="00CF1EC8"/>
    <w:rsid w:val="00CF229C"/>
    <w:rsid w:val="00CF273A"/>
    <w:rsid w:val="00CF289B"/>
    <w:rsid w:val="00CF28BA"/>
    <w:rsid w:val="00CF296F"/>
    <w:rsid w:val="00CF30FC"/>
    <w:rsid w:val="00CF34D7"/>
    <w:rsid w:val="00CF3563"/>
    <w:rsid w:val="00CF3C1A"/>
    <w:rsid w:val="00CF3E6A"/>
    <w:rsid w:val="00CF3F70"/>
    <w:rsid w:val="00CF417C"/>
    <w:rsid w:val="00CF41E9"/>
    <w:rsid w:val="00CF42E9"/>
    <w:rsid w:val="00CF47EC"/>
    <w:rsid w:val="00CF4FA1"/>
    <w:rsid w:val="00CF535C"/>
    <w:rsid w:val="00CF53C5"/>
    <w:rsid w:val="00CF572C"/>
    <w:rsid w:val="00CF6391"/>
    <w:rsid w:val="00CF6AB7"/>
    <w:rsid w:val="00CF707A"/>
    <w:rsid w:val="00CF7087"/>
    <w:rsid w:val="00CF715B"/>
    <w:rsid w:val="00CF75D6"/>
    <w:rsid w:val="00CF7DCD"/>
    <w:rsid w:val="00D00034"/>
    <w:rsid w:val="00D00507"/>
    <w:rsid w:val="00D00607"/>
    <w:rsid w:val="00D00696"/>
    <w:rsid w:val="00D00714"/>
    <w:rsid w:val="00D0095F"/>
    <w:rsid w:val="00D00B7E"/>
    <w:rsid w:val="00D00BBC"/>
    <w:rsid w:val="00D011F0"/>
    <w:rsid w:val="00D01214"/>
    <w:rsid w:val="00D0149A"/>
    <w:rsid w:val="00D0159B"/>
    <w:rsid w:val="00D016B9"/>
    <w:rsid w:val="00D02608"/>
    <w:rsid w:val="00D0276B"/>
    <w:rsid w:val="00D029FF"/>
    <w:rsid w:val="00D02C10"/>
    <w:rsid w:val="00D02C58"/>
    <w:rsid w:val="00D02E5F"/>
    <w:rsid w:val="00D033B5"/>
    <w:rsid w:val="00D034BC"/>
    <w:rsid w:val="00D03618"/>
    <w:rsid w:val="00D038D1"/>
    <w:rsid w:val="00D03DD6"/>
    <w:rsid w:val="00D03FAF"/>
    <w:rsid w:val="00D04009"/>
    <w:rsid w:val="00D0417A"/>
    <w:rsid w:val="00D04319"/>
    <w:rsid w:val="00D0481F"/>
    <w:rsid w:val="00D04D37"/>
    <w:rsid w:val="00D04EDC"/>
    <w:rsid w:val="00D0509F"/>
    <w:rsid w:val="00D05146"/>
    <w:rsid w:val="00D0516B"/>
    <w:rsid w:val="00D0566C"/>
    <w:rsid w:val="00D05727"/>
    <w:rsid w:val="00D0594F"/>
    <w:rsid w:val="00D06595"/>
    <w:rsid w:val="00D06F53"/>
    <w:rsid w:val="00D07A69"/>
    <w:rsid w:val="00D101B5"/>
    <w:rsid w:val="00D1030E"/>
    <w:rsid w:val="00D10321"/>
    <w:rsid w:val="00D103F0"/>
    <w:rsid w:val="00D1061D"/>
    <w:rsid w:val="00D1086A"/>
    <w:rsid w:val="00D10AE9"/>
    <w:rsid w:val="00D11073"/>
    <w:rsid w:val="00D11312"/>
    <w:rsid w:val="00D122DB"/>
    <w:rsid w:val="00D1259E"/>
    <w:rsid w:val="00D12949"/>
    <w:rsid w:val="00D13259"/>
    <w:rsid w:val="00D139EF"/>
    <w:rsid w:val="00D13E35"/>
    <w:rsid w:val="00D13E93"/>
    <w:rsid w:val="00D14177"/>
    <w:rsid w:val="00D141C2"/>
    <w:rsid w:val="00D1422D"/>
    <w:rsid w:val="00D14597"/>
    <w:rsid w:val="00D145AE"/>
    <w:rsid w:val="00D145B6"/>
    <w:rsid w:val="00D14A53"/>
    <w:rsid w:val="00D14A5B"/>
    <w:rsid w:val="00D14D1B"/>
    <w:rsid w:val="00D150C1"/>
    <w:rsid w:val="00D154E7"/>
    <w:rsid w:val="00D156D3"/>
    <w:rsid w:val="00D162BD"/>
    <w:rsid w:val="00D1651A"/>
    <w:rsid w:val="00D16C15"/>
    <w:rsid w:val="00D178D1"/>
    <w:rsid w:val="00D205BA"/>
    <w:rsid w:val="00D20BCE"/>
    <w:rsid w:val="00D20C83"/>
    <w:rsid w:val="00D20E2C"/>
    <w:rsid w:val="00D20F0F"/>
    <w:rsid w:val="00D20F5E"/>
    <w:rsid w:val="00D20FFB"/>
    <w:rsid w:val="00D210D2"/>
    <w:rsid w:val="00D213CD"/>
    <w:rsid w:val="00D215C3"/>
    <w:rsid w:val="00D21832"/>
    <w:rsid w:val="00D2186C"/>
    <w:rsid w:val="00D21A56"/>
    <w:rsid w:val="00D21BD1"/>
    <w:rsid w:val="00D2216D"/>
    <w:rsid w:val="00D22290"/>
    <w:rsid w:val="00D22484"/>
    <w:rsid w:val="00D23228"/>
    <w:rsid w:val="00D237B1"/>
    <w:rsid w:val="00D23CC1"/>
    <w:rsid w:val="00D2428E"/>
    <w:rsid w:val="00D24507"/>
    <w:rsid w:val="00D24741"/>
    <w:rsid w:val="00D24C95"/>
    <w:rsid w:val="00D24EA7"/>
    <w:rsid w:val="00D25124"/>
    <w:rsid w:val="00D251C5"/>
    <w:rsid w:val="00D255C6"/>
    <w:rsid w:val="00D26033"/>
    <w:rsid w:val="00D264F4"/>
    <w:rsid w:val="00D265B8"/>
    <w:rsid w:val="00D2696D"/>
    <w:rsid w:val="00D275F7"/>
    <w:rsid w:val="00D27672"/>
    <w:rsid w:val="00D27AB4"/>
    <w:rsid w:val="00D27CD6"/>
    <w:rsid w:val="00D27F75"/>
    <w:rsid w:val="00D30640"/>
    <w:rsid w:val="00D3067C"/>
    <w:rsid w:val="00D309B2"/>
    <w:rsid w:val="00D30A54"/>
    <w:rsid w:val="00D30FF9"/>
    <w:rsid w:val="00D31820"/>
    <w:rsid w:val="00D31A20"/>
    <w:rsid w:val="00D322BF"/>
    <w:rsid w:val="00D32435"/>
    <w:rsid w:val="00D32620"/>
    <w:rsid w:val="00D326CE"/>
    <w:rsid w:val="00D329AA"/>
    <w:rsid w:val="00D32F54"/>
    <w:rsid w:val="00D33408"/>
    <w:rsid w:val="00D334B2"/>
    <w:rsid w:val="00D339F9"/>
    <w:rsid w:val="00D33A36"/>
    <w:rsid w:val="00D33E1C"/>
    <w:rsid w:val="00D346BB"/>
    <w:rsid w:val="00D34715"/>
    <w:rsid w:val="00D3509B"/>
    <w:rsid w:val="00D350C6"/>
    <w:rsid w:val="00D35DD8"/>
    <w:rsid w:val="00D360D0"/>
    <w:rsid w:val="00D362AE"/>
    <w:rsid w:val="00D362E9"/>
    <w:rsid w:val="00D36453"/>
    <w:rsid w:val="00D365F0"/>
    <w:rsid w:val="00D3662E"/>
    <w:rsid w:val="00D367B8"/>
    <w:rsid w:val="00D3700F"/>
    <w:rsid w:val="00D372D1"/>
    <w:rsid w:val="00D3741F"/>
    <w:rsid w:val="00D3762F"/>
    <w:rsid w:val="00D376BD"/>
    <w:rsid w:val="00D37AE8"/>
    <w:rsid w:val="00D402DB"/>
    <w:rsid w:val="00D4044B"/>
    <w:rsid w:val="00D404D4"/>
    <w:rsid w:val="00D406D2"/>
    <w:rsid w:val="00D40761"/>
    <w:rsid w:val="00D40A21"/>
    <w:rsid w:val="00D411FF"/>
    <w:rsid w:val="00D41780"/>
    <w:rsid w:val="00D41FC9"/>
    <w:rsid w:val="00D420D2"/>
    <w:rsid w:val="00D42517"/>
    <w:rsid w:val="00D4260E"/>
    <w:rsid w:val="00D42BEF"/>
    <w:rsid w:val="00D42C79"/>
    <w:rsid w:val="00D42CBA"/>
    <w:rsid w:val="00D43536"/>
    <w:rsid w:val="00D4363D"/>
    <w:rsid w:val="00D43AE7"/>
    <w:rsid w:val="00D43B37"/>
    <w:rsid w:val="00D44085"/>
    <w:rsid w:val="00D440C6"/>
    <w:rsid w:val="00D443BF"/>
    <w:rsid w:val="00D4444E"/>
    <w:rsid w:val="00D44C49"/>
    <w:rsid w:val="00D44C7D"/>
    <w:rsid w:val="00D45048"/>
    <w:rsid w:val="00D452BC"/>
    <w:rsid w:val="00D455D3"/>
    <w:rsid w:val="00D4598B"/>
    <w:rsid w:val="00D45CD0"/>
    <w:rsid w:val="00D45D34"/>
    <w:rsid w:val="00D45D89"/>
    <w:rsid w:val="00D460CD"/>
    <w:rsid w:val="00D4633B"/>
    <w:rsid w:val="00D463FB"/>
    <w:rsid w:val="00D465F2"/>
    <w:rsid w:val="00D46773"/>
    <w:rsid w:val="00D4681B"/>
    <w:rsid w:val="00D46C6A"/>
    <w:rsid w:val="00D46FCC"/>
    <w:rsid w:val="00D472D4"/>
    <w:rsid w:val="00D47551"/>
    <w:rsid w:val="00D476C1"/>
    <w:rsid w:val="00D47A8B"/>
    <w:rsid w:val="00D47ACE"/>
    <w:rsid w:val="00D47C46"/>
    <w:rsid w:val="00D47EF5"/>
    <w:rsid w:val="00D47F29"/>
    <w:rsid w:val="00D5058D"/>
    <w:rsid w:val="00D506AC"/>
    <w:rsid w:val="00D50CA7"/>
    <w:rsid w:val="00D50E4A"/>
    <w:rsid w:val="00D51442"/>
    <w:rsid w:val="00D516EE"/>
    <w:rsid w:val="00D51CAF"/>
    <w:rsid w:val="00D51CF0"/>
    <w:rsid w:val="00D5211F"/>
    <w:rsid w:val="00D5266C"/>
    <w:rsid w:val="00D526B6"/>
    <w:rsid w:val="00D529A4"/>
    <w:rsid w:val="00D53064"/>
    <w:rsid w:val="00D5306A"/>
    <w:rsid w:val="00D53104"/>
    <w:rsid w:val="00D53B76"/>
    <w:rsid w:val="00D53BE2"/>
    <w:rsid w:val="00D54387"/>
    <w:rsid w:val="00D5449B"/>
    <w:rsid w:val="00D5494F"/>
    <w:rsid w:val="00D54A4C"/>
    <w:rsid w:val="00D54A4F"/>
    <w:rsid w:val="00D553AF"/>
    <w:rsid w:val="00D556C1"/>
    <w:rsid w:val="00D557EB"/>
    <w:rsid w:val="00D55DD6"/>
    <w:rsid w:val="00D5618F"/>
    <w:rsid w:val="00D562A1"/>
    <w:rsid w:val="00D56724"/>
    <w:rsid w:val="00D56993"/>
    <w:rsid w:val="00D5702A"/>
    <w:rsid w:val="00D5768B"/>
    <w:rsid w:val="00D57818"/>
    <w:rsid w:val="00D57A29"/>
    <w:rsid w:val="00D57C46"/>
    <w:rsid w:val="00D57CBB"/>
    <w:rsid w:val="00D6002C"/>
    <w:rsid w:val="00D6013A"/>
    <w:rsid w:val="00D60472"/>
    <w:rsid w:val="00D604A3"/>
    <w:rsid w:val="00D60502"/>
    <w:rsid w:val="00D60527"/>
    <w:rsid w:val="00D60A92"/>
    <w:rsid w:val="00D60B6B"/>
    <w:rsid w:val="00D61072"/>
    <w:rsid w:val="00D611D8"/>
    <w:rsid w:val="00D6157F"/>
    <w:rsid w:val="00D62523"/>
    <w:rsid w:val="00D6267E"/>
    <w:rsid w:val="00D62C1A"/>
    <w:rsid w:val="00D62E31"/>
    <w:rsid w:val="00D62F29"/>
    <w:rsid w:val="00D6333F"/>
    <w:rsid w:val="00D63400"/>
    <w:rsid w:val="00D634B2"/>
    <w:rsid w:val="00D63ACC"/>
    <w:rsid w:val="00D63C3E"/>
    <w:rsid w:val="00D63E1E"/>
    <w:rsid w:val="00D63F9C"/>
    <w:rsid w:val="00D64552"/>
    <w:rsid w:val="00D6485A"/>
    <w:rsid w:val="00D64E23"/>
    <w:rsid w:val="00D6536F"/>
    <w:rsid w:val="00D65444"/>
    <w:rsid w:val="00D6561D"/>
    <w:rsid w:val="00D6619B"/>
    <w:rsid w:val="00D662E3"/>
    <w:rsid w:val="00D6631F"/>
    <w:rsid w:val="00D665CE"/>
    <w:rsid w:val="00D665F5"/>
    <w:rsid w:val="00D66623"/>
    <w:rsid w:val="00D66810"/>
    <w:rsid w:val="00D6699F"/>
    <w:rsid w:val="00D669A4"/>
    <w:rsid w:val="00D66BD8"/>
    <w:rsid w:val="00D66D2A"/>
    <w:rsid w:val="00D67402"/>
    <w:rsid w:val="00D67553"/>
    <w:rsid w:val="00D67825"/>
    <w:rsid w:val="00D67972"/>
    <w:rsid w:val="00D67FFA"/>
    <w:rsid w:val="00D7003E"/>
    <w:rsid w:val="00D70191"/>
    <w:rsid w:val="00D70522"/>
    <w:rsid w:val="00D70754"/>
    <w:rsid w:val="00D70A42"/>
    <w:rsid w:val="00D70AB5"/>
    <w:rsid w:val="00D70D4F"/>
    <w:rsid w:val="00D70E79"/>
    <w:rsid w:val="00D71386"/>
    <w:rsid w:val="00D71495"/>
    <w:rsid w:val="00D71D8B"/>
    <w:rsid w:val="00D7218E"/>
    <w:rsid w:val="00D72230"/>
    <w:rsid w:val="00D72656"/>
    <w:rsid w:val="00D7279E"/>
    <w:rsid w:val="00D729A0"/>
    <w:rsid w:val="00D72C6A"/>
    <w:rsid w:val="00D72F90"/>
    <w:rsid w:val="00D72FF3"/>
    <w:rsid w:val="00D73353"/>
    <w:rsid w:val="00D73B87"/>
    <w:rsid w:val="00D74486"/>
    <w:rsid w:val="00D745A6"/>
    <w:rsid w:val="00D747BA"/>
    <w:rsid w:val="00D748C5"/>
    <w:rsid w:val="00D74927"/>
    <w:rsid w:val="00D74E30"/>
    <w:rsid w:val="00D74EEE"/>
    <w:rsid w:val="00D74F4E"/>
    <w:rsid w:val="00D7500F"/>
    <w:rsid w:val="00D75438"/>
    <w:rsid w:val="00D76166"/>
    <w:rsid w:val="00D76249"/>
    <w:rsid w:val="00D76312"/>
    <w:rsid w:val="00D76770"/>
    <w:rsid w:val="00D76ED7"/>
    <w:rsid w:val="00D77938"/>
    <w:rsid w:val="00D77F43"/>
    <w:rsid w:val="00D80CB9"/>
    <w:rsid w:val="00D8110F"/>
    <w:rsid w:val="00D81120"/>
    <w:rsid w:val="00D813F7"/>
    <w:rsid w:val="00D81435"/>
    <w:rsid w:val="00D8170F"/>
    <w:rsid w:val="00D81728"/>
    <w:rsid w:val="00D8210E"/>
    <w:rsid w:val="00D829A9"/>
    <w:rsid w:val="00D82B71"/>
    <w:rsid w:val="00D82D25"/>
    <w:rsid w:val="00D8327B"/>
    <w:rsid w:val="00D833C1"/>
    <w:rsid w:val="00D833C7"/>
    <w:rsid w:val="00D83ADA"/>
    <w:rsid w:val="00D83D2C"/>
    <w:rsid w:val="00D8444B"/>
    <w:rsid w:val="00D84659"/>
    <w:rsid w:val="00D84D43"/>
    <w:rsid w:val="00D84E6E"/>
    <w:rsid w:val="00D84F8F"/>
    <w:rsid w:val="00D852B3"/>
    <w:rsid w:val="00D85353"/>
    <w:rsid w:val="00D854A4"/>
    <w:rsid w:val="00D8595B"/>
    <w:rsid w:val="00D85A51"/>
    <w:rsid w:val="00D85F20"/>
    <w:rsid w:val="00D8768C"/>
    <w:rsid w:val="00D877BB"/>
    <w:rsid w:val="00D877DB"/>
    <w:rsid w:val="00D87BEB"/>
    <w:rsid w:val="00D87C4C"/>
    <w:rsid w:val="00D90118"/>
    <w:rsid w:val="00D904AA"/>
    <w:rsid w:val="00D90AFE"/>
    <w:rsid w:val="00D90B79"/>
    <w:rsid w:val="00D90ECB"/>
    <w:rsid w:val="00D910FC"/>
    <w:rsid w:val="00D912D2"/>
    <w:rsid w:val="00D91517"/>
    <w:rsid w:val="00D91838"/>
    <w:rsid w:val="00D91F4F"/>
    <w:rsid w:val="00D92110"/>
    <w:rsid w:val="00D9252D"/>
    <w:rsid w:val="00D92F35"/>
    <w:rsid w:val="00D9343D"/>
    <w:rsid w:val="00D93593"/>
    <w:rsid w:val="00D9370C"/>
    <w:rsid w:val="00D93DB2"/>
    <w:rsid w:val="00D93F9C"/>
    <w:rsid w:val="00D94490"/>
    <w:rsid w:val="00D94855"/>
    <w:rsid w:val="00D94DF5"/>
    <w:rsid w:val="00D95010"/>
    <w:rsid w:val="00D9531C"/>
    <w:rsid w:val="00D9586B"/>
    <w:rsid w:val="00D95925"/>
    <w:rsid w:val="00D95A25"/>
    <w:rsid w:val="00D95BEA"/>
    <w:rsid w:val="00D961E9"/>
    <w:rsid w:val="00D96222"/>
    <w:rsid w:val="00D96572"/>
    <w:rsid w:val="00D97C9D"/>
    <w:rsid w:val="00DA004E"/>
    <w:rsid w:val="00DA0190"/>
    <w:rsid w:val="00DA04DC"/>
    <w:rsid w:val="00DA07E0"/>
    <w:rsid w:val="00DA09A0"/>
    <w:rsid w:val="00DA0A4C"/>
    <w:rsid w:val="00DA111F"/>
    <w:rsid w:val="00DA134E"/>
    <w:rsid w:val="00DA1358"/>
    <w:rsid w:val="00DA1886"/>
    <w:rsid w:val="00DA1B50"/>
    <w:rsid w:val="00DA1B7E"/>
    <w:rsid w:val="00DA1C81"/>
    <w:rsid w:val="00DA1CF3"/>
    <w:rsid w:val="00DA1D33"/>
    <w:rsid w:val="00DA1FF2"/>
    <w:rsid w:val="00DA2216"/>
    <w:rsid w:val="00DA2469"/>
    <w:rsid w:val="00DA2C3C"/>
    <w:rsid w:val="00DA3E1A"/>
    <w:rsid w:val="00DA3FBA"/>
    <w:rsid w:val="00DA44FD"/>
    <w:rsid w:val="00DA462F"/>
    <w:rsid w:val="00DA4B83"/>
    <w:rsid w:val="00DA4B90"/>
    <w:rsid w:val="00DA4BD5"/>
    <w:rsid w:val="00DA513B"/>
    <w:rsid w:val="00DA5620"/>
    <w:rsid w:val="00DA5AF2"/>
    <w:rsid w:val="00DA5F05"/>
    <w:rsid w:val="00DA6094"/>
    <w:rsid w:val="00DA63AA"/>
    <w:rsid w:val="00DA6463"/>
    <w:rsid w:val="00DA6C84"/>
    <w:rsid w:val="00DA6D13"/>
    <w:rsid w:val="00DA6D55"/>
    <w:rsid w:val="00DA6F5F"/>
    <w:rsid w:val="00DA7228"/>
    <w:rsid w:val="00DA735C"/>
    <w:rsid w:val="00DA764D"/>
    <w:rsid w:val="00DA79EC"/>
    <w:rsid w:val="00DA7A66"/>
    <w:rsid w:val="00DB01F9"/>
    <w:rsid w:val="00DB02A3"/>
    <w:rsid w:val="00DB04D5"/>
    <w:rsid w:val="00DB0A0F"/>
    <w:rsid w:val="00DB0FC7"/>
    <w:rsid w:val="00DB13B8"/>
    <w:rsid w:val="00DB170D"/>
    <w:rsid w:val="00DB1758"/>
    <w:rsid w:val="00DB1E9F"/>
    <w:rsid w:val="00DB1FC7"/>
    <w:rsid w:val="00DB20D6"/>
    <w:rsid w:val="00DB2178"/>
    <w:rsid w:val="00DB2383"/>
    <w:rsid w:val="00DB257C"/>
    <w:rsid w:val="00DB268A"/>
    <w:rsid w:val="00DB28F7"/>
    <w:rsid w:val="00DB2D3C"/>
    <w:rsid w:val="00DB2F92"/>
    <w:rsid w:val="00DB32B9"/>
    <w:rsid w:val="00DB3516"/>
    <w:rsid w:val="00DB3601"/>
    <w:rsid w:val="00DB3AE6"/>
    <w:rsid w:val="00DB3EAA"/>
    <w:rsid w:val="00DB439A"/>
    <w:rsid w:val="00DB51AC"/>
    <w:rsid w:val="00DB56B4"/>
    <w:rsid w:val="00DB59ED"/>
    <w:rsid w:val="00DB625E"/>
    <w:rsid w:val="00DB66E4"/>
    <w:rsid w:val="00DB7399"/>
    <w:rsid w:val="00DB74F0"/>
    <w:rsid w:val="00DB75A7"/>
    <w:rsid w:val="00DB7715"/>
    <w:rsid w:val="00DB794A"/>
    <w:rsid w:val="00DB7A12"/>
    <w:rsid w:val="00DB7B8C"/>
    <w:rsid w:val="00DB7CB7"/>
    <w:rsid w:val="00DB7E33"/>
    <w:rsid w:val="00DC04DC"/>
    <w:rsid w:val="00DC04E1"/>
    <w:rsid w:val="00DC05DA"/>
    <w:rsid w:val="00DC0993"/>
    <w:rsid w:val="00DC0A82"/>
    <w:rsid w:val="00DC0CA1"/>
    <w:rsid w:val="00DC145B"/>
    <w:rsid w:val="00DC149F"/>
    <w:rsid w:val="00DC15EA"/>
    <w:rsid w:val="00DC1611"/>
    <w:rsid w:val="00DC17A1"/>
    <w:rsid w:val="00DC1C61"/>
    <w:rsid w:val="00DC1EFF"/>
    <w:rsid w:val="00DC2238"/>
    <w:rsid w:val="00DC2340"/>
    <w:rsid w:val="00DC284A"/>
    <w:rsid w:val="00DC2C97"/>
    <w:rsid w:val="00DC3A72"/>
    <w:rsid w:val="00DC41B2"/>
    <w:rsid w:val="00DC43A0"/>
    <w:rsid w:val="00DC4746"/>
    <w:rsid w:val="00DC4CBA"/>
    <w:rsid w:val="00DC4F51"/>
    <w:rsid w:val="00DC4F76"/>
    <w:rsid w:val="00DC5022"/>
    <w:rsid w:val="00DC505E"/>
    <w:rsid w:val="00DC510A"/>
    <w:rsid w:val="00DC53DE"/>
    <w:rsid w:val="00DC55E1"/>
    <w:rsid w:val="00DC56F5"/>
    <w:rsid w:val="00DC5C84"/>
    <w:rsid w:val="00DC5DE9"/>
    <w:rsid w:val="00DC62E3"/>
    <w:rsid w:val="00DC6A74"/>
    <w:rsid w:val="00DC6C7A"/>
    <w:rsid w:val="00DC6C8F"/>
    <w:rsid w:val="00DC7586"/>
    <w:rsid w:val="00DC767F"/>
    <w:rsid w:val="00DC77A1"/>
    <w:rsid w:val="00DC77AE"/>
    <w:rsid w:val="00DC7BF1"/>
    <w:rsid w:val="00DD0380"/>
    <w:rsid w:val="00DD0903"/>
    <w:rsid w:val="00DD13F9"/>
    <w:rsid w:val="00DD160D"/>
    <w:rsid w:val="00DD1CCA"/>
    <w:rsid w:val="00DD1CFA"/>
    <w:rsid w:val="00DD1E97"/>
    <w:rsid w:val="00DD1FBA"/>
    <w:rsid w:val="00DD21AC"/>
    <w:rsid w:val="00DD23AA"/>
    <w:rsid w:val="00DD269D"/>
    <w:rsid w:val="00DD2AA0"/>
    <w:rsid w:val="00DD3926"/>
    <w:rsid w:val="00DD3C00"/>
    <w:rsid w:val="00DD3D07"/>
    <w:rsid w:val="00DD40A2"/>
    <w:rsid w:val="00DD40C5"/>
    <w:rsid w:val="00DD434A"/>
    <w:rsid w:val="00DD44AE"/>
    <w:rsid w:val="00DD455F"/>
    <w:rsid w:val="00DD4CA9"/>
    <w:rsid w:val="00DD4CC7"/>
    <w:rsid w:val="00DD5491"/>
    <w:rsid w:val="00DD56B1"/>
    <w:rsid w:val="00DD5933"/>
    <w:rsid w:val="00DD5C3E"/>
    <w:rsid w:val="00DD5CA7"/>
    <w:rsid w:val="00DD6290"/>
    <w:rsid w:val="00DD63A2"/>
    <w:rsid w:val="00DD653F"/>
    <w:rsid w:val="00DD67E4"/>
    <w:rsid w:val="00DD6BD9"/>
    <w:rsid w:val="00DD6C6F"/>
    <w:rsid w:val="00DD6CC0"/>
    <w:rsid w:val="00DD7343"/>
    <w:rsid w:val="00DD741E"/>
    <w:rsid w:val="00DD759B"/>
    <w:rsid w:val="00DD7649"/>
    <w:rsid w:val="00DD78FF"/>
    <w:rsid w:val="00DD7926"/>
    <w:rsid w:val="00DD7C6E"/>
    <w:rsid w:val="00DD7E9B"/>
    <w:rsid w:val="00DD7F7C"/>
    <w:rsid w:val="00DDCF3B"/>
    <w:rsid w:val="00DE01F4"/>
    <w:rsid w:val="00DE060B"/>
    <w:rsid w:val="00DE0A82"/>
    <w:rsid w:val="00DE0DC2"/>
    <w:rsid w:val="00DE116A"/>
    <w:rsid w:val="00DE1414"/>
    <w:rsid w:val="00DE15B8"/>
    <w:rsid w:val="00DE1766"/>
    <w:rsid w:val="00DE1771"/>
    <w:rsid w:val="00DE1A53"/>
    <w:rsid w:val="00DE1D74"/>
    <w:rsid w:val="00DE2520"/>
    <w:rsid w:val="00DE2EC4"/>
    <w:rsid w:val="00DE302E"/>
    <w:rsid w:val="00DE3254"/>
    <w:rsid w:val="00DE3787"/>
    <w:rsid w:val="00DE386C"/>
    <w:rsid w:val="00DE41F2"/>
    <w:rsid w:val="00DE43B4"/>
    <w:rsid w:val="00DE4D23"/>
    <w:rsid w:val="00DE543B"/>
    <w:rsid w:val="00DE569F"/>
    <w:rsid w:val="00DE5CCD"/>
    <w:rsid w:val="00DE609B"/>
    <w:rsid w:val="00DE6235"/>
    <w:rsid w:val="00DE633D"/>
    <w:rsid w:val="00DE642F"/>
    <w:rsid w:val="00DE645D"/>
    <w:rsid w:val="00DE6C4B"/>
    <w:rsid w:val="00DE7474"/>
    <w:rsid w:val="00DE7B0D"/>
    <w:rsid w:val="00DE7DF2"/>
    <w:rsid w:val="00DE7EC5"/>
    <w:rsid w:val="00DF01D3"/>
    <w:rsid w:val="00DF03D5"/>
    <w:rsid w:val="00DF04FA"/>
    <w:rsid w:val="00DF0737"/>
    <w:rsid w:val="00DF0C5A"/>
    <w:rsid w:val="00DF0CE0"/>
    <w:rsid w:val="00DF0E42"/>
    <w:rsid w:val="00DF1496"/>
    <w:rsid w:val="00DF166A"/>
    <w:rsid w:val="00DF1713"/>
    <w:rsid w:val="00DF1A2D"/>
    <w:rsid w:val="00DF1B9A"/>
    <w:rsid w:val="00DF1C33"/>
    <w:rsid w:val="00DF2229"/>
    <w:rsid w:val="00DF24FB"/>
    <w:rsid w:val="00DF2589"/>
    <w:rsid w:val="00DF2D6B"/>
    <w:rsid w:val="00DF2E9D"/>
    <w:rsid w:val="00DF312D"/>
    <w:rsid w:val="00DF3252"/>
    <w:rsid w:val="00DF334D"/>
    <w:rsid w:val="00DF37E4"/>
    <w:rsid w:val="00DF3828"/>
    <w:rsid w:val="00DF3B3C"/>
    <w:rsid w:val="00DF3EF1"/>
    <w:rsid w:val="00DF51CF"/>
    <w:rsid w:val="00DF52FA"/>
    <w:rsid w:val="00DF544D"/>
    <w:rsid w:val="00DF5940"/>
    <w:rsid w:val="00DF5ACB"/>
    <w:rsid w:val="00DF5C9D"/>
    <w:rsid w:val="00DF5E4E"/>
    <w:rsid w:val="00DF5FCE"/>
    <w:rsid w:val="00DF634B"/>
    <w:rsid w:val="00DF672B"/>
    <w:rsid w:val="00DF690D"/>
    <w:rsid w:val="00DF7075"/>
    <w:rsid w:val="00DF7302"/>
    <w:rsid w:val="00DF734F"/>
    <w:rsid w:val="00DF7450"/>
    <w:rsid w:val="00DF748A"/>
    <w:rsid w:val="00DF7661"/>
    <w:rsid w:val="00DF7682"/>
    <w:rsid w:val="00DF7827"/>
    <w:rsid w:val="00DF7896"/>
    <w:rsid w:val="00DF79B8"/>
    <w:rsid w:val="00DF7C21"/>
    <w:rsid w:val="00DF7ECF"/>
    <w:rsid w:val="00DF7F9C"/>
    <w:rsid w:val="00E0014E"/>
    <w:rsid w:val="00E00304"/>
    <w:rsid w:val="00E00341"/>
    <w:rsid w:val="00E0080A"/>
    <w:rsid w:val="00E00B6F"/>
    <w:rsid w:val="00E00D9E"/>
    <w:rsid w:val="00E010E8"/>
    <w:rsid w:val="00E01288"/>
    <w:rsid w:val="00E01325"/>
    <w:rsid w:val="00E0199D"/>
    <w:rsid w:val="00E02582"/>
    <w:rsid w:val="00E029A2"/>
    <w:rsid w:val="00E03624"/>
    <w:rsid w:val="00E03D34"/>
    <w:rsid w:val="00E03F95"/>
    <w:rsid w:val="00E03FFB"/>
    <w:rsid w:val="00E04304"/>
    <w:rsid w:val="00E0431F"/>
    <w:rsid w:val="00E04A99"/>
    <w:rsid w:val="00E04DFD"/>
    <w:rsid w:val="00E04E43"/>
    <w:rsid w:val="00E04E78"/>
    <w:rsid w:val="00E059F1"/>
    <w:rsid w:val="00E05EA7"/>
    <w:rsid w:val="00E06089"/>
    <w:rsid w:val="00E062CB"/>
    <w:rsid w:val="00E0633B"/>
    <w:rsid w:val="00E067CD"/>
    <w:rsid w:val="00E069DF"/>
    <w:rsid w:val="00E06AB1"/>
    <w:rsid w:val="00E06BFE"/>
    <w:rsid w:val="00E073CC"/>
    <w:rsid w:val="00E07534"/>
    <w:rsid w:val="00E0781E"/>
    <w:rsid w:val="00E079D3"/>
    <w:rsid w:val="00E07B04"/>
    <w:rsid w:val="00E07D43"/>
    <w:rsid w:val="00E07D83"/>
    <w:rsid w:val="00E07E16"/>
    <w:rsid w:val="00E07ED9"/>
    <w:rsid w:val="00E0EAF2"/>
    <w:rsid w:val="00E100B7"/>
    <w:rsid w:val="00E10377"/>
    <w:rsid w:val="00E10B43"/>
    <w:rsid w:val="00E10EB4"/>
    <w:rsid w:val="00E11631"/>
    <w:rsid w:val="00E1164F"/>
    <w:rsid w:val="00E117F2"/>
    <w:rsid w:val="00E11ACA"/>
    <w:rsid w:val="00E11E90"/>
    <w:rsid w:val="00E12032"/>
    <w:rsid w:val="00E123D2"/>
    <w:rsid w:val="00E12409"/>
    <w:rsid w:val="00E124BA"/>
    <w:rsid w:val="00E12C84"/>
    <w:rsid w:val="00E12DA5"/>
    <w:rsid w:val="00E13056"/>
    <w:rsid w:val="00E13B9E"/>
    <w:rsid w:val="00E14233"/>
    <w:rsid w:val="00E142BF"/>
    <w:rsid w:val="00E14428"/>
    <w:rsid w:val="00E146F5"/>
    <w:rsid w:val="00E14D04"/>
    <w:rsid w:val="00E14D0D"/>
    <w:rsid w:val="00E15114"/>
    <w:rsid w:val="00E15454"/>
    <w:rsid w:val="00E15818"/>
    <w:rsid w:val="00E15AC2"/>
    <w:rsid w:val="00E1625E"/>
    <w:rsid w:val="00E16366"/>
    <w:rsid w:val="00E16CFA"/>
    <w:rsid w:val="00E16D68"/>
    <w:rsid w:val="00E16E99"/>
    <w:rsid w:val="00E17094"/>
    <w:rsid w:val="00E170C8"/>
    <w:rsid w:val="00E17922"/>
    <w:rsid w:val="00E179FB"/>
    <w:rsid w:val="00E20B27"/>
    <w:rsid w:val="00E20E43"/>
    <w:rsid w:val="00E21392"/>
    <w:rsid w:val="00E21B36"/>
    <w:rsid w:val="00E22032"/>
    <w:rsid w:val="00E221A0"/>
    <w:rsid w:val="00E22C39"/>
    <w:rsid w:val="00E22DA9"/>
    <w:rsid w:val="00E23404"/>
    <w:rsid w:val="00E235C5"/>
    <w:rsid w:val="00E238D4"/>
    <w:rsid w:val="00E23D85"/>
    <w:rsid w:val="00E23E93"/>
    <w:rsid w:val="00E243DC"/>
    <w:rsid w:val="00E244BF"/>
    <w:rsid w:val="00E25211"/>
    <w:rsid w:val="00E25466"/>
    <w:rsid w:val="00E2551D"/>
    <w:rsid w:val="00E2581A"/>
    <w:rsid w:val="00E25A93"/>
    <w:rsid w:val="00E25CED"/>
    <w:rsid w:val="00E2632A"/>
    <w:rsid w:val="00E2637C"/>
    <w:rsid w:val="00E26704"/>
    <w:rsid w:val="00E26911"/>
    <w:rsid w:val="00E26C6B"/>
    <w:rsid w:val="00E27007"/>
    <w:rsid w:val="00E274E3"/>
    <w:rsid w:val="00E27FC7"/>
    <w:rsid w:val="00E3001D"/>
    <w:rsid w:val="00E30187"/>
    <w:rsid w:val="00E301F1"/>
    <w:rsid w:val="00E3037B"/>
    <w:rsid w:val="00E30680"/>
    <w:rsid w:val="00E30D4D"/>
    <w:rsid w:val="00E3137E"/>
    <w:rsid w:val="00E32367"/>
    <w:rsid w:val="00E32442"/>
    <w:rsid w:val="00E32622"/>
    <w:rsid w:val="00E3278C"/>
    <w:rsid w:val="00E32B2E"/>
    <w:rsid w:val="00E32BDD"/>
    <w:rsid w:val="00E32BE2"/>
    <w:rsid w:val="00E32EEA"/>
    <w:rsid w:val="00E3347A"/>
    <w:rsid w:val="00E335F0"/>
    <w:rsid w:val="00E337FF"/>
    <w:rsid w:val="00E33CAE"/>
    <w:rsid w:val="00E33F77"/>
    <w:rsid w:val="00E34133"/>
    <w:rsid w:val="00E346B0"/>
    <w:rsid w:val="00E34A79"/>
    <w:rsid w:val="00E34AED"/>
    <w:rsid w:val="00E350ED"/>
    <w:rsid w:val="00E356DA"/>
    <w:rsid w:val="00E359D1"/>
    <w:rsid w:val="00E359D5"/>
    <w:rsid w:val="00E35B4A"/>
    <w:rsid w:val="00E36455"/>
    <w:rsid w:val="00E36A0E"/>
    <w:rsid w:val="00E36B8C"/>
    <w:rsid w:val="00E36C50"/>
    <w:rsid w:val="00E36F18"/>
    <w:rsid w:val="00E37044"/>
    <w:rsid w:val="00E377FE"/>
    <w:rsid w:val="00E3786D"/>
    <w:rsid w:val="00E37A7D"/>
    <w:rsid w:val="00E37C3D"/>
    <w:rsid w:val="00E40279"/>
    <w:rsid w:val="00E403DF"/>
    <w:rsid w:val="00E40E19"/>
    <w:rsid w:val="00E40EC7"/>
    <w:rsid w:val="00E41010"/>
    <w:rsid w:val="00E41686"/>
    <w:rsid w:val="00E41A4B"/>
    <w:rsid w:val="00E41B67"/>
    <w:rsid w:val="00E41C8B"/>
    <w:rsid w:val="00E42029"/>
    <w:rsid w:val="00E4285F"/>
    <w:rsid w:val="00E42C32"/>
    <w:rsid w:val="00E431C3"/>
    <w:rsid w:val="00E4343F"/>
    <w:rsid w:val="00E43871"/>
    <w:rsid w:val="00E43C0A"/>
    <w:rsid w:val="00E43DE1"/>
    <w:rsid w:val="00E43EDA"/>
    <w:rsid w:val="00E44148"/>
    <w:rsid w:val="00E44320"/>
    <w:rsid w:val="00E445A9"/>
    <w:rsid w:val="00E4465B"/>
    <w:rsid w:val="00E446B0"/>
    <w:rsid w:val="00E4493C"/>
    <w:rsid w:val="00E4497E"/>
    <w:rsid w:val="00E449CC"/>
    <w:rsid w:val="00E44A36"/>
    <w:rsid w:val="00E44D55"/>
    <w:rsid w:val="00E44E1B"/>
    <w:rsid w:val="00E45771"/>
    <w:rsid w:val="00E45D34"/>
    <w:rsid w:val="00E45FA9"/>
    <w:rsid w:val="00E46080"/>
    <w:rsid w:val="00E464DC"/>
    <w:rsid w:val="00E46A3C"/>
    <w:rsid w:val="00E46B4A"/>
    <w:rsid w:val="00E46E02"/>
    <w:rsid w:val="00E4723E"/>
    <w:rsid w:val="00E47826"/>
    <w:rsid w:val="00E479BA"/>
    <w:rsid w:val="00E47A2C"/>
    <w:rsid w:val="00E47C06"/>
    <w:rsid w:val="00E47F0B"/>
    <w:rsid w:val="00E50343"/>
    <w:rsid w:val="00E508FD"/>
    <w:rsid w:val="00E51025"/>
    <w:rsid w:val="00E511F8"/>
    <w:rsid w:val="00E5120E"/>
    <w:rsid w:val="00E5143A"/>
    <w:rsid w:val="00E515DD"/>
    <w:rsid w:val="00E516FF"/>
    <w:rsid w:val="00E518FE"/>
    <w:rsid w:val="00E5226D"/>
    <w:rsid w:val="00E52A5E"/>
    <w:rsid w:val="00E52B3A"/>
    <w:rsid w:val="00E52BC2"/>
    <w:rsid w:val="00E52BDB"/>
    <w:rsid w:val="00E52F33"/>
    <w:rsid w:val="00E5320A"/>
    <w:rsid w:val="00E53658"/>
    <w:rsid w:val="00E53BD3"/>
    <w:rsid w:val="00E54006"/>
    <w:rsid w:val="00E5422E"/>
    <w:rsid w:val="00E54333"/>
    <w:rsid w:val="00E54C43"/>
    <w:rsid w:val="00E54C60"/>
    <w:rsid w:val="00E54F2D"/>
    <w:rsid w:val="00E55972"/>
    <w:rsid w:val="00E55A1B"/>
    <w:rsid w:val="00E55CF8"/>
    <w:rsid w:val="00E55EA7"/>
    <w:rsid w:val="00E55F87"/>
    <w:rsid w:val="00E565F6"/>
    <w:rsid w:val="00E56910"/>
    <w:rsid w:val="00E570AC"/>
    <w:rsid w:val="00E57141"/>
    <w:rsid w:val="00E57972"/>
    <w:rsid w:val="00E57A9B"/>
    <w:rsid w:val="00E57DF6"/>
    <w:rsid w:val="00E5CA27"/>
    <w:rsid w:val="00E60739"/>
    <w:rsid w:val="00E60973"/>
    <w:rsid w:val="00E60C09"/>
    <w:rsid w:val="00E60C21"/>
    <w:rsid w:val="00E60E78"/>
    <w:rsid w:val="00E615BE"/>
    <w:rsid w:val="00E621A9"/>
    <w:rsid w:val="00E62587"/>
    <w:rsid w:val="00E62694"/>
    <w:rsid w:val="00E62982"/>
    <w:rsid w:val="00E62B9E"/>
    <w:rsid w:val="00E63039"/>
    <w:rsid w:val="00E63261"/>
    <w:rsid w:val="00E635B7"/>
    <w:rsid w:val="00E638E7"/>
    <w:rsid w:val="00E638FE"/>
    <w:rsid w:val="00E63B0D"/>
    <w:rsid w:val="00E63CD7"/>
    <w:rsid w:val="00E63F3A"/>
    <w:rsid w:val="00E6437B"/>
    <w:rsid w:val="00E64519"/>
    <w:rsid w:val="00E64539"/>
    <w:rsid w:val="00E64610"/>
    <w:rsid w:val="00E64C7C"/>
    <w:rsid w:val="00E64D1B"/>
    <w:rsid w:val="00E65181"/>
    <w:rsid w:val="00E651BD"/>
    <w:rsid w:val="00E65756"/>
    <w:rsid w:val="00E65910"/>
    <w:rsid w:val="00E66062"/>
    <w:rsid w:val="00E66082"/>
    <w:rsid w:val="00E663C0"/>
    <w:rsid w:val="00E667A6"/>
    <w:rsid w:val="00E668A4"/>
    <w:rsid w:val="00E66DB8"/>
    <w:rsid w:val="00E66DCD"/>
    <w:rsid w:val="00E66F92"/>
    <w:rsid w:val="00E66FA5"/>
    <w:rsid w:val="00E66FC4"/>
    <w:rsid w:val="00E6703D"/>
    <w:rsid w:val="00E6713B"/>
    <w:rsid w:val="00E672F5"/>
    <w:rsid w:val="00E674C7"/>
    <w:rsid w:val="00E67538"/>
    <w:rsid w:val="00E67779"/>
    <w:rsid w:val="00E67794"/>
    <w:rsid w:val="00E6795B"/>
    <w:rsid w:val="00E67B52"/>
    <w:rsid w:val="00E67ECC"/>
    <w:rsid w:val="00E6CABC"/>
    <w:rsid w:val="00E7004E"/>
    <w:rsid w:val="00E703CD"/>
    <w:rsid w:val="00E7044A"/>
    <w:rsid w:val="00E706AF"/>
    <w:rsid w:val="00E70D88"/>
    <w:rsid w:val="00E711DC"/>
    <w:rsid w:val="00E713BB"/>
    <w:rsid w:val="00E713F4"/>
    <w:rsid w:val="00E719E3"/>
    <w:rsid w:val="00E71BFE"/>
    <w:rsid w:val="00E71C10"/>
    <w:rsid w:val="00E71E87"/>
    <w:rsid w:val="00E7224D"/>
    <w:rsid w:val="00E723DF"/>
    <w:rsid w:val="00E7263B"/>
    <w:rsid w:val="00E72730"/>
    <w:rsid w:val="00E72FB0"/>
    <w:rsid w:val="00E732A8"/>
    <w:rsid w:val="00E73393"/>
    <w:rsid w:val="00E7360C"/>
    <w:rsid w:val="00E73C9F"/>
    <w:rsid w:val="00E73E81"/>
    <w:rsid w:val="00E74DEC"/>
    <w:rsid w:val="00E74E06"/>
    <w:rsid w:val="00E74F30"/>
    <w:rsid w:val="00E74F5F"/>
    <w:rsid w:val="00E754F6"/>
    <w:rsid w:val="00E75540"/>
    <w:rsid w:val="00E75882"/>
    <w:rsid w:val="00E7595D"/>
    <w:rsid w:val="00E75C1F"/>
    <w:rsid w:val="00E75C5F"/>
    <w:rsid w:val="00E75CB9"/>
    <w:rsid w:val="00E76358"/>
    <w:rsid w:val="00E766CA"/>
    <w:rsid w:val="00E76CF2"/>
    <w:rsid w:val="00E76DCA"/>
    <w:rsid w:val="00E77182"/>
    <w:rsid w:val="00E77237"/>
    <w:rsid w:val="00E772B5"/>
    <w:rsid w:val="00E77617"/>
    <w:rsid w:val="00E77BF3"/>
    <w:rsid w:val="00E77D87"/>
    <w:rsid w:val="00E8011D"/>
    <w:rsid w:val="00E80148"/>
    <w:rsid w:val="00E803B2"/>
    <w:rsid w:val="00E8070A"/>
    <w:rsid w:val="00E80945"/>
    <w:rsid w:val="00E80EA4"/>
    <w:rsid w:val="00E81BAF"/>
    <w:rsid w:val="00E826A6"/>
    <w:rsid w:val="00E82922"/>
    <w:rsid w:val="00E82AED"/>
    <w:rsid w:val="00E82D1B"/>
    <w:rsid w:val="00E833DC"/>
    <w:rsid w:val="00E8384E"/>
    <w:rsid w:val="00E83A6C"/>
    <w:rsid w:val="00E84878"/>
    <w:rsid w:val="00E84A41"/>
    <w:rsid w:val="00E84C6A"/>
    <w:rsid w:val="00E84E07"/>
    <w:rsid w:val="00E850EA"/>
    <w:rsid w:val="00E85518"/>
    <w:rsid w:val="00E85734"/>
    <w:rsid w:val="00E858BC"/>
    <w:rsid w:val="00E85913"/>
    <w:rsid w:val="00E85A22"/>
    <w:rsid w:val="00E85BBE"/>
    <w:rsid w:val="00E86148"/>
    <w:rsid w:val="00E86320"/>
    <w:rsid w:val="00E863BA"/>
    <w:rsid w:val="00E865C4"/>
    <w:rsid w:val="00E86B90"/>
    <w:rsid w:val="00E87A67"/>
    <w:rsid w:val="00E87D69"/>
    <w:rsid w:val="00E87DA7"/>
    <w:rsid w:val="00E87F3E"/>
    <w:rsid w:val="00E90116"/>
    <w:rsid w:val="00E90736"/>
    <w:rsid w:val="00E909B6"/>
    <w:rsid w:val="00E909EC"/>
    <w:rsid w:val="00E90C02"/>
    <w:rsid w:val="00E91093"/>
    <w:rsid w:val="00E916A9"/>
    <w:rsid w:val="00E91936"/>
    <w:rsid w:val="00E91C4A"/>
    <w:rsid w:val="00E91EE3"/>
    <w:rsid w:val="00E91F7E"/>
    <w:rsid w:val="00E92506"/>
    <w:rsid w:val="00E92935"/>
    <w:rsid w:val="00E92CFB"/>
    <w:rsid w:val="00E92F06"/>
    <w:rsid w:val="00E936B6"/>
    <w:rsid w:val="00E9392F"/>
    <w:rsid w:val="00E93B54"/>
    <w:rsid w:val="00E94217"/>
    <w:rsid w:val="00E94861"/>
    <w:rsid w:val="00E95186"/>
    <w:rsid w:val="00E951F9"/>
    <w:rsid w:val="00E95225"/>
    <w:rsid w:val="00E95535"/>
    <w:rsid w:val="00E958A8"/>
    <w:rsid w:val="00E95BEF"/>
    <w:rsid w:val="00E95E69"/>
    <w:rsid w:val="00E96550"/>
    <w:rsid w:val="00E966AA"/>
    <w:rsid w:val="00E96A84"/>
    <w:rsid w:val="00E96BA1"/>
    <w:rsid w:val="00E97104"/>
    <w:rsid w:val="00E974AB"/>
    <w:rsid w:val="00E977DE"/>
    <w:rsid w:val="00E97C8B"/>
    <w:rsid w:val="00E97DD1"/>
    <w:rsid w:val="00E97F95"/>
    <w:rsid w:val="00EA0369"/>
    <w:rsid w:val="00EA0606"/>
    <w:rsid w:val="00EA0864"/>
    <w:rsid w:val="00EA090E"/>
    <w:rsid w:val="00EA140D"/>
    <w:rsid w:val="00EA14E0"/>
    <w:rsid w:val="00EA17A5"/>
    <w:rsid w:val="00EA18A6"/>
    <w:rsid w:val="00EA1C92"/>
    <w:rsid w:val="00EA2077"/>
    <w:rsid w:val="00EA26B3"/>
    <w:rsid w:val="00EA2891"/>
    <w:rsid w:val="00EA31C2"/>
    <w:rsid w:val="00EA3299"/>
    <w:rsid w:val="00EA372E"/>
    <w:rsid w:val="00EA3773"/>
    <w:rsid w:val="00EA3AF1"/>
    <w:rsid w:val="00EA40FF"/>
    <w:rsid w:val="00EA4126"/>
    <w:rsid w:val="00EA4355"/>
    <w:rsid w:val="00EA43F4"/>
    <w:rsid w:val="00EA48DD"/>
    <w:rsid w:val="00EA4B1B"/>
    <w:rsid w:val="00EA4B7D"/>
    <w:rsid w:val="00EA4CEA"/>
    <w:rsid w:val="00EA4E67"/>
    <w:rsid w:val="00EA4EAE"/>
    <w:rsid w:val="00EA4F73"/>
    <w:rsid w:val="00EA4F92"/>
    <w:rsid w:val="00EA58F5"/>
    <w:rsid w:val="00EA5A12"/>
    <w:rsid w:val="00EA6998"/>
    <w:rsid w:val="00EA700E"/>
    <w:rsid w:val="00EA705B"/>
    <w:rsid w:val="00EA7B2E"/>
    <w:rsid w:val="00EB0402"/>
    <w:rsid w:val="00EB06BC"/>
    <w:rsid w:val="00EB085B"/>
    <w:rsid w:val="00EB1072"/>
    <w:rsid w:val="00EB1476"/>
    <w:rsid w:val="00EB18E9"/>
    <w:rsid w:val="00EB1A37"/>
    <w:rsid w:val="00EB1C7D"/>
    <w:rsid w:val="00EB1D7F"/>
    <w:rsid w:val="00EB25CC"/>
    <w:rsid w:val="00EB2863"/>
    <w:rsid w:val="00EB28D1"/>
    <w:rsid w:val="00EB2C18"/>
    <w:rsid w:val="00EB2C2D"/>
    <w:rsid w:val="00EB3242"/>
    <w:rsid w:val="00EB35CE"/>
    <w:rsid w:val="00EB3766"/>
    <w:rsid w:val="00EB3866"/>
    <w:rsid w:val="00EB3996"/>
    <w:rsid w:val="00EB3A43"/>
    <w:rsid w:val="00EB4010"/>
    <w:rsid w:val="00EB44CB"/>
    <w:rsid w:val="00EB4833"/>
    <w:rsid w:val="00EB4960"/>
    <w:rsid w:val="00EB4D7F"/>
    <w:rsid w:val="00EB4E92"/>
    <w:rsid w:val="00EB5BA6"/>
    <w:rsid w:val="00EB5FC5"/>
    <w:rsid w:val="00EB5FC6"/>
    <w:rsid w:val="00EB6243"/>
    <w:rsid w:val="00EB656E"/>
    <w:rsid w:val="00EB66B9"/>
    <w:rsid w:val="00EB67D5"/>
    <w:rsid w:val="00EB6BE9"/>
    <w:rsid w:val="00EB6CA0"/>
    <w:rsid w:val="00EB72E0"/>
    <w:rsid w:val="00EB7C2A"/>
    <w:rsid w:val="00EC04EB"/>
    <w:rsid w:val="00EC08A5"/>
    <w:rsid w:val="00EC1007"/>
    <w:rsid w:val="00EC1265"/>
    <w:rsid w:val="00EC1838"/>
    <w:rsid w:val="00EC18C1"/>
    <w:rsid w:val="00EC1970"/>
    <w:rsid w:val="00EC1B7A"/>
    <w:rsid w:val="00EC1C08"/>
    <w:rsid w:val="00EC2035"/>
    <w:rsid w:val="00EC205E"/>
    <w:rsid w:val="00EC2086"/>
    <w:rsid w:val="00EC2351"/>
    <w:rsid w:val="00EC30B1"/>
    <w:rsid w:val="00EC31E3"/>
    <w:rsid w:val="00EC34CF"/>
    <w:rsid w:val="00EC385F"/>
    <w:rsid w:val="00EC3899"/>
    <w:rsid w:val="00EC3AE2"/>
    <w:rsid w:val="00EC3CE8"/>
    <w:rsid w:val="00EC48B3"/>
    <w:rsid w:val="00EC4940"/>
    <w:rsid w:val="00EC5999"/>
    <w:rsid w:val="00EC611D"/>
    <w:rsid w:val="00EC6183"/>
    <w:rsid w:val="00EC6218"/>
    <w:rsid w:val="00EC6297"/>
    <w:rsid w:val="00EC631D"/>
    <w:rsid w:val="00EC6568"/>
    <w:rsid w:val="00EC6747"/>
    <w:rsid w:val="00EC6DE1"/>
    <w:rsid w:val="00EC7810"/>
    <w:rsid w:val="00EC7A91"/>
    <w:rsid w:val="00EC7C47"/>
    <w:rsid w:val="00EC7E06"/>
    <w:rsid w:val="00ED01F7"/>
    <w:rsid w:val="00ED0211"/>
    <w:rsid w:val="00ED04C0"/>
    <w:rsid w:val="00ED0709"/>
    <w:rsid w:val="00ED10ED"/>
    <w:rsid w:val="00ED11BE"/>
    <w:rsid w:val="00ED1647"/>
    <w:rsid w:val="00ED1DB0"/>
    <w:rsid w:val="00ED20D8"/>
    <w:rsid w:val="00ED243D"/>
    <w:rsid w:val="00ED249E"/>
    <w:rsid w:val="00ED2E66"/>
    <w:rsid w:val="00ED315D"/>
    <w:rsid w:val="00ED352C"/>
    <w:rsid w:val="00ED35C7"/>
    <w:rsid w:val="00ED3818"/>
    <w:rsid w:val="00ED391B"/>
    <w:rsid w:val="00ED41A6"/>
    <w:rsid w:val="00ED4313"/>
    <w:rsid w:val="00ED4827"/>
    <w:rsid w:val="00ED48A4"/>
    <w:rsid w:val="00ED4A29"/>
    <w:rsid w:val="00ED50E6"/>
    <w:rsid w:val="00ED51D3"/>
    <w:rsid w:val="00ED546C"/>
    <w:rsid w:val="00ED5941"/>
    <w:rsid w:val="00ED5B4B"/>
    <w:rsid w:val="00ED5BC3"/>
    <w:rsid w:val="00ED5F2E"/>
    <w:rsid w:val="00ED6350"/>
    <w:rsid w:val="00ED640F"/>
    <w:rsid w:val="00ED64C6"/>
    <w:rsid w:val="00ED64FD"/>
    <w:rsid w:val="00ED6508"/>
    <w:rsid w:val="00ED65AD"/>
    <w:rsid w:val="00ED67A3"/>
    <w:rsid w:val="00ED689D"/>
    <w:rsid w:val="00ED7044"/>
    <w:rsid w:val="00ED73F1"/>
    <w:rsid w:val="00ED7475"/>
    <w:rsid w:val="00ED7862"/>
    <w:rsid w:val="00ED78E8"/>
    <w:rsid w:val="00ED7D81"/>
    <w:rsid w:val="00ED7F30"/>
    <w:rsid w:val="00EE0098"/>
    <w:rsid w:val="00EE0500"/>
    <w:rsid w:val="00EE053C"/>
    <w:rsid w:val="00EE0C38"/>
    <w:rsid w:val="00EE0C93"/>
    <w:rsid w:val="00EE0C96"/>
    <w:rsid w:val="00EE0D32"/>
    <w:rsid w:val="00EE0FDD"/>
    <w:rsid w:val="00EE1372"/>
    <w:rsid w:val="00EE142C"/>
    <w:rsid w:val="00EE15B2"/>
    <w:rsid w:val="00EE1605"/>
    <w:rsid w:val="00EE1691"/>
    <w:rsid w:val="00EE16D6"/>
    <w:rsid w:val="00EE1833"/>
    <w:rsid w:val="00EE1835"/>
    <w:rsid w:val="00EE25AD"/>
    <w:rsid w:val="00EE2A28"/>
    <w:rsid w:val="00EE2A82"/>
    <w:rsid w:val="00EE3A19"/>
    <w:rsid w:val="00EE3F94"/>
    <w:rsid w:val="00EE3F99"/>
    <w:rsid w:val="00EE4070"/>
    <w:rsid w:val="00EE4367"/>
    <w:rsid w:val="00EE43C1"/>
    <w:rsid w:val="00EE4467"/>
    <w:rsid w:val="00EE4FEE"/>
    <w:rsid w:val="00EE5528"/>
    <w:rsid w:val="00EE55E3"/>
    <w:rsid w:val="00EE572C"/>
    <w:rsid w:val="00EE5C9D"/>
    <w:rsid w:val="00EE5EBF"/>
    <w:rsid w:val="00EE5F8A"/>
    <w:rsid w:val="00EE60A8"/>
    <w:rsid w:val="00EE60F1"/>
    <w:rsid w:val="00EE61B1"/>
    <w:rsid w:val="00EE61BC"/>
    <w:rsid w:val="00EE6636"/>
    <w:rsid w:val="00EE68C0"/>
    <w:rsid w:val="00EE6DF6"/>
    <w:rsid w:val="00EE6FE3"/>
    <w:rsid w:val="00EE715E"/>
    <w:rsid w:val="00EE71E7"/>
    <w:rsid w:val="00EE74DC"/>
    <w:rsid w:val="00EE75C6"/>
    <w:rsid w:val="00EE7719"/>
    <w:rsid w:val="00EE7750"/>
    <w:rsid w:val="00EE7839"/>
    <w:rsid w:val="00EE7C7A"/>
    <w:rsid w:val="00EF0033"/>
    <w:rsid w:val="00EF02AF"/>
    <w:rsid w:val="00EF0441"/>
    <w:rsid w:val="00EF05D3"/>
    <w:rsid w:val="00EF067F"/>
    <w:rsid w:val="00EF081A"/>
    <w:rsid w:val="00EF0B14"/>
    <w:rsid w:val="00EF0B46"/>
    <w:rsid w:val="00EF0C72"/>
    <w:rsid w:val="00EF0EDD"/>
    <w:rsid w:val="00EF1254"/>
    <w:rsid w:val="00EF1321"/>
    <w:rsid w:val="00EF15CE"/>
    <w:rsid w:val="00EF18C8"/>
    <w:rsid w:val="00EF1A7E"/>
    <w:rsid w:val="00EF23BA"/>
    <w:rsid w:val="00EF23D8"/>
    <w:rsid w:val="00EF2797"/>
    <w:rsid w:val="00EF2873"/>
    <w:rsid w:val="00EF2892"/>
    <w:rsid w:val="00EF2963"/>
    <w:rsid w:val="00EF29AF"/>
    <w:rsid w:val="00EF29C8"/>
    <w:rsid w:val="00EF2A47"/>
    <w:rsid w:val="00EF3073"/>
    <w:rsid w:val="00EF3602"/>
    <w:rsid w:val="00EF3750"/>
    <w:rsid w:val="00EF3766"/>
    <w:rsid w:val="00EF39AE"/>
    <w:rsid w:val="00EF3B7A"/>
    <w:rsid w:val="00EF40F6"/>
    <w:rsid w:val="00EF4331"/>
    <w:rsid w:val="00EF43FE"/>
    <w:rsid w:val="00EF452A"/>
    <w:rsid w:val="00EF4669"/>
    <w:rsid w:val="00EF4B43"/>
    <w:rsid w:val="00EF4C0F"/>
    <w:rsid w:val="00EF4EE1"/>
    <w:rsid w:val="00EF4F7F"/>
    <w:rsid w:val="00EF53E8"/>
    <w:rsid w:val="00EF5435"/>
    <w:rsid w:val="00EF5697"/>
    <w:rsid w:val="00EF5AC2"/>
    <w:rsid w:val="00EF5E12"/>
    <w:rsid w:val="00EF5F16"/>
    <w:rsid w:val="00EF60BA"/>
    <w:rsid w:val="00EF633A"/>
    <w:rsid w:val="00EF6979"/>
    <w:rsid w:val="00EF6CFB"/>
    <w:rsid w:val="00EF6E08"/>
    <w:rsid w:val="00EF6EBB"/>
    <w:rsid w:val="00EF74C2"/>
    <w:rsid w:val="00EF7B4F"/>
    <w:rsid w:val="00EF7CFC"/>
    <w:rsid w:val="00F00542"/>
    <w:rsid w:val="00F0055F"/>
    <w:rsid w:val="00F006ED"/>
    <w:rsid w:val="00F009C2"/>
    <w:rsid w:val="00F00E70"/>
    <w:rsid w:val="00F01271"/>
    <w:rsid w:val="00F0150D"/>
    <w:rsid w:val="00F016D1"/>
    <w:rsid w:val="00F01797"/>
    <w:rsid w:val="00F02711"/>
    <w:rsid w:val="00F02F78"/>
    <w:rsid w:val="00F02FAC"/>
    <w:rsid w:val="00F03008"/>
    <w:rsid w:val="00F034E2"/>
    <w:rsid w:val="00F03649"/>
    <w:rsid w:val="00F04090"/>
    <w:rsid w:val="00F0460F"/>
    <w:rsid w:val="00F0483F"/>
    <w:rsid w:val="00F04945"/>
    <w:rsid w:val="00F04AED"/>
    <w:rsid w:val="00F04C21"/>
    <w:rsid w:val="00F04E1D"/>
    <w:rsid w:val="00F0514A"/>
    <w:rsid w:val="00F05185"/>
    <w:rsid w:val="00F057A6"/>
    <w:rsid w:val="00F066A1"/>
    <w:rsid w:val="00F06A0C"/>
    <w:rsid w:val="00F06E39"/>
    <w:rsid w:val="00F07E2E"/>
    <w:rsid w:val="00F10457"/>
    <w:rsid w:val="00F10799"/>
    <w:rsid w:val="00F10A5F"/>
    <w:rsid w:val="00F10E41"/>
    <w:rsid w:val="00F1113A"/>
    <w:rsid w:val="00F11367"/>
    <w:rsid w:val="00F1187F"/>
    <w:rsid w:val="00F11AAE"/>
    <w:rsid w:val="00F11B33"/>
    <w:rsid w:val="00F12103"/>
    <w:rsid w:val="00F12766"/>
    <w:rsid w:val="00F12E95"/>
    <w:rsid w:val="00F132EE"/>
    <w:rsid w:val="00F133CF"/>
    <w:rsid w:val="00F139A4"/>
    <w:rsid w:val="00F14392"/>
    <w:rsid w:val="00F14476"/>
    <w:rsid w:val="00F146F6"/>
    <w:rsid w:val="00F1491A"/>
    <w:rsid w:val="00F14921"/>
    <w:rsid w:val="00F14A11"/>
    <w:rsid w:val="00F14A16"/>
    <w:rsid w:val="00F14B32"/>
    <w:rsid w:val="00F14E78"/>
    <w:rsid w:val="00F14E7D"/>
    <w:rsid w:val="00F14FEA"/>
    <w:rsid w:val="00F152D7"/>
    <w:rsid w:val="00F15A35"/>
    <w:rsid w:val="00F15AD5"/>
    <w:rsid w:val="00F15B38"/>
    <w:rsid w:val="00F15E0A"/>
    <w:rsid w:val="00F162DE"/>
    <w:rsid w:val="00F169F3"/>
    <w:rsid w:val="00F1739E"/>
    <w:rsid w:val="00F173AB"/>
    <w:rsid w:val="00F17616"/>
    <w:rsid w:val="00F1761B"/>
    <w:rsid w:val="00F17727"/>
    <w:rsid w:val="00F177D0"/>
    <w:rsid w:val="00F17EB9"/>
    <w:rsid w:val="00F17EF9"/>
    <w:rsid w:val="00F17F86"/>
    <w:rsid w:val="00F201B0"/>
    <w:rsid w:val="00F20245"/>
    <w:rsid w:val="00F206CD"/>
    <w:rsid w:val="00F21215"/>
    <w:rsid w:val="00F21943"/>
    <w:rsid w:val="00F21AE5"/>
    <w:rsid w:val="00F21B6A"/>
    <w:rsid w:val="00F21CED"/>
    <w:rsid w:val="00F22159"/>
    <w:rsid w:val="00F22BDD"/>
    <w:rsid w:val="00F22C1C"/>
    <w:rsid w:val="00F22DC8"/>
    <w:rsid w:val="00F22ED6"/>
    <w:rsid w:val="00F22F17"/>
    <w:rsid w:val="00F231E8"/>
    <w:rsid w:val="00F232D3"/>
    <w:rsid w:val="00F235BC"/>
    <w:rsid w:val="00F23891"/>
    <w:rsid w:val="00F238BA"/>
    <w:rsid w:val="00F2393C"/>
    <w:rsid w:val="00F239F7"/>
    <w:rsid w:val="00F23A28"/>
    <w:rsid w:val="00F23BA4"/>
    <w:rsid w:val="00F24075"/>
    <w:rsid w:val="00F2438C"/>
    <w:rsid w:val="00F2463A"/>
    <w:rsid w:val="00F2474C"/>
    <w:rsid w:val="00F24A4D"/>
    <w:rsid w:val="00F24B10"/>
    <w:rsid w:val="00F24FAC"/>
    <w:rsid w:val="00F2572B"/>
    <w:rsid w:val="00F25741"/>
    <w:rsid w:val="00F25A51"/>
    <w:rsid w:val="00F263F6"/>
    <w:rsid w:val="00F2650E"/>
    <w:rsid w:val="00F2681B"/>
    <w:rsid w:val="00F269C3"/>
    <w:rsid w:val="00F26BF6"/>
    <w:rsid w:val="00F27699"/>
    <w:rsid w:val="00F27808"/>
    <w:rsid w:val="00F27AFF"/>
    <w:rsid w:val="00F27C7B"/>
    <w:rsid w:val="00F3014E"/>
    <w:rsid w:val="00F303A6"/>
    <w:rsid w:val="00F304F0"/>
    <w:rsid w:val="00F30775"/>
    <w:rsid w:val="00F30F67"/>
    <w:rsid w:val="00F3112C"/>
    <w:rsid w:val="00F31229"/>
    <w:rsid w:val="00F3196F"/>
    <w:rsid w:val="00F31A60"/>
    <w:rsid w:val="00F31B4E"/>
    <w:rsid w:val="00F31C71"/>
    <w:rsid w:val="00F31F1A"/>
    <w:rsid w:val="00F320D2"/>
    <w:rsid w:val="00F3240F"/>
    <w:rsid w:val="00F3242E"/>
    <w:rsid w:val="00F329E7"/>
    <w:rsid w:val="00F32B15"/>
    <w:rsid w:val="00F32EE5"/>
    <w:rsid w:val="00F32FB8"/>
    <w:rsid w:val="00F33073"/>
    <w:rsid w:val="00F330EE"/>
    <w:rsid w:val="00F33363"/>
    <w:rsid w:val="00F33A71"/>
    <w:rsid w:val="00F33B1A"/>
    <w:rsid w:val="00F33B76"/>
    <w:rsid w:val="00F33B7C"/>
    <w:rsid w:val="00F33BEE"/>
    <w:rsid w:val="00F34432"/>
    <w:rsid w:val="00F347C9"/>
    <w:rsid w:val="00F34D95"/>
    <w:rsid w:val="00F34F3C"/>
    <w:rsid w:val="00F351D6"/>
    <w:rsid w:val="00F3523F"/>
    <w:rsid w:val="00F35406"/>
    <w:rsid w:val="00F35705"/>
    <w:rsid w:val="00F35782"/>
    <w:rsid w:val="00F35B3D"/>
    <w:rsid w:val="00F35C6D"/>
    <w:rsid w:val="00F35D60"/>
    <w:rsid w:val="00F3649D"/>
    <w:rsid w:val="00F36D68"/>
    <w:rsid w:val="00F37341"/>
    <w:rsid w:val="00F37986"/>
    <w:rsid w:val="00F37F9C"/>
    <w:rsid w:val="00F40051"/>
    <w:rsid w:val="00F40088"/>
    <w:rsid w:val="00F40162"/>
    <w:rsid w:val="00F4030C"/>
    <w:rsid w:val="00F40353"/>
    <w:rsid w:val="00F40848"/>
    <w:rsid w:val="00F40C69"/>
    <w:rsid w:val="00F40C9B"/>
    <w:rsid w:val="00F40D09"/>
    <w:rsid w:val="00F40F6E"/>
    <w:rsid w:val="00F41247"/>
    <w:rsid w:val="00F41283"/>
    <w:rsid w:val="00F4165F"/>
    <w:rsid w:val="00F417F6"/>
    <w:rsid w:val="00F41842"/>
    <w:rsid w:val="00F423B8"/>
    <w:rsid w:val="00F4292C"/>
    <w:rsid w:val="00F42B97"/>
    <w:rsid w:val="00F42BE1"/>
    <w:rsid w:val="00F43A45"/>
    <w:rsid w:val="00F43C42"/>
    <w:rsid w:val="00F43EFA"/>
    <w:rsid w:val="00F447CE"/>
    <w:rsid w:val="00F449C5"/>
    <w:rsid w:val="00F44A71"/>
    <w:rsid w:val="00F44B80"/>
    <w:rsid w:val="00F44EDC"/>
    <w:rsid w:val="00F45712"/>
    <w:rsid w:val="00F458EE"/>
    <w:rsid w:val="00F45F4B"/>
    <w:rsid w:val="00F45FDB"/>
    <w:rsid w:val="00F46A1A"/>
    <w:rsid w:val="00F46C3A"/>
    <w:rsid w:val="00F46CC5"/>
    <w:rsid w:val="00F46D4A"/>
    <w:rsid w:val="00F46F04"/>
    <w:rsid w:val="00F47C47"/>
    <w:rsid w:val="00F5037E"/>
    <w:rsid w:val="00F50831"/>
    <w:rsid w:val="00F50D05"/>
    <w:rsid w:val="00F51A1F"/>
    <w:rsid w:val="00F51A3B"/>
    <w:rsid w:val="00F51CA4"/>
    <w:rsid w:val="00F52633"/>
    <w:rsid w:val="00F528E5"/>
    <w:rsid w:val="00F52EC6"/>
    <w:rsid w:val="00F537A8"/>
    <w:rsid w:val="00F53DA5"/>
    <w:rsid w:val="00F54014"/>
    <w:rsid w:val="00F54702"/>
    <w:rsid w:val="00F54E00"/>
    <w:rsid w:val="00F54E8A"/>
    <w:rsid w:val="00F54F04"/>
    <w:rsid w:val="00F54F5C"/>
    <w:rsid w:val="00F5539B"/>
    <w:rsid w:val="00F55694"/>
    <w:rsid w:val="00F556EF"/>
    <w:rsid w:val="00F55DB8"/>
    <w:rsid w:val="00F55E7B"/>
    <w:rsid w:val="00F56200"/>
    <w:rsid w:val="00F56F64"/>
    <w:rsid w:val="00F5726B"/>
    <w:rsid w:val="00F5783A"/>
    <w:rsid w:val="00F578FA"/>
    <w:rsid w:val="00F5799D"/>
    <w:rsid w:val="00F57B5A"/>
    <w:rsid w:val="00F57E89"/>
    <w:rsid w:val="00F57E94"/>
    <w:rsid w:val="00F57F0F"/>
    <w:rsid w:val="00F604EF"/>
    <w:rsid w:val="00F605A4"/>
    <w:rsid w:val="00F6070E"/>
    <w:rsid w:val="00F60A8F"/>
    <w:rsid w:val="00F6132C"/>
    <w:rsid w:val="00F6135D"/>
    <w:rsid w:val="00F6171A"/>
    <w:rsid w:val="00F619BE"/>
    <w:rsid w:val="00F6287A"/>
    <w:rsid w:val="00F62AD9"/>
    <w:rsid w:val="00F62AF8"/>
    <w:rsid w:val="00F62CC6"/>
    <w:rsid w:val="00F62CE1"/>
    <w:rsid w:val="00F63279"/>
    <w:rsid w:val="00F63A17"/>
    <w:rsid w:val="00F63BA6"/>
    <w:rsid w:val="00F64D63"/>
    <w:rsid w:val="00F64E15"/>
    <w:rsid w:val="00F655D4"/>
    <w:rsid w:val="00F65CAD"/>
    <w:rsid w:val="00F65DBA"/>
    <w:rsid w:val="00F65E89"/>
    <w:rsid w:val="00F66154"/>
    <w:rsid w:val="00F66273"/>
    <w:rsid w:val="00F668AE"/>
    <w:rsid w:val="00F66C8C"/>
    <w:rsid w:val="00F66DC4"/>
    <w:rsid w:val="00F67046"/>
    <w:rsid w:val="00F6741F"/>
    <w:rsid w:val="00F67889"/>
    <w:rsid w:val="00F67910"/>
    <w:rsid w:val="00F6B622"/>
    <w:rsid w:val="00F7123E"/>
    <w:rsid w:val="00F71363"/>
    <w:rsid w:val="00F713F8"/>
    <w:rsid w:val="00F7140F"/>
    <w:rsid w:val="00F716EB"/>
    <w:rsid w:val="00F71E69"/>
    <w:rsid w:val="00F7210F"/>
    <w:rsid w:val="00F72249"/>
    <w:rsid w:val="00F724BF"/>
    <w:rsid w:val="00F72929"/>
    <w:rsid w:val="00F72E26"/>
    <w:rsid w:val="00F731E3"/>
    <w:rsid w:val="00F7325D"/>
    <w:rsid w:val="00F73703"/>
    <w:rsid w:val="00F73E4C"/>
    <w:rsid w:val="00F740FB"/>
    <w:rsid w:val="00F7424E"/>
    <w:rsid w:val="00F7484F"/>
    <w:rsid w:val="00F748E1"/>
    <w:rsid w:val="00F74E24"/>
    <w:rsid w:val="00F750C9"/>
    <w:rsid w:val="00F75268"/>
    <w:rsid w:val="00F7574D"/>
    <w:rsid w:val="00F759D3"/>
    <w:rsid w:val="00F75A27"/>
    <w:rsid w:val="00F7608F"/>
    <w:rsid w:val="00F765F6"/>
    <w:rsid w:val="00F7681F"/>
    <w:rsid w:val="00F76BE4"/>
    <w:rsid w:val="00F76F6C"/>
    <w:rsid w:val="00F77029"/>
    <w:rsid w:val="00F776C1"/>
    <w:rsid w:val="00F77A91"/>
    <w:rsid w:val="00F77AFE"/>
    <w:rsid w:val="00F77B76"/>
    <w:rsid w:val="00F8006C"/>
    <w:rsid w:val="00F803E3"/>
    <w:rsid w:val="00F80402"/>
    <w:rsid w:val="00F80537"/>
    <w:rsid w:val="00F806F2"/>
    <w:rsid w:val="00F807F7"/>
    <w:rsid w:val="00F808EC"/>
    <w:rsid w:val="00F809AE"/>
    <w:rsid w:val="00F80CB9"/>
    <w:rsid w:val="00F80E0B"/>
    <w:rsid w:val="00F810A4"/>
    <w:rsid w:val="00F81300"/>
    <w:rsid w:val="00F81653"/>
    <w:rsid w:val="00F81849"/>
    <w:rsid w:val="00F819A6"/>
    <w:rsid w:val="00F81A72"/>
    <w:rsid w:val="00F81DC0"/>
    <w:rsid w:val="00F81F21"/>
    <w:rsid w:val="00F81F8A"/>
    <w:rsid w:val="00F82346"/>
    <w:rsid w:val="00F82495"/>
    <w:rsid w:val="00F8310C"/>
    <w:rsid w:val="00F834BD"/>
    <w:rsid w:val="00F8397C"/>
    <w:rsid w:val="00F83B58"/>
    <w:rsid w:val="00F841B2"/>
    <w:rsid w:val="00F8469B"/>
    <w:rsid w:val="00F84755"/>
    <w:rsid w:val="00F84C0F"/>
    <w:rsid w:val="00F84FCE"/>
    <w:rsid w:val="00F85050"/>
    <w:rsid w:val="00F8517E"/>
    <w:rsid w:val="00F85285"/>
    <w:rsid w:val="00F85948"/>
    <w:rsid w:val="00F85A3A"/>
    <w:rsid w:val="00F85BC9"/>
    <w:rsid w:val="00F85E4E"/>
    <w:rsid w:val="00F86396"/>
    <w:rsid w:val="00F8692B"/>
    <w:rsid w:val="00F86C6F"/>
    <w:rsid w:val="00F86E79"/>
    <w:rsid w:val="00F87654"/>
    <w:rsid w:val="00F90757"/>
    <w:rsid w:val="00F907AD"/>
    <w:rsid w:val="00F91107"/>
    <w:rsid w:val="00F913B6"/>
    <w:rsid w:val="00F91529"/>
    <w:rsid w:val="00F915FA"/>
    <w:rsid w:val="00F91756"/>
    <w:rsid w:val="00F917A2"/>
    <w:rsid w:val="00F92042"/>
    <w:rsid w:val="00F92A03"/>
    <w:rsid w:val="00F92D19"/>
    <w:rsid w:val="00F93A32"/>
    <w:rsid w:val="00F93BD3"/>
    <w:rsid w:val="00F93DC4"/>
    <w:rsid w:val="00F94033"/>
    <w:rsid w:val="00F94799"/>
    <w:rsid w:val="00F94F46"/>
    <w:rsid w:val="00F95134"/>
    <w:rsid w:val="00F951BC"/>
    <w:rsid w:val="00F95376"/>
    <w:rsid w:val="00F95710"/>
    <w:rsid w:val="00F95EDB"/>
    <w:rsid w:val="00F96186"/>
    <w:rsid w:val="00F963DD"/>
    <w:rsid w:val="00F964AE"/>
    <w:rsid w:val="00F96742"/>
    <w:rsid w:val="00F96CAA"/>
    <w:rsid w:val="00F96D63"/>
    <w:rsid w:val="00F97293"/>
    <w:rsid w:val="00F97545"/>
    <w:rsid w:val="00FA009B"/>
    <w:rsid w:val="00FA04B1"/>
    <w:rsid w:val="00FA07C4"/>
    <w:rsid w:val="00FA0933"/>
    <w:rsid w:val="00FA0B67"/>
    <w:rsid w:val="00FA0B86"/>
    <w:rsid w:val="00FA0DEB"/>
    <w:rsid w:val="00FA0EF0"/>
    <w:rsid w:val="00FA101A"/>
    <w:rsid w:val="00FA1613"/>
    <w:rsid w:val="00FA1631"/>
    <w:rsid w:val="00FA1972"/>
    <w:rsid w:val="00FA1EF7"/>
    <w:rsid w:val="00FA23E8"/>
    <w:rsid w:val="00FA2605"/>
    <w:rsid w:val="00FA2617"/>
    <w:rsid w:val="00FA294D"/>
    <w:rsid w:val="00FA2C24"/>
    <w:rsid w:val="00FA2ED3"/>
    <w:rsid w:val="00FA3820"/>
    <w:rsid w:val="00FA3C1A"/>
    <w:rsid w:val="00FA3C92"/>
    <w:rsid w:val="00FA40B4"/>
    <w:rsid w:val="00FA416B"/>
    <w:rsid w:val="00FA4D37"/>
    <w:rsid w:val="00FA5BAF"/>
    <w:rsid w:val="00FA5C35"/>
    <w:rsid w:val="00FA612F"/>
    <w:rsid w:val="00FA6527"/>
    <w:rsid w:val="00FA679F"/>
    <w:rsid w:val="00FA6904"/>
    <w:rsid w:val="00FA6A80"/>
    <w:rsid w:val="00FA6EAB"/>
    <w:rsid w:val="00FA7194"/>
    <w:rsid w:val="00FA7635"/>
    <w:rsid w:val="00FA7803"/>
    <w:rsid w:val="00FA7B75"/>
    <w:rsid w:val="00FA7C51"/>
    <w:rsid w:val="00FA7D77"/>
    <w:rsid w:val="00FA7DB5"/>
    <w:rsid w:val="00FA7E8B"/>
    <w:rsid w:val="00FB0008"/>
    <w:rsid w:val="00FB005F"/>
    <w:rsid w:val="00FB012D"/>
    <w:rsid w:val="00FB039D"/>
    <w:rsid w:val="00FB0438"/>
    <w:rsid w:val="00FB0850"/>
    <w:rsid w:val="00FB0DF2"/>
    <w:rsid w:val="00FB0E91"/>
    <w:rsid w:val="00FB1008"/>
    <w:rsid w:val="00FB21C8"/>
    <w:rsid w:val="00FB251C"/>
    <w:rsid w:val="00FB26AF"/>
    <w:rsid w:val="00FB2E67"/>
    <w:rsid w:val="00FB3178"/>
    <w:rsid w:val="00FB31CA"/>
    <w:rsid w:val="00FB3F0F"/>
    <w:rsid w:val="00FB4052"/>
    <w:rsid w:val="00FB41C1"/>
    <w:rsid w:val="00FB4872"/>
    <w:rsid w:val="00FB48D1"/>
    <w:rsid w:val="00FB4A4E"/>
    <w:rsid w:val="00FB4B07"/>
    <w:rsid w:val="00FB4BE4"/>
    <w:rsid w:val="00FB507C"/>
    <w:rsid w:val="00FB5160"/>
    <w:rsid w:val="00FB5182"/>
    <w:rsid w:val="00FB67D4"/>
    <w:rsid w:val="00FB711B"/>
    <w:rsid w:val="00FB720A"/>
    <w:rsid w:val="00FB76F4"/>
    <w:rsid w:val="00FB770C"/>
    <w:rsid w:val="00FB773B"/>
    <w:rsid w:val="00FB773D"/>
    <w:rsid w:val="00FB77E6"/>
    <w:rsid w:val="00FB7B32"/>
    <w:rsid w:val="00FC0417"/>
    <w:rsid w:val="00FC04A2"/>
    <w:rsid w:val="00FC09CC"/>
    <w:rsid w:val="00FC0AA4"/>
    <w:rsid w:val="00FC10C3"/>
    <w:rsid w:val="00FC1101"/>
    <w:rsid w:val="00FC1225"/>
    <w:rsid w:val="00FC1CC0"/>
    <w:rsid w:val="00FC1D4C"/>
    <w:rsid w:val="00FC21A2"/>
    <w:rsid w:val="00FC2781"/>
    <w:rsid w:val="00FC2A72"/>
    <w:rsid w:val="00FC2FBC"/>
    <w:rsid w:val="00FC39AA"/>
    <w:rsid w:val="00FC3A07"/>
    <w:rsid w:val="00FC3D24"/>
    <w:rsid w:val="00FC40F0"/>
    <w:rsid w:val="00FC45BD"/>
    <w:rsid w:val="00FC45D4"/>
    <w:rsid w:val="00FC4657"/>
    <w:rsid w:val="00FC499A"/>
    <w:rsid w:val="00FC4D5F"/>
    <w:rsid w:val="00FC4DC9"/>
    <w:rsid w:val="00FC5270"/>
    <w:rsid w:val="00FC530A"/>
    <w:rsid w:val="00FC5876"/>
    <w:rsid w:val="00FC64A8"/>
    <w:rsid w:val="00FC65CA"/>
    <w:rsid w:val="00FC6B41"/>
    <w:rsid w:val="00FC6C29"/>
    <w:rsid w:val="00FC6DD9"/>
    <w:rsid w:val="00FC6F1A"/>
    <w:rsid w:val="00FC6F35"/>
    <w:rsid w:val="00FC703D"/>
    <w:rsid w:val="00FC705C"/>
    <w:rsid w:val="00FC7206"/>
    <w:rsid w:val="00FC7271"/>
    <w:rsid w:val="00FC732F"/>
    <w:rsid w:val="00FC7379"/>
    <w:rsid w:val="00FC73E4"/>
    <w:rsid w:val="00FC7417"/>
    <w:rsid w:val="00FC779A"/>
    <w:rsid w:val="00FC783D"/>
    <w:rsid w:val="00FC7885"/>
    <w:rsid w:val="00FC7A25"/>
    <w:rsid w:val="00FC7B0A"/>
    <w:rsid w:val="00FC7FD3"/>
    <w:rsid w:val="00FD0057"/>
    <w:rsid w:val="00FD0D5E"/>
    <w:rsid w:val="00FD186D"/>
    <w:rsid w:val="00FD1983"/>
    <w:rsid w:val="00FD1C47"/>
    <w:rsid w:val="00FD21F0"/>
    <w:rsid w:val="00FD21FA"/>
    <w:rsid w:val="00FD24A7"/>
    <w:rsid w:val="00FD29D8"/>
    <w:rsid w:val="00FD2A99"/>
    <w:rsid w:val="00FD2AC7"/>
    <w:rsid w:val="00FD3981"/>
    <w:rsid w:val="00FD3D0E"/>
    <w:rsid w:val="00FD483F"/>
    <w:rsid w:val="00FD518F"/>
    <w:rsid w:val="00FD528F"/>
    <w:rsid w:val="00FD6516"/>
    <w:rsid w:val="00FD6AB4"/>
    <w:rsid w:val="00FD6C44"/>
    <w:rsid w:val="00FD7187"/>
    <w:rsid w:val="00FD774D"/>
    <w:rsid w:val="00FD7919"/>
    <w:rsid w:val="00FD7A29"/>
    <w:rsid w:val="00FE03AD"/>
    <w:rsid w:val="00FE08BC"/>
    <w:rsid w:val="00FE095E"/>
    <w:rsid w:val="00FE0ADB"/>
    <w:rsid w:val="00FE16EB"/>
    <w:rsid w:val="00FE18D9"/>
    <w:rsid w:val="00FE1CE0"/>
    <w:rsid w:val="00FE1F05"/>
    <w:rsid w:val="00FE2440"/>
    <w:rsid w:val="00FE2543"/>
    <w:rsid w:val="00FE268B"/>
    <w:rsid w:val="00FE2BB0"/>
    <w:rsid w:val="00FE2C2F"/>
    <w:rsid w:val="00FE2C9D"/>
    <w:rsid w:val="00FE3633"/>
    <w:rsid w:val="00FE3FCF"/>
    <w:rsid w:val="00FE40FE"/>
    <w:rsid w:val="00FE42B5"/>
    <w:rsid w:val="00FE4435"/>
    <w:rsid w:val="00FE4436"/>
    <w:rsid w:val="00FE466C"/>
    <w:rsid w:val="00FE4CCC"/>
    <w:rsid w:val="00FE58FE"/>
    <w:rsid w:val="00FE5918"/>
    <w:rsid w:val="00FE5FC0"/>
    <w:rsid w:val="00FE6403"/>
    <w:rsid w:val="00FE6794"/>
    <w:rsid w:val="00FE6ADB"/>
    <w:rsid w:val="00FE6CDC"/>
    <w:rsid w:val="00FE72FB"/>
    <w:rsid w:val="00FE7352"/>
    <w:rsid w:val="00FE753A"/>
    <w:rsid w:val="00FE75BC"/>
    <w:rsid w:val="00FE7756"/>
    <w:rsid w:val="00FE7C79"/>
    <w:rsid w:val="00FF0A10"/>
    <w:rsid w:val="00FF0A36"/>
    <w:rsid w:val="00FF0F97"/>
    <w:rsid w:val="00FF11D8"/>
    <w:rsid w:val="00FF1662"/>
    <w:rsid w:val="00FF1778"/>
    <w:rsid w:val="00FF1D44"/>
    <w:rsid w:val="00FF2448"/>
    <w:rsid w:val="00FF25B4"/>
    <w:rsid w:val="00FF2A21"/>
    <w:rsid w:val="00FF2A42"/>
    <w:rsid w:val="00FF2C2B"/>
    <w:rsid w:val="00FF2E44"/>
    <w:rsid w:val="00FF2E5A"/>
    <w:rsid w:val="00FF3361"/>
    <w:rsid w:val="00FF34FC"/>
    <w:rsid w:val="00FF36E7"/>
    <w:rsid w:val="00FF36FB"/>
    <w:rsid w:val="00FF41E3"/>
    <w:rsid w:val="00FF47E9"/>
    <w:rsid w:val="00FF4982"/>
    <w:rsid w:val="00FF4BF3"/>
    <w:rsid w:val="00FF4DE3"/>
    <w:rsid w:val="00FF4E0C"/>
    <w:rsid w:val="00FF4FB4"/>
    <w:rsid w:val="00FF5715"/>
    <w:rsid w:val="00FF5894"/>
    <w:rsid w:val="00FF59B1"/>
    <w:rsid w:val="00FF5E04"/>
    <w:rsid w:val="00FF5F49"/>
    <w:rsid w:val="00FF5F9F"/>
    <w:rsid w:val="00FF6BBD"/>
    <w:rsid w:val="00FF6CB1"/>
    <w:rsid w:val="00FF6D28"/>
    <w:rsid w:val="00FF6F34"/>
    <w:rsid w:val="00FF7157"/>
    <w:rsid w:val="00FF759E"/>
    <w:rsid w:val="00FF76C5"/>
    <w:rsid w:val="00FF7732"/>
    <w:rsid w:val="00FF7A7B"/>
    <w:rsid w:val="010196BA"/>
    <w:rsid w:val="010AEC4A"/>
    <w:rsid w:val="010FD6E5"/>
    <w:rsid w:val="011E4065"/>
    <w:rsid w:val="0120967B"/>
    <w:rsid w:val="013271F8"/>
    <w:rsid w:val="01389756"/>
    <w:rsid w:val="0150080C"/>
    <w:rsid w:val="01560E5C"/>
    <w:rsid w:val="01579A28"/>
    <w:rsid w:val="01637E65"/>
    <w:rsid w:val="01660582"/>
    <w:rsid w:val="01698232"/>
    <w:rsid w:val="016985EA"/>
    <w:rsid w:val="01721C37"/>
    <w:rsid w:val="017B9829"/>
    <w:rsid w:val="01952E13"/>
    <w:rsid w:val="01993599"/>
    <w:rsid w:val="019E31D8"/>
    <w:rsid w:val="01AC1F5E"/>
    <w:rsid w:val="01AC37BF"/>
    <w:rsid w:val="01B0F3A2"/>
    <w:rsid w:val="01B5D69D"/>
    <w:rsid w:val="01B691BF"/>
    <w:rsid w:val="01C02754"/>
    <w:rsid w:val="01CAC1F1"/>
    <w:rsid w:val="01D1922E"/>
    <w:rsid w:val="01D32D09"/>
    <w:rsid w:val="01DAC553"/>
    <w:rsid w:val="01E3C8E3"/>
    <w:rsid w:val="01F69F1F"/>
    <w:rsid w:val="01FD0336"/>
    <w:rsid w:val="0202FEC7"/>
    <w:rsid w:val="0221974E"/>
    <w:rsid w:val="0224D1C6"/>
    <w:rsid w:val="022ADE41"/>
    <w:rsid w:val="022C5E21"/>
    <w:rsid w:val="02346259"/>
    <w:rsid w:val="02348159"/>
    <w:rsid w:val="023516BA"/>
    <w:rsid w:val="023D3F2E"/>
    <w:rsid w:val="023EEE22"/>
    <w:rsid w:val="023F9B39"/>
    <w:rsid w:val="024EA7F7"/>
    <w:rsid w:val="025065C2"/>
    <w:rsid w:val="025246B6"/>
    <w:rsid w:val="02529DB5"/>
    <w:rsid w:val="0261C69E"/>
    <w:rsid w:val="026C76F6"/>
    <w:rsid w:val="0275D985"/>
    <w:rsid w:val="027EB013"/>
    <w:rsid w:val="0280825E"/>
    <w:rsid w:val="0280E806"/>
    <w:rsid w:val="028BFD7C"/>
    <w:rsid w:val="028EFE17"/>
    <w:rsid w:val="0293149C"/>
    <w:rsid w:val="029AB899"/>
    <w:rsid w:val="029CB855"/>
    <w:rsid w:val="02A070D8"/>
    <w:rsid w:val="02A0C39F"/>
    <w:rsid w:val="02B8A558"/>
    <w:rsid w:val="02BBC306"/>
    <w:rsid w:val="02BF9984"/>
    <w:rsid w:val="02CC077E"/>
    <w:rsid w:val="02D7B85F"/>
    <w:rsid w:val="02E87F36"/>
    <w:rsid w:val="02F1A0A3"/>
    <w:rsid w:val="02F2824D"/>
    <w:rsid w:val="02F2C3F2"/>
    <w:rsid w:val="02F7CACF"/>
    <w:rsid w:val="02FA5205"/>
    <w:rsid w:val="02FEF2D7"/>
    <w:rsid w:val="030D665C"/>
    <w:rsid w:val="03107233"/>
    <w:rsid w:val="0327E1AC"/>
    <w:rsid w:val="033237A0"/>
    <w:rsid w:val="0334BF68"/>
    <w:rsid w:val="034705E5"/>
    <w:rsid w:val="03499DF7"/>
    <w:rsid w:val="035ACB36"/>
    <w:rsid w:val="035CB934"/>
    <w:rsid w:val="0360B90E"/>
    <w:rsid w:val="03689AB0"/>
    <w:rsid w:val="0370B87E"/>
    <w:rsid w:val="03828618"/>
    <w:rsid w:val="038A1A5B"/>
    <w:rsid w:val="03A57B57"/>
    <w:rsid w:val="03A5FF5B"/>
    <w:rsid w:val="03AAF10E"/>
    <w:rsid w:val="03AB11D1"/>
    <w:rsid w:val="03B185E5"/>
    <w:rsid w:val="03B357E5"/>
    <w:rsid w:val="03B7C808"/>
    <w:rsid w:val="03C23CD8"/>
    <w:rsid w:val="03C34F22"/>
    <w:rsid w:val="03C5E553"/>
    <w:rsid w:val="03D070AC"/>
    <w:rsid w:val="03D4DF4C"/>
    <w:rsid w:val="03DB3681"/>
    <w:rsid w:val="03DCD8FF"/>
    <w:rsid w:val="03E1C934"/>
    <w:rsid w:val="03E58FFA"/>
    <w:rsid w:val="03ED8AE9"/>
    <w:rsid w:val="03F07888"/>
    <w:rsid w:val="03F868A9"/>
    <w:rsid w:val="03FF9F71"/>
    <w:rsid w:val="0402E615"/>
    <w:rsid w:val="0407D11B"/>
    <w:rsid w:val="0417D0AB"/>
    <w:rsid w:val="041A1334"/>
    <w:rsid w:val="041BA0E9"/>
    <w:rsid w:val="04257898"/>
    <w:rsid w:val="04259061"/>
    <w:rsid w:val="04278E56"/>
    <w:rsid w:val="042848E1"/>
    <w:rsid w:val="042AAC5D"/>
    <w:rsid w:val="04388A75"/>
    <w:rsid w:val="04389D36"/>
    <w:rsid w:val="04457127"/>
    <w:rsid w:val="0446A0EC"/>
    <w:rsid w:val="044A6552"/>
    <w:rsid w:val="04591802"/>
    <w:rsid w:val="045E19AB"/>
    <w:rsid w:val="046E518C"/>
    <w:rsid w:val="04751AA3"/>
    <w:rsid w:val="0482FF18"/>
    <w:rsid w:val="048B3F61"/>
    <w:rsid w:val="048D782F"/>
    <w:rsid w:val="04939AA7"/>
    <w:rsid w:val="04962D7D"/>
    <w:rsid w:val="04BC8FAD"/>
    <w:rsid w:val="04BFC327"/>
    <w:rsid w:val="04C0BCCF"/>
    <w:rsid w:val="04C40986"/>
    <w:rsid w:val="04C66799"/>
    <w:rsid w:val="04C906E6"/>
    <w:rsid w:val="04CCCED5"/>
    <w:rsid w:val="04DBDB49"/>
    <w:rsid w:val="04E0C103"/>
    <w:rsid w:val="04E6AF44"/>
    <w:rsid w:val="04E74AA6"/>
    <w:rsid w:val="04F0B786"/>
    <w:rsid w:val="04FBF93E"/>
    <w:rsid w:val="050197E6"/>
    <w:rsid w:val="0503C5E8"/>
    <w:rsid w:val="050E6D55"/>
    <w:rsid w:val="0510FDE5"/>
    <w:rsid w:val="05221B9A"/>
    <w:rsid w:val="052870A6"/>
    <w:rsid w:val="0528BCB5"/>
    <w:rsid w:val="05291562"/>
    <w:rsid w:val="052BADA0"/>
    <w:rsid w:val="052E0E0B"/>
    <w:rsid w:val="05312586"/>
    <w:rsid w:val="0532A8FF"/>
    <w:rsid w:val="053C2A98"/>
    <w:rsid w:val="05464E0E"/>
    <w:rsid w:val="054A94FC"/>
    <w:rsid w:val="05537F07"/>
    <w:rsid w:val="05664B85"/>
    <w:rsid w:val="05670EDC"/>
    <w:rsid w:val="05689C7E"/>
    <w:rsid w:val="05750311"/>
    <w:rsid w:val="05751E78"/>
    <w:rsid w:val="0575EF6C"/>
    <w:rsid w:val="057CC9C9"/>
    <w:rsid w:val="057D58D2"/>
    <w:rsid w:val="05832F79"/>
    <w:rsid w:val="05958C83"/>
    <w:rsid w:val="0596241D"/>
    <w:rsid w:val="059E0EE1"/>
    <w:rsid w:val="059E29BA"/>
    <w:rsid w:val="05AAE509"/>
    <w:rsid w:val="05B046BF"/>
    <w:rsid w:val="05B80801"/>
    <w:rsid w:val="05B9140C"/>
    <w:rsid w:val="05C19831"/>
    <w:rsid w:val="05C29B48"/>
    <w:rsid w:val="05C30B82"/>
    <w:rsid w:val="05D648A9"/>
    <w:rsid w:val="05DE5F90"/>
    <w:rsid w:val="05E0C4B5"/>
    <w:rsid w:val="05E7FCDB"/>
    <w:rsid w:val="05F9B8F1"/>
    <w:rsid w:val="05FF7E59"/>
    <w:rsid w:val="0603CEBD"/>
    <w:rsid w:val="0606B21F"/>
    <w:rsid w:val="060AAEA8"/>
    <w:rsid w:val="060E831B"/>
    <w:rsid w:val="06130C64"/>
    <w:rsid w:val="06159676"/>
    <w:rsid w:val="0618E315"/>
    <w:rsid w:val="061E5D3D"/>
    <w:rsid w:val="061EBCAE"/>
    <w:rsid w:val="06204727"/>
    <w:rsid w:val="062ACC63"/>
    <w:rsid w:val="0630B690"/>
    <w:rsid w:val="0636B45B"/>
    <w:rsid w:val="063F830B"/>
    <w:rsid w:val="0646F684"/>
    <w:rsid w:val="064B2061"/>
    <w:rsid w:val="064C1321"/>
    <w:rsid w:val="06526C97"/>
    <w:rsid w:val="06550115"/>
    <w:rsid w:val="065A3AE7"/>
    <w:rsid w:val="06619EAA"/>
    <w:rsid w:val="06629EE6"/>
    <w:rsid w:val="067466B6"/>
    <w:rsid w:val="067747B6"/>
    <w:rsid w:val="0679D580"/>
    <w:rsid w:val="067E1CBA"/>
    <w:rsid w:val="06886091"/>
    <w:rsid w:val="068DF262"/>
    <w:rsid w:val="068EB052"/>
    <w:rsid w:val="069DEE3C"/>
    <w:rsid w:val="06A26F95"/>
    <w:rsid w:val="06B0D889"/>
    <w:rsid w:val="06B13B62"/>
    <w:rsid w:val="06B32F43"/>
    <w:rsid w:val="06B396A3"/>
    <w:rsid w:val="06B682AE"/>
    <w:rsid w:val="06B81E12"/>
    <w:rsid w:val="06C4531E"/>
    <w:rsid w:val="06D992FA"/>
    <w:rsid w:val="06E7B6AE"/>
    <w:rsid w:val="06F90D8C"/>
    <w:rsid w:val="07004FE3"/>
    <w:rsid w:val="070288DB"/>
    <w:rsid w:val="0705543E"/>
    <w:rsid w:val="07131859"/>
    <w:rsid w:val="072AB933"/>
    <w:rsid w:val="0736284D"/>
    <w:rsid w:val="073D355F"/>
    <w:rsid w:val="073E8B86"/>
    <w:rsid w:val="073F7E7F"/>
    <w:rsid w:val="074073BE"/>
    <w:rsid w:val="074ED5D8"/>
    <w:rsid w:val="076733EC"/>
    <w:rsid w:val="0769AC68"/>
    <w:rsid w:val="076FE594"/>
    <w:rsid w:val="077E7B16"/>
    <w:rsid w:val="07832C78"/>
    <w:rsid w:val="07856FFA"/>
    <w:rsid w:val="078C2CE3"/>
    <w:rsid w:val="07917F07"/>
    <w:rsid w:val="079DC8EA"/>
    <w:rsid w:val="07A2160E"/>
    <w:rsid w:val="07A2B0B6"/>
    <w:rsid w:val="07A79356"/>
    <w:rsid w:val="07AA766B"/>
    <w:rsid w:val="07B90AE7"/>
    <w:rsid w:val="07BF9FD2"/>
    <w:rsid w:val="07C2DA41"/>
    <w:rsid w:val="07C35855"/>
    <w:rsid w:val="07D87BA7"/>
    <w:rsid w:val="07E7D4CD"/>
    <w:rsid w:val="07EE429D"/>
    <w:rsid w:val="07F79B9A"/>
    <w:rsid w:val="07F89D0C"/>
    <w:rsid w:val="07FE7D19"/>
    <w:rsid w:val="08010147"/>
    <w:rsid w:val="0803CD17"/>
    <w:rsid w:val="0807987E"/>
    <w:rsid w:val="080CC7CF"/>
    <w:rsid w:val="08123D3D"/>
    <w:rsid w:val="081A496C"/>
    <w:rsid w:val="081B3E1A"/>
    <w:rsid w:val="0831AA12"/>
    <w:rsid w:val="08445145"/>
    <w:rsid w:val="08486A79"/>
    <w:rsid w:val="084886CF"/>
    <w:rsid w:val="084D5AE1"/>
    <w:rsid w:val="084FB472"/>
    <w:rsid w:val="085D954A"/>
    <w:rsid w:val="085DA8F3"/>
    <w:rsid w:val="086B9C72"/>
    <w:rsid w:val="0872A8DE"/>
    <w:rsid w:val="0886D521"/>
    <w:rsid w:val="08981240"/>
    <w:rsid w:val="089CB7BC"/>
    <w:rsid w:val="08A3D687"/>
    <w:rsid w:val="08A4E592"/>
    <w:rsid w:val="08A530CB"/>
    <w:rsid w:val="08AB2A14"/>
    <w:rsid w:val="08AC083E"/>
    <w:rsid w:val="08AED60B"/>
    <w:rsid w:val="08B35ACF"/>
    <w:rsid w:val="08BCC20B"/>
    <w:rsid w:val="08C35557"/>
    <w:rsid w:val="08C510CE"/>
    <w:rsid w:val="08C68AFF"/>
    <w:rsid w:val="08C95CC4"/>
    <w:rsid w:val="08CD5E90"/>
    <w:rsid w:val="08D04BBB"/>
    <w:rsid w:val="08D13D22"/>
    <w:rsid w:val="08D2BC7C"/>
    <w:rsid w:val="08D5652B"/>
    <w:rsid w:val="08D634F0"/>
    <w:rsid w:val="08DF26BC"/>
    <w:rsid w:val="08DF89BB"/>
    <w:rsid w:val="08E6CB8C"/>
    <w:rsid w:val="08E8ABE3"/>
    <w:rsid w:val="08EB80F6"/>
    <w:rsid w:val="08EEF213"/>
    <w:rsid w:val="08F3555B"/>
    <w:rsid w:val="08F42B44"/>
    <w:rsid w:val="08F909C9"/>
    <w:rsid w:val="09069ABA"/>
    <w:rsid w:val="091B33C6"/>
    <w:rsid w:val="09220E82"/>
    <w:rsid w:val="09239E04"/>
    <w:rsid w:val="092BA955"/>
    <w:rsid w:val="092BA987"/>
    <w:rsid w:val="0938BB6B"/>
    <w:rsid w:val="093E6D7C"/>
    <w:rsid w:val="0943C12D"/>
    <w:rsid w:val="097DF8CC"/>
    <w:rsid w:val="09814B17"/>
    <w:rsid w:val="09838EAA"/>
    <w:rsid w:val="0989717C"/>
    <w:rsid w:val="0989B8EF"/>
    <w:rsid w:val="0998A638"/>
    <w:rsid w:val="0998D3F5"/>
    <w:rsid w:val="09AABE83"/>
    <w:rsid w:val="09ADA7A0"/>
    <w:rsid w:val="09AEEAA9"/>
    <w:rsid w:val="09AFD84D"/>
    <w:rsid w:val="09B18FB1"/>
    <w:rsid w:val="09B806CE"/>
    <w:rsid w:val="09BE2EA9"/>
    <w:rsid w:val="09C34A0A"/>
    <w:rsid w:val="09C6D883"/>
    <w:rsid w:val="09D88360"/>
    <w:rsid w:val="09DC4C18"/>
    <w:rsid w:val="09DE17B0"/>
    <w:rsid w:val="09E7886F"/>
    <w:rsid w:val="09E9746B"/>
    <w:rsid w:val="09E9B1B5"/>
    <w:rsid w:val="09EDC8BF"/>
    <w:rsid w:val="09F2B2A8"/>
    <w:rsid w:val="09F3E813"/>
    <w:rsid w:val="0A003BBB"/>
    <w:rsid w:val="0A07E9FE"/>
    <w:rsid w:val="0A0C24B1"/>
    <w:rsid w:val="0A1251EE"/>
    <w:rsid w:val="0A1837E3"/>
    <w:rsid w:val="0A1F1D28"/>
    <w:rsid w:val="0A266343"/>
    <w:rsid w:val="0A28A04A"/>
    <w:rsid w:val="0A4346EC"/>
    <w:rsid w:val="0A5B6394"/>
    <w:rsid w:val="0A5D1A35"/>
    <w:rsid w:val="0A5E3E75"/>
    <w:rsid w:val="0A5FD8D1"/>
    <w:rsid w:val="0A694E39"/>
    <w:rsid w:val="0A6A9D12"/>
    <w:rsid w:val="0A7BDFFD"/>
    <w:rsid w:val="0A7BE57D"/>
    <w:rsid w:val="0A8070DE"/>
    <w:rsid w:val="0A841A4C"/>
    <w:rsid w:val="0A94C03C"/>
    <w:rsid w:val="0A9FF0C1"/>
    <w:rsid w:val="0AA3985A"/>
    <w:rsid w:val="0AAEA762"/>
    <w:rsid w:val="0AB45E8A"/>
    <w:rsid w:val="0AB5D643"/>
    <w:rsid w:val="0AB5D9DD"/>
    <w:rsid w:val="0ABE3959"/>
    <w:rsid w:val="0AC0B25B"/>
    <w:rsid w:val="0AC0EB95"/>
    <w:rsid w:val="0AC154F4"/>
    <w:rsid w:val="0AD9DAB8"/>
    <w:rsid w:val="0AE54B21"/>
    <w:rsid w:val="0AE7BD92"/>
    <w:rsid w:val="0AFDA389"/>
    <w:rsid w:val="0B097BED"/>
    <w:rsid w:val="0B0ACA8E"/>
    <w:rsid w:val="0B0DE9F2"/>
    <w:rsid w:val="0B0F564B"/>
    <w:rsid w:val="0B13D0BE"/>
    <w:rsid w:val="0B14AC1C"/>
    <w:rsid w:val="0B1D1EF3"/>
    <w:rsid w:val="0B299C1B"/>
    <w:rsid w:val="0B2DAF27"/>
    <w:rsid w:val="0B2EB352"/>
    <w:rsid w:val="0B308E91"/>
    <w:rsid w:val="0B374367"/>
    <w:rsid w:val="0B41E472"/>
    <w:rsid w:val="0B4208AC"/>
    <w:rsid w:val="0B47CA28"/>
    <w:rsid w:val="0B4E72DC"/>
    <w:rsid w:val="0B5A0C24"/>
    <w:rsid w:val="0B5C030D"/>
    <w:rsid w:val="0B5D2DBF"/>
    <w:rsid w:val="0B5DE2A5"/>
    <w:rsid w:val="0B63D981"/>
    <w:rsid w:val="0B6B0FED"/>
    <w:rsid w:val="0B6C791C"/>
    <w:rsid w:val="0B708AB7"/>
    <w:rsid w:val="0B787474"/>
    <w:rsid w:val="0B7F1215"/>
    <w:rsid w:val="0B7FC8BA"/>
    <w:rsid w:val="0B8192BD"/>
    <w:rsid w:val="0B8DB1B6"/>
    <w:rsid w:val="0BA127FC"/>
    <w:rsid w:val="0BA3E12D"/>
    <w:rsid w:val="0BA7994C"/>
    <w:rsid w:val="0BB5F4C0"/>
    <w:rsid w:val="0BB669BB"/>
    <w:rsid w:val="0BB779E4"/>
    <w:rsid w:val="0BBD098A"/>
    <w:rsid w:val="0BBE8A20"/>
    <w:rsid w:val="0BBF01C8"/>
    <w:rsid w:val="0BC1197A"/>
    <w:rsid w:val="0BC76631"/>
    <w:rsid w:val="0BCCB3BC"/>
    <w:rsid w:val="0BE0CD9C"/>
    <w:rsid w:val="0BEA23B2"/>
    <w:rsid w:val="0BECCFD8"/>
    <w:rsid w:val="0BEDE258"/>
    <w:rsid w:val="0BFB41E3"/>
    <w:rsid w:val="0C078FF7"/>
    <w:rsid w:val="0C09BBB4"/>
    <w:rsid w:val="0C122906"/>
    <w:rsid w:val="0C1BC908"/>
    <w:rsid w:val="0C2C1004"/>
    <w:rsid w:val="0C2E1E82"/>
    <w:rsid w:val="0C43064D"/>
    <w:rsid w:val="0C46A9E4"/>
    <w:rsid w:val="0C481AB0"/>
    <w:rsid w:val="0C4E455F"/>
    <w:rsid w:val="0C60A72E"/>
    <w:rsid w:val="0C65C3B6"/>
    <w:rsid w:val="0C679E9A"/>
    <w:rsid w:val="0C68C822"/>
    <w:rsid w:val="0C789C52"/>
    <w:rsid w:val="0C82C60E"/>
    <w:rsid w:val="0C8493AF"/>
    <w:rsid w:val="0C977409"/>
    <w:rsid w:val="0C9C9D9D"/>
    <w:rsid w:val="0C9F51F3"/>
    <w:rsid w:val="0CA16E8D"/>
    <w:rsid w:val="0CA6C963"/>
    <w:rsid w:val="0CAE09DB"/>
    <w:rsid w:val="0CB23C51"/>
    <w:rsid w:val="0CB35C33"/>
    <w:rsid w:val="0CBDA962"/>
    <w:rsid w:val="0CC48FA7"/>
    <w:rsid w:val="0CC8390A"/>
    <w:rsid w:val="0CD282A4"/>
    <w:rsid w:val="0CD47E39"/>
    <w:rsid w:val="0CD9BF4C"/>
    <w:rsid w:val="0CE0F4F1"/>
    <w:rsid w:val="0CE2BE21"/>
    <w:rsid w:val="0CE304D5"/>
    <w:rsid w:val="0CE6F8F2"/>
    <w:rsid w:val="0CEDE68F"/>
    <w:rsid w:val="0CF0659C"/>
    <w:rsid w:val="0CF4CAA1"/>
    <w:rsid w:val="0CFE2260"/>
    <w:rsid w:val="0CFE84D8"/>
    <w:rsid w:val="0CFF0DEF"/>
    <w:rsid w:val="0D033E13"/>
    <w:rsid w:val="0D050379"/>
    <w:rsid w:val="0D0D019E"/>
    <w:rsid w:val="0D164757"/>
    <w:rsid w:val="0D185299"/>
    <w:rsid w:val="0D205004"/>
    <w:rsid w:val="0D265534"/>
    <w:rsid w:val="0D287DC9"/>
    <w:rsid w:val="0D2C5289"/>
    <w:rsid w:val="0D4276D0"/>
    <w:rsid w:val="0D456723"/>
    <w:rsid w:val="0D4A4A8E"/>
    <w:rsid w:val="0D564B43"/>
    <w:rsid w:val="0D5DBBEE"/>
    <w:rsid w:val="0D612B1D"/>
    <w:rsid w:val="0D61AA61"/>
    <w:rsid w:val="0D61E3DB"/>
    <w:rsid w:val="0D82480C"/>
    <w:rsid w:val="0D8BA05F"/>
    <w:rsid w:val="0D8EA73A"/>
    <w:rsid w:val="0D8F3299"/>
    <w:rsid w:val="0DA4FE10"/>
    <w:rsid w:val="0DAEE4B8"/>
    <w:rsid w:val="0DB1BADB"/>
    <w:rsid w:val="0DB1E09A"/>
    <w:rsid w:val="0DB4C785"/>
    <w:rsid w:val="0DBC69ED"/>
    <w:rsid w:val="0DD18BB1"/>
    <w:rsid w:val="0DE0E15B"/>
    <w:rsid w:val="0DE39AD0"/>
    <w:rsid w:val="0DE83700"/>
    <w:rsid w:val="0DEC1103"/>
    <w:rsid w:val="0DF2FED5"/>
    <w:rsid w:val="0DFA0E4A"/>
    <w:rsid w:val="0E05EE95"/>
    <w:rsid w:val="0E093905"/>
    <w:rsid w:val="0E0C5B13"/>
    <w:rsid w:val="0E0FCFE3"/>
    <w:rsid w:val="0E11DD59"/>
    <w:rsid w:val="0E127469"/>
    <w:rsid w:val="0E209663"/>
    <w:rsid w:val="0E31FAAC"/>
    <w:rsid w:val="0E3ED755"/>
    <w:rsid w:val="0E408173"/>
    <w:rsid w:val="0E40ECAE"/>
    <w:rsid w:val="0E522B89"/>
    <w:rsid w:val="0E57CF01"/>
    <w:rsid w:val="0E59D013"/>
    <w:rsid w:val="0E5D9534"/>
    <w:rsid w:val="0E668E89"/>
    <w:rsid w:val="0E66BC42"/>
    <w:rsid w:val="0E691A76"/>
    <w:rsid w:val="0E7152CB"/>
    <w:rsid w:val="0E78B8AC"/>
    <w:rsid w:val="0E85FFAF"/>
    <w:rsid w:val="0E8765B1"/>
    <w:rsid w:val="0E958367"/>
    <w:rsid w:val="0E9EEE57"/>
    <w:rsid w:val="0EAEFD9D"/>
    <w:rsid w:val="0EB550EF"/>
    <w:rsid w:val="0EB7791A"/>
    <w:rsid w:val="0EBE1146"/>
    <w:rsid w:val="0EC290B2"/>
    <w:rsid w:val="0EC30D2F"/>
    <w:rsid w:val="0EC85972"/>
    <w:rsid w:val="0EC91E74"/>
    <w:rsid w:val="0ED522C6"/>
    <w:rsid w:val="0EDFACB2"/>
    <w:rsid w:val="0EE73814"/>
    <w:rsid w:val="0EEE36D2"/>
    <w:rsid w:val="0F0C8D32"/>
    <w:rsid w:val="0F0DDF00"/>
    <w:rsid w:val="0F0E533E"/>
    <w:rsid w:val="0F28CDE2"/>
    <w:rsid w:val="0F2A9927"/>
    <w:rsid w:val="0F2D9A92"/>
    <w:rsid w:val="0F3AA937"/>
    <w:rsid w:val="0F3D1718"/>
    <w:rsid w:val="0F44409D"/>
    <w:rsid w:val="0F5199AD"/>
    <w:rsid w:val="0F553205"/>
    <w:rsid w:val="0F6728A7"/>
    <w:rsid w:val="0F675A5B"/>
    <w:rsid w:val="0F695ACF"/>
    <w:rsid w:val="0F6BD0C3"/>
    <w:rsid w:val="0F75F064"/>
    <w:rsid w:val="0F7C614C"/>
    <w:rsid w:val="0F8B7D94"/>
    <w:rsid w:val="0F8BBEC2"/>
    <w:rsid w:val="0FA5ADB6"/>
    <w:rsid w:val="0FAEAD9B"/>
    <w:rsid w:val="0FB2C9FC"/>
    <w:rsid w:val="0FB38684"/>
    <w:rsid w:val="0FB54EDE"/>
    <w:rsid w:val="0FC1F32E"/>
    <w:rsid w:val="0FC5F1F5"/>
    <w:rsid w:val="0FCB3F6D"/>
    <w:rsid w:val="0FD22EDD"/>
    <w:rsid w:val="0FE84671"/>
    <w:rsid w:val="0FF7BA70"/>
    <w:rsid w:val="0FFB2897"/>
    <w:rsid w:val="1002B62A"/>
    <w:rsid w:val="101A1FFC"/>
    <w:rsid w:val="101B391F"/>
    <w:rsid w:val="10229F48"/>
    <w:rsid w:val="102A8673"/>
    <w:rsid w:val="10393FE6"/>
    <w:rsid w:val="1046FE70"/>
    <w:rsid w:val="104A2B6A"/>
    <w:rsid w:val="104C4AC7"/>
    <w:rsid w:val="104FA36D"/>
    <w:rsid w:val="105FEE30"/>
    <w:rsid w:val="106429D3"/>
    <w:rsid w:val="1064794A"/>
    <w:rsid w:val="1068F8FB"/>
    <w:rsid w:val="1069726C"/>
    <w:rsid w:val="106E03CB"/>
    <w:rsid w:val="1072D667"/>
    <w:rsid w:val="10758C44"/>
    <w:rsid w:val="107CB9BD"/>
    <w:rsid w:val="10877BD8"/>
    <w:rsid w:val="108936AD"/>
    <w:rsid w:val="10AA8052"/>
    <w:rsid w:val="10B17021"/>
    <w:rsid w:val="10B4EF14"/>
    <w:rsid w:val="10B9288C"/>
    <w:rsid w:val="10BCB7FE"/>
    <w:rsid w:val="10BF7C70"/>
    <w:rsid w:val="10C08C9F"/>
    <w:rsid w:val="10C1C0B5"/>
    <w:rsid w:val="10C320C3"/>
    <w:rsid w:val="10C372F7"/>
    <w:rsid w:val="10CAA320"/>
    <w:rsid w:val="10CE0E28"/>
    <w:rsid w:val="10D3EBA3"/>
    <w:rsid w:val="10DF9B83"/>
    <w:rsid w:val="10EB03B0"/>
    <w:rsid w:val="10F65A47"/>
    <w:rsid w:val="10F7C107"/>
    <w:rsid w:val="10F9FC2E"/>
    <w:rsid w:val="10FC6A98"/>
    <w:rsid w:val="1111F274"/>
    <w:rsid w:val="111CE583"/>
    <w:rsid w:val="1126A504"/>
    <w:rsid w:val="112A4EF3"/>
    <w:rsid w:val="1134E1FE"/>
    <w:rsid w:val="11403E36"/>
    <w:rsid w:val="1143B2F0"/>
    <w:rsid w:val="114F2ABB"/>
    <w:rsid w:val="1152E0A1"/>
    <w:rsid w:val="1159AD69"/>
    <w:rsid w:val="116298F4"/>
    <w:rsid w:val="11665DA8"/>
    <w:rsid w:val="1171D675"/>
    <w:rsid w:val="1172D95A"/>
    <w:rsid w:val="11761832"/>
    <w:rsid w:val="11761B96"/>
    <w:rsid w:val="117DAA8C"/>
    <w:rsid w:val="117E4EEC"/>
    <w:rsid w:val="117EEA4F"/>
    <w:rsid w:val="117F975B"/>
    <w:rsid w:val="118400E3"/>
    <w:rsid w:val="118632ED"/>
    <w:rsid w:val="1189C16F"/>
    <w:rsid w:val="118FC0F4"/>
    <w:rsid w:val="119A871A"/>
    <w:rsid w:val="11C0D120"/>
    <w:rsid w:val="11C54ACC"/>
    <w:rsid w:val="11C55A92"/>
    <w:rsid w:val="11D556C9"/>
    <w:rsid w:val="11D5EB60"/>
    <w:rsid w:val="11E10D8D"/>
    <w:rsid w:val="11E21AE6"/>
    <w:rsid w:val="11E29DD0"/>
    <w:rsid w:val="11ED5753"/>
    <w:rsid w:val="11F18BCC"/>
    <w:rsid w:val="11F483A9"/>
    <w:rsid w:val="11FDE7AE"/>
    <w:rsid w:val="1201B753"/>
    <w:rsid w:val="120887A8"/>
    <w:rsid w:val="1222056A"/>
    <w:rsid w:val="1224DCC4"/>
    <w:rsid w:val="1228A0E8"/>
    <w:rsid w:val="122AD3C1"/>
    <w:rsid w:val="122CB42B"/>
    <w:rsid w:val="122DFE03"/>
    <w:rsid w:val="123571CE"/>
    <w:rsid w:val="12495B7E"/>
    <w:rsid w:val="1252D5C4"/>
    <w:rsid w:val="12556F49"/>
    <w:rsid w:val="125E2F17"/>
    <w:rsid w:val="12613B96"/>
    <w:rsid w:val="1263698C"/>
    <w:rsid w:val="1269F031"/>
    <w:rsid w:val="126C550C"/>
    <w:rsid w:val="127056F1"/>
    <w:rsid w:val="127213FA"/>
    <w:rsid w:val="1280236A"/>
    <w:rsid w:val="128AC0A0"/>
    <w:rsid w:val="128B6602"/>
    <w:rsid w:val="1294496A"/>
    <w:rsid w:val="12A307EB"/>
    <w:rsid w:val="12A477B0"/>
    <w:rsid w:val="12A72A5A"/>
    <w:rsid w:val="12AB1427"/>
    <w:rsid w:val="12B0C5EC"/>
    <w:rsid w:val="12CEA1BA"/>
    <w:rsid w:val="12DC19AC"/>
    <w:rsid w:val="12E7DECD"/>
    <w:rsid w:val="12F184B2"/>
    <w:rsid w:val="12F3C63F"/>
    <w:rsid w:val="13099200"/>
    <w:rsid w:val="130AB55D"/>
    <w:rsid w:val="131F3408"/>
    <w:rsid w:val="13260D16"/>
    <w:rsid w:val="132C2100"/>
    <w:rsid w:val="13340E70"/>
    <w:rsid w:val="133BF614"/>
    <w:rsid w:val="133D8BA2"/>
    <w:rsid w:val="134035D8"/>
    <w:rsid w:val="134DAB62"/>
    <w:rsid w:val="134EB7F7"/>
    <w:rsid w:val="1351CA91"/>
    <w:rsid w:val="1358E985"/>
    <w:rsid w:val="135CD0C4"/>
    <w:rsid w:val="13653D41"/>
    <w:rsid w:val="136733B0"/>
    <w:rsid w:val="137E8930"/>
    <w:rsid w:val="137FBDD2"/>
    <w:rsid w:val="1385454B"/>
    <w:rsid w:val="1386485D"/>
    <w:rsid w:val="13947F27"/>
    <w:rsid w:val="1394AECE"/>
    <w:rsid w:val="13A2638B"/>
    <w:rsid w:val="13AB2839"/>
    <w:rsid w:val="13AE1399"/>
    <w:rsid w:val="13B48C1A"/>
    <w:rsid w:val="13B5EC0C"/>
    <w:rsid w:val="13B9F4C5"/>
    <w:rsid w:val="13CF0640"/>
    <w:rsid w:val="13D07FFE"/>
    <w:rsid w:val="13D7B91D"/>
    <w:rsid w:val="13DD36FE"/>
    <w:rsid w:val="13EDE369"/>
    <w:rsid w:val="13EE5482"/>
    <w:rsid w:val="13F4234D"/>
    <w:rsid w:val="13F6EE67"/>
    <w:rsid w:val="13F7CB3F"/>
    <w:rsid w:val="13FC8DD4"/>
    <w:rsid w:val="1408B3D7"/>
    <w:rsid w:val="140FC12C"/>
    <w:rsid w:val="1413AD31"/>
    <w:rsid w:val="14146EDE"/>
    <w:rsid w:val="141F8199"/>
    <w:rsid w:val="142393DF"/>
    <w:rsid w:val="14280B1B"/>
    <w:rsid w:val="142C3B44"/>
    <w:rsid w:val="144D3BCA"/>
    <w:rsid w:val="1455975B"/>
    <w:rsid w:val="1459AA2A"/>
    <w:rsid w:val="1460F1D7"/>
    <w:rsid w:val="14698B0D"/>
    <w:rsid w:val="146C4974"/>
    <w:rsid w:val="14723E60"/>
    <w:rsid w:val="14798A30"/>
    <w:rsid w:val="14894A58"/>
    <w:rsid w:val="148FF13C"/>
    <w:rsid w:val="149ABBDE"/>
    <w:rsid w:val="149CFDF3"/>
    <w:rsid w:val="14A505FC"/>
    <w:rsid w:val="14A68987"/>
    <w:rsid w:val="14AE53BA"/>
    <w:rsid w:val="14B1F818"/>
    <w:rsid w:val="14B3A876"/>
    <w:rsid w:val="14B52EDA"/>
    <w:rsid w:val="14C57202"/>
    <w:rsid w:val="14CB6E6A"/>
    <w:rsid w:val="14D767B5"/>
    <w:rsid w:val="14E73222"/>
    <w:rsid w:val="14EDFC50"/>
    <w:rsid w:val="14FA3361"/>
    <w:rsid w:val="15062E5D"/>
    <w:rsid w:val="1507833C"/>
    <w:rsid w:val="150C1FD6"/>
    <w:rsid w:val="15104D80"/>
    <w:rsid w:val="15146338"/>
    <w:rsid w:val="1515B7A9"/>
    <w:rsid w:val="15186150"/>
    <w:rsid w:val="151F15A2"/>
    <w:rsid w:val="1526E16C"/>
    <w:rsid w:val="152B4998"/>
    <w:rsid w:val="15359820"/>
    <w:rsid w:val="15380DFE"/>
    <w:rsid w:val="153BAC43"/>
    <w:rsid w:val="153E8811"/>
    <w:rsid w:val="15450942"/>
    <w:rsid w:val="154EC2D6"/>
    <w:rsid w:val="155212AD"/>
    <w:rsid w:val="155595A6"/>
    <w:rsid w:val="15612275"/>
    <w:rsid w:val="1562CA35"/>
    <w:rsid w:val="1566265A"/>
    <w:rsid w:val="15670FD4"/>
    <w:rsid w:val="156FC3D9"/>
    <w:rsid w:val="15723CE2"/>
    <w:rsid w:val="1575BF58"/>
    <w:rsid w:val="157EAFEA"/>
    <w:rsid w:val="1588F7AF"/>
    <w:rsid w:val="158E92E8"/>
    <w:rsid w:val="1590A743"/>
    <w:rsid w:val="15A3DAE1"/>
    <w:rsid w:val="15AD0058"/>
    <w:rsid w:val="15B616EF"/>
    <w:rsid w:val="15B6424A"/>
    <w:rsid w:val="15B8572E"/>
    <w:rsid w:val="15BE5B84"/>
    <w:rsid w:val="15BF9D8C"/>
    <w:rsid w:val="15C11440"/>
    <w:rsid w:val="15D23D5F"/>
    <w:rsid w:val="15D2FFC5"/>
    <w:rsid w:val="15D9D5D0"/>
    <w:rsid w:val="15E55E12"/>
    <w:rsid w:val="15EBB937"/>
    <w:rsid w:val="15ED47CF"/>
    <w:rsid w:val="15F3B89C"/>
    <w:rsid w:val="160BDE61"/>
    <w:rsid w:val="16162D97"/>
    <w:rsid w:val="1619A840"/>
    <w:rsid w:val="1619EC24"/>
    <w:rsid w:val="161AAB66"/>
    <w:rsid w:val="16326239"/>
    <w:rsid w:val="16395177"/>
    <w:rsid w:val="164FBD20"/>
    <w:rsid w:val="165765C7"/>
    <w:rsid w:val="1661E52B"/>
    <w:rsid w:val="16671F15"/>
    <w:rsid w:val="1669AFF5"/>
    <w:rsid w:val="166A4BD1"/>
    <w:rsid w:val="1673101B"/>
    <w:rsid w:val="167A240B"/>
    <w:rsid w:val="1682EB41"/>
    <w:rsid w:val="1689B8F3"/>
    <w:rsid w:val="1691E944"/>
    <w:rsid w:val="1693F692"/>
    <w:rsid w:val="169CF758"/>
    <w:rsid w:val="16A43542"/>
    <w:rsid w:val="16A47EEB"/>
    <w:rsid w:val="16A84F69"/>
    <w:rsid w:val="16B256A7"/>
    <w:rsid w:val="16B706F8"/>
    <w:rsid w:val="16BAC6E6"/>
    <w:rsid w:val="16BCF415"/>
    <w:rsid w:val="16BE708B"/>
    <w:rsid w:val="16C51777"/>
    <w:rsid w:val="16D08CBF"/>
    <w:rsid w:val="16D46359"/>
    <w:rsid w:val="16E01438"/>
    <w:rsid w:val="16E5151F"/>
    <w:rsid w:val="16E9E5B4"/>
    <w:rsid w:val="16ECD875"/>
    <w:rsid w:val="16F62F2D"/>
    <w:rsid w:val="16FECBF9"/>
    <w:rsid w:val="17081B9A"/>
    <w:rsid w:val="170B25DC"/>
    <w:rsid w:val="170C6F9C"/>
    <w:rsid w:val="17104CD2"/>
    <w:rsid w:val="1714EC43"/>
    <w:rsid w:val="1728277D"/>
    <w:rsid w:val="173C13C6"/>
    <w:rsid w:val="173F273E"/>
    <w:rsid w:val="17483179"/>
    <w:rsid w:val="174B39F9"/>
    <w:rsid w:val="174BD6C1"/>
    <w:rsid w:val="1757416D"/>
    <w:rsid w:val="1757F843"/>
    <w:rsid w:val="17620962"/>
    <w:rsid w:val="17629009"/>
    <w:rsid w:val="1768CA3A"/>
    <w:rsid w:val="176B329F"/>
    <w:rsid w:val="17782708"/>
    <w:rsid w:val="177ADF23"/>
    <w:rsid w:val="1782A9F3"/>
    <w:rsid w:val="1787392E"/>
    <w:rsid w:val="179047B3"/>
    <w:rsid w:val="179338DF"/>
    <w:rsid w:val="1798D673"/>
    <w:rsid w:val="17A60201"/>
    <w:rsid w:val="17BE687A"/>
    <w:rsid w:val="17C47F28"/>
    <w:rsid w:val="17CEF5F5"/>
    <w:rsid w:val="17D3338A"/>
    <w:rsid w:val="17D62253"/>
    <w:rsid w:val="17DD67CA"/>
    <w:rsid w:val="17DE300E"/>
    <w:rsid w:val="17E4298A"/>
    <w:rsid w:val="17E440F0"/>
    <w:rsid w:val="17EAC7D2"/>
    <w:rsid w:val="17F0374A"/>
    <w:rsid w:val="17FBE532"/>
    <w:rsid w:val="17FFF254"/>
    <w:rsid w:val="18008B34"/>
    <w:rsid w:val="18107A08"/>
    <w:rsid w:val="18109BC1"/>
    <w:rsid w:val="18111180"/>
    <w:rsid w:val="18194070"/>
    <w:rsid w:val="181F2394"/>
    <w:rsid w:val="182165C4"/>
    <w:rsid w:val="1826E481"/>
    <w:rsid w:val="18282130"/>
    <w:rsid w:val="182A0821"/>
    <w:rsid w:val="184838FE"/>
    <w:rsid w:val="18545859"/>
    <w:rsid w:val="185B65F4"/>
    <w:rsid w:val="185BD254"/>
    <w:rsid w:val="1871FB5B"/>
    <w:rsid w:val="1878ABA7"/>
    <w:rsid w:val="187A6831"/>
    <w:rsid w:val="18811B9F"/>
    <w:rsid w:val="1882F1E1"/>
    <w:rsid w:val="18832E7E"/>
    <w:rsid w:val="1883F828"/>
    <w:rsid w:val="188429C9"/>
    <w:rsid w:val="188604CD"/>
    <w:rsid w:val="18886DFD"/>
    <w:rsid w:val="188B4DDA"/>
    <w:rsid w:val="189074B9"/>
    <w:rsid w:val="1892A2ED"/>
    <w:rsid w:val="1894D7E3"/>
    <w:rsid w:val="189552B6"/>
    <w:rsid w:val="189E02F6"/>
    <w:rsid w:val="18B5DDAC"/>
    <w:rsid w:val="18C2343E"/>
    <w:rsid w:val="18C5C7E9"/>
    <w:rsid w:val="18CB2FF5"/>
    <w:rsid w:val="18CF5208"/>
    <w:rsid w:val="18D323D4"/>
    <w:rsid w:val="18D560E0"/>
    <w:rsid w:val="18D5BDE8"/>
    <w:rsid w:val="18D7E427"/>
    <w:rsid w:val="18DB8B53"/>
    <w:rsid w:val="18E03D41"/>
    <w:rsid w:val="18E0D9C7"/>
    <w:rsid w:val="18E5C67E"/>
    <w:rsid w:val="18F2AA32"/>
    <w:rsid w:val="18F2ED48"/>
    <w:rsid w:val="18F44CBF"/>
    <w:rsid w:val="18F9357D"/>
    <w:rsid w:val="1913845E"/>
    <w:rsid w:val="1916EE67"/>
    <w:rsid w:val="19202764"/>
    <w:rsid w:val="192AFC3A"/>
    <w:rsid w:val="194856BA"/>
    <w:rsid w:val="194E3AD0"/>
    <w:rsid w:val="1959A5C7"/>
    <w:rsid w:val="196EA1C9"/>
    <w:rsid w:val="1984B7FD"/>
    <w:rsid w:val="198AA672"/>
    <w:rsid w:val="198AF008"/>
    <w:rsid w:val="19AF8476"/>
    <w:rsid w:val="19BC0735"/>
    <w:rsid w:val="19C718BF"/>
    <w:rsid w:val="19C8C645"/>
    <w:rsid w:val="19CCDFA7"/>
    <w:rsid w:val="19D0E705"/>
    <w:rsid w:val="19D2F23E"/>
    <w:rsid w:val="19D5E5E3"/>
    <w:rsid w:val="19ED2208"/>
    <w:rsid w:val="19FB7DA4"/>
    <w:rsid w:val="19FF5E7A"/>
    <w:rsid w:val="1A02D78D"/>
    <w:rsid w:val="1A105D20"/>
    <w:rsid w:val="1A196B1C"/>
    <w:rsid w:val="1A297620"/>
    <w:rsid w:val="1A2CDE85"/>
    <w:rsid w:val="1A36C6E2"/>
    <w:rsid w:val="1A4DB319"/>
    <w:rsid w:val="1A54A844"/>
    <w:rsid w:val="1A59884B"/>
    <w:rsid w:val="1A61A37E"/>
    <w:rsid w:val="1A81F02E"/>
    <w:rsid w:val="1A8CDBEA"/>
    <w:rsid w:val="1A9063A2"/>
    <w:rsid w:val="1A9232C4"/>
    <w:rsid w:val="1A948B02"/>
    <w:rsid w:val="1AA105B2"/>
    <w:rsid w:val="1AAA3714"/>
    <w:rsid w:val="1AAAEB49"/>
    <w:rsid w:val="1AACB8AF"/>
    <w:rsid w:val="1AB223FC"/>
    <w:rsid w:val="1AB9BDD5"/>
    <w:rsid w:val="1ABA9F49"/>
    <w:rsid w:val="1AD5AC33"/>
    <w:rsid w:val="1ADDC468"/>
    <w:rsid w:val="1AEC81EB"/>
    <w:rsid w:val="1AF65776"/>
    <w:rsid w:val="1B04FCFE"/>
    <w:rsid w:val="1B0C6359"/>
    <w:rsid w:val="1B0D5E7B"/>
    <w:rsid w:val="1B11A67F"/>
    <w:rsid w:val="1B137B71"/>
    <w:rsid w:val="1B165EBA"/>
    <w:rsid w:val="1B1AFB6A"/>
    <w:rsid w:val="1B1E7665"/>
    <w:rsid w:val="1B230525"/>
    <w:rsid w:val="1B254B34"/>
    <w:rsid w:val="1B30D209"/>
    <w:rsid w:val="1B3642C9"/>
    <w:rsid w:val="1B39C111"/>
    <w:rsid w:val="1B3BD6A9"/>
    <w:rsid w:val="1B3C9C9C"/>
    <w:rsid w:val="1B4EC597"/>
    <w:rsid w:val="1B50CEF0"/>
    <w:rsid w:val="1B5ABC2C"/>
    <w:rsid w:val="1B5D320D"/>
    <w:rsid w:val="1B668608"/>
    <w:rsid w:val="1B690C75"/>
    <w:rsid w:val="1B69256E"/>
    <w:rsid w:val="1B705280"/>
    <w:rsid w:val="1B7CC1AA"/>
    <w:rsid w:val="1B803F62"/>
    <w:rsid w:val="1B8135F1"/>
    <w:rsid w:val="1B855B7D"/>
    <w:rsid w:val="1B8CB803"/>
    <w:rsid w:val="1B8DA6B7"/>
    <w:rsid w:val="1B90E62E"/>
    <w:rsid w:val="1B997672"/>
    <w:rsid w:val="1BC50380"/>
    <w:rsid w:val="1BC509FB"/>
    <w:rsid w:val="1BCC5932"/>
    <w:rsid w:val="1BCCA2C8"/>
    <w:rsid w:val="1BD4FDB5"/>
    <w:rsid w:val="1BD7BA07"/>
    <w:rsid w:val="1BD8B626"/>
    <w:rsid w:val="1BDB2B1C"/>
    <w:rsid w:val="1BDC03B4"/>
    <w:rsid w:val="1BDE96FF"/>
    <w:rsid w:val="1C0484B8"/>
    <w:rsid w:val="1C062D41"/>
    <w:rsid w:val="1C0D2C7C"/>
    <w:rsid w:val="1C1AEA8E"/>
    <w:rsid w:val="1C1DCF94"/>
    <w:rsid w:val="1C284169"/>
    <w:rsid w:val="1C2DFA55"/>
    <w:rsid w:val="1C3381B1"/>
    <w:rsid w:val="1C33AD49"/>
    <w:rsid w:val="1C3B83AE"/>
    <w:rsid w:val="1C3BF01F"/>
    <w:rsid w:val="1C49BCE5"/>
    <w:rsid w:val="1C4E1A78"/>
    <w:rsid w:val="1C57EB29"/>
    <w:rsid w:val="1C5FF438"/>
    <w:rsid w:val="1C68195F"/>
    <w:rsid w:val="1C6F34E3"/>
    <w:rsid w:val="1C74329E"/>
    <w:rsid w:val="1C7A940C"/>
    <w:rsid w:val="1C7EF08F"/>
    <w:rsid w:val="1C83CCA0"/>
    <w:rsid w:val="1C8DC721"/>
    <w:rsid w:val="1C8DCBC7"/>
    <w:rsid w:val="1C90E536"/>
    <w:rsid w:val="1C98BC20"/>
    <w:rsid w:val="1C997C2A"/>
    <w:rsid w:val="1C9AEEE4"/>
    <w:rsid w:val="1CA54D88"/>
    <w:rsid w:val="1CABB6BA"/>
    <w:rsid w:val="1CC31700"/>
    <w:rsid w:val="1CC78FC5"/>
    <w:rsid w:val="1CD2E445"/>
    <w:rsid w:val="1CD459CF"/>
    <w:rsid w:val="1CE36DDF"/>
    <w:rsid w:val="1CF6D276"/>
    <w:rsid w:val="1D081D83"/>
    <w:rsid w:val="1D16657A"/>
    <w:rsid w:val="1D177DC6"/>
    <w:rsid w:val="1D17F7E2"/>
    <w:rsid w:val="1D1C30AA"/>
    <w:rsid w:val="1D1EFC56"/>
    <w:rsid w:val="1D26572E"/>
    <w:rsid w:val="1D3454F5"/>
    <w:rsid w:val="1D350615"/>
    <w:rsid w:val="1D42C0FC"/>
    <w:rsid w:val="1D455A86"/>
    <w:rsid w:val="1D4EC9D2"/>
    <w:rsid w:val="1D60590F"/>
    <w:rsid w:val="1D618184"/>
    <w:rsid w:val="1D62F90F"/>
    <w:rsid w:val="1D6319C0"/>
    <w:rsid w:val="1D6622F7"/>
    <w:rsid w:val="1D6C4A15"/>
    <w:rsid w:val="1D7341C5"/>
    <w:rsid w:val="1D76E0FE"/>
    <w:rsid w:val="1D773ADB"/>
    <w:rsid w:val="1D7C153F"/>
    <w:rsid w:val="1D80E565"/>
    <w:rsid w:val="1D9135FA"/>
    <w:rsid w:val="1D935371"/>
    <w:rsid w:val="1D9DB54F"/>
    <w:rsid w:val="1DA043BD"/>
    <w:rsid w:val="1DA27400"/>
    <w:rsid w:val="1DA4C03A"/>
    <w:rsid w:val="1DA81D46"/>
    <w:rsid w:val="1DB47B5D"/>
    <w:rsid w:val="1DBD4889"/>
    <w:rsid w:val="1DBF3EF2"/>
    <w:rsid w:val="1DC0DFC4"/>
    <w:rsid w:val="1DC52CAD"/>
    <w:rsid w:val="1DCBA66D"/>
    <w:rsid w:val="1DD120C4"/>
    <w:rsid w:val="1DD13EA2"/>
    <w:rsid w:val="1DD5B668"/>
    <w:rsid w:val="1DD7D193"/>
    <w:rsid w:val="1DDA0753"/>
    <w:rsid w:val="1DE0B49C"/>
    <w:rsid w:val="1DEAE8FD"/>
    <w:rsid w:val="1DEEDA5B"/>
    <w:rsid w:val="1DF2EFBE"/>
    <w:rsid w:val="1DF45B58"/>
    <w:rsid w:val="1DFB747A"/>
    <w:rsid w:val="1E0E6A71"/>
    <w:rsid w:val="1E194519"/>
    <w:rsid w:val="1E1E7F10"/>
    <w:rsid w:val="1E263E0C"/>
    <w:rsid w:val="1E2BBB68"/>
    <w:rsid w:val="1E2CE568"/>
    <w:rsid w:val="1E32C752"/>
    <w:rsid w:val="1E3AB110"/>
    <w:rsid w:val="1E445E97"/>
    <w:rsid w:val="1E458979"/>
    <w:rsid w:val="1E49CABE"/>
    <w:rsid w:val="1E5AE2E1"/>
    <w:rsid w:val="1E5BA8ED"/>
    <w:rsid w:val="1E72057B"/>
    <w:rsid w:val="1E725126"/>
    <w:rsid w:val="1E787A5E"/>
    <w:rsid w:val="1E863FC7"/>
    <w:rsid w:val="1E8A67D0"/>
    <w:rsid w:val="1E90F9AC"/>
    <w:rsid w:val="1E936700"/>
    <w:rsid w:val="1E957C94"/>
    <w:rsid w:val="1E95887C"/>
    <w:rsid w:val="1E9CAD7B"/>
    <w:rsid w:val="1E9D001C"/>
    <w:rsid w:val="1E9D2430"/>
    <w:rsid w:val="1EAD10A3"/>
    <w:rsid w:val="1EBEF39B"/>
    <w:rsid w:val="1ECDEB71"/>
    <w:rsid w:val="1ECF9EF3"/>
    <w:rsid w:val="1ED1C415"/>
    <w:rsid w:val="1ED3B186"/>
    <w:rsid w:val="1ED4BCB7"/>
    <w:rsid w:val="1EDA6109"/>
    <w:rsid w:val="1EDBA500"/>
    <w:rsid w:val="1EDD377A"/>
    <w:rsid w:val="1EDE2833"/>
    <w:rsid w:val="1EE18A55"/>
    <w:rsid w:val="1EE84C1E"/>
    <w:rsid w:val="1EF17EEB"/>
    <w:rsid w:val="1EF8E668"/>
    <w:rsid w:val="1EFBB45C"/>
    <w:rsid w:val="1EFC2CF3"/>
    <w:rsid w:val="1F087092"/>
    <w:rsid w:val="1F08A52E"/>
    <w:rsid w:val="1F244B6A"/>
    <w:rsid w:val="1F2B3B4D"/>
    <w:rsid w:val="1F35E5BC"/>
    <w:rsid w:val="1F400E15"/>
    <w:rsid w:val="1F4088E7"/>
    <w:rsid w:val="1F42B0CF"/>
    <w:rsid w:val="1F50A82B"/>
    <w:rsid w:val="1F576590"/>
    <w:rsid w:val="1F59F69A"/>
    <w:rsid w:val="1F63D9E0"/>
    <w:rsid w:val="1F666B98"/>
    <w:rsid w:val="1F66ED26"/>
    <w:rsid w:val="1F6985CA"/>
    <w:rsid w:val="1F6B0CDE"/>
    <w:rsid w:val="1F749EDF"/>
    <w:rsid w:val="1F848AFE"/>
    <w:rsid w:val="1F8513B9"/>
    <w:rsid w:val="1F9D22B2"/>
    <w:rsid w:val="1FA0BC08"/>
    <w:rsid w:val="1FAB2A82"/>
    <w:rsid w:val="1FB13C06"/>
    <w:rsid w:val="1FBE4C76"/>
    <w:rsid w:val="1FC21430"/>
    <w:rsid w:val="1FC37167"/>
    <w:rsid w:val="1FC6BB3B"/>
    <w:rsid w:val="1FD8A099"/>
    <w:rsid w:val="1FDD197E"/>
    <w:rsid w:val="1FE75728"/>
    <w:rsid w:val="1FEBF1A3"/>
    <w:rsid w:val="1FF1E788"/>
    <w:rsid w:val="1FF69946"/>
    <w:rsid w:val="2001FC1B"/>
    <w:rsid w:val="202C33ED"/>
    <w:rsid w:val="202E5B0B"/>
    <w:rsid w:val="2033AA1E"/>
    <w:rsid w:val="204F6D9A"/>
    <w:rsid w:val="20575E76"/>
    <w:rsid w:val="206174B7"/>
    <w:rsid w:val="206524A8"/>
    <w:rsid w:val="206BFED0"/>
    <w:rsid w:val="20762633"/>
    <w:rsid w:val="207A3047"/>
    <w:rsid w:val="2083AA3C"/>
    <w:rsid w:val="208BA9D9"/>
    <w:rsid w:val="208BB26C"/>
    <w:rsid w:val="20949283"/>
    <w:rsid w:val="2095DAA9"/>
    <w:rsid w:val="2096D228"/>
    <w:rsid w:val="20977828"/>
    <w:rsid w:val="20997B5A"/>
    <w:rsid w:val="20A6B2B1"/>
    <w:rsid w:val="20BE4BE5"/>
    <w:rsid w:val="20CE684A"/>
    <w:rsid w:val="20D169A8"/>
    <w:rsid w:val="20E2E42B"/>
    <w:rsid w:val="20E36A5F"/>
    <w:rsid w:val="20F021F4"/>
    <w:rsid w:val="20F041DF"/>
    <w:rsid w:val="20F3AF3A"/>
    <w:rsid w:val="20F660F2"/>
    <w:rsid w:val="20FA4702"/>
    <w:rsid w:val="20FBB0DF"/>
    <w:rsid w:val="20FE26D9"/>
    <w:rsid w:val="2101D54B"/>
    <w:rsid w:val="2115238A"/>
    <w:rsid w:val="211577A1"/>
    <w:rsid w:val="2122FC6B"/>
    <w:rsid w:val="212817A8"/>
    <w:rsid w:val="2133B9C7"/>
    <w:rsid w:val="2137C389"/>
    <w:rsid w:val="213A2336"/>
    <w:rsid w:val="214B7DE3"/>
    <w:rsid w:val="215847A9"/>
    <w:rsid w:val="2158D58D"/>
    <w:rsid w:val="21599B1A"/>
    <w:rsid w:val="215EB207"/>
    <w:rsid w:val="2164235E"/>
    <w:rsid w:val="2165AC21"/>
    <w:rsid w:val="2170F381"/>
    <w:rsid w:val="217B0675"/>
    <w:rsid w:val="217B08A6"/>
    <w:rsid w:val="217DEDF5"/>
    <w:rsid w:val="218383EC"/>
    <w:rsid w:val="218AFE0E"/>
    <w:rsid w:val="2191425D"/>
    <w:rsid w:val="2194FADC"/>
    <w:rsid w:val="21977B20"/>
    <w:rsid w:val="219DC7DC"/>
    <w:rsid w:val="21A0C0F2"/>
    <w:rsid w:val="21A54C38"/>
    <w:rsid w:val="21AAB8FF"/>
    <w:rsid w:val="21B38A9F"/>
    <w:rsid w:val="21B9B680"/>
    <w:rsid w:val="21CEDD72"/>
    <w:rsid w:val="21E7EA48"/>
    <w:rsid w:val="21EB3579"/>
    <w:rsid w:val="21EF81A9"/>
    <w:rsid w:val="21F42D91"/>
    <w:rsid w:val="21F84DCB"/>
    <w:rsid w:val="2209A427"/>
    <w:rsid w:val="22104E05"/>
    <w:rsid w:val="221491FD"/>
    <w:rsid w:val="22157156"/>
    <w:rsid w:val="221830F3"/>
    <w:rsid w:val="22194F66"/>
    <w:rsid w:val="221AD271"/>
    <w:rsid w:val="221BBA9A"/>
    <w:rsid w:val="2222EB99"/>
    <w:rsid w:val="22328F85"/>
    <w:rsid w:val="22363578"/>
    <w:rsid w:val="223643DD"/>
    <w:rsid w:val="223BF83B"/>
    <w:rsid w:val="2245741C"/>
    <w:rsid w:val="2249B536"/>
    <w:rsid w:val="2259BF2B"/>
    <w:rsid w:val="22623513"/>
    <w:rsid w:val="226A0F85"/>
    <w:rsid w:val="226CE736"/>
    <w:rsid w:val="22783CBA"/>
    <w:rsid w:val="227C59A6"/>
    <w:rsid w:val="2280CFC0"/>
    <w:rsid w:val="2297C7A0"/>
    <w:rsid w:val="229C7057"/>
    <w:rsid w:val="22B1A6A1"/>
    <w:rsid w:val="22B2E58A"/>
    <w:rsid w:val="22B9ED15"/>
    <w:rsid w:val="22BE5C37"/>
    <w:rsid w:val="22C4A201"/>
    <w:rsid w:val="22CC5077"/>
    <w:rsid w:val="22D1DD08"/>
    <w:rsid w:val="22D31645"/>
    <w:rsid w:val="22D44941"/>
    <w:rsid w:val="22E41839"/>
    <w:rsid w:val="22E4BDDD"/>
    <w:rsid w:val="22EF1EDB"/>
    <w:rsid w:val="22EFBE3F"/>
    <w:rsid w:val="22F4CF3E"/>
    <w:rsid w:val="22F515CC"/>
    <w:rsid w:val="22F594BE"/>
    <w:rsid w:val="22F8AC95"/>
    <w:rsid w:val="22F99652"/>
    <w:rsid w:val="22FCD081"/>
    <w:rsid w:val="2304E366"/>
    <w:rsid w:val="2308497C"/>
    <w:rsid w:val="2308841A"/>
    <w:rsid w:val="230B7E70"/>
    <w:rsid w:val="230DA40D"/>
    <w:rsid w:val="23146D49"/>
    <w:rsid w:val="2324C423"/>
    <w:rsid w:val="2329CB5F"/>
    <w:rsid w:val="232BAFB1"/>
    <w:rsid w:val="233417CF"/>
    <w:rsid w:val="23386BE8"/>
    <w:rsid w:val="23389D97"/>
    <w:rsid w:val="233AE427"/>
    <w:rsid w:val="2345FD65"/>
    <w:rsid w:val="2346D59F"/>
    <w:rsid w:val="235012B7"/>
    <w:rsid w:val="2353F32F"/>
    <w:rsid w:val="235ADD20"/>
    <w:rsid w:val="235E2237"/>
    <w:rsid w:val="235E8D65"/>
    <w:rsid w:val="2361FC4B"/>
    <w:rsid w:val="2362E733"/>
    <w:rsid w:val="236B4AE0"/>
    <w:rsid w:val="2375D3D0"/>
    <w:rsid w:val="238AAC10"/>
    <w:rsid w:val="2399FDA3"/>
    <w:rsid w:val="23A2EDC1"/>
    <w:rsid w:val="23A3569B"/>
    <w:rsid w:val="23A68BD1"/>
    <w:rsid w:val="23B39D4D"/>
    <w:rsid w:val="23B5FD48"/>
    <w:rsid w:val="23C71690"/>
    <w:rsid w:val="23CD41CB"/>
    <w:rsid w:val="23CDC5BD"/>
    <w:rsid w:val="23CF2856"/>
    <w:rsid w:val="23D8E264"/>
    <w:rsid w:val="23E1E849"/>
    <w:rsid w:val="23E25792"/>
    <w:rsid w:val="23E7F5F0"/>
    <w:rsid w:val="23F146BB"/>
    <w:rsid w:val="23F19A58"/>
    <w:rsid w:val="23F5A00A"/>
    <w:rsid w:val="24049DF5"/>
    <w:rsid w:val="24065470"/>
    <w:rsid w:val="2412C49F"/>
    <w:rsid w:val="24137D8C"/>
    <w:rsid w:val="241AF8D7"/>
    <w:rsid w:val="243273A9"/>
    <w:rsid w:val="243D8601"/>
    <w:rsid w:val="2442B779"/>
    <w:rsid w:val="2447F37B"/>
    <w:rsid w:val="24497514"/>
    <w:rsid w:val="246F2B6F"/>
    <w:rsid w:val="24760BB8"/>
    <w:rsid w:val="247D765F"/>
    <w:rsid w:val="248372D6"/>
    <w:rsid w:val="2484D110"/>
    <w:rsid w:val="24909A05"/>
    <w:rsid w:val="24A1B543"/>
    <w:rsid w:val="24B6709B"/>
    <w:rsid w:val="24CBFE2F"/>
    <w:rsid w:val="24DEEE99"/>
    <w:rsid w:val="24E35F20"/>
    <w:rsid w:val="24E43CE6"/>
    <w:rsid w:val="24FD1F50"/>
    <w:rsid w:val="2500ED21"/>
    <w:rsid w:val="2505BD50"/>
    <w:rsid w:val="250D684E"/>
    <w:rsid w:val="251BDD4D"/>
    <w:rsid w:val="25214702"/>
    <w:rsid w:val="25240163"/>
    <w:rsid w:val="25287798"/>
    <w:rsid w:val="2536E7CC"/>
    <w:rsid w:val="25380214"/>
    <w:rsid w:val="25531E59"/>
    <w:rsid w:val="255D84DA"/>
    <w:rsid w:val="256045D4"/>
    <w:rsid w:val="2565B20B"/>
    <w:rsid w:val="256718F3"/>
    <w:rsid w:val="2568ADF5"/>
    <w:rsid w:val="256AE2F9"/>
    <w:rsid w:val="256CE7D7"/>
    <w:rsid w:val="256CEA78"/>
    <w:rsid w:val="257AFB99"/>
    <w:rsid w:val="25814F21"/>
    <w:rsid w:val="25818FDB"/>
    <w:rsid w:val="258A88ED"/>
    <w:rsid w:val="259B588C"/>
    <w:rsid w:val="25A40F60"/>
    <w:rsid w:val="25AD9163"/>
    <w:rsid w:val="25B3E335"/>
    <w:rsid w:val="25B6480B"/>
    <w:rsid w:val="25BABD05"/>
    <w:rsid w:val="25BE8546"/>
    <w:rsid w:val="25C20CF4"/>
    <w:rsid w:val="25C3DAF4"/>
    <w:rsid w:val="25CB2FFE"/>
    <w:rsid w:val="25D25821"/>
    <w:rsid w:val="25FA3784"/>
    <w:rsid w:val="26036F62"/>
    <w:rsid w:val="26059D6F"/>
    <w:rsid w:val="2606C310"/>
    <w:rsid w:val="261E7E22"/>
    <w:rsid w:val="261F37B9"/>
    <w:rsid w:val="26258EC2"/>
    <w:rsid w:val="2640478C"/>
    <w:rsid w:val="2642531B"/>
    <w:rsid w:val="264453B3"/>
    <w:rsid w:val="264A3143"/>
    <w:rsid w:val="264F3762"/>
    <w:rsid w:val="26515F18"/>
    <w:rsid w:val="26561650"/>
    <w:rsid w:val="26613950"/>
    <w:rsid w:val="266DE1EF"/>
    <w:rsid w:val="26776EF9"/>
    <w:rsid w:val="267AC701"/>
    <w:rsid w:val="268AD568"/>
    <w:rsid w:val="268C24A5"/>
    <w:rsid w:val="2692BE75"/>
    <w:rsid w:val="26962E27"/>
    <w:rsid w:val="269902D3"/>
    <w:rsid w:val="269D01EF"/>
    <w:rsid w:val="269E9C16"/>
    <w:rsid w:val="26A38D5E"/>
    <w:rsid w:val="26A3E6C7"/>
    <w:rsid w:val="26A721AF"/>
    <w:rsid w:val="26A7D16E"/>
    <w:rsid w:val="26AC4A0E"/>
    <w:rsid w:val="26BD9F70"/>
    <w:rsid w:val="26BEE56C"/>
    <w:rsid w:val="26C80AFA"/>
    <w:rsid w:val="26C96F14"/>
    <w:rsid w:val="26CA8633"/>
    <w:rsid w:val="26D39D4D"/>
    <w:rsid w:val="26D5E379"/>
    <w:rsid w:val="26DC5F5E"/>
    <w:rsid w:val="26DEB32B"/>
    <w:rsid w:val="26E5964F"/>
    <w:rsid w:val="26E59788"/>
    <w:rsid w:val="26E83843"/>
    <w:rsid w:val="26F49842"/>
    <w:rsid w:val="26F5045F"/>
    <w:rsid w:val="26F71002"/>
    <w:rsid w:val="26FC37A0"/>
    <w:rsid w:val="26FE5AD3"/>
    <w:rsid w:val="27047E56"/>
    <w:rsid w:val="270D065F"/>
    <w:rsid w:val="271A2940"/>
    <w:rsid w:val="271AD73D"/>
    <w:rsid w:val="271E2657"/>
    <w:rsid w:val="271FC6F8"/>
    <w:rsid w:val="27221E83"/>
    <w:rsid w:val="27273CDD"/>
    <w:rsid w:val="272A28AE"/>
    <w:rsid w:val="272CCC8A"/>
    <w:rsid w:val="272F2CB2"/>
    <w:rsid w:val="273159AA"/>
    <w:rsid w:val="2733D650"/>
    <w:rsid w:val="273A2D24"/>
    <w:rsid w:val="273A4B19"/>
    <w:rsid w:val="273FFAD2"/>
    <w:rsid w:val="2743336F"/>
    <w:rsid w:val="2743919B"/>
    <w:rsid w:val="274434FA"/>
    <w:rsid w:val="2744B43E"/>
    <w:rsid w:val="274F8B48"/>
    <w:rsid w:val="27614666"/>
    <w:rsid w:val="27637E26"/>
    <w:rsid w:val="27640EAF"/>
    <w:rsid w:val="2768873B"/>
    <w:rsid w:val="276C397F"/>
    <w:rsid w:val="277213D0"/>
    <w:rsid w:val="277D954D"/>
    <w:rsid w:val="27832374"/>
    <w:rsid w:val="2786E52D"/>
    <w:rsid w:val="2789DB91"/>
    <w:rsid w:val="27946365"/>
    <w:rsid w:val="279E6092"/>
    <w:rsid w:val="27A8A3D0"/>
    <w:rsid w:val="27AD2C8A"/>
    <w:rsid w:val="27BC0AE4"/>
    <w:rsid w:val="27C2FE90"/>
    <w:rsid w:val="27D12B72"/>
    <w:rsid w:val="27D4533F"/>
    <w:rsid w:val="27DA7FF6"/>
    <w:rsid w:val="27DC28C8"/>
    <w:rsid w:val="27E3403F"/>
    <w:rsid w:val="27ED3A54"/>
    <w:rsid w:val="27F18597"/>
    <w:rsid w:val="27F1C871"/>
    <w:rsid w:val="2804916E"/>
    <w:rsid w:val="28054EA6"/>
    <w:rsid w:val="280A94E5"/>
    <w:rsid w:val="280B2824"/>
    <w:rsid w:val="28127586"/>
    <w:rsid w:val="2816C510"/>
    <w:rsid w:val="281EC34D"/>
    <w:rsid w:val="2824F0B4"/>
    <w:rsid w:val="28268BCD"/>
    <w:rsid w:val="2826BAE5"/>
    <w:rsid w:val="2828D3CA"/>
    <w:rsid w:val="282A1025"/>
    <w:rsid w:val="28311E95"/>
    <w:rsid w:val="283AFA52"/>
    <w:rsid w:val="283E4A98"/>
    <w:rsid w:val="2849BB3D"/>
    <w:rsid w:val="2849E0B2"/>
    <w:rsid w:val="284B05EA"/>
    <w:rsid w:val="284D8E0E"/>
    <w:rsid w:val="2850E946"/>
    <w:rsid w:val="2855CF3A"/>
    <w:rsid w:val="28606C56"/>
    <w:rsid w:val="28656AD5"/>
    <w:rsid w:val="2868EDC6"/>
    <w:rsid w:val="2877EA29"/>
    <w:rsid w:val="2882B3C8"/>
    <w:rsid w:val="28835117"/>
    <w:rsid w:val="288D4D08"/>
    <w:rsid w:val="28937E87"/>
    <w:rsid w:val="289872CF"/>
    <w:rsid w:val="2898A544"/>
    <w:rsid w:val="2899D7AA"/>
    <w:rsid w:val="28A33E87"/>
    <w:rsid w:val="28AD7688"/>
    <w:rsid w:val="28AE6E0A"/>
    <w:rsid w:val="28B1F80D"/>
    <w:rsid w:val="28B5E517"/>
    <w:rsid w:val="28C08B37"/>
    <w:rsid w:val="28C2D1E1"/>
    <w:rsid w:val="28C4BB25"/>
    <w:rsid w:val="28D6EEEA"/>
    <w:rsid w:val="28DEAD6A"/>
    <w:rsid w:val="28E92C53"/>
    <w:rsid w:val="28F93AC5"/>
    <w:rsid w:val="28FB9039"/>
    <w:rsid w:val="2901D831"/>
    <w:rsid w:val="29039252"/>
    <w:rsid w:val="290AF325"/>
    <w:rsid w:val="290F4172"/>
    <w:rsid w:val="2913F863"/>
    <w:rsid w:val="29462210"/>
    <w:rsid w:val="2948E79A"/>
    <w:rsid w:val="29530F3D"/>
    <w:rsid w:val="295F59A3"/>
    <w:rsid w:val="2961BA5E"/>
    <w:rsid w:val="297FA171"/>
    <w:rsid w:val="2980736B"/>
    <w:rsid w:val="298E98F5"/>
    <w:rsid w:val="298EE3B2"/>
    <w:rsid w:val="29972CD5"/>
    <w:rsid w:val="2999FC86"/>
    <w:rsid w:val="299F64C0"/>
    <w:rsid w:val="29A3C305"/>
    <w:rsid w:val="29A42E34"/>
    <w:rsid w:val="29A50F1F"/>
    <w:rsid w:val="29A67E7C"/>
    <w:rsid w:val="29A85B93"/>
    <w:rsid w:val="29B49C61"/>
    <w:rsid w:val="29B7DCE4"/>
    <w:rsid w:val="29C15076"/>
    <w:rsid w:val="29C5E086"/>
    <w:rsid w:val="29C89A1B"/>
    <w:rsid w:val="29D0D8B4"/>
    <w:rsid w:val="29D46D2D"/>
    <w:rsid w:val="29DF92F3"/>
    <w:rsid w:val="29E84928"/>
    <w:rsid w:val="29E9E4C1"/>
    <w:rsid w:val="29EC56E9"/>
    <w:rsid w:val="29F9E481"/>
    <w:rsid w:val="29FC940B"/>
    <w:rsid w:val="29FDCC47"/>
    <w:rsid w:val="2A016F72"/>
    <w:rsid w:val="2A023D31"/>
    <w:rsid w:val="2A05D2CE"/>
    <w:rsid w:val="2A0861F1"/>
    <w:rsid w:val="2A09CF3D"/>
    <w:rsid w:val="2A0C7F09"/>
    <w:rsid w:val="2A0CD0AC"/>
    <w:rsid w:val="2A14FE54"/>
    <w:rsid w:val="2A1E0AB2"/>
    <w:rsid w:val="2A240CB5"/>
    <w:rsid w:val="2A2530EE"/>
    <w:rsid w:val="2A291D69"/>
    <w:rsid w:val="2A36B779"/>
    <w:rsid w:val="2A3E11E7"/>
    <w:rsid w:val="2A3E28C5"/>
    <w:rsid w:val="2A404014"/>
    <w:rsid w:val="2A4384CE"/>
    <w:rsid w:val="2A48DD95"/>
    <w:rsid w:val="2A4CE528"/>
    <w:rsid w:val="2A561E3F"/>
    <w:rsid w:val="2A564ABD"/>
    <w:rsid w:val="2A570A41"/>
    <w:rsid w:val="2A576446"/>
    <w:rsid w:val="2A5CCFAD"/>
    <w:rsid w:val="2A63A934"/>
    <w:rsid w:val="2A79BF89"/>
    <w:rsid w:val="2A7CEB2D"/>
    <w:rsid w:val="2A871221"/>
    <w:rsid w:val="2A90B144"/>
    <w:rsid w:val="2A9514B4"/>
    <w:rsid w:val="2A95B309"/>
    <w:rsid w:val="2A98FAB7"/>
    <w:rsid w:val="2AA302DB"/>
    <w:rsid w:val="2AA89955"/>
    <w:rsid w:val="2AAAF686"/>
    <w:rsid w:val="2AABABF0"/>
    <w:rsid w:val="2AB2A6AA"/>
    <w:rsid w:val="2AB3C282"/>
    <w:rsid w:val="2AB7FE5D"/>
    <w:rsid w:val="2AB83BC6"/>
    <w:rsid w:val="2AB88B3D"/>
    <w:rsid w:val="2ABAB025"/>
    <w:rsid w:val="2ABBABC1"/>
    <w:rsid w:val="2AE144AF"/>
    <w:rsid w:val="2AEC4BAF"/>
    <w:rsid w:val="2AF0AABB"/>
    <w:rsid w:val="2AF621AC"/>
    <w:rsid w:val="2AF9A6E0"/>
    <w:rsid w:val="2AFB8E0B"/>
    <w:rsid w:val="2AFBBD13"/>
    <w:rsid w:val="2B005D50"/>
    <w:rsid w:val="2B048867"/>
    <w:rsid w:val="2B0B0D9B"/>
    <w:rsid w:val="2B0F2DA8"/>
    <w:rsid w:val="2B13F6BE"/>
    <w:rsid w:val="2B1572EE"/>
    <w:rsid w:val="2B1F52D9"/>
    <w:rsid w:val="2B23572F"/>
    <w:rsid w:val="2B2A5A48"/>
    <w:rsid w:val="2B2C2BE2"/>
    <w:rsid w:val="2B2FB545"/>
    <w:rsid w:val="2B3132B1"/>
    <w:rsid w:val="2B4F71CF"/>
    <w:rsid w:val="2B51EE07"/>
    <w:rsid w:val="2B5274D8"/>
    <w:rsid w:val="2B5C926B"/>
    <w:rsid w:val="2B5EF3A1"/>
    <w:rsid w:val="2B5FFAB8"/>
    <w:rsid w:val="2B65AECE"/>
    <w:rsid w:val="2B6AB94A"/>
    <w:rsid w:val="2B73F8E2"/>
    <w:rsid w:val="2B7BA38B"/>
    <w:rsid w:val="2B7D9022"/>
    <w:rsid w:val="2B7EE312"/>
    <w:rsid w:val="2B821F06"/>
    <w:rsid w:val="2B8B7AAA"/>
    <w:rsid w:val="2B8C2EEC"/>
    <w:rsid w:val="2B8D9B11"/>
    <w:rsid w:val="2B9815A0"/>
    <w:rsid w:val="2BA18EEB"/>
    <w:rsid w:val="2BA553B4"/>
    <w:rsid w:val="2BA60745"/>
    <w:rsid w:val="2BA9C612"/>
    <w:rsid w:val="2BAC43CC"/>
    <w:rsid w:val="2BADE938"/>
    <w:rsid w:val="2BAE3FF3"/>
    <w:rsid w:val="2BB185E7"/>
    <w:rsid w:val="2BB498E7"/>
    <w:rsid w:val="2BB555C7"/>
    <w:rsid w:val="2BBA21E1"/>
    <w:rsid w:val="2BBEC71C"/>
    <w:rsid w:val="2BC73025"/>
    <w:rsid w:val="2BCCD4B7"/>
    <w:rsid w:val="2BD6E3B1"/>
    <w:rsid w:val="2BD8E40B"/>
    <w:rsid w:val="2BDA65B0"/>
    <w:rsid w:val="2BDAE35E"/>
    <w:rsid w:val="2BDF0625"/>
    <w:rsid w:val="2BE63B03"/>
    <w:rsid w:val="2BE68632"/>
    <w:rsid w:val="2BEDF664"/>
    <w:rsid w:val="2BF0E659"/>
    <w:rsid w:val="2BFD0054"/>
    <w:rsid w:val="2BFF7E88"/>
    <w:rsid w:val="2C03468D"/>
    <w:rsid w:val="2C0C6F57"/>
    <w:rsid w:val="2C1044C7"/>
    <w:rsid w:val="2C1370C2"/>
    <w:rsid w:val="2C2381EE"/>
    <w:rsid w:val="2C24C6F0"/>
    <w:rsid w:val="2C268E91"/>
    <w:rsid w:val="2C419F92"/>
    <w:rsid w:val="2C46BFA0"/>
    <w:rsid w:val="2C4A5666"/>
    <w:rsid w:val="2C4DEF4F"/>
    <w:rsid w:val="2C50B323"/>
    <w:rsid w:val="2C5AE9D5"/>
    <w:rsid w:val="2C631F5C"/>
    <w:rsid w:val="2C6A5D21"/>
    <w:rsid w:val="2C71CE86"/>
    <w:rsid w:val="2C767FA9"/>
    <w:rsid w:val="2C7E65E5"/>
    <w:rsid w:val="2C7F10A9"/>
    <w:rsid w:val="2C872D1A"/>
    <w:rsid w:val="2C9216CA"/>
    <w:rsid w:val="2C939FD4"/>
    <w:rsid w:val="2C94846B"/>
    <w:rsid w:val="2C969EA5"/>
    <w:rsid w:val="2C974F68"/>
    <w:rsid w:val="2CA5FD43"/>
    <w:rsid w:val="2CA62DA9"/>
    <w:rsid w:val="2CAF72CB"/>
    <w:rsid w:val="2CB74233"/>
    <w:rsid w:val="2CB88140"/>
    <w:rsid w:val="2CC0FDD2"/>
    <w:rsid w:val="2CC41E85"/>
    <w:rsid w:val="2CC45EE3"/>
    <w:rsid w:val="2CC7A111"/>
    <w:rsid w:val="2CCB5A3D"/>
    <w:rsid w:val="2CD8CF06"/>
    <w:rsid w:val="2CE0F9F5"/>
    <w:rsid w:val="2CE69D95"/>
    <w:rsid w:val="2CF687EA"/>
    <w:rsid w:val="2CF6966D"/>
    <w:rsid w:val="2CFA4690"/>
    <w:rsid w:val="2CFBF9F9"/>
    <w:rsid w:val="2D0327A2"/>
    <w:rsid w:val="2D087110"/>
    <w:rsid w:val="2D0D4324"/>
    <w:rsid w:val="2D149AB6"/>
    <w:rsid w:val="2D16589F"/>
    <w:rsid w:val="2D2F5192"/>
    <w:rsid w:val="2D383E05"/>
    <w:rsid w:val="2D3C7682"/>
    <w:rsid w:val="2D458AA4"/>
    <w:rsid w:val="2D4C979C"/>
    <w:rsid w:val="2D501E47"/>
    <w:rsid w:val="2D553D8C"/>
    <w:rsid w:val="2D5B87F5"/>
    <w:rsid w:val="2D5C4286"/>
    <w:rsid w:val="2D5C6EA1"/>
    <w:rsid w:val="2D6FF7EB"/>
    <w:rsid w:val="2D70FC44"/>
    <w:rsid w:val="2D71111E"/>
    <w:rsid w:val="2D7BCACA"/>
    <w:rsid w:val="2D89C6E5"/>
    <w:rsid w:val="2D8DD853"/>
    <w:rsid w:val="2D90402C"/>
    <w:rsid w:val="2D90F718"/>
    <w:rsid w:val="2D956170"/>
    <w:rsid w:val="2D9C2BAD"/>
    <w:rsid w:val="2DBA8901"/>
    <w:rsid w:val="2DC1B13E"/>
    <w:rsid w:val="2DC51083"/>
    <w:rsid w:val="2DC93BBF"/>
    <w:rsid w:val="2DCE5A31"/>
    <w:rsid w:val="2DD495BB"/>
    <w:rsid w:val="2DDD6502"/>
    <w:rsid w:val="2DE34CB2"/>
    <w:rsid w:val="2DEA095A"/>
    <w:rsid w:val="2DF10851"/>
    <w:rsid w:val="2DFDB0C3"/>
    <w:rsid w:val="2DFF354C"/>
    <w:rsid w:val="2E16002E"/>
    <w:rsid w:val="2E1B38B4"/>
    <w:rsid w:val="2E1B82E3"/>
    <w:rsid w:val="2E1EFA68"/>
    <w:rsid w:val="2E25175B"/>
    <w:rsid w:val="2E26198B"/>
    <w:rsid w:val="2E301EC5"/>
    <w:rsid w:val="2E45B401"/>
    <w:rsid w:val="2E47430D"/>
    <w:rsid w:val="2E486AAE"/>
    <w:rsid w:val="2E4D1CAF"/>
    <w:rsid w:val="2E4D70D5"/>
    <w:rsid w:val="2E57DD49"/>
    <w:rsid w:val="2E5881F2"/>
    <w:rsid w:val="2E739D3D"/>
    <w:rsid w:val="2E7C1BFF"/>
    <w:rsid w:val="2E849B8A"/>
    <w:rsid w:val="2E8AA602"/>
    <w:rsid w:val="2E8CD290"/>
    <w:rsid w:val="2E96F204"/>
    <w:rsid w:val="2E9A3988"/>
    <w:rsid w:val="2E9CC2B0"/>
    <w:rsid w:val="2E9D4F90"/>
    <w:rsid w:val="2EA2068A"/>
    <w:rsid w:val="2EA32C8A"/>
    <w:rsid w:val="2EA40561"/>
    <w:rsid w:val="2EAC9B59"/>
    <w:rsid w:val="2EB0C510"/>
    <w:rsid w:val="2EB7A8B0"/>
    <w:rsid w:val="2EBC7C8D"/>
    <w:rsid w:val="2EC0D08A"/>
    <w:rsid w:val="2EC56E54"/>
    <w:rsid w:val="2ECBB0BF"/>
    <w:rsid w:val="2ED2C230"/>
    <w:rsid w:val="2ED44CCB"/>
    <w:rsid w:val="2ED5FB11"/>
    <w:rsid w:val="2ED6789D"/>
    <w:rsid w:val="2ED6A80E"/>
    <w:rsid w:val="2ED8C3D7"/>
    <w:rsid w:val="2EE43750"/>
    <w:rsid w:val="2EEA7341"/>
    <w:rsid w:val="2EEC0CDF"/>
    <w:rsid w:val="2EECE3A9"/>
    <w:rsid w:val="2EF1B324"/>
    <w:rsid w:val="2F01D536"/>
    <w:rsid w:val="2F029108"/>
    <w:rsid w:val="2F073E0B"/>
    <w:rsid w:val="2F19A19D"/>
    <w:rsid w:val="2F1F0AF8"/>
    <w:rsid w:val="2F2F80E4"/>
    <w:rsid w:val="2F3071DB"/>
    <w:rsid w:val="2F36E8D1"/>
    <w:rsid w:val="2F3BB354"/>
    <w:rsid w:val="2F569378"/>
    <w:rsid w:val="2F5F3C8A"/>
    <w:rsid w:val="2F601CEC"/>
    <w:rsid w:val="2F654312"/>
    <w:rsid w:val="2F65CC29"/>
    <w:rsid w:val="2FACFF3A"/>
    <w:rsid w:val="2FBA700E"/>
    <w:rsid w:val="2FC203B3"/>
    <w:rsid w:val="2FC4C487"/>
    <w:rsid w:val="2FD229B0"/>
    <w:rsid w:val="2FDA1019"/>
    <w:rsid w:val="2FE230EC"/>
    <w:rsid w:val="2FE3BF06"/>
    <w:rsid w:val="2FF90BCE"/>
    <w:rsid w:val="2FFB0C78"/>
    <w:rsid w:val="2FFECF68"/>
    <w:rsid w:val="300066AF"/>
    <w:rsid w:val="302958FE"/>
    <w:rsid w:val="30460791"/>
    <w:rsid w:val="304865A2"/>
    <w:rsid w:val="3048E354"/>
    <w:rsid w:val="304C31DF"/>
    <w:rsid w:val="305B73CC"/>
    <w:rsid w:val="30634F05"/>
    <w:rsid w:val="30638822"/>
    <w:rsid w:val="306955D3"/>
    <w:rsid w:val="306A1122"/>
    <w:rsid w:val="30752501"/>
    <w:rsid w:val="3080D86C"/>
    <w:rsid w:val="3088B353"/>
    <w:rsid w:val="309A28D0"/>
    <w:rsid w:val="30A922B6"/>
    <w:rsid w:val="30B231FD"/>
    <w:rsid w:val="30C13559"/>
    <w:rsid w:val="30C646D9"/>
    <w:rsid w:val="30DA2000"/>
    <w:rsid w:val="30E02CA0"/>
    <w:rsid w:val="30E0B128"/>
    <w:rsid w:val="30E7300D"/>
    <w:rsid w:val="30EA531E"/>
    <w:rsid w:val="30EEAF02"/>
    <w:rsid w:val="30F9813B"/>
    <w:rsid w:val="30F9A6BD"/>
    <w:rsid w:val="30FA14A6"/>
    <w:rsid w:val="31017C54"/>
    <w:rsid w:val="31021E15"/>
    <w:rsid w:val="31083926"/>
    <w:rsid w:val="31126E53"/>
    <w:rsid w:val="311E2C4C"/>
    <w:rsid w:val="3121EE43"/>
    <w:rsid w:val="313024CA"/>
    <w:rsid w:val="31324BD7"/>
    <w:rsid w:val="3141759A"/>
    <w:rsid w:val="314562B9"/>
    <w:rsid w:val="31478A77"/>
    <w:rsid w:val="31508796"/>
    <w:rsid w:val="3150C506"/>
    <w:rsid w:val="315208F5"/>
    <w:rsid w:val="31640A05"/>
    <w:rsid w:val="31677518"/>
    <w:rsid w:val="316A8342"/>
    <w:rsid w:val="316DD59E"/>
    <w:rsid w:val="31702C3B"/>
    <w:rsid w:val="3171304D"/>
    <w:rsid w:val="3171B468"/>
    <w:rsid w:val="317E4DFD"/>
    <w:rsid w:val="31880413"/>
    <w:rsid w:val="318B98B8"/>
    <w:rsid w:val="318D385B"/>
    <w:rsid w:val="31912704"/>
    <w:rsid w:val="31934E0A"/>
    <w:rsid w:val="3195082C"/>
    <w:rsid w:val="31961FF6"/>
    <w:rsid w:val="319F9ECB"/>
    <w:rsid w:val="31A4A2BE"/>
    <w:rsid w:val="31AE6933"/>
    <w:rsid w:val="31BFCF81"/>
    <w:rsid w:val="31C1CDC5"/>
    <w:rsid w:val="31C37511"/>
    <w:rsid w:val="31CF5B2F"/>
    <w:rsid w:val="31D40434"/>
    <w:rsid w:val="31DB57A7"/>
    <w:rsid w:val="31E79AAF"/>
    <w:rsid w:val="3206A734"/>
    <w:rsid w:val="3207EDE1"/>
    <w:rsid w:val="320C4645"/>
    <w:rsid w:val="3214A5AD"/>
    <w:rsid w:val="3218D5C0"/>
    <w:rsid w:val="3226C430"/>
    <w:rsid w:val="32281B01"/>
    <w:rsid w:val="3233DDF9"/>
    <w:rsid w:val="32349DDD"/>
    <w:rsid w:val="3236271C"/>
    <w:rsid w:val="32395D1B"/>
    <w:rsid w:val="324DADFE"/>
    <w:rsid w:val="324F7CC0"/>
    <w:rsid w:val="325159D9"/>
    <w:rsid w:val="326498AE"/>
    <w:rsid w:val="3269153E"/>
    <w:rsid w:val="326DE32E"/>
    <w:rsid w:val="3277095D"/>
    <w:rsid w:val="3277C05F"/>
    <w:rsid w:val="3279C6FE"/>
    <w:rsid w:val="327C06B6"/>
    <w:rsid w:val="32826222"/>
    <w:rsid w:val="328775A4"/>
    <w:rsid w:val="32899A1F"/>
    <w:rsid w:val="328A47AB"/>
    <w:rsid w:val="32A3AA24"/>
    <w:rsid w:val="32B3B347"/>
    <w:rsid w:val="32B6B1AC"/>
    <w:rsid w:val="32BC05C5"/>
    <w:rsid w:val="32C0C5BF"/>
    <w:rsid w:val="32C15191"/>
    <w:rsid w:val="32C48316"/>
    <w:rsid w:val="32C90C59"/>
    <w:rsid w:val="32CEB554"/>
    <w:rsid w:val="32CFBDC1"/>
    <w:rsid w:val="32D67D8D"/>
    <w:rsid w:val="32DA7ACA"/>
    <w:rsid w:val="32DC59B7"/>
    <w:rsid w:val="32E02A3D"/>
    <w:rsid w:val="32F16C5E"/>
    <w:rsid w:val="32F30C2B"/>
    <w:rsid w:val="32FEC78F"/>
    <w:rsid w:val="330CFAEE"/>
    <w:rsid w:val="331902CB"/>
    <w:rsid w:val="331B6F36"/>
    <w:rsid w:val="3320EAAC"/>
    <w:rsid w:val="332B95A4"/>
    <w:rsid w:val="3331460D"/>
    <w:rsid w:val="3335A706"/>
    <w:rsid w:val="3339F3FA"/>
    <w:rsid w:val="33439662"/>
    <w:rsid w:val="3344FB64"/>
    <w:rsid w:val="33476A7F"/>
    <w:rsid w:val="334D6BF4"/>
    <w:rsid w:val="335F092C"/>
    <w:rsid w:val="33620DC8"/>
    <w:rsid w:val="33645B59"/>
    <w:rsid w:val="336ECFA8"/>
    <w:rsid w:val="3374FE27"/>
    <w:rsid w:val="33778597"/>
    <w:rsid w:val="33779EBD"/>
    <w:rsid w:val="33798620"/>
    <w:rsid w:val="3379A21E"/>
    <w:rsid w:val="337FDA26"/>
    <w:rsid w:val="33831C89"/>
    <w:rsid w:val="33908374"/>
    <w:rsid w:val="3391A2CA"/>
    <w:rsid w:val="3394031C"/>
    <w:rsid w:val="33A2FA80"/>
    <w:rsid w:val="33AAC7DA"/>
    <w:rsid w:val="33BF7229"/>
    <w:rsid w:val="33C153EF"/>
    <w:rsid w:val="33C5DBDB"/>
    <w:rsid w:val="33C821CE"/>
    <w:rsid w:val="33C8B8AF"/>
    <w:rsid w:val="33CF92C6"/>
    <w:rsid w:val="33D01B07"/>
    <w:rsid w:val="33D0CD73"/>
    <w:rsid w:val="33DC56D8"/>
    <w:rsid w:val="33E45EA4"/>
    <w:rsid w:val="3400B6BF"/>
    <w:rsid w:val="3410F0DF"/>
    <w:rsid w:val="3417FFEF"/>
    <w:rsid w:val="341DC215"/>
    <w:rsid w:val="341FAC2B"/>
    <w:rsid w:val="3425BA67"/>
    <w:rsid w:val="3434EF4E"/>
    <w:rsid w:val="3435F043"/>
    <w:rsid w:val="3437B6AB"/>
    <w:rsid w:val="3448EDCB"/>
    <w:rsid w:val="3450F71F"/>
    <w:rsid w:val="345437A2"/>
    <w:rsid w:val="34554428"/>
    <w:rsid w:val="346A2B4A"/>
    <w:rsid w:val="346CB95B"/>
    <w:rsid w:val="346EE952"/>
    <w:rsid w:val="347A430B"/>
    <w:rsid w:val="3480E45B"/>
    <w:rsid w:val="348A2C09"/>
    <w:rsid w:val="348C9824"/>
    <w:rsid w:val="348FD8C1"/>
    <w:rsid w:val="349EE381"/>
    <w:rsid w:val="34B218B4"/>
    <w:rsid w:val="34B60D8A"/>
    <w:rsid w:val="34BD9BF4"/>
    <w:rsid w:val="34C3139A"/>
    <w:rsid w:val="34C7EF6B"/>
    <w:rsid w:val="34C87CC8"/>
    <w:rsid w:val="34C8D47C"/>
    <w:rsid w:val="34C92C6D"/>
    <w:rsid w:val="34CA25BB"/>
    <w:rsid w:val="34CFB3EB"/>
    <w:rsid w:val="34D45495"/>
    <w:rsid w:val="34DCD898"/>
    <w:rsid w:val="34E80E88"/>
    <w:rsid w:val="34ED2C10"/>
    <w:rsid w:val="34EDAA4E"/>
    <w:rsid w:val="34EFB1AA"/>
    <w:rsid w:val="34FF130B"/>
    <w:rsid w:val="350C0434"/>
    <w:rsid w:val="350CF1F0"/>
    <w:rsid w:val="35127B3E"/>
    <w:rsid w:val="351B24A5"/>
    <w:rsid w:val="351BAA25"/>
    <w:rsid w:val="3527F2B2"/>
    <w:rsid w:val="353B097A"/>
    <w:rsid w:val="3558B310"/>
    <w:rsid w:val="355B9777"/>
    <w:rsid w:val="355B9B40"/>
    <w:rsid w:val="3560EFA2"/>
    <w:rsid w:val="3569066C"/>
    <w:rsid w:val="356EFCB3"/>
    <w:rsid w:val="358385F8"/>
    <w:rsid w:val="358747FF"/>
    <w:rsid w:val="35ACBB40"/>
    <w:rsid w:val="35B17EBF"/>
    <w:rsid w:val="35B42479"/>
    <w:rsid w:val="35B59ABD"/>
    <w:rsid w:val="35C25511"/>
    <w:rsid w:val="35C38D06"/>
    <w:rsid w:val="35C60C14"/>
    <w:rsid w:val="35C85F40"/>
    <w:rsid w:val="35CAE9CD"/>
    <w:rsid w:val="35CD39FF"/>
    <w:rsid w:val="35CD8FB1"/>
    <w:rsid w:val="35E3201D"/>
    <w:rsid w:val="35E82F56"/>
    <w:rsid w:val="35EFF873"/>
    <w:rsid w:val="35F481A3"/>
    <w:rsid w:val="35F6DE67"/>
    <w:rsid w:val="35F8FF8D"/>
    <w:rsid w:val="35F98D4B"/>
    <w:rsid w:val="3603AD27"/>
    <w:rsid w:val="3606829F"/>
    <w:rsid w:val="36207D04"/>
    <w:rsid w:val="36244224"/>
    <w:rsid w:val="3625A535"/>
    <w:rsid w:val="362E7EB6"/>
    <w:rsid w:val="362F3A33"/>
    <w:rsid w:val="36414B37"/>
    <w:rsid w:val="3644A170"/>
    <w:rsid w:val="364A4370"/>
    <w:rsid w:val="364EC004"/>
    <w:rsid w:val="36688D5F"/>
    <w:rsid w:val="3669350F"/>
    <w:rsid w:val="366AEAA0"/>
    <w:rsid w:val="3672AB07"/>
    <w:rsid w:val="3673F9D1"/>
    <w:rsid w:val="36815FCD"/>
    <w:rsid w:val="368543C0"/>
    <w:rsid w:val="36854F2C"/>
    <w:rsid w:val="368D8671"/>
    <w:rsid w:val="369742EB"/>
    <w:rsid w:val="3698B395"/>
    <w:rsid w:val="36A0F28A"/>
    <w:rsid w:val="36A2549F"/>
    <w:rsid w:val="36A2EC87"/>
    <w:rsid w:val="36AC0CC8"/>
    <w:rsid w:val="36AE62F4"/>
    <w:rsid w:val="36AE91A8"/>
    <w:rsid w:val="36AFFEDF"/>
    <w:rsid w:val="36B1954A"/>
    <w:rsid w:val="36B49415"/>
    <w:rsid w:val="36BACD21"/>
    <w:rsid w:val="36BE5D09"/>
    <w:rsid w:val="36C10BA7"/>
    <w:rsid w:val="36C99056"/>
    <w:rsid w:val="36D1E342"/>
    <w:rsid w:val="36DE5EB1"/>
    <w:rsid w:val="36EA6A99"/>
    <w:rsid w:val="36F0A753"/>
    <w:rsid w:val="36F2CF81"/>
    <w:rsid w:val="36FFD36D"/>
    <w:rsid w:val="37082988"/>
    <w:rsid w:val="370B5384"/>
    <w:rsid w:val="370DEDCD"/>
    <w:rsid w:val="370FE3B6"/>
    <w:rsid w:val="372565AC"/>
    <w:rsid w:val="372719CB"/>
    <w:rsid w:val="3728B8AD"/>
    <w:rsid w:val="3734A147"/>
    <w:rsid w:val="37371914"/>
    <w:rsid w:val="3738BF0F"/>
    <w:rsid w:val="37443CCA"/>
    <w:rsid w:val="374489E3"/>
    <w:rsid w:val="37479830"/>
    <w:rsid w:val="375B31C1"/>
    <w:rsid w:val="375C79AE"/>
    <w:rsid w:val="375CE4D9"/>
    <w:rsid w:val="3760D8A2"/>
    <w:rsid w:val="37689B87"/>
    <w:rsid w:val="376C5C39"/>
    <w:rsid w:val="37871AFB"/>
    <w:rsid w:val="378849EB"/>
    <w:rsid w:val="3789308F"/>
    <w:rsid w:val="378F2538"/>
    <w:rsid w:val="3799A0C9"/>
    <w:rsid w:val="379D29D0"/>
    <w:rsid w:val="37AB3AC3"/>
    <w:rsid w:val="37B3F0ED"/>
    <w:rsid w:val="37B505EB"/>
    <w:rsid w:val="37B5BAB5"/>
    <w:rsid w:val="37C29DF4"/>
    <w:rsid w:val="37CA2B6F"/>
    <w:rsid w:val="37CA4A08"/>
    <w:rsid w:val="37D7C770"/>
    <w:rsid w:val="37E35A98"/>
    <w:rsid w:val="37E9716C"/>
    <w:rsid w:val="37EE46C9"/>
    <w:rsid w:val="37F2554F"/>
    <w:rsid w:val="37F50ACB"/>
    <w:rsid w:val="37FAC7A8"/>
    <w:rsid w:val="3801F85D"/>
    <w:rsid w:val="38066B8A"/>
    <w:rsid w:val="380A6AAD"/>
    <w:rsid w:val="3813D28B"/>
    <w:rsid w:val="38185404"/>
    <w:rsid w:val="381BBE13"/>
    <w:rsid w:val="381FD13A"/>
    <w:rsid w:val="3824FDBA"/>
    <w:rsid w:val="38282309"/>
    <w:rsid w:val="382B0E62"/>
    <w:rsid w:val="382BF095"/>
    <w:rsid w:val="382D450A"/>
    <w:rsid w:val="383497FC"/>
    <w:rsid w:val="38414ADF"/>
    <w:rsid w:val="3841D876"/>
    <w:rsid w:val="384C26F9"/>
    <w:rsid w:val="3858C44E"/>
    <w:rsid w:val="3860E478"/>
    <w:rsid w:val="3865DCE7"/>
    <w:rsid w:val="3871FE1C"/>
    <w:rsid w:val="38731A63"/>
    <w:rsid w:val="388B7BE3"/>
    <w:rsid w:val="388DA73E"/>
    <w:rsid w:val="38932941"/>
    <w:rsid w:val="38A0C6D4"/>
    <w:rsid w:val="38A8297A"/>
    <w:rsid w:val="38B44462"/>
    <w:rsid w:val="38C5B825"/>
    <w:rsid w:val="38CE73E5"/>
    <w:rsid w:val="38D4A955"/>
    <w:rsid w:val="38D7F21B"/>
    <w:rsid w:val="38DBEE2A"/>
    <w:rsid w:val="38F190A2"/>
    <w:rsid w:val="38F85903"/>
    <w:rsid w:val="3911AD18"/>
    <w:rsid w:val="39128C91"/>
    <w:rsid w:val="392B9104"/>
    <w:rsid w:val="392E8942"/>
    <w:rsid w:val="392EB6EA"/>
    <w:rsid w:val="3930E168"/>
    <w:rsid w:val="393BF6C2"/>
    <w:rsid w:val="3945919F"/>
    <w:rsid w:val="39473B7F"/>
    <w:rsid w:val="394B1C9A"/>
    <w:rsid w:val="394EF8F9"/>
    <w:rsid w:val="3950CFDE"/>
    <w:rsid w:val="395184B2"/>
    <w:rsid w:val="395DB119"/>
    <w:rsid w:val="396495D1"/>
    <w:rsid w:val="398909C2"/>
    <w:rsid w:val="3989B27C"/>
    <w:rsid w:val="3989C871"/>
    <w:rsid w:val="398D57E9"/>
    <w:rsid w:val="398E8E1D"/>
    <w:rsid w:val="3993B0F4"/>
    <w:rsid w:val="399515AC"/>
    <w:rsid w:val="399DED43"/>
    <w:rsid w:val="39A3D38E"/>
    <w:rsid w:val="39A4462F"/>
    <w:rsid w:val="39A90BD1"/>
    <w:rsid w:val="39AF2F8B"/>
    <w:rsid w:val="39B1A8E6"/>
    <w:rsid w:val="39BDE201"/>
    <w:rsid w:val="39C0B536"/>
    <w:rsid w:val="39D527E1"/>
    <w:rsid w:val="39E080A5"/>
    <w:rsid w:val="39EDFF32"/>
    <w:rsid w:val="39EF09D9"/>
    <w:rsid w:val="39FFD4D2"/>
    <w:rsid w:val="3A057490"/>
    <w:rsid w:val="3A07CA2F"/>
    <w:rsid w:val="3A0C1ECB"/>
    <w:rsid w:val="3A0C813A"/>
    <w:rsid w:val="3A0E5BDF"/>
    <w:rsid w:val="3A1750E7"/>
    <w:rsid w:val="3A1B5171"/>
    <w:rsid w:val="3A1D47BA"/>
    <w:rsid w:val="3A1E3FF8"/>
    <w:rsid w:val="3A2A3ECB"/>
    <w:rsid w:val="3A2C3D26"/>
    <w:rsid w:val="3A2CF412"/>
    <w:rsid w:val="3A3014BE"/>
    <w:rsid w:val="3A30EB2B"/>
    <w:rsid w:val="3A382F09"/>
    <w:rsid w:val="3A3D0D9F"/>
    <w:rsid w:val="3A41080B"/>
    <w:rsid w:val="3A4160AF"/>
    <w:rsid w:val="3A4279C1"/>
    <w:rsid w:val="3A43EABB"/>
    <w:rsid w:val="3A4D4D98"/>
    <w:rsid w:val="3A60E3F1"/>
    <w:rsid w:val="3A6BBFC6"/>
    <w:rsid w:val="3A78DB6D"/>
    <w:rsid w:val="3A7AE292"/>
    <w:rsid w:val="3A7EBCB9"/>
    <w:rsid w:val="3A8219A6"/>
    <w:rsid w:val="3A868A6F"/>
    <w:rsid w:val="3A88D311"/>
    <w:rsid w:val="3A8FCE04"/>
    <w:rsid w:val="3A9284BB"/>
    <w:rsid w:val="3A93EDA7"/>
    <w:rsid w:val="3A979B14"/>
    <w:rsid w:val="3A9DBCA8"/>
    <w:rsid w:val="3A9F7184"/>
    <w:rsid w:val="3AA001AF"/>
    <w:rsid w:val="3AA9B169"/>
    <w:rsid w:val="3AAC7306"/>
    <w:rsid w:val="3AB0923F"/>
    <w:rsid w:val="3AB2A827"/>
    <w:rsid w:val="3AC635F2"/>
    <w:rsid w:val="3ACDDA26"/>
    <w:rsid w:val="3ACE80AA"/>
    <w:rsid w:val="3AD4A4BC"/>
    <w:rsid w:val="3ADD0E1E"/>
    <w:rsid w:val="3AE0D96F"/>
    <w:rsid w:val="3AE47321"/>
    <w:rsid w:val="3AF746FA"/>
    <w:rsid w:val="3B03567F"/>
    <w:rsid w:val="3B170A8D"/>
    <w:rsid w:val="3B18A2B1"/>
    <w:rsid w:val="3B190078"/>
    <w:rsid w:val="3B2F6C1F"/>
    <w:rsid w:val="3B32CF14"/>
    <w:rsid w:val="3B373941"/>
    <w:rsid w:val="3B451C8F"/>
    <w:rsid w:val="3B4C744A"/>
    <w:rsid w:val="3B4DE65D"/>
    <w:rsid w:val="3B4EFD87"/>
    <w:rsid w:val="3B515759"/>
    <w:rsid w:val="3B547F04"/>
    <w:rsid w:val="3B5BC830"/>
    <w:rsid w:val="3B614EBF"/>
    <w:rsid w:val="3B6AA6B1"/>
    <w:rsid w:val="3B6DD9A7"/>
    <w:rsid w:val="3B715555"/>
    <w:rsid w:val="3B788926"/>
    <w:rsid w:val="3B7B45B8"/>
    <w:rsid w:val="3B809863"/>
    <w:rsid w:val="3B821F1C"/>
    <w:rsid w:val="3B85393E"/>
    <w:rsid w:val="3B942725"/>
    <w:rsid w:val="3B9702CD"/>
    <w:rsid w:val="3B971DDE"/>
    <w:rsid w:val="3BACC3D5"/>
    <w:rsid w:val="3BB50EE3"/>
    <w:rsid w:val="3BC5CC63"/>
    <w:rsid w:val="3BC945C0"/>
    <w:rsid w:val="3BD3C201"/>
    <w:rsid w:val="3BF68BF5"/>
    <w:rsid w:val="3BFCD231"/>
    <w:rsid w:val="3C098FFD"/>
    <w:rsid w:val="3C122B26"/>
    <w:rsid w:val="3C13B53A"/>
    <w:rsid w:val="3C154EA9"/>
    <w:rsid w:val="3C1D0BBD"/>
    <w:rsid w:val="3C2FD02D"/>
    <w:rsid w:val="3C327A14"/>
    <w:rsid w:val="3C3E8078"/>
    <w:rsid w:val="3C4015B9"/>
    <w:rsid w:val="3C46FA3E"/>
    <w:rsid w:val="3C509B56"/>
    <w:rsid w:val="3C5625F6"/>
    <w:rsid w:val="3C56E5BA"/>
    <w:rsid w:val="3C6139AF"/>
    <w:rsid w:val="3C6610A8"/>
    <w:rsid w:val="3C6A5F9B"/>
    <w:rsid w:val="3C6B9566"/>
    <w:rsid w:val="3C7F3CB5"/>
    <w:rsid w:val="3C8E7173"/>
    <w:rsid w:val="3C911052"/>
    <w:rsid w:val="3CB5D475"/>
    <w:rsid w:val="3CBEB16D"/>
    <w:rsid w:val="3CC06723"/>
    <w:rsid w:val="3CC32613"/>
    <w:rsid w:val="3CC6EB77"/>
    <w:rsid w:val="3CCA1B8F"/>
    <w:rsid w:val="3CCB6040"/>
    <w:rsid w:val="3CD73351"/>
    <w:rsid w:val="3CDA0F7E"/>
    <w:rsid w:val="3CDCD22F"/>
    <w:rsid w:val="3CDD1832"/>
    <w:rsid w:val="3CE19345"/>
    <w:rsid w:val="3CF54F8D"/>
    <w:rsid w:val="3D05533A"/>
    <w:rsid w:val="3D21BD61"/>
    <w:rsid w:val="3D2777B2"/>
    <w:rsid w:val="3D283E8E"/>
    <w:rsid w:val="3D38D550"/>
    <w:rsid w:val="3D3D0A10"/>
    <w:rsid w:val="3D3D77E6"/>
    <w:rsid w:val="3D4208FB"/>
    <w:rsid w:val="3D44FD58"/>
    <w:rsid w:val="3D47B299"/>
    <w:rsid w:val="3D4981F1"/>
    <w:rsid w:val="3D49E9B1"/>
    <w:rsid w:val="3D50F549"/>
    <w:rsid w:val="3D547894"/>
    <w:rsid w:val="3D5594AA"/>
    <w:rsid w:val="3D5F814F"/>
    <w:rsid w:val="3D62A79B"/>
    <w:rsid w:val="3D64E3EF"/>
    <w:rsid w:val="3D699C10"/>
    <w:rsid w:val="3D6F47D1"/>
    <w:rsid w:val="3D73DDE8"/>
    <w:rsid w:val="3D78A8CD"/>
    <w:rsid w:val="3D799A1C"/>
    <w:rsid w:val="3D7D6021"/>
    <w:rsid w:val="3D7D8E24"/>
    <w:rsid w:val="3D80891C"/>
    <w:rsid w:val="3D90AC2E"/>
    <w:rsid w:val="3D9633C9"/>
    <w:rsid w:val="3D991EB0"/>
    <w:rsid w:val="3D9B12F8"/>
    <w:rsid w:val="3DA6D6FE"/>
    <w:rsid w:val="3DAD35F5"/>
    <w:rsid w:val="3DAF70BD"/>
    <w:rsid w:val="3DB1ECED"/>
    <w:rsid w:val="3DB2CA5F"/>
    <w:rsid w:val="3DB774C5"/>
    <w:rsid w:val="3DCBA762"/>
    <w:rsid w:val="3DCF7E08"/>
    <w:rsid w:val="3DD2788D"/>
    <w:rsid w:val="3DD30957"/>
    <w:rsid w:val="3DE64198"/>
    <w:rsid w:val="3E064FA8"/>
    <w:rsid w:val="3E0C0187"/>
    <w:rsid w:val="3E0F976B"/>
    <w:rsid w:val="3E19A4B3"/>
    <w:rsid w:val="3E1EA62C"/>
    <w:rsid w:val="3E1F5766"/>
    <w:rsid w:val="3E24E82F"/>
    <w:rsid w:val="3E2C2757"/>
    <w:rsid w:val="3E368766"/>
    <w:rsid w:val="3E38534F"/>
    <w:rsid w:val="3E3A27DB"/>
    <w:rsid w:val="3E3A464A"/>
    <w:rsid w:val="3E3CFE26"/>
    <w:rsid w:val="3E3FD5F0"/>
    <w:rsid w:val="3E40E7D5"/>
    <w:rsid w:val="3E4138DE"/>
    <w:rsid w:val="3E425B57"/>
    <w:rsid w:val="3E434686"/>
    <w:rsid w:val="3E4A35A7"/>
    <w:rsid w:val="3E513CF1"/>
    <w:rsid w:val="3E53E652"/>
    <w:rsid w:val="3E556294"/>
    <w:rsid w:val="3E55976F"/>
    <w:rsid w:val="3E561A56"/>
    <w:rsid w:val="3E596BA3"/>
    <w:rsid w:val="3E5D90D9"/>
    <w:rsid w:val="3E69E9C9"/>
    <w:rsid w:val="3E7635D1"/>
    <w:rsid w:val="3E7B8F55"/>
    <w:rsid w:val="3E7BF0D2"/>
    <w:rsid w:val="3E7C34B6"/>
    <w:rsid w:val="3E7E5868"/>
    <w:rsid w:val="3E7F3D39"/>
    <w:rsid w:val="3E8110DD"/>
    <w:rsid w:val="3E87CA2F"/>
    <w:rsid w:val="3E90395B"/>
    <w:rsid w:val="3E9077E9"/>
    <w:rsid w:val="3E99DE8C"/>
    <w:rsid w:val="3E9AF47C"/>
    <w:rsid w:val="3EA2CBA2"/>
    <w:rsid w:val="3EA3EB8E"/>
    <w:rsid w:val="3EA47BEC"/>
    <w:rsid w:val="3EB2E67A"/>
    <w:rsid w:val="3EB58303"/>
    <w:rsid w:val="3EB9C8DF"/>
    <w:rsid w:val="3EB9FDD0"/>
    <w:rsid w:val="3EBA7F07"/>
    <w:rsid w:val="3EBB793A"/>
    <w:rsid w:val="3EBCD756"/>
    <w:rsid w:val="3EC02A75"/>
    <w:rsid w:val="3EC85F78"/>
    <w:rsid w:val="3ECC0ED7"/>
    <w:rsid w:val="3ECE9656"/>
    <w:rsid w:val="3EDAAD16"/>
    <w:rsid w:val="3EDB8CBD"/>
    <w:rsid w:val="3EF85452"/>
    <w:rsid w:val="3EFA4B69"/>
    <w:rsid w:val="3F01B471"/>
    <w:rsid w:val="3F153294"/>
    <w:rsid w:val="3F169EB5"/>
    <w:rsid w:val="3F1F7368"/>
    <w:rsid w:val="3F227062"/>
    <w:rsid w:val="3F26A004"/>
    <w:rsid w:val="3F302677"/>
    <w:rsid w:val="3F30A3EA"/>
    <w:rsid w:val="3F379E23"/>
    <w:rsid w:val="3F3D8B5D"/>
    <w:rsid w:val="3F5CDAA3"/>
    <w:rsid w:val="3F752DAD"/>
    <w:rsid w:val="3F7C0DD2"/>
    <w:rsid w:val="3F7FD121"/>
    <w:rsid w:val="3F86BE1D"/>
    <w:rsid w:val="3F8BBA9F"/>
    <w:rsid w:val="3F8FD5E8"/>
    <w:rsid w:val="3F965E45"/>
    <w:rsid w:val="3F97A165"/>
    <w:rsid w:val="3F98B9FA"/>
    <w:rsid w:val="3F99C4D7"/>
    <w:rsid w:val="3F9CBF99"/>
    <w:rsid w:val="3F9DEEE9"/>
    <w:rsid w:val="3F9FBBCF"/>
    <w:rsid w:val="3FA01A9D"/>
    <w:rsid w:val="3FA23472"/>
    <w:rsid w:val="3FAA0AF9"/>
    <w:rsid w:val="3FB497AA"/>
    <w:rsid w:val="3FB68ADF"/>
    <w:rsid w:val="3FC90D06"/>
    <w:rsid w:val="3FCE537C"/>
    <w:rsid w:val="3FD6C7A2"/>
    <w:rsid w:val="3FD9B018"/>
    <w:rsid w:val="3FDC3DC9"/>
    <w:rsid w:val="3FDE030F"/>
    <w:rsid w:val="3FE383CE"/>
    <w:rsid w:val="3FE56D84"/>
    <w:rsid w:val="3FE5E05F"/>
    <w:rsid w:val="3FE90D3F"/>
    <w:rsid w:val="3FE9AE43"/>
    <w:rsid w:val="3FEEA949"/>
    <w:rsid w:val="3FF3CBE8"/>
    <w:rsid w:val="3FFEFA5B"/>
    <w:rsid w:val="40099140"/>
    <w:rsid w:val="400A8635"/>
    <w:rsid w:val="40100A47"/>
    <w:rsid w:val="401B266A"/>
    <w:rsid w:val="401C4C94"/>
    <w:rsid w:val="402371A2"/>
    <w:rsid w:val="4027B985"/>
    <w:rsid w:val="403D4628"/>
    <w:rsid w:val="405315DF"/>
    <w:rsid w:val="405BFA38"/>
    <w:rsid w:val="4063EDC1"/>
    <w:rsid w:val="4066D05B"/>
    <w:rsid w:val="40706A7E"/>
    <w:rsid w:val="4071995C"/>
    <w:rsid w:val="4074983A"/>
    <w:rsid w:val="4077DF38"/>
    <w:rsid w:val="407C6EB6"/>
    <w:rsid w:val="4080881B"/>
    <w:rsid w:val="40812409"/>
    <w:rsid w:val="4082E968"/>
    <w:rsid w:val="408DAD96"/>
    <w:rsid w:val="408FCD2E"/>
    <w:rsid w:val="4093E369"/>
    <w:rsid w:val="40972AAA"/>
    <w:rsid w:val="409C9146"/>
    <w:rsid w:val="40A5719C"/>
    <w:rsid w:val="40A8600F"/>
    <w:rsid w:val="40B116E3"/>
    <w:rsid w:val="40B571D4"/>
    <w:rsid w:val="40B9EE6F"/>
    <w:rsid w:val="40BC1ED3"/>
    <w:rsid w:val="40BD038B"/>
    <w:rsid w:val="40C7ED46"/>
    <w:rsid w:val="40C9B733"/>
    <w:rsid w:val="40CB3A3D"/>
    <w:rsid w:val="40D0E8B5"/>
    <w:rsid w:val="40E62F4B"/>
    <w:rsid w:val="4103A62D"/>
    <w:rsid w:val="4105DC8E"/>
    <w:rsid w:val="410822FC"/>
    <w:rsid w:val="41096B63"/>
    <w:rsid w:val="410C30CE"/>
    <w:rsid w:val="410F2391"/>
    <w:rsid w:val="41165C24"/>
    <w:rsid w:val="411D5470"/>
    <w:rsid w:val="411E35EE"/>
    <w:rsid w:val="4122A5B2"/>
    <w:rsid w:val="412B4D78"/>
    <w:rsid w:val="4130BE8D"/>
    <w:rsid w:val="4136D1C7"/>
    <w:rsid w:val="41386E7C"/>
    <w:rsid w:val="41401089"/>
    <w:rsid w:val="4143428D"/>
    <w:rsid w:val="414B677A"/>
    <w:rsid w:val="4153B5E5"/>
    <w:rsid w:val="41584F9E"/>
    <w:rsid w:val="415E93A9"/>
    <w:rsid w:val="4160A505"/>
    <w:rsid w:val="416E1958"/>
    <w:rsid w:val="417A3F32"/>
    <w:rsid w:val="417BC169"/>
    <w:rsid w:val="418436FE"/>
    <w:rsid w:val="41866141"/>
    <w:rsid w:val="41A0B438"/>
    <w:rsid w:val="41A2CEC1"/>
    <w:rsid w:val="41A76C5D"/>
    <w:rsid w:val="41AA982B"/>
    <w:rsid w:val="41B81EA3"/>
    <w:rsid w:val="41C4FF3C"/>
    <w:rsid w:val="41CBDDF6"/>
    <w:rsid w:val="41D1EBBF"/>
    <w:rsid w:val="41D3CF96"/>
    <w:rsid w:val="41DCB70D"/>
    <w:rsid w:val="41DF0F08"/>
    <w:rsid w:val="41DFC5C8"/>
    <w:rsid w:val="41F21DF1"/>
    <w:rsid w:val="41F274C2"/>
    <w:rsid w:val="41F6F21E"/>
    <w:rsid w:val="41FEEE4A"/>
    <w:rsid w:val="421B4F33"/>
    <w:rsid w:val="4221AD73"/>
    <w:rsid w:val="422E2033"/>
    <w:rsid w:val="4244F4C7"/>
    <w:rsid w:val="424A565D"/>
    <w:rsid w:val="424E04B5"/>
    <w:rsid w:val="4250D906"/>
    <w:rsid w:val="4270A816"/>
    <w:rsid w:val="428DDF6D"/>
    <w:rsid w:val="4294F78C"/>
    <w:rsid w:val="429C08C4"/>
    <w:rsid w:val="42A15074"/>
    <w:rsid w:val="42A3FE87"/>
    <w:rsid w:val="42AE6756"/>
    <w:rsid w:val="42B0F5C8"/>
    <w:rsid w:val="42B22AD7"/>
    <w:rsid w:val="42B76BEC"/>
    <w:rsid w:val="42BB1734"/>
    <w:rsid w:val="42BB4142"/>
    <w:rsid w:val="42C09CC9"/>
    <w:rsid w:val="42C8D15E"/>
    <w:rsid w:val="42D41790"/>
    <w:rsid w:val="42D8FE03"/>
    <w:rsid w:val="42DE4397"/>
    <w:rsid w:val="42E205FD"/>
    <w:rsid w:val="42E84F0B"/>
    <w:rsid w:val="42E8A11A"/>
    <w:rsid w:val="42F2EDB8"/>
    <w:rsid w:val="43008FE4"/>
    <w:rsid w:val="4304E24D"/>
    <w:rsid w:val="43067572"/>
    <w:rsid w:val="430E7CA1"/>
    <w:rsid w:val="430FA478"/>
    <w:rsid w:val="4316B425"/>
    <w:rsid w:val="4320EEE5"/>
    <w:rsid w:val="433B26B8"/>
    <w:rsid w:val="434EBFE5"/>
    <w:rsid w:val="4356FEF8"/>
    <w:rsid w:val="435C9F36"/>
    <w:rsid w:val="435F25DB"/>
    <w:rsid w:val="4364C019"/>
    <w:rsid w:val="4371ABBF"/>
    <w:rsid w:val="4379DDDE"/>
    <w:rsid w:val="437D17B2"/>
    <w:rsid w:val="43824605"/>
    <w:rsid w:val="438295EC"/>
    <w:rsid w:val="43898C8D"/>
    <w:rsid w:val="438DEE52"/>
    <w:rsid w:val="43923050"/>
    <w:rsid w:val="439611B4"/>
    <w:rsid w:val="43975162"/>
    <w:rsid w:val="43985AF1"/>
    <w:rsid w:val="43A516E4"/>
    <w:rsid w:val="43A60E8D"/>
    <w:rsid w:val="43AD6B16"/>
    <w:rsid w:val="43C2913D"/>
    <w:rsid w:val="43C9F618"/>
    <w:rsid w:val="43E27302"/>
    <w:rsid w:val="43EADEAE"/>
    <w:rsid w:val="43EDFE98"/>
    <w:rsid w:val="43F0D6DE"/>
    <w:rsid w:val="44057FB8"/>
    <w:rsid w:val="440BA260"/>
    <w:rsid w:val="44216C16"/>
    <w:rsid w:val="44229CD8"/>
    <w:rsid w:val="4424639C"/>
    <w:rsid w:val="442F71EE"/>
    <w:rsid w:val="4430D5C2"/>
    <w:rsid w:val="44314F09"/>
    <w:rsid w:val="443B6A2A"/>
    <w:rsid w:val="444345AB"/>
    <w:rsid w:val="44491730"/>
    <w:rsid w:val="4452ED5B"/>
    <w:rsid w:val="445F31D9"/>
    <w:rsid w:val="446CD941"/>
    <w:rsid w:val="44739E78"/>
    <w:rsid w:val="44772265"/>
    <w:rsid w:val="4479034A"/>
    <w:rsid w:val="44791DA9"/>
    <w:rsid w:val="447BFC6F"/>
    <w:rsid w:val="447D1BAE"/>
    <w:rsid w:val="4483ED96"/>
    <w:rsid w:val="4484F8B1"/>
    <w:rsid w:val="44909FDA"/>
    <w:rsid w:val="4491F1D5"/>
    <w:rsid w:val="44953CAA"/>
    <w:rsid w:val="4498AA5A"/>
    <w:rsid w:val="44A69371"/>
    <w:rsid w:val="44A7861B"/>
    <w:rsid w:val="44ABCB0D"/>
    <w:rsid w:val="44B26629"/>
    <w:rsid w:val="44B6690C"/>
    <w:rsid w:val="44BD51DF"/>
    <w:rsid w:val="44C0A933"/>
    <w:rsid w:val="44C7E32F"/>
    <w:rsid w:val="44CF29B3"/>
    <w:rsid w:val="44D26408"/>
    <w:rsid w:val="44D3BFBE"/>
    <w:rsid w:val="44D63F54"/>
    <w:rsid w:val="44DD2D85"/>
    <w:rsid w:val="44E266BF"/>
    <w:rsid w:val="44E3AA57"/>
    <w:rsid w:val="44E44DEA"/>
    <w:rsid w:val="44E65053"/>
    <w:rsid w:val="44ECD09E"/>
    <w:rsid w:val="44F089FF"/>
    <w:rsid w:val="4500CA36"/>
    <w:rsid w:val="45065D89"/>
    <w:rsid w:val="450F7904"/>
    <w:rsid w:val="4512CDD7"/>
    <w:rsid w:val="451B6F23"/>
    <w:rsid w:val="45209830"/>
    <w:rsid w:val="452115D0"/>
    <w:rsid w:val="45211FF8"/>
    <w:rsid w:val="452227FE"/>
    <w:rsid w:val="452C4661"/>
    <w:rsid w:val="452FF536"/>
    <w:rsid w:val="4533E0DA"/>
    <w:rsid w:val="4538B7FE"/>
    <w:rsid w:val="453A475A"/>
    <w:rsid w:val="453B9C84"/>
    <w:rsid w:val="453BC7D9"/>
    <w:rsid w:val="453C21E8"/>
    <w:rsid w:val="453F4C6A"/>
    <w:rsid w:val="45441DF7"/>
    <w:rsid w:val="4545F598"/>
    <w:rsid w:val="45538377"/>
    <w:rsid w:val="45547EAC"/>
    <w:rsid w:val="4556D28D"/>
    <w:rsid w:val="4557FC67"/>
    <w:rsid w:val="4559E442"/>
    <w:rsid w:val="455BAA4A"/>
    <w:rsid w:val="455FC18D"/>
    <w:rsid w:val="457EE506"/>
    <w:rsid w:val="45838CFC"/>
    <w:rsid w:val="458B3D0E"/>
    <w:rsid w:val="45A05F18"/>
    <w:rsid w:val="45A1BC36"/>
    <w:rsid w:val="45A3D201"/>
    <w:rsid w:val="45A6085B"/>
    <w:rsid w:val="45AF4CBA"/>
    <w:rsid w:val="45B1D71E"/>
    <w:rsid w:val="45C1D44A"/>
    <w:rsid w:val="45CA7281"/>
    <w:rsid w:val="45DC8F9F"/>
    <w:rsid w:val="45DF9DD4"/>
    <w:rsid w:val="45F79B5E"/>
    <w:rsid w:val="460D8606"/>
    <w:rsid w:val="461818B4"/>
    <w:rsid w:val="46183BEF"/>
    <w:rsid w:val="46194EFE"/>
    <w:rsid w:val="4624EB81"/>
    <w:rsid w:val="462F10D9"/>
    <w:rsid w:val="4632FF2A"/>
    <w:rsid w:val="46358BCF"/>
    <w:rsid w:val="464DEA22"/>
    <w:rsid w:val="46583257"/>
    <w:rsid w:val="465898DC"/>
    <w:rsid w:val="465F6464"/>
    <w:rsid w:val="46679F45"/>
    <w:rsid w:val="466B6545"/>
    <w:rsid w:val="466C4411"/>
    <w:rsid w:val="46706F12"/>
    <w:rsid w:val="4677B381"/>
    <w:rsid w:val="4686F377"/>
    <w:rsid w:val="46882351"/>
    <w:rsid w:val="468B40EE"/>
    <w:rsid w:val="469368DD"/>
    <w:rsid w:val="469D2EB9"/>
    <w:rsid w:val="46A94C81"/>
    <w:rsid w:val="46AB5F90"/>
    <w:rsid w:val="46ACC5D9"/>
    <w:rsid w:val="46B7AF8B"/>
    <w:rsid w:val="46B99B0E"/>
    <w:rsid w:val="46BCE9DE"/>
    <w:rsid w:val="46C03FBB"/>
    <w:rsid w:val="46C1F46E"/>
    <w:rsid w:val="46C9DFEC"/>
    <w:rsid w:val="46CBB5C2"/>
    <w:rsid w:val="46D0BF03"/>
    <w:rsid w:val="46DF98D8"/>
    <w:rsid w:val="46E1106D"/>
    <w:rsid w:val="46E379DE"/>
    <w:rsid w:val="46E5F173"/>
    <w:rsid w:val="46E657DE"/>
    <w:rsid w:val="46F197D1"/>
    <w:rsid w:val="46FD08C3"/>
    <w:rsid w:val="46FF8CFC"/>
    <w:rsid w:val="47153ECD"/>
    <w:rsid w:val="473290B2"/>
    <w:rsid w:val="47363B03"/>
    <w:rsid w:val="47380FF5"/>
    <w:rsid w:val="473B2E4E"/>
    <w:rsid w:val="4745C9FC"/>
    <w:rsid w:val="4748C052"/>
    <w:rsid w:val="47519F28"/>
    <w:rsid w:val="47537AC0"/>
    <w:rsid w:val="47596B20"/>
    <w:rsid w:val="475A8CEF"/>
    <w:rsid w:val="475C0A5D"/>
    <w:rsid w:val="4762ECE0"/>
    <w:rsid w:val="477CA832"/>
    <w:rsid w:val="47853402"/>
    <w:rsid w:val="478A9A64"/>
    <w:rsid w:val="478BA68B"/>
    <w:rsid w:val="478DF76C"/>
    <w:rsid w:val="478ECDF1"/>
    <w:rsid w:val="478EFA8E"/>
    <w:rsid w:val="4794AEC7"/>
    <w:rsid w:val="4795E563"/>
    <w:rsid w:val="479D2546"/>
    <w:rsid w:val="47A0F530"/>
    <w:rsid w:val="47A2AC2D"/>
    <w:rsid w:val="47A886D2"/>
    <w:rsid w:val="47B0807B"/>
    <w:rsid w:val="47BD92B3"/>
    <w:rsid w:val="47C55A01"/>
    <w:rsid w:val="47CD74E4"/>
    <w:rsid w:val="47CF1462"/>
    <w:rsid w:val="47D192AA"/>
    <w:rsid w:val="47D7822F"/>
    <w:rsid w:val="47D9682F"/>
    <w:rsid w:val="47E10B53"/>
    <w:rsid w:val="47E55367"/>
    <w:rsid w:val="47ECAB12"/>
    <w:rsid w:val="47F4839A"/>
    <w:rsid w:val="47F4A9D0"/>
    <w:rsid w:val="4800D168"/>
    <w:rsid w:val="480B6080"/>
    <w:rsid w:val="480C69A0"/>
    <w:rsid w:val="480E4D99"/>
    <w:rsid w:val="480F33DF"/>
    <w:rsid w:val="4816858A"/>
    <w:rsid w:val="4821CCE2"/>
    <w:rsid w:val="4824A742"/>
    <w:rsid w:val="4844FB83"/>
    <w:rsid w:val="484CE6EE"/>
    <w:rsid w:val="48548E2D"/>
    <w:rsid w:val="4855CB28"/>
    <w:rsid w:val="485DA4D5"/>
    <w:rsid w:val="485F4304"/>
    <w:rsid w:val="4862C285"/>
    <w:rsid w:val="4867C925"/>
    <w:rsid w:val="487424BE"/>
    <w:rsid w:val="4874C4EB"/>
    <w:rsid w:val="488B9E76"/>
    <w:rsid w:val="488CA86D"/>
    <w:rsid w:val="4899BB9A"/>
    <w:rsid w:val="48A37E91"/>
    <w:rsid w:val="48A3936D"/>
    <w:rsid w:val="48AA13C6"/>
    <w:rsid w:val="48B04F99"/>
    <w:rsid w:val="48B65743"/>
    <w:rsid w:val="48BA93E5"/>
    <w:rsid w:val="48C208A8"/>
    <w:rsid w:val="48C9D6CA"/>
    <w:rsid w:val="48F09B57"/>
    <w:rsid w:val="48F7E132"/>
    <w:rsid w:val="48FF3702"/>
    <w:rsid w:val="48FF8401"/>
    <w:rsid w:val="49049D35"/>
    <w:rsid w:val="49086A63"/>
    <w:rsid w:val="4909743D"/>
    <w:rsid w:val="49118EF9"/>
    <w:rsid w:val="4918209E"/>
    <w:rsid w:val="49189117"/>
    <w:rsid w:val="4919091B"/>
    <w:rsid w:val="492B7903"/>
    <w:rsid w:val="492DCFF6"/>
    <w:rsid w:val="4934F036"/>
    <w:rsid w:val="4953C486"/>
    <w:rsid w:val="4955D24D"/>
    <w:rsid w:val="49614E76"/>
    <w:rsid w:val="49628649"/>
    <w:rsid w:val="49644A49"/>
    <w:rsid w:val="4967B518"/>
    <w:rsid w:val="496AAE59"/>
    <w:rsid w:val="496BAAEF"/>
    <w:rsid w:val="496E4556"/>
    <w:rsid w:val="497020D5"/>
    <w:rsid w:val="497E756E"/>
    <w:rsid w:val="4983FD52"/>
    <w:rsid w:val="49903C6C"/>
    <w:rsid w:val="49925A03"/>
    <w:rsid w:val="49925AE4"/>
    <w:rsid w:val="4998B5F0"/>
    <w:rsid w:val="49B18958"/>
    <w:rsid w:val="49B3B15A"/>
    <w:rsid w:val="49B74B66"/>
    <w:rsid w:val="49C3EC57"/>
    <w:rsid w:val="49CDB9A8"/>
    <w:rsid w:val="49D44EFC"/>
    <w:rsid w:val="49DB4D6D"/>
    <w:rsid w:val="49DE9F9C"/>
    <w:rsid w:val="49E13D5C"/>
    <w:rsid w:val="49E9D593"/>
    <w:rsid w:val="49E9F038"/>
    <w:rsid w:val="49EF6E9D"/>
    <w:rsid w:val="49F42602"/>
    <w:rsid w:val="49F64291"/>
    <w:rsid w:val="4A040AFC"/>
    <w:rsid w:val="4A050595"/>
    <w:rsid w:val="4A0D7D02"/>
    <w:rsid w:val="4A0F7B38"/>
    <w:rsid w:val="4A103FB3"/>
    <w:rsid w:val="4A147C7F"/>
    <w:rsid w:val="4A17399A"/>
    <w:rsid w:val="4A176051"/>
    <w:rsid w:val="4A189F1C"/>
    <w:rsid w:val="4A1A2062"/>
    <w:rsid w:val="4A224251"/>
    <w:rsid w:val="4A2874C2"/>
    <w:rsid w:val="4A2EEFC0"/>
    <w:rsid w:val="4A2F3628"/>
    <w:rsid w:val="4A41097E"/>
    <w:rsid w:val="4A495EC5"/>
    <w:rsid w:val="4A50B79E"/>
    <w:rsid w:val="4A566D4A"/>
    <w:rsid w:val="4A56D7D1"/>
    <w:rsid w:val="4A5A83E7"/>
    <w:rsid w:val="4A66BEF8"/>
    <w:rsid w:val="4A6ABB84"/>
    <w:rsid w:val="4A6C9153"/>
    <w:rsid w:val="4A6F1C50"/>
    <w:rsid w:val="4A845025"/>
    <w:rsid w:val="4A89613C"/>
    <w:rsid w:val="4A8B5270"/>
    <w:rsid w:val="4A91FD8C"/>
    <w:rsid w:val="4A9B0D5E"/>
    <w:rsid w:val="4A9D7C46"/>
    <w:rsid w:val="4A9EFDA2"/>
    <w:rsid w:val="4AB6C909"/>
    <w:rsid w:val="4AB84CFA"/>
    <w:rsid w:val="4ABD1257"/>
    <w:rsid w:val="4AC17007"/>
    <w:rsid w:val="4ADBEDA5"/>
    <w:rsid w:val="4AE13F86"/>
    <w:rsid w:val="4AF320F7"/>
    <w:rsid w:val="4AF9A6FC"/>
    <w:rsid w:val="4AFEC23A"/>
    <w:rsid w:val="4B03554C"/>
    <w:rsid w:val="4B06B107"/>
    <w:rsid w:val="4B0AF37C"/>
    <w:rsid w:val="4B11ABC7"/>
    <w:rsid w:val="4B16A143"/>
    <w:rsid w:val="4B16D736"/>
    <w:rsid w:val="4B19C871"/>
    <w:rsid w:val="4B1A6CEC"/>
    <w:rsid w:val="4B1F2291"/>
    <w:rsid w:val="4B31B09C"/>
    <w:rsid w:val="4B33CC9A"/>
    <w:rsid w:val="4B37F7B4"/>
    <w:rsid w:val="4B392177"/>
    <w:rsid w:val="4B3B7C69"/>
    <w:rsid w:val="4B3DBBBC"/>
    <w:rsid w:val="4B58D15F"/>
    <w:rsid w:val="4B5AA6AB"/>
    <w:rsid w:val="4B5AF243"/>
    <w:rsid w:val="4B617A71"/>
    <w:rsid w:val="4B65B6C3"/>
    <w:rsid w:val="4B749224"/>
    <w:rsid w:val="4B7BF037"/>
    <w:rsid w:val="4B88A6C7"/>
    <w:rsid w:val="4B895ACF"/>
    <w:rsid w:val="4B8A45D8"/>
    <w:rsid w:val="4B916982"/>
    <w:rsid w:val="4B93707D"/>
    <w:rsid w:val="4B9575F9"/>
    <w:rsid w:val="4B9965BD"/>
    <w:rsid w:val="4B9DD464"/>
    <w:rsid w:val="4BA2146E"/>
    <w:rsid w:val="4BA2473F"/>
    <w:rsid w:val="4BA3EAF3"/>
    <w:rsid w:val="4BA74DFA"/>
    <w:rsid w:val="4BACB15B"/>
    <w:rsid w:val="4BB0D871"/>
    <w:rsid w:val="4BB8B694"/>
    <w:rsid w:val="4BBCEEF8"/>
    <w:rsid w:val="4BC1AAF9"/>
    <w:rsid w:val="4BC252C7"/>
    <w:rsid w:val="4BC58CA4"/>
    <w:rsid w:val="4BCA12AF"/>
    <w:rsid w:val="4BCCF79F"/>
    <w:rsid w:val="4BF19AF8"/>
    <w:rsid w:val="4BFD7AC1"/>
    <w:rsid w:val="4C0989B3"/>
    <w:rsid w:val="4C0C365B"/>
    <w:rsid w:val="4C138A49"/>
    <w:rsid w:val="4C147651"/>
    <w:rsid w:val="4C241BCE"/>
    <w:rsid w:val="4C26715F"/>
    <w:rsid w:val="4C28138C"/>
    <w:rsid w:val="4C2BFFC1"/>
    <w:rsid w:val="4C4EFC98"/>
    <w:rsid w:val="4C507D4A"/>
    <w:rsid w:val="4C569AAD"/>
    <w:rsid w:val="4C5F12EF"/>
    <w:rsid w:val="4C6698C2"/>
    <w:rsid w:val="4C6A8289"/>
    <w:rsid w:val="4C73799A"/>
    <w:rsid w:val="4C786DAB"/>
    <w:rsid w:val="4C7B9C20"/>
    <w:rsid w:val="4C82D9DD"/>
    <w:rsid w:val="4C8313CE"/>
    <w:rsid w:val="4C85C68C"/>
    <w:rsid w:val="4C8CC32A"/>
    <w:rsid w:val="4C8F3693"/>
    <w:rsid w:val="4C906EF7"/>
    <w:rsid w:val="4C97A898"/>
    <w:rsid w:val="4C99331C"/>
    <w:rsid w:val="4CA0C1DF"/>
    <w:rsid w:val="4CA5EB87"/>
    <w:rsid w:val="4CA73195"/>
    <w:rsid w:val="4CAA18FC"/>
    <w:rsid w:val="4CB51E00"/>
    <w:rsid w:val="4CB6E8D9"/>
    <w:rsid w:val="4CB83DB8"/>
    <w:rsid w:val="4CB9D479"/>
    <w:rsid w:val="4CC45506"/>
    <w:rsid w:val="4CC717FD"/>
    <w:rsid w:val="4CDCF95F"/>
    <w:rsid w:val="4CE418C2"/>
    <w:rsid w:val="4CEE3E59"/>
    <w:rsid w:val="4CF03348"/>
    <w:rsid w:val="4CF7A5EB"/>
    <w:rsid w:val="4CFC7C6C"/>
    <w:rsid w:val="4D082CB5"/>
    <w:rsid w:val="4D0E6460"/>
    <w:rsid w:val="4D0FA71D"/>
    <w:rsid w:val="4D24173E"/>
    <w:rsid w:val="4D24D8B2"/>
    <w:rsid w:val="4D2C9E10"/>
    <w:rsid w:val="4D31EA85"/>
    <w:rsid w:val="4D3FE3E1"/>
    <w:rsid w:val="4D41F647"/>
    <w:rsid w:val="4D431822"/>
    <w:rsid w:val="4D44A753"/>
    <w:rsid w:val="4D45AACE"/>
    <w:rsid w:val="4D598234"/>
    <w:rsid w:val="4D5D8A64"/>
    <w:rsid w:val="4D5F899B"/>
    <w:rsid w:val="4D5F912F"/>
    <w:rsid w:val="4D6034FE"/>
    <w:rsid w:val="4D663787"/>
    <w:rsid w:val="4D6B1C74"/>
    <w:rsid w:val="4D79E96C"/>
    <w:rsid w:val="4D7D7F11"/>
    <w:rsid w:val="4D85A4FE"/>
    <w:rsid w:val="4D877943"/>
    <w:rsid w:val="4D920AE3"/>
    <w:rsid w:val="4D99259C"/>
    <w:rsid w:val="4D9BA54D"/>
    <w:rsid w:val="4DA1C4B2"/>
    <w:rsid w:val="4DA9B7C0"/>
    <w:rsid w:val="4DC37C1C"/>
    <w:rsid w:val="4DD0FF94"/>
    <w:rsid w:val="4DD17973"/>
    <w:rsid w:val="4DE316C2"/>
    <w:rsid w:val="4E01BD27"/>
    <w:rsid w:val="4E086FBA"/>
    <w:rsid w:val="4E0B388D"/>
    <w:rsid w:val="4E197052"/>
    <w:rsid w:val="4E257063"/>
    <w:rsid w:val="4E2BED1B"/>
    <w:rsid w:val="4E341D52"/>
    <w:rsid w:val="4E37D7F8"/>
    <w:rsid w:val="4E3AFD14"/>
    <w:rsid w:val="4E45721E"/>
    <w:rsid w:val="4E57B17A"/>
    <w:rsid w:val="4E58E289"/>
    <w:rsid w:val="4E59888F"/>
    <w:rsid w:val="4E5A2EAC"/>
    <w:rsid w:val="4E5BAC28"/>
    <w:rsid w:val="4E5DA049"/>
    <w:rsid w:val="4E652336"/>
    <w:rsid w:val="4E664123"/>
    <w:rsid w:val="4E6A7719"/>
    <w:rsid w:val="4E715EE5"/>
    <w:rsid w:val="4E71BB43"/>
    <w:rsid w:val="4E73C1DF"/>
    <w:rsid w:val="4E77A0A5"/>
    <w:rsid w:val="4E7884CA"/>
    <w:rsid w:val="4E7AC0D1"/>
    <w:rsid w:val="4E7BF2AA"/>
    <w:rsid w:val="4E7CF51A"/>
    <w:rsid w:val="4E83DB04"/>
    <w:rsid w:val="4E99D89B"/>
    <w:rsid w:val="4E9A1BED"/>
    <w:rsid w:val="4EA0BFEA"/>
    <w:rsid w:val="4EA38364"/>
    <w:rsid w:val="4EA99255"/>
    <w:rsid w:val="4EAEA134"/>
    <w:rsid w:val="4EB334E6"/>
    <w:rsid w:val="4EB6050B"/>
    <w:rsid w:val="4EBF5E95"/>
    <w:rsid w:val="4ED82CE3"/>
    <w:rsid w:val="4ED9A1BC"/>
    <w:rsid w:val="4EDDCA21"/>
    <w:rsid w:val="4EDDF72D"/>
    <w:rsid w:val="4EE0F7CA"/>
    <w:rsid w:val="4EE25CAD"/>
    <w:rsid w:val="4EEAF6A7"/>
    <w:rsid w:val="4EF41A1B"/>
    <w:rsid w:val="4EF94C3C"/>
    <w:rsid w:val="4F0F7A3E"/>
    <w:rsid w:val="4F1B60A2"/>
    <w:rsid w:val="4F22A1CB"/>
    <w:rsid w:val="4F3314F8"/>
    <w:rsid w:val="4F355986"/>
    <w:rsid w:val="4F396BA7"/>
    <w:rsid w:val="4F49BA7F"/>
    <w:rsid w:val="4F50B704"/>
    <w:rsid w:val="4F5D0017"/>
    <w:rsid w:val="4F66DED7"/>
    <w:rsid w:val="4F6D061A"/>
    <w:rsid w:val="4F6FD0F2"/>
    <w:rsid w:val="4F718D74"/>
    <w:rsid w:val="4F770BCB"/>
    <w:rsid w:val="4F8D24B2"/>
    <w:rsid w:val="4F96057A"/>
    <w:rsid w:val="4F962409"/>
    <w:rsid w:val="4F96898D"/>
    <w:rsid w:val="4F980B5E"/>
    <w:rsid w:val="4F9D94F9"/>
    <w:rsid w:val="4FB00FBC"/>
    <w:rsid w:val="4FB91693"/>
    <w:rsid w:val="4FC0BB63"/>
    <w:rsid w:val="4FC35BCA"/>
    <w:rsid w:val="4FC39D82"/>
    <w:rsid w:val="4FC9EE0A"/>
    <w:rsid w:val="4FD1A5B7"/>
    <w:rsid w:val="4FD3231D"/>
    <w:rsid w:val="4FDB3263"/>
    <w:rsid w:val="4FE4E416"/>
    <w:rsid w:val="4FED3F82"/>
    <w:rsid w:val="4FEF8B47"/>
    <w:rsid w:val="4FF8B53A"/>
    <w:rsid w:val="500393ED"/>
    <w:rsid w:val="500E04F7"/>
    <w:rsid w:val="500F2333"/>
    <w:rsid w:val="500F4EB8"/>
    <w:rsid w:val="50215A53"/>
    <w:rsid w:val="502B38FD"/>
    <w:rsid w:val="5032BDF2"/>
    <w:rsid w:val="5037066A"/>
    <w:rsid w:val="5039A653"/>
    <w:rsid w:val="504A877D"/>
    <w:rsid w:val="504BFE9B"/>
    <w:rsid w:val="504FFEB3"/>
    <w:rsid w:val="505205BC"/>
    <w:rsid w:val="50544A1D"/>
    <w:rsid w:val="50595212"/>
    <w:rsid w:val="505E168F"/>
    <w:rsid w:val="5066A473"/>
    <w:rsid w:val="506DDD43"/>
    <w:rsid w:val="507411C7"/>
    <w:rsid w:val="50779F44"/>
    <w:rsid w:val="507AF6A2"/>
    <w:rsid w:val="507D0C3D"/>
    <w:rsid w:val="50A4E900"/>
    <w:rsid w:val="50A78664"/>
    <w:rsid w:val="50B58F8A"/>
    <w:rsid w:val="50B7E3EE"/>
    <w:rsid w:val="50CE1537"/>
    <w:rsid w:val="50D523B5"/>
    <w:rsid w:val="50DD38AF"/>
    <w:rsid w:val="50DE5E5A"/>
    <w:rsid w:val="50E440B2"/>
    <w:rsid w:val="50F88463"/>
    <w:rsid w:val="50FBED61"/>
    <w:rsid w:val="5112F953"/>
    <w:rsid w:val="511B83FC"/>
    <w:rsid w:val="5131E6A8"/>
    <w:rsid w:val="5131F932"/>
    <w:rsid w:val="5136CC30"/>
    <w:rsid w:val="51423426"/>
    <w:rsid w:val="514CBAF6"/>
    <w:rsid w:val="514D2141"/>
    <w:rsid w:val="51562DF5"/>
    <w:rsid w:val="5164D20B"/>
    <w:rsid w:val="51650B48"/>
    <w:rsid w:val="51722E36"/>
    <w:rsid w:val="517EFAEC"/>
    <w:rsid w:val="5182A2B7"/>
    <w:rsid w:val="51860A05"/>
    <w:rsid w:val="51861355"/>
    <w:rsid w:val="5191B953"/>
    <w:rsid w:val="519341C7"/>
    <w:rsid w:val="519C85D7"/>
    <w:rsid w:val="51A94745"/>
    <w:rsid w:val="51B59657"/>
    <w:rsid w:val="51B7B726"/>
    <w:rsid w:val="51BDE2EF"/>
    <w:rsid w:val="51C20037"/>
    <w:rsid w:val="51C9431F"/>
    <w:rsid w:val="51D003BA"/>
    <w:rsid w:val="51D6D935"/>
    <w:rsid w:val="51E3AF9C"/>
    <w:rsid w:val="51E40F1D"/>
    <w:rsid w:val="51F4DBFF"/>
    <w:rsid w:val="51FA230A"/>
    <w:rsid w:val="51FEC0BF"/>
    <w:rsid w:val="5209D3D3"/>
    <w:rsid w:val="520E7FF7"/>
    <w:rsid w:val="521AB57D"/>
    <w:rsid w:val="52248052"/>
    <w:rsid w:val="5226AA83"/>
    <w:rsid w:val="52340BC0"/>
    <w:rsid w:val="523637CC"/>
    <w:rsid w:val="524450A1"/>
    <w:rsid w:val="524B8BB9"/>
    <w:rsid w:val="524F5882"/>
    <w:rsid w:val="52536187"/>
    <w:rsid w:val="525363CE"/>
    <w:rsid w:val="525C1589"/>
    <w:rsid w:val="525CAFEC"/>
    <w:rsid w:val="5275A235"/>
    <w:rsid w:val="52772504"/>
    <w:rsid w:val="52921458"/>
    <w:rsid w:val="5298FED2"/>
    <w:rsid w:val="529EE560"/>
    <w:rsid w:val="52A43ECD"/>
    <w:rsid w:val="52AE0EC6"/>
    <w:rsid w:val="52AFC94F"/>
    <w:rsid w:val="52B3EE9C"/>
    <w:rsid w:val="52B47EE8"/>
    <w:rsid w:val="52B5A78A"/>
    <w:rsid w:val="52B5AFDD"/>
    <w:rsid w:val="52B842EB"/>
    <w:rsid w:val="52C3682F"/>
    <w:rsid w:val="52C56B80"/>
    <w:rsid w:val="52C63C6F"/>
    <w:rsid w:val="52C765E8"/>
    <w:rsid w:val="52CC9400"/>
    <w:rsid w:val="52CFB9DF"/>
    <w:rsid w:val="52DF1BB1"/>
    <w:rsid w:val="52DFE8D3"/>
    <w:rsid w:val="52E7B07E"/>
    <w:rsid w:val="52EC3614"/>
    <w:rsid w:val="52F064F4"/>
    <w:rsid w:val="52F07AAA"/>
    <w:rsid w:val="52FA60F7"/>
    <w:rsid w:val="52FD202D"/>
    <w:rsid w:val="5301D5C3"/>
    <w:rsid w:val="53028D1F"/>
    <w:rsid w:val="5302A536"/>
    <w:rsid w:val="530543E7"/>
    <w:rsid w:val="53117607"/>
    <w:rsid w:val="531F77A9"/>
    <w:rsid w:val="532ACB7C"/>
    <w:rsid w:val="53369E51"/>
    <w:rsid w:val="533834BD"/>
    <w:rsid w:val="533B604C"/>
    <w:rsid w:val="53470708"/>
    <w:rsid w:val="534875CF"/>
    <w:rsid w:val="534DBF23"/>
    <w:rsid w:val="535293D7"/>
    <w:rsid w:val="5359E6A6"/>
    <w:rsid w:val="535AC082"/>
    <w:rsid w:val="535DDD18"/>
    <w:rsid w:val="536541F5"/>
    <w:rsid w:val="5368D4CA"/>
    <w:rsid w:val="536D92F4"/>
    <w:rsid w:val="5370E638"/>
    <w:rsid w:val="53839684"/>
    <w:rsid w:val="5390C9BB"/>
    <w:rsid w:val="53963428"/>
    <w:rsid w:val="539C7B67"/>
    <w:rsid w:val="53A01E4C"/>
    <w:rsid w:val="53A35FEC"/>
    <w:rsid w:val="53A37A90"/>
    <w:rsid w:val="53A477A2"/>
    <w:rsid w:val="53AFCA1F"/>
    <w:rsid w:val="53B46692"/>
    <w:rsid w:val="53B91A37"/>
    <w:rsid w:val="53BEA9B6"/>
    <w:rsid w:val="53BFB0C6"/>
    <w:rsid w:val="53C0E284"/>
    <w:rsid w:val="53D2AE58"/>
    <w:rsid w:val="53DACD15"/>
    <w:rsid w:val="53E748AE"/>
    <w:rsid w:val="53EDBA17"/>
    <w:rsid w:val="53EDF00C"/>
    <w:rsid w:val="5404C0AE"/>
    <w:rsid w:val="5407A24D"/>
    <w:rsid w:val="5407AF66"/>
    <w:rsid w:val="540C748F"/>
    <w:rsid w:val="540EC21D"/>
    <w:rsid w:val="5416C8AD"/>
    <w:rsid w:val="54177045"/>
    <w:rsid w:val="5418124A"/>
    <w:rsid w:val="54194227"/>
    <w:rsid w:val="541C8AAD"/>
    <w:rsid w:val="54268592"/>
    <w:rsid w:val="543B2EA2"/>
    <w:rsid w:val="54419FF5"/>
    <w:rsid w:val="544A353D"/>
    <w:rsid w:val="544D3B68"/>
    <w:rsid w:val="545CAA7B"/>
    <w:rsid w:val="54626AA8"/>
    <w:rsid w:val="5462DEFF"/>
    <w:rsid w:val="54664396"/>
    <w:rsid w:val="5480C89C"/>
    <w:rsid w:val="54903E5A"/>
    <w:rsid w:val="549BDE14"/>
    <w:rsid w:val="549C7FB4"/>
    <w:rsid w:val="549CE55B"/>
    <w:rsid w:val="54A091EE"/>
    <w:rsid w:val="54AA8935"/>
    <w:rsid w:val="54AE6F9F"/>
    <w:rsid w:val="54AF675B"/>
    <w:rsid w:val="54B0DB3E"/>
    <w:rsid w:val="54C009B1"/>
    <w:rsid w:val="54C56AE8"/>
    <w:rsid w:val="54EDFC1C"/>
    <w:rsid w:val="54F1AE84"/>
    <w:rsid w:val="54F9AD79"/>
    <w:rsid w:val="54FBACD7"/>
    <w:rsid w:val="54FEE038"/>
    <w:rsid w:val="55054A75"/>
    <w:rsid w:val="5507AF14"/>
    <w:rsid w:val="550F6E04"/>
    <w:rsid w:val="551BE8EE"/>
    <w:rsid w:val="5523600D"/>
    <w:rsid w:val="5531B73D"/>
    <w:rsid w:val="5533C9E3"/>
    <w:rsid w:val="55380A02"/>
    <w:rsid w:val="553C639E"/>
    <w:rsid w:val="5547D003"/>
    <w:rsid w:val="55549A04"/>
    <w:rsid w:val="5558B05B"/>
    <w:rsid w:val="555B8127"/>
    <w:rsid w:val="555E775D"/>
    <w:rsid w:val="556398B9"/>
    <w:rsid w:val="5573071A"/>
    <w:rsid w:val="557F6764"/>
    <w:rsid w:val="5581EB1A"/>
    <w:rsid w:val="5585FB0A"/>
    <w:rsid w:val="5592E4F3"/>
    <w:rsid w:val="55A200E3"/>
    <w:rsid w:val="55BA07E8"/>
    <w:rsid w:val="55BC3DF9"/>
    <w:rsid w:val="55BD3F4B"/>
    <w:rsid w:val="55D8BD9E"/>
    <w:rsid w:val="55DF5F04"/>
    <w:rsid w:val="55E03991"/>
    <w:rsid w:val="55E1BDDE"/>
    <w:rsid w:val="55E1D6CD"/>
    <w:rsid w:val="55F31B22"/>
    <w:rsid w:val="56133BCD"/>
    <w:rsid w:val="5615202A"/>
    <w:rsid w:val="56154468"/>
    <w:rsid w:val="561822FE"/>
    <w:rsid w:val="561DF615"/>
    <w:rsid w:val="561F5140"/>
    <w:rsid w:val="56294AE5"/>
    <w:rsid w:val="562B9875"/>
    <w:rsid w:val="5636D3F8"/>
    <w:rsid w:val="563C6FB5"/>
    <w:rsid w:val="56465ADA"/>
    <w:rsid w:val="564AF219"/>
    <w:rsid w:val="56501597"/>
    <w:rsid w:val="5658C59F"/>
    <w:rsid w:val="56605569"/>
    <w:rsid w:val="5663CAFF"/>
    <w:rsid w:val="5663DE4E"/>
    <w:rsid w:val="5667AE48"/>
    <w:rsid w:val="5674094B"/>
    <w:rsid w:val="56770111"/>
    <w:rsid w:val="567ABD9F"/>
    <w:rsid w:val="568AD940"/>
    <w:rsid w:val="56906D02"/>
    <w:rsid w:val="56AD6417"/>
    <w:rsid w:val="56CB85C4"/>
    <w:rsid w:val="56D17C83"/>
    <w:rsid w:val="56F90F2B"/>
    <w:rsid w:val="5701DB11"/>
    <w:rsid w:val="5723B17F"/>
    <w:rsid w:val="573CE969"/>
    <w:rsid w:val="57431F0B"/>
    <w:rsid w:val="574CDFCB"/>
    <w:rsid w:val="5756642E"/>
    <w:rsid w:val="5757F5D3"/>
    <w:rsid w:val="5760530A"/>
    <w:rsid w:val="5760ED51"/>
    <w:rsid w:val="57652375"/>
    <w:rsid w:val="5766B8B5"/>
    <w:rsid w:val="577976DC"/>
    <w:rsid w:val="577AA944"/>
    <w:rsid w:val="577EDB8C"/>
    <w:rsid w:val="5787BBEB"/>
    <w:rsid w:val="578C1358"/>
    <w:rsid w:val="57981C08"/>
    <w:rsid w:val="579A92A4"/>
    <w:rsid w:val="579B01AD"/>
    <w:rsid w:val="57A24FC6"/>
    <w:rsid w:val="57ABED57"/>
    <w:rsid w:val="57B5882C"/>
    <w:rsid w:val="57B891D5"/>
    <w:rsid w:val="57BD6D5D"/>
    <w:rsid w:val="57BE2EF7"/>
    <w:rsid w:val="57C799E9"/>
    <w:rsid w:val="57C7F9CA"/>
    <w:rsid w:val="57CA9B33"/>
    <w:rsid w:val="57CFD509"/>
    <w:rsid w:val="57D077C4"/>
    <w:rsid w:val="57D753E2"/>
    <w:rsid w:val="57D7ACCA"/>
    <w:rsid w:val="57E18F01"/>
    <w:rsid w:val="57E203A2"/>
    <w:rsid w:val="57E2B558"/>
    <w:rsid w:val="57E3B028"/>
    <w:rsid w:val="57E4C3E5"/>
    <w:rsid w:val="57E903B4"/>
    <w:rsid w:val="57EA8317"/>
    <w:rsid w:val="57F2AD6B"/>
    <w:rsid w:val="57F52637"/>
    <w:rsid w:val="57FB6B31"/>
    <w:rsid w:val="580D8B50"/>
    <w:rsid w:val="580DC643"/>
    <w:rsid w:val="580E8C83"/>
    <w:rsid w:val="58294FA2"/>
    <w:rsid w:val="58355F7A"/>
    <w:rsid w:val="5836BE14"/>
    <w:rsid w:val="5858A1D2"/>
    <w:rsid w:val="585A110C"/>
    <w:rsid w:val="585AA3D9"/>
    <w:rsid w:val="58616057"/>
    <w:rsid w:val="586A2AA1"/>
    <w:rsid w:val="58717652"/>
    <w:rsid w:val="58790E11"/>
    <w:rsid w:val="587F810C"/>
    <w:rsid w:val="588231E1"/>
    <w:rsid w:val="588FC063"/>
    <w:rsid w:val="589321E9"/>
    <w:rsid w:val="589D558D"/>
    <w:rsid w:val="58A42D5C"/>
    <w:rsid w:val="58B1736B"/>
    <w:rsid w:val="58B29B41"/>
    <w:rsid w:val="58BD447A"/>
    <w:rsid w:val="58BF06A6"/>
    <w:rsid w:val="58C81AD3"/>
    <w:rsid w:val="58CE5A53"/>
    <w:rsid w:val="58D1638B"/>
    <w:rsid w:val="58D1D7E2"/>
    <w:rsid w:val="58D1FB03"/>
    <w:rsid w:val="58D5D2DF"/>
    <w:rsid w:val="58D66693"/>
    <w:rsid w:val="58DD5501"/>
    <w:rsid w:val="58DF06E6"/>
    <w:rsid w:val="58E9B08C"/>
    <w:rsid w:val="58EB45A3"/>
    <w:rsid w:val="58EC4680"/>
    <w:rsid w:val="58F54EC3"/>
    <w:rsid w:val="58FA0BEA"/>
    <w:rsid w:val="58FA939D"/>
    <w:rsid w:val="58FD5AC6"/>
    <w:rsid w:val="5903F47C"/>
    <w:rsid w:val="59085681"/>
    <w:rsid w:val="5908C753"/>
    <w:rsid w:val="590EDD87"/>
    <w:rsid w:val="591029CD"/>
    <w:rsid w:val="5910CD7D"/>
    <w:rsid w:val="591E373D"/>
    <w:rsid w:val="5933B7E6"/>
    <w:rsid w:val="593B8A2F"/>
    <w:rsid w:val="5940C1CB"/>
    <w:rsid w:val="594A6D82"/>
    <w:rsid w:val="594DF13F"/>
    <w:rsid w:val="5956F202"/>
    <w:rsid w:val="5959B2B1"/>
    <w:rsid w:val="595C30E2"/>
    <w:rsid w:val="595D2E17"/>
    <w:rsid w:val="595DBA84"/>
    <w:rsid w:val="59647101"/>
    <w:rsid w:val="59695775"/>
    <w:rsid w:val="596A0844"/>
    <w:rsid w:val="5970174E"/>
    <w:rsid w:val="5973C9AC"/>
    <w:rsid w:val="59750C84"/>
    <w:rsid w:val="597765A3"/>
    <w:rsid w:val="59818A79"/>
    <w:rsid w:val="599121C6"/>
    <w:rsid w:val="59A7D175"/>
    <w:rsid w:val="59AA2A6F"/>
    <w:rsid w:val="59ABE9E7"/>
    <w:rsid w:val="59C81A20"/>
    <w:rsid w:val="59CA9303"/>
    <w:rsid w:val="59CBCBDA"/>
    <w:rsid w:val="59D25DFA"/>
    <w:rsid w:val="59D692E0"/>
    <w:rsid w:val="59D93E7F"/>
    <w:rsid w:val="59E4FB41"/>
    <w:rsid w:val="59EC1D87"/>
    <w:rsid w:val="59EF58E8"/>
    <w:rsid w:val="59F2A8B3"/>
    <w:rsid w:val="5A108611"/>
    <w:rsid w:val="5A171B04"/>
    <w:rsid w:val="5A20499B"/>
    <w:rsid w:val="5A2082EA"/>
    <w:rsid w:val="5A3AFFC4"/>
    <w:rsid w:val="5A3EEFC3"/>
    <w:rsid w:val="5A41A170"/>
    <w:rsid w:val="5A5ABDF5"/>
    <w:rsid w:val="5A5D7006"/>
    <w:rsid w:val="5A600CB0"/>
    <w:rsid w:val="5A61A2E8"/>
    <w:rsid w:val="5A6979EC"/>
    <w:rsid w:val="5A6AFEB5"/>
    <w:rsid w:val="5A6BE2D6"/>
    <w:rsid w:val="5A718E27"/>
    <w:rsid w:val="5A76B642"/>
    <w:rsid w:val="5A8744A4"/>
    <w:rsid w:val="5A8B864D"/>
    <w:rsid w:val="5A8C36A6"/>
    <w:rsid w:val="5A92C2E2"/>
    <w:rsid w:val="5A9EC274"/>
    <w:rsid w:val="5AA31744"/>
    <w:rsid w:val="5AA9A001"/>
    <w:rsid w:val="5AAA2FAB"/>
    <w:rsid w:val="5AB3D1CC"/>
    <w:rsid w:val="5ABF1FA0"/>
    <w:rsid w:val="5AC310BB"/>
    <w:rsid w:val="5AC3FC1B"/>
    <w:rsid w:val="5AC42680"/>
    <w:rsid w:val="5AC602B0"/>
    <w:rsid w:val="5AC7D1FB"/>
    <w:rsid w:val="5ACC5ED8"/>
    <w:rsid w:val="5AD5C052"/>
    <w:rsid w:val="5AD61DE1"/>
    <w:rsid w:val="5AD67EE3"/>
    <w:rsid w:val="5ADF380D"/>
    <w:rsid w:val="5AE96557"/>
    <w:rsid w:val="5AEA8BE9"/>
    <w:rsid w:val="5AEF3136"/>
    <w:rsid w:val="5AF4CB36"/>
    <w:rsid w:val="5AFFC6CF"/>
    <w:rsid w:val="5B132C76"/>
    <w:rsid w:val="5B1AABDC"/>
    <w:rsid w:val="5B2EC2B7"/>
    <w:rsid w:val="5B33EDB6"/>
    <w:rsid w:val="5B346DB4"/>
    <w:rsid w:val="5B3A2B13"/>
    <w:rsid w:val="5B449EF0"/>
    <w:rsid w:val="5B4DD8FA"/>
    <w:rsid w:val="5B4FCB19"/>
    <w:rsid w:val="5B50B1AC"/>
    <w:rsid w:val="5B51FC60"/>
    <w:rsid w:val="5B52D570"/>
    <w:rsid w:val="5B56F7DF"/>
    <w:rsid w:val="5B596C5A"/>
    <w:rsid w:val="5B6414BD"/>
    <w:rsid w:val="5B653D13"/>
    <w:rsid w:val="5B698F67"/>
    <w:rsid w:val="5B69E588"/>
    <w:rsid w:val="5B71A330"/>
    <w:rsid w:val="5B7835B3"/>
    <w:rsid w:val="5B89F94F"/>
    <w:rsid w:val="5B8DD90A"/>
    <w:rsid w:val="5B8DEDE6"/>
    <w:rsid w:val="5B97525D"/>
    <w:rsid w:val="5B9EF3E7"/>
    <w:rsid w:val="5BA0125B"/>
    <w:rsid w:val="5BA40614"/>
    <w:rsid w:val="5BA50E1B"/>
    <w:rsid w:val="5BA95B41"/>
    <w:rsid w:val="5BAA186A"/>
    <w:rsid w:val="5BAB895B"/>
    <w:rsid w:val="5BB23533"/>
    <w:rsid w:val="5BC99689"/>
    <w:rsid w:val="5BD466C8"/>
    <w:rsid w:val="5BD57B06"/>
    <w:rsid w:val="5BD72941"/>
    <w:rsid w:val="5BDB9E77"/>
    <w:rsid w:val="5BDCF056"/>
    <w:rsid w:val="5BF40F35"/>
    <w:rsid w:val="5BF985B6"/>
    <w:rsid w:val="5C031FB0"/>
    <w:rsid w:val="5C0C35EB"/>
    <w:rsid w:val="5C127EEF"/>
    <w:rsid w:val="5C20C50D"/>
    <w:rsid w:val="5C2670BA"/>
    <w:rsid w:val="5C2B4A3D"/>
    <w:rsid w:val="5C361F41"/>
    <w:rsid w:val="5C45ABC8"/>
    <w:rsid w:val="5C4B07F4"/>
    <w:rsid w:val="5C6BA1C1"/>
    <w:rsid w:val="5C875514"/>
    <w:rsid w:val="5C96F245"/>
    <w:rsid w:val="5C9A1742"/>
    <w:rsid w:val="5C9F4C4E"/>
    <w:rsid w:val="5CA885A3"/>
    <w:rsid w:val="5CA8AFA1"/>
    <w:rsid w:val="5CB497F6"/>
    <w:rsid w:val="5CB6DF7F"/>
    <w:rsid w:val="5CB8FBF0"/>
    <w:rsid w:val="5CBEAC3D"/>
    <w:rsid w:val="5CD11971"/>
    <w:rsid w:val="5CEB33BB"/>
    <w:rsid w:val="5CF010B0"/>
    <w:rsid w:val="5CFA9DCA"/>
    <w:rsid w:val="5D07EBDE"/>
    <w:rsid w:val="5D0CFD78"/>
    <w:rsid w:val="5D0DEA14"/>
    <w:rsid w:val="5D1D7BCA"/>
    <w:rsid w:val="5D2FD7CD"/>
    <w:rsid w:val="5D312985"/>
    <w:rsid w:val="5D31474E"/>
    <w:rsid w:val="5D3222D6"/>
    <w:rsid w:val="5D34283F"/>
    <w:rsid w:val="5D38643C"/>
    <w:rsid w:val="5D3B5BC0"/>
    <w:rsid w:val="5D41530D"/>
    <w:rsid w:val="5D485326"/>
    <w:rsid w:val="5D4B4B33"/>
    <w:rsid w:val="5D5A7543"/>
    <w:rsid w:val="5D5A945E"/>
    <w:rsid w:val="5D67C46E"/>
    <w:rsid w:val="5D6BD030"/>
    <w:rsid w:val="5D6CE41D"/>
    <w:rsid w:val="5D6F71E8"/>
    <w:rsid w:val="5D7DB3EB"/>
    <w:rsid w:val="5D8B0A2D"/>
    <w:rsid w:val="5D97682D"/>
    <w:rsid w:val="5DA35891"/>
    <w:rsid w:val="5DAAFC20"/>
    <w:rsid w:val="5DBB0BCF"/>
    <w:rsid w:val="5DBE4367"/>
    <w:rsid w:val="5DC61C67"/>
    <w:rsid w:val="5DC91C0C"/>
    <w:rsid w:val="5DD15317"/>
    <w:rsid w:val="5DDE083A"/>
    <w:rsid w:val="5DE0C597"/>
    <w:rsid w:val="5DF6A329"/>
    <w:rsid w:val="5DF8866E"/>
    <w:rsid w:val="5DFC5A74"/>
    <w:rsid w:val="5E01F7DB"/>
    <w:rsid w:val="5E02B8A9"/>
    <w:rsid w:val="5E07E006"/>
    <w:rsid w:val="5E0DBEA3"/>
    <w:rsid w:val="5E16E8FA"/>
    <w:rsid w:val="5E25E5C9"/>
    <w:rsid w:val="5E37D465"/>
    <w:rsid w:val="5E3B524E"/>
    <w:rsid w:val="5E44BC5E"/>
    <w:rsid w:val="5E46B38E"/>
    <w:rsid w:val="5E4B9781"/>
    <w:rsid w:val="5E5C0A5F"/>
    <w:rsid w:val="5E643A6F"/>
    <w:rsid w:val="5E6453C1"/>
    <w:rsid w:val="5E6BEB83"/>
    <w:rsid w:val="5E6CBCB1"/>
    <w:rsid w:val="5E6DE135"/>
    <w:rsid w:val="5E74A160"/>
    <w:rsid w:val="5E7B90C0"/>
    <w:rsid w:val="5E8371A4"/>
    <w:rsid w:val="5E8D9D61"/>
    <w:rsid w:val="5E919014"/>
    <w:rsid w:val="5E9C81A2"/>
    <w:rsid w:val="5E9D9108"/>
    <w:rsid w:val="5E9ED2B1"/>
    <w:rsid w:val="5EA1AD40"/>
    <w:rsid w:val="5EA3ABAB"/>
    <w:rsid w:val="5EA562C2"/>
    <w:rsid w:val="5EAEC4CA"/>
    <w:rsid w:val="5EB3A323"/>
    <w:rsid w:val="5EB9F0BC"/>
    <w:rsid w:val="5EBA481E"/>
    <w:rsid w:val="5EBBF85B"/>
    <w:rsid w:val="5EC5FE39"/>
    <w:rsid w:val="5ECC72E1"/>
    <w:rsid w:val="5ED25D50"/>
    <w:rsid w:val="5ED84DC2"/>
    <w:rsid w:val="5ED8FFF2"/>
    <w:rsid w:val="5EE0B7D6"/>
    <w:rsid w:val="5EE9344E"/>
    <w:rsid w:val="5EF2BC84"/>
    <w:rsid w:val="5EF9BB6F"/>
    <w:rsid w:val="5F01AFC1"/>
    <w:rsid w:val="5F0A4851"/>
    <w:rsid w:val="5F0F2D18"/>
    <w:rsid w:val="5F18228B"/>
    <w:rsid w:val="5F1F2AF7"/>
    <w:rsid w:val="5F21CDC4"/>
    <w:rsid w:val="5F23F1D8"/>
    <w:rsid w:val="5F35B6CC"/>
    <w:rsid w:val="5F391B6D"/>
    <w:rsid w:val="5F3D00B1"/>
    <w:rsid w:val="5F3F28F2"/>
    <w:rsid w:val="5F3FEE4D"/>
    <w:rsid w:val="5F418CF4"/>
    <w:rsid w:val="5F4BD2F7"/>
    <w:rsid w:val="5F5A54A5"/>
    <w:rsid w:val="5F5AD20B"/>
    <w:rsid w:val="5F71A792"/>
    <w:rsid w:val="5F771FA5"/>
    <w:rsid w:val="5F794EB5"/>
    <w:rsid w:val="5F967ED5"/>
    <w:rsid w:val="5F98FB82"/>
    <w:rsid w:val="5FA8BB4E"/>
    <w:rsid w:val="5FA8E0B1"/>
    <w:rsid w:val="5FABF7EC"/>
    <w:rsid w:val="5FAE27B7"/>
    <w:rsid w:val="5FB80661"/>
    <w:rsid w:val="5FC44C77"/>
    <w:rsid w:val="5FD2F101"/>
    <w:rsid w:val="5FD49EE0"/>
    <w:rsid w:val="5FD69D16"/>
    <w:rsid w:val="5FE5CDD0"/>
    <w:rsid w:val="5FE75DCB"/>
    <w:rsid w:val="5FEC147A"/>
    <w:rsid w:val="5FEEFFB5"/>
    <w:rsid w:val="5FF546CE"/>
    <w:rsid w:val="5FF71C7F"/>
    <w:rsid w:val="5FF8D741"/>
    <w:rsid w:val="5FFA6788"/>
    <w:rsid w:val="5FFA96B0"/>
    <w:rsid w:val="6004C0B0"/>
    <w:rsid w:val="600CB116"/>
    <w:rsid w:val="60136D62"/>
    <w:rsid w:val="6014E6B1"/>
    <w:rsid w:val="60275078"/>
    <w:rsid w:val="6031B52B"/>
    <w:rsid w:val="6034A617"/>
    <w:rsid w:val="60449E3A"/>
    <w:rsid w:val="60467E0B"/>
    <w:rsid w:val="604D2710"/>
    <w:rsid w:val="604E3636"/>
    <w:rsid w:val="60573561"/>
    <w:rsid w:val="605974F0"/>
    <w:rsid w:val="6059FA30"/>
    <w:rsid w:val="605EC1BB"/>
    <w:rsid w:val="60627C47"/>
    <w:rsid w:val="60798799"/>
    <w:rsid w:val="60798E42"/>
    <w:rsid w:val="60921605"/>
    <w:rsid w:val="60934C8D"/>
    <w:rsid w:val="6098CDA7"/>
    <w:rsid w:val="60999556"/>
    <w:rsid w:val="60A48BE3"/>
    <w:rsid w:val="60A67B31"/>
    <w:rsid w:val="60AD4664"/>
    <w:rsid w:val="60AF1480"/>
    <w:rsid w:val="60B28F4D"/>
    <w:rsid w:val="60B39FF7"/>
    <w:rsid w:val="60C0BA0C"/>
    <w:rsid w:val="60C245D3"/>
    <w:rsid w:val="60C514CA"/>
    <w:rsid w:val="60C863D8"/>
    <w:rsid w:val="60CF902E"/>
    <w:rsid w:val="60DAF953"/>
    <w:rsid w:val="60E07A5B"/>
    <w:rsid w:val="60E50506"/>
    <w:rsid w:val="60E5DB36"/>
    <w:rsid w:val="60E7C3F7"/>
    <w:rsid w:val="60EC06E1"/>
    <w:rsid w:val="60F6147F"/>
    <w:rsid w:val="60FAAE12"/>
    <w:rsid w:val="6103D7A5"/>
    <w:rsid w:val="61076555"/>
    <w:rsid w:val="61174E4A"/>
    <w:rsid w:val="6122FD79"/>
    <w:rsid w:val="61325603"/>
    <w:rsid w:val="61390E03"/>
    <w:rsid w:val="613AB6B8"/>
    <w:rsid w:val="61435800"/>
    <w:rsid w:val="6148209D"/>
    <w:rsid w:val="614EFD5A"/>
    <w:rsid w:val="61529CAD"/>
    <w:rsid w:val="6153D837"/>
    <w:rsid w:val="6156402D"/>
    <w:rsid w:val="616473EC"/>
    <w:rsid w:val="616560B4"/>
    <w:rsid w:val="6165CD25"/>
    <w:rsid w:val="616913C7"/>
    <w:rsid w:val="616E2E0E"/>
    <w:rsid w:val="61804ACC"/>
    <w:rsid w:val="61839376"/>
    <w:rsid w:val="61860AD1"/>
    <w:rsid w:val="6198C389"/>
    <w:rsid w:val="619C9A88"/>
    <w:rsid w:val="61A2E3E6"/>
    <w:rsid w:val="61A59E86"/>
    <w:rsid w:val="61A88177"/>
    <w:rsid w:val="61B3345C"/>
    <w:rsid w:val="61BBBC86"/>
    <w:rsid w:val="61BC26F2"/>
    <w:rsid w:val="61D915D2"/>
    <w:rsid w:val="61DA05FA"/>
    <w:rsid w:val="61E3C12B"/>
    <w:rsid w:val="61E84517"/>
    <w:rsid w:val="61EFD46C"/>
    <w:rsid w:val="61F0C947"/>
    <w:rsid w:val="61F7434C"/>
    <w:rsid w:val="61F8F113"/>
    <w:rsid w:val="61F936C8"/>
    <w:rsid w:val="61FA350A"/>
    <w:rsid w:val="620946B8"/>
    <w:rsid w:val="620F5BC8"/>
    <w:rsid w:val="6210A0B4"/>
    <w:rsid w:val="62113760"/>
    <w:rsid w:val="62185898"/>
    <w:rsid w:val="622BACFD"/>
    <w:rsid w:val="62412A3A"/>
    <w:rsid w:val="624DF0AE"/>
    <w:rsid w:val="625595D7"/>
    <w:rsid w:val="625E49FE"/>
    <w:rsid w:val="6262B76D"/>
    <w:rsid w:val="62695176"/>
    <w:rsid w:val="6269B956"/>
    <w:rsid w:val="626FF416"/>
    <w:rsid w:val="6272EF34"/>
    <w:rsid w:val="6276D989"/>
    <w:rsid w:val="627A0DEB"/>
    <w:rsid w:val="627F0116"/>
    <w:rsid w:val="62821FF5"/>
    <w:rsid w:val="628EB63F"/>
    <w:rsid w:val="62951BD9"/>
    <w:rsid w:val="629C720D"/>
    <w:rsid w:val="62A28289"/>
    <w:rsid w:val="62A7AFC5"/>
    <w:rsid w:val="62AC79BE"/>
    <w:rsid w:val="62AE768D"/>
    <w:rsid w:val="62B1EA78"/>
    <w:rsid w:val="62B64DAF"/>
    <w:rsid w:val="62C659DB"/>
    <w:rsid w:val="62D3B8C1"/>
    <w:rsid w:val="62D5F06D"/>
    <w:rsid w:val="62D9B5A1"/>
    <w:rsid w:val="62F3D6F6"/>
    <w:rsid w:val="62F8C3F2"/>
    <w:rsid w:val="62F8E2AA"/>
    <w:rsid w:val="62FDBA70"/>
    <w:rsid w:val="62FEA57A"/>
    <w:rsid w:val="6301DDBE"/>
    <w:rsid w:val="6303296C"/>
    <w:rsid w:val="630A8D66"/>
    <w:rsid w:val="63105442"/>
    <w:rsid w:val="63188572"/>
    <w:rsid w:val="632BC41A"/>
    <w:rsid w:val="633945BD"/>
    <w:rsid w:val="633BCB8B"/>
    <w:rsid w:val="6343FCF5"/>
    <w:rsid w:val="63457FA3"/>
    <w:rsid w:val="63459563"/>
    <w:rsid w:val="6348C178"/>
    <w:rsid w:val="634C6452"/>
    <w:rsid w:val="634FD78F"/>
    <w:rsid w:val="6353D33D"/>
    <w:rsid w:val="63565716"/>
    <w:rsid w:val="635A6A8C"/>
    <w:rsid w:val="6361D133"/>
    <w:rsid w:val="6366DAB7"/>
    <w:rsid w:val="636835E4"/>
    <w:rsid w:val="6374BE7C"/>
    <w:rsid w:val="637AE084"/>
    <w:rsid w:val="637F24FD"/>
    <w:rsid w:val="63844EAB"/>
    <w:rsid w:val="63911CDF"/>
    <w:rsid w:val="63A708DC"/>
    <w:rsid w:val="63AF61F4"/>
    <w:rsid w:val="63B0DC92"/>
    <w:rsid w:val="63B7773E"/>
    <w:rsid w:val="63BF12D3"/>
    <w:rsid w:val="63C5ADA8"/>
    <w:rsid w:val="63C9B6C7"/>
    <w:rsid w:val="63CCB836"/>
    <w:rsid w:val="63CCF0CC"/>
    <w:rsid w:val="63D2D569"/>
    <w:rsid w:val="63DC83E6"/>
    <w:rsid w:val="63DE8E5F"/>
    <w:rsid w:val="63E6B409"/>
    <w:rsid w:val="63F199AD"/>
    <w:rsid w:val="63FA633F"/>
    <w:rsid w:val="6402A20F"/>
    <w:rsid w:val="641FA687"/>
    <w:rsid w:val="6420B077"/>
    <w:rsid w:val="64225363"/>
    <w:rsid w:val="642D3E06"/>
    <w:rsid w:val="642D3E8F"/>
    <w:rsid w:val="642D98D4"/>
    <w:rsid w:val="642E719C"/>
    <w:rsid w:val="6432E0A8"/>
    <w:rsid w:val="643358FB"/>
    <w:rsid w:val="64335C32"/>
    <w:rsid w:val="643B0B2D"/>
    <w:rsid w:val="643C6BF3"/>
    <w:rsid w:val="643DA69D"/>
    <w:rsid w:val="643ED187"/>
    <w:rsid w:val="64466AAD"/>
    <w:rsid w:val="644CD7B1"/>
    <w:rsid w:val="6460BE8D"/>
    <w:rsid w:val="6469AB60"/>
    <w:rsid w:val="646E8928"/>
    <w:rsid w:val="647AD518"/>
    <w:rsid w:val="647B55E6"/>
    <w:rsid w:val="64863D74"/>
    <w:rsid w:val="6486C811"/>
    <w:rsid w:val="648936BA"/>
    <w:rsid w:val="649574C0"/>
    <w:rsid w:val="64969609"/>
    <w:rsid w:val="649EAC71"/>
    <w:rsid w:val="64A1C2D0"/>
    <w:rsid w:val="64ACBEE1"/>
    <w:rsid w:val="64AE51C9"/>
    <w:rsid w:val="64B5FBB2"/>
    <w:rsid w:val="64BC5363"/>
    <w:rsid w:val="64C092D4"/>
    <w:rsid w:val="64C48941"/>
    <w:rsid w:val="64D2B36A"/>
    <w:rsid w:val="64D38700"/>
    <w:rsid w:val="64D77B42"/>
    <w:rsid w:val="64D94945"/>
    <w:rsid w:val="64D9F4CD"/>
    <w:rsid w:val="64E8201B"/>
    <w:rsid w:val="64FFBEBC"/>
    <w:rsid w:val="650A3A40"/>
    <w:rsid w:val="650ABB63"/>
    <w:rsid w:val="650EB94A"/>
    <w:rsid w:val="650FC7CC"/>
    <w:rsid w:val="6510AEB7"/>
    <w:rsid w:val="6514D8FE"/>
    <w:rsid w:val="651EA30D"/>
    <w:rsid w:val="6523CD2E"/>
    <w:rsid w:val="652C0845"/>
    <w:rsid w:val="652C4B47"/>
    <w:rsid w:val="65375DDD"/>
    <w:rsid w:val="6544CB70"/>
    <w:rsid w:val="654CE731"/>
    <w:rsid w:val="6550BD5E"/>
    <w:rsid w:val="6550C5A8"/>
    <w:rsid w:val="65519DF6"/>
    <w:rsid w:val="6558AAE7"/>
    <w:rsid w:val="655E5FA3"/>
    <w:rsid w:val="6568613D"/>
    <w:rsid w:val="656CE4D4"/>
    <w:rsid w:val="657116C2"/>
    <w:rsid w:val="6577B9EB"/>
    <w:rsid w:val="657F7784"/>
    <w:rsid w:val="65867B81"/>
    <w:rsid w:val="658DB4E0"/>
    <w:rsid w:val="6593426D"/>
    <w:rsid w:val="6595ADDD"/>
    <w:rsid w:val="65A2C8E5"/>
    <w:rsid w:val="65B2B634"/>
    <w:rsid w:val="65B94C59"/>
    <w:rsid w:val="65C0B264"/>
    <w:rsid w:val="65C249F8"/>
    <w:rsid w:val="65C67AFB"/>
    <w:rsid w:val="65C84612"/>
    <w:rsid w:val="65CF53AA"/>
    <w:rsid w:val="65D1E15B"/>
    <w:rsid w:val="65D65850"/>
    <w:rsid w:val="65D7BE68"/>
    <w:rsid w:val="65DC5C4D"/>
    <w:rsid w:val="65E2A011"/>
    <w:rsid w:val="65E3DAE8"/>
    <w:rsid w:val="65EAE754"/>
    <w:rsid w:val="65F3AB84"/>
    <w:rsid w:val="65F3C8DA"/>
    <w:rsid w:val="6609419F"/>
    <w:rsid w:val="6610DD96"/>
    <w:rsid w:val="6611809F"/>
    <w:rsid w:val="66185C31"/>
    <w:rsid w:val="661BB29C"/>
    <w:rsid w:val="66292034"/>
    <w:rsid w:val="662D8A7B"/>
    <w:rsid w:val="662EF26A"/>
    <w:rsid w:val="6633CF65"/>
    <w:rsid w:val="66351FCA"/>
    <w:rsid w:val="663C2ADB"/>
    <w:rsid w:val="6652B1D0"/>
    <w:rsid w:val="6652DF06"/>
    <w:rsid w:val="665611EE"/>
    <w:rsid w:val="66564D52"/>
    <w:rsid w:val="6674D284"/>
    <w:rsid w:val="667BC5C1"/>
    <w:rsid w:val="667D2748"/>
    <w:rsid w:val="66851EA5"/>
    <w:rsid w:val="66870495"/>
    <w:rsid w:val="668895BD"/>
    <w:rsid w:val="668E2573"/>
    <w:rsid w:val="668E677F"/>
    <w:rsid w:val="668F1803"/>
    <w:rsid w:val="66A107C2"/>
    <w:rsid w:val="66A7EC61"/>
    <w:rsid w:val="66A98999"/>
    <w:rsid w:val="66B35875"/>
    <w:rsid w:val="66C01806"/>
    <w:rsid w:val="66C35E18"/>
    <w:rsid w:val="66C52732"/>
    <w:rsid w:val="66C6E65F"/>
    <w:rsid w:val="66C85725"/>
    <w:rsid w:val="66CB68F1"/>
    <w:rsid w:val="66CCF0CB"/>
    <w:rsid w:val="66D1B111"/>
    <w:rsid w:val="66D2B5E9"/>
    <w:rsid w:val="66DB44C3"/>
    <w:rsid w:val="66E0F2A2"/>
    <w:rsid w:val="66EC8871"/>
    <w:rsid w:val="66EE21DF"/>
    <w:rsid w:val="66FA11BD"/>
    <w:rsid w:val="66FD52A4"/>
    <w:rsid w:val="670B9512"/>
    <w:rsid w:val="6710CE35"/>
    <w:rsid w:val="6718C416"/>
    <w:rsid w:val="671B4E60"/>
    <w:rsid w:val="672D9093"/>
    <w:rsid w:val="6731B443"/>
    <w:rsid w:val="673F015B"/>
    <w:rsid w:val="6741E556"/>
    <w:rsid w:val="6742ED08"/>
    <w:rsid w:val="674962EB"/>
    <w:rsid w:val="675998C7"/>
    <w:rsid w:val="6778F6F7"/>
    <w:rsid w:val="67790605"/>
    <w:rsid w:val="677E57EA"/>
    <w:rsid w:val="678D2F17"/>
    <w:rsid w:val="678E6FBC"/>
    <w:rsid w:val="67A40BCD"/>
    <w:rsid w:val="67A4B5D9"/>
    <w:rsid w:val="67ACD51F"/>
    <w:rsid w:val="67B672E2"/>
    <w:rsid w:val="67B894D5"/>
    <w:rsid w:val="67BBA214"/>
    <w:rsid w:val="67C5337A"/>
    <w:rsid w:val="67C948D3"/>
    <w:rsid w:val="67DC70DC"/>
    <w:rsid w:val="67E662D5"/>
    <w:rsid w:val="67E91B34"/>
    <w:rsid w:val="67F58128"/>
    <w:rsid w:val="67F868E8"/>
    <w:rsid w:val="67F984B2"/>
    <w:rsid w:val="68005480"/>
    <w:rsid w:val="68052230"/>
    <w:rsid w:val="6808BDC5"/>
    <w:rsid w:val="680F8D44"/>
    <w:rsid w:val="6810E253"/>
    <w:rsid w:val="6812079C"/>
    <w:rsid w:val="681E1DF4"/>
    <w:rsid w:val="6822C2BA"/>
    <w:rsid w:val="68320E9F"/>
    <w:rsid w:val="6839222C"/>
    <w:rsid w:val="683D32CF"/>
    <w:rsid w:val="684DA927"/>
    <w:rsid w:val="684DCF16"/>
    <w:rsid w:val="685B56DA"/>
    <w:rsid w:val="68613484"/>
    <w:rsid w:val="68645192"/>
    <w:rsid w:val="686BA07A"/>
    <w:rsid w:val="686C418A"/>
    <w:rsid w:val="6870D3B9"/>
    <w:rsid w:val="68758706"/>
    <w:rsid w:val="6880BB0C"/>
    <w:rsid w:val="68822880"/>
    <w:rsid w:val="6885BF89"/>
    <w:rsid w:val="688E46CC"/>
    <w:rsid w:val="6893FCBF"/>
    <w:rsid w:val="68A51868"/>
    <w:rsid w:val="68AA96EC"/>
    <w:rsid w:val="68B11FDC"/>
    <w:rsid w:val="68B19AAE"/>
    <w:rsid w:val="68B72C83"/>
    <w:rsid w:val="68BA7A2F"/>
    <w:rsid w:val="68D0AFBF"/>
    <w:rsid w:val="68D0F1EE"/>
    <w:rsid w:val="68D3E585"/>
    <w:rsid w:val="68DFFD16"/>
    <w:rsid w:val="68EC3673"/>
    <w:rsid w:val="68F49655"/>
    <w:rsid w:val="68F81B1C"/>
    <w:rsid w:val="690A8BFB"/>
    <w:rsid w:val="69113E5C"/>
    <w:rsid w:val="691D0A45"/>
    <w:rsid w:val="6927A05E"/>
    <w:rsid w:val="69317566"/>
    <w:rsid w:val="693269B9"/>
    <w:rsid w:val="6937A5F0"/>
    <w:rsid w:val="693DE83F"/>
    <w:rsid w:val="6942CBB6"/>
    <w:rsid w:val="694A899A"/>
    <w:rsid w:val="694C3224"/>
    <w:rsid w:val="695FC84D"/>
    <w:rsid w:val="696B7027"/>
    <w:rsid w:val="697563DB"/>
    <w:rsid w:val="69792B6F"/>
    <w:rsid w:val="69798AED"/>
    <w:rsid w:val="697F8E48"/>
    <w:rsid w:val="698BC4FD"/>
    <w:rsid w:val="698C4657"/>
    <w:rsid w:val="698DE8E0"/>
    <w:rsid w:val="6990EADD"/>
    <w:rsid w:val="69AAFEB9"/>
    <w:rsid w:val="69B5F0B1"/>
    <w:rsid w:val="69B97F16"/>
    <w:rsid w:val="69CC6E8A"/>
    <w:rsid w:val="69CCC7D9"/>
    <w:rsid w:val="69CF9167"/>
    <w:rsid w:val="69D2F5C0"/>
    <w:rsid w:val="69DA80FA"/>
    <w:rsid w:val="69E06ECC"/>
    <w:rsid w:val="69E18467"/>
    <w:rsid w:val="69E1BD64"/>
    <w:rsid w:val="69EDA22D"/>
    <w:rsid w:val="69FC53A3"/>
    <w:rsid w:val="6A0707C7"/>
    <w:rsid w:val="6A0CE026"/>
    <w:rsid w:val="6A135C7E"/>
    <w:rsid w:val="6A18514A"/>
    <w:rsid w:val="6A196E67"/>
    <w:rsid w:val="6A1AA911"/>
    <w:rsid w:val="6A2F3BB9"/>
    <w:rsid w:val="6A3D7458"/>
    <w:rsid w:val="6A440F2B"/>
    <w:rsid w:val="6A4B5530"/>
    <w:rsid w:val="6A580962"/>
    <w:rsid w:val="6A5D60E4"/>
    <w:rsid w:val="6A6FC8D6"/>
    <w:rsid w:val="6A73951F"/>
    <w:rsid w:val="6A7597A1"/>
    <w:rsid w:val="6A765AD0"/>
    <w:rsid w:val="6A7AF1D4"/>
    <w:rsid w:val="6A7D54A6"/>
    <w:rsid w:val="6A884A08"/>
    <w:rsid w:val="6A8C2A21"/>
    <w:rsid w:val="6A8DC684"/>
    <w:rsid w:val="6A8DD145"/>
    <w:rsid w:val="6A92CC97"/>
    <w:rsid w:val="6A93707F"/>
    <w:rsid w:val="6AABAA9D"/>
    <w:rsid w:val="6AB1D141"/>
    <w:rsid w:val="6AB5DAB6"/>
    <w:rsid w:val="6AB7469F"/>
    <w:rsid w:val="6AB85D80"/>
    <w:rsid w:val="6ABA5A92"/>
    <w:rsid w:val="6ACCFC74"/>
    <w:rsid w:val="6ACF6E35"/>
    <w:rsid w:val="6AD063C2"/>
    <w:rsid w:val="6AD613D2"/>
    <w:rsid w:val="6B015078"/>
    <w:rsid w:val="6B139B37"/>
    <w:rsid w:val="6B2A326C"/>
    <w:rsid w:val="6B36F898"/>
    <w:rsid w:val="6B387633"/>
    <w:rsid w:val="6B427222"/>
    <w:rsid w:val="6B56DEBF"/>
    <w:rsid w:val="6B5EC450"/>
    <w:rsid w:val="6B69594F"/>
    <w:rsid w:val="6B6B2894"/>
    <w:rsid w:val="6B859F26"/>
    <w:rsid w:val="6B87038E"/>
    <w:rsid w:val="6B8CA5EF"/>
    <w:rsid w:val="6B931591"/>
    <w:rsid w:val="6B938F14"/>
    <w:rsid w:val="6B9870CC"/>
    <w:rsid w:val="6B9B8015"/>
    <w:rsid w:val="6BA07843"/>
    <w:rsid w:val="6BA86F82"/>
    <w:rsid w:val="6BB0724E"/>
    <w:rsid w:val="6BB2C73A"/>
    <w:rsid w:val="6BC2CF52"/>
    <w:rsid w:val="6BD55E36"/>
    <w:rsid w:val="6BDB224A"/>
    <w:rsid w:val="6BDBA3D2"/>
    <w:rsid w:val="6BE3A04D"/>
    <w:rsid w:val="6BEDDEE6"/>
    <w:rsid w:val="6BF11078"/>
    <w:rsid w:val="6BFB8D74"/>
    <w:rsid w:val="6BFF33DA"/>
    <w:rsid w:val="6C03B1E6"/>
    <w:rsid w:val="6C099F57"/>
    <w:rsid w:val="6C0A3275"/>
    <w:rsid w:val="6C0B05FB"/>
    <w:rsid w:val="6C0BFDDE"/>
    <w:rsid w:val="6C0CA6C2"/>
    <w:rsid w:val="6C0D7E71"/>
    <w:rsid w:val="6C125B14"/>
    <w:rsid w:val="6C1A762E"/>
    <w:rsid w:val="6C322C53"/>
    <w:rsid w:val="6C4F930C"/>
    <w:rsid w:val="6C5F0431"/>
    <w:rsid w:val="6C61A251"/>
    <w:rsid w:val="6C65D5F6"/>
    <w:rsid w:val="6C6C2DE7"/>
    <w:rsid w:val="6C8E9FD3"/>
    <w:rsid w:val="6C92062C"/>
    <w:rsid w:val="6C99E6D0"/>
    <w:rsid w:val="6C9ABA1C"/>
    <w:rsid w:val="6C9EA869"/>
    <w:rsid w:val="6CA374B6"/>
    <w:rsid w:val="6CA8EEB7"/>
    <w:rsid w:val="6CAB0828"/>
    <w:rsid w:val="6CB69445"/>
    <w:rsid w:val="6CB86808"/>
    <w:rsid w:val="6CBCD3FC"/>
    <w:rsid w:val="6CC46D7E"/>
    <w:rsid w:val="6CC85B7D"/>
    <w:rsid w:val="6CD3D03B"/>
    <w:rsid w:val="6CDA25B1"/>
    <w:rsid w:val="6CDDDAB5"/>
    <w:rsid w:val="6CE3E137"/>
    <w:rsid w:val="6CEC72FF"/>
    <w:rsid w:val="6CEEE0AF"/>
    <w:rsid w:val="6CF52A72"/>
    <w:rsid w:val="6CF9C891"/>
    <w:rsid w:val="6CFAA23F"/>
    <w:rsid w:val="6CFAEB10"/>
    <w:rsid w:val="6D00E5EA"/>
    <w:rsid w:val="6D0496CB"/>
    <w:rsid w:val="6D127FE8"/>
    <w:rsid w:val="6D154801"/>
    <w:rsid w:val="6D28B2ED"/>
    <w:rsid w:val="6D3E9008"/>
    <w:rsid w:val="6D485977"/>
    <w:rsid w:val="6D55ED9C"/>
    <w:rsid w:val="6D57366E"/>
    <w:rsid w:val="6D5D1BAD"/>
    <w:rsid w:val="6D5E0642"/>
    <w:rsid w:val="6D60123E"/>
    <w:rsid w:val="6D62F762"/>
    <w:rsid w:val="6D6ACAAF"/>
    <w:rsid w:val="6D6CD2F6"/>
    <w:rsid w:val="6D6D288F"/>
    <w:rsid w:val="6D6E30AE"/>
    <w:rsid w:val="6D7D5EDE"/>
    <w:rsid w:val="6D8A33CA"/>
    <w:rsid w:val="6D8A8CBD"/>
    <w:rsid w:val="6D8DF97B"/>
    <w:rsid w:val="6D8E92CB"/>
    <w:rsid w:val="6D9132A0"/>
    <w:rsid w:val="6D9AEB42"/>
    <w:rsid w:val="6D9B2FF2"/>
    <w:rsid w:val="6DA4C50B"/>
    <w:rsid w:val="6DA7101F"/>
    <w:rsid w:val="6DA86B0E"/>
    <w:rsid w:val="6DB00D4C"/>
    <w:rsid w:val="6DB18016"/>
    <w:rsid w:val="6DB88552"/>
    <w:rsid w:val="6DB9C5BE"/>
    <w:rsid w:val="6DBE5DB0"/>
    <w:rsid w:val="6DC3CAE3"/>
    <w:rsid w:val="6DC4E4BB"/>
    <w:rsid w:val="6DD0B606"/>
    <w:rsid w:val="6DD205FA"/>
    <w:rsid w:val="6DD4CBC1"/>
    <w:rsid w:val="6DD56339"/>
    <w:rsid w:val="6DD6D425"/>
    <w:rsid w:val="6DD96668"/>
    <w:rsid w:val="6DDDDE90"/>
    <w:rsid w:val="6DDEE0E6"/>
    <w:rsid w:val="6DE31D0B"/>
    <w:rsid w:val="6DE884F3"/>
    <w:rsid w:val="6DEE6D5B"/>
    <w:rsid w:val="6E0EF40E"/>
    <w:rsid w:val="6E137C77"/>
    <w:rsid w:val="6E17D19A"/>
    <w:rsid w:val="6E1C9583"/>
    <w:rsid w:val="6E1F96E7"/>
    <w:rsid w:val="6E266597"/>
    <w:rsid w:val="6E28B27D"/>
    <w:rsid w:val="6E317057"/>
    <w:rsid w:val="6E3378AE"/>
    <w:rsid w:val="6E3CE7BD"/>
    <w:rsid w:val="6E561197"/>
    <w:rsid w:val="6E5889A5"/>
    <w:rsid w:val="6E67FA51"/>
    <w:rsid w:val="6E73B5D0"/>
    <w:rsid w:val="6E76952E"/>
    <w:rsid w:val="6E9BE74E"/>
    <w:rsid w:val="6E9C51A4"/>
    <w:rsid w:val="6EA0CDE3"/>
    <w:rsid w:val="6EA25FB7"/>
    <w:rsid w:val="6EA287D3"/>
    <w:rsid w:val="6EAA840B"/>
    <w:rsid w:val="6EAD569C"/>
    <w:rsid w:val="6EAE1D78"/>
    <w:rsid w:val="6EAE8C98"/>
    <w:rsid w:val="6EBC6396"/>
    <w:rsid w:val="6EC09376"/>
    <w:rsid w:val="6ECB029E"/>
    <w:rsid w:val="6ECB5739"/>
    <w:rsid w:val="6ECEA2ED"/>
    <w:rsid w:val="6ED0DFE6"/>
    <w:rsid w:val="6ED39EF8"/>
    <w:rsid w:val="6ED620C7"/>
    <w:rsid w:val="6EEB38EF"/>
    <w:rsid w:val="6EEBD067"/>
    <w:rsid w:val="6EEC0755"/>
    <w:rsid w:val="6EEFE6BE"/>
    <w:rsid w:val="6EF9BDAD"/>
    <w:rsid w:val="6EFE685F"/>
    <w:rsid w:val="6EFF6202"/>
    <w:rsid w:val="6F095AD1"/>
    <w:rsid w:val="6F0A8EB2"/>
    <w:rsid w:val="6F1A0A32"/>
    <w:rsid w:val="6F1CBB14"/>
    <w:rsid w:val="6F1FEC8B"/>
    <w:rsid w:val="6F21EDB9"/>
    <w:rsid w:val="6F282800"/>
    <w:rsid w:val="6F425EB8"/>
    <w:rsid w:val="6F4767DE"/>
    <w:rsid w:val="6F562818"/>
    <w:rsid w:val="6F57A638"/>
    <w:rsid w:val="6F751B3A"/>
    <w:rsid w:val="6F838072"/>
    <w:rsid w:val="6F83F1CF"/>
    <w:rsid w:val="6F8508BF"/>
    <w:rsid w:val="6F87411D"/>
    <w:rsid w:val="6F8A9B1C"/>
    <w:rsid w:val="6F8F76A4"/>
    <w:rsid w:val="6F8FFF5A"/>
    <w:rsid w:val="6F907A37"/>
    <w:rsid w:val="6F9351F0"/>
    <w:rsid w:val="6F989CD0"/>
    <w:rsid w:val="6FA55B06"/>
    <w:rsid w:val="6FB1DC45"/>
    <w:rsid w:val="6FB81314"/>
    <w:rsid w:val="6FC5FFC2"/>
    <w:rsid w:val="6FC70275"/>
    <w:rsid w:val="6FCE5CA0"/>
    <w:rsid w:val="6FD1C5AD"/>
    <w:rsid w:val="6FD7B55F"/>
    <w:rsid w:val="6FE578C3"/>
    <w:rsid w:val="6FEC33C9"/>
    <w:rsid w:val="6FEDE46C"/>
    <w:rsid w:val="6FF420BA"/>
    <w:rsid w:val="7008CAD9"/>
    <w:rsid w:val="700E4BB1"/>
    <w:rsid w:val="70141394"/>
    <w:rsid w:val="70147D67"/>
    <w:rsid w:val="701C235C"/>
    <w:rsid w:val="702836E1"/>
    <w:rsid w:val="702CDDC5"/>
    <w:rsid w:val="702F727E"/>
    <w:rsid w:val="703DA68A"/>
    <w:rsid w:val="7048E114"/>
    <w:rsid w:val="704DFAFB"/>
    <w:rsid w:val="704F4582"/>
    <w:rsid w:val="70589F75"/>
    <w:rsid w:val="70668FFD"/>
    <w:rsid w:val="706BFF57"/>
    <w:rsid w:val="706D8F50"/>
    <w:rsid w:val="707D4363"/>
    <w:rsid w:val="7087AFD9"/>
    <w:rsid w:val="7096AC63"/>
    <w:rsid w:val="7096ECD5"/>
    <w:rsid w:val="70A0A866"/>
    <w:rsid w:val="70B00468"/>
    <w:rsid w:val="70BB6FD9"/>
    <w:rsid w:val="70C11C70"/>
    <w:rsid w:val="70CF0EE4"/>
    <w:rsid w:val="70D73D19"/>
    <w:rsid w:val="70E8BF91"/>
    <w:rsid w:val="70EB6F42"/>
    <w:rsid w:val="70F0384C"/>
    <w:rsid w:val="70F5EC65"/>
    <w:rsid w:val="70F91809"/>
    <w:rsid w:val="70FBD69B"/>
    <w:rsid w:val="710147D5"/>
    <w:rsid w:val="7104CB04"/>
    <w:rsid w:val="7106C167"/>
    <w:rsid w:val="710C2330"/>
    <w:rsid w:val="7113D6C6"/>
    <w:rsid w:val="7116FB2B"/>
    <w:rsid w:val="71254215"/>
    <w:rsid w:val="712AB4F9"/>
    <w:rsid w:val="71311DCF"/>
    <w:rsid w:val="7133A937"/>
    <w:rsid w:val="7133BB44"/>
    <w:rsid w:val="7136C137"/>
    <w:rsid w:val="7144300D"/>
    <w:rsid w:val="714BFDC1"/>
    <w:rsid w:val="714D14C7"/>
    <w:rsid w:val="714F7169"/>
    <w:rsid w:val="7150E3E1"/>
    <w:rsid w:val="71546AA6"/>
    <w:rsid w:val="715EFF54"/>
    <w:rsid w:val="71720A87"/>
    <w:rsid w:val="717A5DA1"/>
    <w:rsid w:val="717BF442"/>
    <w:rsid w:val="7181AABA"/>
    <w:rsid w:val="7182056C"/>
    <w:rsid w:val="71851262"/>
    <w:rsid w:val="71869F46"/>
    <w:rsid w:val="718EE73D"/>
    <w:rsid w:val="718EFB77"/>
    <w:rsid w:val="71992A1C"/>
    <w:rsid w:val="719CB355"/>
    <w:rsid w:val="71A29581"/>
    <w:rsid w:val="71A728F3"/>
    <w:rsid w:val="71A8BD62"/>
    <w:rsid w:val="71AFA8DE"/>
    <w:rsid w:val="71C6EA8C"/>
    <w:rsid w:val="71D70FF2"/>
    <w:rsid w:val="71EDAADE"/>
    <w:rsid w:val="71EE1C21"/>
    <w:rsid w:val="71F5ECE0"/>
    <w:rsid w:val="71FA91B2"/>
    <w:rsid w:val="71FC7F02"/>
    <w:rsid w:val="72150A48"/>
    <w:rsid w:val="721CB9DA"/>
    <w:rsid w:val="7221082A"/>
    <w:rsid w:val="722A08DE"/>
    <w:rsid w:val="722BE0F2"/>
    <w:rsid w:val="722DA65F"/>
    <w:rsid w:val="722E3EF9"/>
    <w:rsid w:val="722EAB02"/>
    <w:rsid w:val="7231EE91"/>
    <w:rsid w:val="7235BF59"/>
    <w:rsid w:val="7237A049"/>
    <w:rsid w:val="72437D73"/>
    <w:rsid w:val="724940D6"/>
    <w:rsid w:val="724A0B84"/>
    <w:rsid w:val="724C108C"/>
    <w:rsid w:val="724FABE7"/>
    <w:rsid w:val="725E0107"/>
    <w:rsid w:val="726E7D28"/>
    <w:rsid w:val="727648F0"/>
    <w:rsid w:val="7287D6AD"/>
    <w:rsid w:val="7292B092"/>
    <w:rsid w:val="72933E03"/>
    <w:rsid w:val="7293B0A1"/>
    <w:rsid w:val="729B9FBC"/>
    <w:rsid w:val="72AAA09D"/>
    <w:rsid w:val="72AAFE97"/>
    <w:rsid w:val="72AE2660"/>
    <w:rsid w:val="72B18549"/>
    <w:rsid w:val="72B4118D"/>
    <w:rsid w:val="72B62994"/>
    <w:rsid w:val="72B71941"/>
    <w:rsid w:val="72C74C66"/>
    <w:rsid w:val="72CAEEB8"/>
    <w:rsid w:val="72CD1717"/>
    <w:rsid w:val="72D4965E"/>
    <w:rsid w:val="72D4D334"/>
    <w:rsid w:val="72D63D59"/>
    <w:rsid w:val="72D6DF69"/>
    <w:rsid w:val="72D723EC"/>
    <w:rsid w:val="72EEF144"/>
    <w:rsid w:val="72F34BB4"/>
    <w:rsid w:val="72FB77FE"/>
    <w:rsid w:val="72FBFDF8"/>
    <w:rsid w:val="7301F092"/>
    <w:rsid w:val="73144E74"/>
    <w:rsid w:val="73149AB4"/>
    <w:rsid w:val="7322F846"/>
    <w:rsid w:val="73236C9D"/>
    <w:rsid w:val="732472E4"/>
    <w:rsid w:val="7325317D"/>
    <w:rsid w:val="732942B0"/>
    <w:rsid w:val="732C3068"/>
    <w:rsid w:val="7335912E"/>
    <w:rsid w:val="7336ADF7"/>
    <w:rsid w:val="733794B0"/>
    <w:rsid w:val="73398B88"/>
    <w:rsid w:val="73402381"/>
    <w:rsid w:val="734179AF"/>
    <w:rsid w:val="734917BE"/>
    <w:rsid w:val="734F39B0"/>
    <w:rsid w:val="734FA30F"/>
    <w:rsid w:val="7353FBAA"/>
    <w:rsid w:val="7357E3A2"/>
    <w:rsid w:val="735A4C1A"/>
    <w:rsid w:val="735D075D"/>
    <w:rsid w:val="7360B276"/>
    <w:rsid w:val="73771DBE"/>
    <w:rsid w:val="737D5BEE"/>
    <w:rsid w:val="7380A8A7"/>
    <w:rsid w:val="73852832"/>
    <w:rsid w:val="738E57A9"/>
    <w:rsid w:val="739F0937"/>
    <w:rsid w:val="73A4ACE4"/>
    <w:rsid w:val="73A4C533"/>
    <w:rsid w:val="73A513D5"/>
    <w:rsid w:val="73A86326"/>
    <w:rsid w:val="73AA190C"/>
    <w:rsid w:val="73AC957D"/>
    <w:rsid w:val="73AD27AA"/>
    <w:rsid w:val="73AFE39A"/>
    <w:rsid w:val="73B85BB6"/>
    <w:rsid w:val="73BA586D"/>
    <w:rsid w:val="73BE88B0"/>
    <w:rsid w:val="73C24201"/>
    <w:rsid w:val="73C60303"/>
    <w:rsid w:val="73C8E288"/>
    <w:rsid w:val="73D5286B"/>
    <w:rsid w:val="73E14C16"/>
    <w:rsid w:val="73E94B11"/>
    <w:rsid w:val="73F03903"/>
    <w:rsid w:val="74001142"/>
    <w:rsid w:val="74012345"/>
    <w:rsid w:val="7407C9BA"/>
    <w:rsid w:val="740D5D40"/>
    <w:rsid w:val="740EAA8D"/>
    <w:rsid w:val="7418E6B2"/>
    <w:rsid w:val="741DB057"/>
    <w:rsid w:val="741FB50C"/>
    <w:rsid w:val="7428B576"/>
    <w:rsid w:val="742986D9"/>
    <w:rsid w:val="742FB568"/>
    <w:rsid w:val="7432F35B"/>
    <w:rsid w:val="7450032E"/>
    <w:rsid w:val="745CE2D7"/>
    <w:rsid w:val="745D6B17"/>
    <w:rsid w:val="746C1179"/>
    <w:rsid w:val="746CFD5C"/>
    <w:rsid w:val="746DEDC1"/>
    <w:rsid w:val="7471B7AA"/>
    <w:rsid w:val="7479AD18"/>
    <w:rsid w:val="747BCE6F"/>
    <w:rsid w:val="748C0B68"/>
    <w:rsid w:val="74943575"/>
    <w:rsid w:val="74966376"/>
    <w:rsid w:val="74A4E2F1"/>
    <w:rsid w:val="74A5D186"/>
    <w:rsid w:val="74B31D3F"/>
    <w:rsid w:val="74B60E5E"/>
    <w:rsid w:val="74B6AA2A"/>
    <w:rsid w:val="74B9608A"/>
    <w:rsid w:val="74BF60CC"/>
    <w:rsid w:val="74C41E36"/>
    <w:rsid w:val="74C5B3A9"/>
    <w:rsid w:val="74C692F0"/>
    <w:rsid w:val="74C95C65"/>
    <w:rsid w:val="74D06A4D"/>
    <w:rsid w:val="74D1350C"/>
    <w:rsid w:val="74D36A4D"/>
    <w:rsid w:val="74D6EDB2"/>
    <w:rsid w:val="74E633B5"/>
    <w:rsid w:val="74EF507F"/>
    <w:rsid w:val="74F1E303"/>
    <w:rsid w:val="74F298EC"/>
    <w:rsid w:val="74F506C9"/>
    <w:rsid w:val="74F5B090"/>
    <w:rsid w:val="75053562"/>
    <w:rsid w:val="750AC303"/>
    <w:rsid w:val="751101E0"/>
    <w:rsid w:val="7511785C"/>
    <w:rsid w:val="75150D47"/>
    <w:rsid w:val="7517C619"/>
    <w:rsid w:val="751DF1D3"/>
    <w:rsid w:val="7521A987"/>
    <w:rsid w:val="75243956"/>
    <w:rsid w:val="752ABACC"/>
    <w:rsid w:val="75591DCA"/>
    <w:rsid w:val="755F2183"/>
    <w:rsid w:val="7563FDAC"/>
    <w:rsid w:val="756672BD"/>
    <w:rsid w:val="756A0B5A"/>
    <w:rsid w:val="756FB331"/>
    <w:rsid w:val="75788EE2"/>
    <w:rsid w:val="7578E116"/>
    <w:rsid w:val="7582870E"/>
    <w:rsid w:val="75A7C38F"/>
    <w:rsid w:val="75AA9F63"/>
    <w:rsid w:val="75B097FF"/>
    <w:rsid w:val="75B456A5"/>
    <w:rsid w:val="75B89DA8"/>
    <w:rsid w:val="75B981CB"/>
    <w:rsid w:val="75C77F92"/>
    <w:rsid w:val="75CEDEE9"/>
    <w:rsid w:val="75D55DD9"/>
    <w:rsid w:val="75D79CE5"/>
    <w:rsid w:val="75DC4856"/>
    <w:rsid w:val="75DD5683"/>
    <w:rsid w:val="75DF8ADB"/>
    <w:rsid w:val="75E0123C"/>
    <w:rsid w:val="75E2D609"/>
    <w:rsid w:val="75EBCB64"/>
    <w:rsid w:val="75F93631"/>
    <w:rsid w:val="760C0254"/>
    <w:rsid w:val="76131828"/>
    <w:rsid w:val="76163048"/>
    <w:rsid w:val="76228EAD"/>
    <w:rsid w:val="7623BD8C"/>
    <w:rsid w:val="76270A3C"/>
    <w:rsid w:val="76279A91"/>
    <w:rsid w:val="762E3417"/>
    <w:rsid w:val="763290E6"/>
    <w:rsid w:val="76338366"/>
    <w:rsid w:val="763DCD31"/>
    <w:rsid w:val="763E51E6"/>
    <w:rsid w:val="764246FF"/>
    <w:rsid w:val="7642579A"/>
    <w:rsid w:val="76489976"/>
    <w:rsid w:val="76493AF4"/>
    <w:rsid w:val="765E37E5"/>
    <w:rsid w:val="7669AB8A"/>
    <w:rsid w:val="766E19FF"/>
    <w:rsid w:val="766F4ED0"/>
    <w:rsid w:val="7674816A"/>
    <w:rsid w:val="767C8407"/>
    <w:rsid w:val="767C8420"/>
    <w:rsid w:val="767D4495"/>
    <w:rsid w:val="767D7682"/>
    <w:rsid w:val="767FA86A"/>
    <w:rsid w:val="76815673"/>
    <w:rsid w:val="7683D859"/>
    <w:rsid w:val="768C7510"/>
    <w:rsid w:val="7694D6FD"/>
    <w:rsid w:val="76985338"/>
    <w:rsid w:val="76AC2FD2"/>
    <w:rsid w:val="76BB4B18"/>
    <w:rsid w:val="76BBE938"/>
    <w:rsid w:val="76C119E3"/>
    <w:rsid w:val="76C5144A"/>
    <w:rsid w:val="76E0CCE3"/>
    <w:rsid w:val="76E46A25"/>
    <w:rsid w:val="76E50119"/>
    <w:rsid w:val="76E63009"/>
    <w:rsid w:val="76E771FA"/>
    <w:rsid w:val="76EFADC6"/>
    <w:rsid w:val="76F321EA"/>
    <w:rsid w:val="76F336AA"/>
    <w:rsid w:val="76FA32EF"/>
    <w:rsid w:val="7704044C"/>
    <w:rsid w:val="77091A91"/>
    <w:rsid w:val="77145F43"/>
    <w:rsid w:val="77146C29"/>
    <w:rsid w:val="771AEB91"/>
    <w:rsid w:val="771B5BCB"/>
    <w:rsid w:val="7721B2DD"/>
    <w:rsid w:val="77239BEA"/>
    <w:rsid w:val="7729FCA8"/>
    <w:rsid w:val="7732F0E5"/>
    <w:rsid w:val="7743E653"/>
    <w:rsid w:val="77582742"/>
    <w:rsid w:val="7767616E"/>
    <w:rsid w:val="776C7CDA"/>
    <w:rsid w:val="77753E83"/>
    <w:rsid w:val="7786FC9E"/>
    <w:rsid w:val="779AED30"/>
    <w:rsid w:val="779CC4AB"/>
    <w:rsid w:val="779F75C3"/>
    <w:rsid w:val="77A16B44"/>
    <w:rsid w:val="77B31FE9"/>
    <w:rsid w:val="77C032F2"/>
    <w:rsid w:val="77C9842F"/>
    <w:rsid w:val="77CC98DA"/>
    <w:rsid w:val="77DB112A"/>
    <w:rsid w:val="77DE1DD0"/>
    <w:rsid w:val="77E18DE1"/>
    <w:rsid w:val="77E3FCD4"/>
    <w:rsid w:val="77EA76D0"/>
    <w:rsid w:val="77F215E9"/>
    <w:rsid w:val="77FF9494"/>
    <w:rsid w:val="7801FFBE"/>
    <w:rsid w:val="7813F5FA"/>
    <w:rsid w:val="78169730"/>
    <w:rsid w:val="781C6D0A"/>
    <w:rsid w:val="782484D3"/>
    <w:rsid w:val="78305387"/>
    <w:rsid w:val="7831F257"/>
    <w:rsid w:val="78327094"/>
    <w:rsid w:val="7833BBBA"/>
    <w:rsid w:val="78342399"/>
    <w:rsid w:val="78396CE4"/>
    <w:rsid w:val="7839A983"/>
    <w:rsid w:val="78501ABB"/>
    <w:rsid w:val="78516CCB"/>
    <w:rsid w:val="78539B4B"/>
    <w:rsid w:val="7858703C"/>
    <w:rsid w:val="785ECCA0"/>
    <w:rsid w:val="7866C4D9"/>
    <w:rsid w:val="786C525F"/>
    <w:rsid w:val="787510A1"/>
    <w:rsid w:val="787948EA"/>
    <w:rsid w:val="787C8C7D"/>
    <w:rsid w:val="787E63D3"/>
    <w:rsid w:val="787FBD01"/>
    <w:rsid w:val="78867EB9"/>
    <w:rsid w:val="7888A5AB"/>
    <w:rsid w:val="788A195E"/>
    <w:rsid w:val="788A7384"/>
    <w:rsid w:val="788BFE06"/>
    <w:rsid w:val="7890430B"/>
    <w:rsid w:val="7891CACB"/>
    <w:rsid w:val="789C248A"/>
    <w:rsid w:val="789C4817"/>
    <w:rsid w:val="78A6DC7C"/>
    <w:rsid w:val="78A6F5C6"/>
    <w:rsid w:val="78AA7B19"/>
    <w:rsid w:val="78AE8575"/>
    <w:rsid w:val="78B7DE43"/>
    <w:rsid w:val="78BF3653"/>
    <w:rsid w:val="78C34BB4"/>
    <w:rsid w:val="78C3B3B5"/>
    <w:rsid w:val="78C43CAA"/>
    <w:rsid w:val="78C7FD30"/>
    <w:rsid w:val="78C9E1E2"/>
    <w:rsid w:val="78CE15D5"/>
    <w:rsid w:val="78D0C111"/>
    <w:rsid w:val="78D0C422"/>
    <w:rsid w:val="78D18FDC"/>
    <w:rsid w:val="78D2BD55"/>
    <w:rsid w:val="78DB3E4D"/>
    <w:rsid w:val="78DBDC99"/>
    <w:rsid w:val="78DC2935"/>
    <w:rsid w:val="78F49B52"/>
    <w:rsid w:val="78FD7949"/>
    <w:rsid w:val="7903235D"/>
    <w:rsid w:val="7903FE93"/>
    <w:rsid w:val="79140DE7"/>
    <w:rsid w:val="79168976"/>
    <w:rsid w:val="7918D107"/>
    <w:rsid w:val="791E28D4"/>
    <w:rsid w:val="79205EC0"/>
    <w:rsid w:val="79280E42"/>
    <w:rsid w:val="79355F91"/>
    <w:rsid w:val="79359B0D"/>
    <w:rsid w:val="79384259"/>
    <w:rsid w:val="793C091F"/>
    <w:rsid w:val="793E4614"/>
    <w:rsid w:val="794EFA03"/>
    <w:rsid w:val="797020D7"/>
    <w:rsid w:val="797047F1"/>
    <w:rsid w:val="79749143"/>
    <w:rsid w:val="797CCD45"/>
    <w:rsid w:val="798672A2"/>
    <w:rsid w:val="798A27D7"/>
    <w:rsid w:val="799596D7"/>
    <w:rsid w:val="799856A4"/>
    <w:rsid w:val="799DE37C"/>
    <w:rsid w:val="79A2263D"/>
    <w:rsid w:val="79A4D712"/>
    <w:rsid w:val="79B98EC9"/>
    <w:rsid w:val="79BA77B4"/>
    <w:rsid w:val="79C1DA03"/>
    <w:rsid w:val="79C37068"/>
    <w:rsid w:val="79C60844"/>
    <w:rsid w:val="79CE2E14"/>
    <w:rsid w:val="79D34A79"/>
    <w:rsid w:val="79D54194"/>
    <w:rsid w:val="79D92BAE"/>
    <w:rsid w:val="79D92D70"/>
    <w:rsid w:val="79E281FB"/>
    <w:rsid w:val="79EE2DF8"/>
    <w:rsid w:val="79F884D0"/>
    <w:rsid w:val="79FB3A17"/>
    <w:rsid w:val="7A039FDC"/>
    <w:rsid w:val="7A09B0CF"/>
    <w:rsid w:val="7A112B3E"/>
    <w:rsid w:val="7A13147B"/>
    <w:rsid w:val="7A132DE6"/>
    <w:rsid w:val="7A18FCB1"/>
    <w:rsid w:val="7A193A1A"/>
    <w:rsid w:val="7A2C0AD9"/>
    <w:rsid w:val="7A5921D6"/>
    <w:rsid w:val="7A5C52BA"/>
    <w:rsid w:val="7A678A8C"/>
    <w:rsid w:val="7A6E8DB6"/>
    <w:rsid w:val="7A6F5957"/>
    <w:rsid w:val="7A702B8C"/>
    <w:rsid w:val="7A74BE23"/>
    <w:rsid w:val="7A794CE8"/>
    <w:rsid w:val="7A7D1D12"/>
    <w:rsid w:val="7A8E820F"/>
    <w:rsid w:val="7AA820C5"/>
    <w:rsid w:val="7AB6EEC4"/>
    <w:rsid w:val="7AC4345D"/>
    <w:rsid w:val="7AC90DD0"/>
    <w:rsid w:val="7ACCD8A6"/>
    <w:rsid w:val="7AD28DF2"/>
    <w:rsid w:val="7AD3CB0B"/>
    <w:rsid w:val="7AD77983"/>
    <w:rsid w:val="7AD88E9E"/>
    <w:rsid w:val="7ADA9F8F"/>
    <w:rsid w:val="7AE0CFC8"/>
    <w:rsid w:val="7AE60AA7"/>
    <w:rsid w:val="7AED7F85"/>
    <w:rsid w:val="7AF3023F"/>
    <w:rsid w:val="7AF69FDF"/>
    <w:rsid w:val="7B01FDAA"/>
    <w:rsid w:val="7B074E42"/>
    <w:rsid w:val="7B39CF34"/>
    <w:rsid w:val="7B3AB326"/>
    <w:rsid w:val="7B3D5549"/>
    <w:rsid w:val="7B45B91D"/>
    <w:rsid w:val="7B4648CB"/>
    <w:rsid w:val="7B503EAB"/>
    <w:rsid w:val="7B55A3AA"/>
    <w:rsid w:val="7B56F047"/>
    <w:rsid w:val="7B828C10"/>
    <w:rsid w:val="7B8E7D67"/>
    <w:rsid w:val="7B9F29D4"/>
    <w:rsid w:val="7BA00F70"/>
    <w:rsid w:val="7BA35B39"/>
    <w:rsid w:val="7BAAE6C5"/>
    <w:rsid w:val="7BB1D482"/>
    <w:rsid w:val="7BBDB58D"/>
    <w:rsid w:val="7BC0C04E"/>
    <w:rsid w:val="7BC5E642"/>
    <w:rsid w:val="7BC73AF4"/>
    <w:rsid w:val="7BD0FCD0"/>
    <w:rsid w:val="7BF84278"/>
    <w:rsid w:val="7C060B5F"/>
    <w:rsid w:val="7C0830E4"/>
    <w:rsid w:val="7C0AEE91"/>
    <w:rsid w:val="7C172939"/>
    <w:rsid w:val="7C1A8983"/>
    <w:rsid w:val="7C1C3423"/>
    <w:rsid w:val="7C2EEC72"/>
    <w:rsid w:val="7C300954"/>
    <w:rsid w:val="7C3392CB"/>
    <w:rsid w:val="7C3732F3"/>
    <w:rsid w:val="7C46C275"/>
    <w:rsid w:val="7C52D1E6"/>
    <w:rsid w:val="7C59A8D3"/>
    <w:rsid w:val="7C5A0E5C"/>
    <w:rsid w:val="7C5FF1FE"/>
    <w:rsid w:val="7C619D87"/>
    <w:rsid w:val="7C680D13"/>
    <w:rsid w:val="7C69B960"/>
    <w:rsid w:val="7C6B467C"/>
    <w:rsid w:val="7C8451EA"/>
    <w:rsid w:val="7C8E5A76"/>
    <w:rsid w:val="7C8EA78C"/>
    <w:rsid w:val="7CA49C89"/>
    <w:rsid w:val="7CB0FFA9"/>
    <w:rsid w:val="7CBEF9F8"/>
    <w:rsid w:val="7CC12239"/>
    <w:rsid w:val="7CC5591B"/>
    <w:rsid w:val="7CD096C1"/>
    <w:rsid w:val="7CD969F3"/>
    <w:rsid w:val="7CE32B76"/>
    <w:rsid w:val="7CE62A59"/>
    <w:rsid w:val="7CF996E5"/>
    <w:rsid w:val="7CFE210A"/>
    <w:rsid w:val="7D030D51"/>
    <w:rsid w:val="7D0E749E"/>
    <w:rsid w:val="7D19CDA6"/>
    <w:rsid w:val="7D2ABD0F"/>
    <w:rsid w:val="7D333ADD"/>
    <w:rsid w:val="7D46D8F4"/>
    <w:rsid w:val="7D47D107"/>
    <w:rsid w:val="7D56900E"/>
    <w:rsid w:val="7D760423"/>
    <w:rsid w:val="7D7F4556"/>
    <w:rsid w:val="7D846790"/>
    <w:rsid w:val="7D85C591"/>
    <w:rsid w:val="7D8757EC"/>
    <w:rsid w:val="7D898556"/>
    <w:rsid w:val="7D8AC13C"/>
    <w:rsid w:val="7D9C6FE5"/>
    <w:rsid w:val="7DA02460"/>
    <w:rsid w:val="7DAF66D7"/>
    <w:rsid w:val="7DB1ABDA"/>
    <w:rsid w:val="7DBD3DA2"/>
    <w:rsid w:val="7DC147F4"/>
    <w:rsid w:val="7DC3C042"/>
    <w:rsid w:val="7DC47469"/>
    <w:rsid w:val="7DCC3EB8"/>
    <w:rsid w:val="7DD4D146"/>
    <w:rsid w:val="7DDCBECC"/>
    <w:rsid w:val="7DE24AC7"/>
    <w:rsid w:val="7DF0E753"/>
    <w:rsid w:val="7DF3407B"/>
    <w:rsid w:val="7DF4BB07"/>
    <w:rsid w:val="7DF9AE9C"/>
    <w:rsid w:val="7E020F58"/>
    <w:rsid w:val="7E037413"/>
    <w:rsid w:val="7E1198E5"/>
    <w:rsid w:val="7E197F58"/>
    <w:rsid w:val="7E1ABCE3"/>
    <w:rsid w:val="7E1EB17C"/>
    <w:rsid w:val="7E1F5E6F"/>
    <w:rsid w:val="7E2651F6"/>
    <w:rsid w:val="7E3AE7B5"/>
    <w:rsid w:val="7E3B256C"/>
    <w:rsid w:val="7E41508E"/>
    <w:rsid w:val="7E456FE2"/>
    <w:rsid w:val="7E684175"/>
    <w:rsid w:val="7E68C8D2"/>
    <w:rsid w:val="7E74369A"/>
    <w:rsid w:val="7E7DF43E"/>
    <w:rsid w:val="7E947026"/>
    <w:rsid w:val="7E9A8037"/>
    <w:rsid w:val="7E9BD39A"/>
    <w:rsid w:val="7EAB816E"/>
    <w:rsid w:val="7EB8666A"/>
    <w:rsid w:val="7EBF9BA5"/>
    <w:rsid w:val="7ED99583"/>
    <w:rsid w:val="7EE63967"/>
    <w:rsid w:val="7EE6CC7E"/>
    <w:rsid w:val="7EF6F971"/>
    <w:rsid w:val="7EFB2646"/>
    <w:rsid w:val="7EFB4616"/>
    <w:rsid w:val="7F03C731"/>
    <w:rsid w:val="7F06D79F"/>
    <w:rsid w:val="7F06FC0F"/>
    <w:rsid w:val="7F121EAF"/>
    <w:rsid w:val="7F1830E2"/>
    <w:rsid w:val="7F193DCC"/>
    <w:rsid w:val="7F1C71B8"/>
    <w:rsid w:val="7F1E00E8"/>
    <w:rsid w:val="7F1E46E0"/>
    <w:rsid w:val="7F2E9262"/>
    <w:rsid w:val="7F30A97A"/>
    <w:rsid w:val="7F347B91"/>
    <w:rsid w:val="7F353F00"/>
    <w:rsid w:val="7F41DA69"/>
    <w:rsid w:val="7F426EFD"/>
    <w:rsid w:val="7F457B1A"/>
    <w:rsid w:val="7F45FF05"/>
    <w:rsid w:val="7F488185"/>
    <w:rsid w:val="7F4A24C6"/>
    <w:rsid w:val="7F54B4F3"/>
    <w:rsid w:val="7F593C5E"/>
    <w:rsid w:val="7F621C8C"/>
    <w:rsid w:val="7F6E84F6"/>
    <w:rsid w:val="7F715D09"/>
    <w:rsid w:val="7F7B687D"/>
    <w:rsid w:val="7F7D71A0"/>
    <w:rsid w:val="7F89E266"/>
    <w:rsid w:val="7F8CD06A"/>
    <w:rsid w:val="7F935B52"/>
    <w:rsid w:val="7FA523B9"/>
    <w:rsid w:val="7FAF2FC3"/>
    <w:rsid w:val="7FAFC833"/>
    <w:rsid w:val="7FB325F6"/>
    <w:rsid w:val="7FB3505B"/>
    <w:rsid w:val="7FBC0324"/>
    <w:rsid w:val="7FC475C7"/>
    <w:rsid w:val="7FCEB20C"/>
    <w:rsid w:val="7FCEE6BA"/>
    <w:rsid w:val="7FD0923A"/>
    <w:rsid w:val="7FD82145"/>
    <w:rsid w:val="7FDC92E4"/>
    <w:rsid w:val="7FE3ABD0"/>
    <w:rsid w:val="7FF3B8BF"/>
    <w:rsid w:val="7FF663CC"/>
    <w:rsid w:val="7FF818B8"/>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5AC818"/>
  <w15:chartTrackingRefBased/>
  <w15:docId w15:val="{1D2D8453-285B-4039-B13D-32F45B155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page number" w:uiPriority="99"/>
    <w:lsdException w:name="List Bullet 2"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D5D"/>
    <w:pPr>
      <w:spacing w:after="240"/>
    </w:pPr>
    <w:rPr>
      <w:rFonts w:ascii="Gill Sans MT" w:eastAsia="Times New Roman" w:hAnsi="Gill Sans MT"/>
      <w:sz w:val="26"/>
      <w:szCs w:val="24"/>
      <w:lang w:eastAsia="en-US"/>
    </w:rPr>
  </w:style>
  <w:style w:type="paragraph" w:styleId="Heading1">
    <w:name w:val="heading 1"/>
    <w:basedOn w:val="Normal"/>
    <w:next w:val="Normal"/>
    <w:link w:val="Heading1Char"/>
    <w:qFormat/>
    <w:rsid w:val="00F80CB9"/>
    <w:pPr>
      <w:keepNext/>
      <w:pBdr>
        <w:top w:val="single" w:sz="4" w:space="4" w:color="auto"/>
        <w:left w:val="single" w:sz="4" w:space="2" w:color="auto"/>
        <w:bottom w:val="single" w:sz="4" w:space="4" w:color="auto"/>
        <w:right w:val="single" w:sz="4" w:space="4" w:color="auto"/>
      </w:pBdr>
      <w:spacing w:before="360"/>
      <w:outlineLvl w:val="0"/>
    </w:pPr>
    <w:rPr>
      <w:rFonts w:cs="Arial"/>
      <w:b/>
      <w:bCs/>
      <w:kern w:val="32"/>
      <w:sz w:val="32"/>
      <w:szCs w:val="32"/>
    </w:rPr>
  </w:style>
  <w:style w:type="paragraph" w:styleId="Heading2">
    <w:name w:val="heading 2"/>
    <w:basedOn w:val="Normal"/>
    <w:next w:val="Normal"/>
    <w:link w:val="Heading2Char"/>
    <w:qFormat/>
    <w:rsid w:val="00683E9B"/>
    <w:pPr>
      <w:keepNext/>
      <w:outlineLvl w:val="1"/>
    </w:pPr>
    <w:rPr>
      <w:rFonts w:cs="Arial Bold"/>
      <w:b/>
      <w:bCs/>
      <w:iCs/>
      <w:sz w:val="30"/>
      <w:szCs w:val="28"/>
    </w:rPr>
  </w:style>
  <w:style w:type="paragraph" w:styleId="Heading3">
    <w:name w:val="heading 3"/>
    <w:basedOn w:val="Normal"/>
    <w:next w:val="Normal"/>
    <w:link w:val="Heading3Char"/>
    <w:qFormat/>
    <w:rsid w:val="00647FED"/>
    <w:pPr>
      <w:keepNext/>
      <w:spacing w:after="0"/>
      <w:outlineLvl w:val="2"/>
    </w:pPr>
    <w:rPr>
      <w:rFonts w:cs="Arial Bold"/>
      <w:b/>
      <w:bCs/>
      <w:i/>
      <w:color w:val="333333"/>
      <w:sz w:val="28"/>
    </w:rPr>
  </w:style>
  <w:style w:type="paragraph" w:styleId="Heading4">
    <w:name w:val="heading 4"/>
    <w:basedOn w:val="Normal"/>
    <w:next w:val="Normal"/>
    <w:link w:val="Heading4Char"/>
    <w:qFormat/>
    <w:rsid w:val="00647FED"/>
    <w:pPr>
      <w:keepNext/>
      <w:spacing w:after="0"/>
      <w:outlineLvl w:val="3"/>
    </w:pPr>
    <w:rPr>
      <w:b/>
      <w:bCs/>
      <w:color w:val="7F7F7F" w:themeColor="text1" w:themeTint="80"/>
    </w:rPr>
  </w:style>
  <w:style w:type="paragraph" w:styleId="Heading5">
    <w:name w:val="heading 5"/>
    <w:basedOn w:val="Normal"/>
    <w:next w:val="Normal"/>
    <w:link w:val="Heading5Char"/>
    <w:qFormat/>
    <w:rsid w:val="003B10EC"/>
    <w:pPr>
      <w:spacing w:after="0"/>
      <w:outlineLvl w:val="4"/>
    </w:pPr>
    <w:rPr>
      <w:b/>
      <w:bCs/>
      <w:i/>
      <w:iCs/>
      <w:szCs w:val="26"/>
    </w:rPr>
  </w:style>
  <w:style w:type="paragraph" w:styleId="Heading6">
    <w:name w:val="heading 6"/>
    <w:basedOn w:val="Normal"/>
    <w:next w:val="Normal"/>
    <w:qFormat/>
    <w:rsid w:val="003B10EC"/>
    <w:pPr>
      <w:spacing w:after="0"/>
      <w:outlineLvl w:val="5"/>
    </w:pPr>
    <w:rPr>
      <w:b/>
      <w:bCs/>
      <w:i/>
      <w:sz w:val="22"/>
      <w:szCs w:val="22"/>
    </w:rPr>
  </w:style>
  <w:style w:type="paragraph" w:styleId="Heading7">
    <w:name w:val="heading 7"/>
    <w:basedOn w:val="Normal"/>
    <w:next w:val="Normal"/>
    <w:qFormat/>
    <w:rsid w:val="003B10EC"/>
    <w:pPr>
      <w:keepNext/>
      <w:spacing w:after="0"/>
      <w:jc w:val="center"/>
      <w:outlineLvl w:val="6"/>
    </w:pPr>
    <w:rPr>
      <w:rFonts w:cs="Arial"/>
      <w:b/>
      <w:sz w:val="22"/>
      <w:szCs w:val="40"/>
    </w:rPr>
  </w:style>
  <w:style w:type="paragraph" w:styleId="Heading8">
    <w:name w:val="heading 8"/>
    <w:basedOn w:val="Normal"/>
    <w:next w:val="Normal"/>
    <w:qFormat/>
    <w:rsid w:val="003B10EC"/>
    <w:pPr>
      <w:keepNext/>
      <w:spacing w:after="0"/>
      <w:outlineLvl w:val="7"/>
    </w:pPr>
    <w:rPr>
      <w:b/>
      <w:i/>
      <w:sz w:val="22"/>
    </w:rPr>
  </w:style>
  <w:style w:type="paragraph" w:styleId="Heading9">
    <w:name w:val="heading 9"/>
    <w:basedOn w:val="Normal"/>
    <w:next w:val="Normal"/>
    <w:qFormat/>
    <w:rsid w:val="003B10EC"/>
    <w:pPr>
      <w:keepNext/>
      <w:spacing w:after="0"/>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breviation">
    <w:name w:val="Abbreviation"/>
    <w:rPr>
      <w:u w:val="dottedHeavy"/>
    </w:rPr>
  </w:style>
  <w:style w:type="character" w:customStyle="1" w:styleId="Acronym">
    <w:name w:val="Acronym"/>
    <w:rPr>
      <w:u w:val="dotted"/>
    </w:rPr>
  </w:style>
  <w:style w:type="paragraph" w:styleId="CommentText">
    <w:name w:val="annotation text"/>
    <w:basedOn w:val="Normal"/>
    <w:link w:val="CommentTextChar"/>
    <w:uiPriority w:val="99"/>
    <w:rPr>
      <w:rFonts w:ascii="Arial" w:hAnsi="Arial"/>
      <w:sz w:val="20"/>
      <w:lang w:val="x-none"/>
    </w:rPr>
  </w:style>
  <w:style w:type="character" w:customStyle="1" w:styleId="CommentTextChar">
    <w:name w:val="Comment Text Char"/>
    <w:link w:val="CommentText"/>
    <w:uiPriority w:val="99"/>
    <w:rsid w:val="00181FE6"/>
    <w:rPr>
      <w:rFonts w:ascii="Arial" w:eastAsia="Times New Roman" w:hAnsi="Arial"/>
      <w:szCs w:val="24"/>
      <w:lang w:eastAsia="en-US"/>
    </w:rPr>
  </w:style>
  <w:style w:type="paragraph" w:customStyle="1" w:styleId="BlockQuote">
    <w:name w:val="Block Quote"/>
    <w:basedOn w:val="Normal"/>
    <w:qFormat/>
    <w:rsid w:val="00B76547"/>
    <w:pPr>
      <w:ind w:left="720" w:right="720"/>
    </w:pPr>
  </w:style>
  <w:style w:type="paragraph" w:styleId="BlockText">
    <w:name w:val="Block Text"/>
    <w:basedOn w:val="Normal"/>
    <w:pPr>
      <w:spacing w:after="120"/>
      <w:ind w:left="1440" w:right="1440"/>
    </w:pPr>
  </w:style>
  <w:style w:type="paragraph" w:styleId="TOC1">
    <w:name w:val="toc 1"/>
    <w:basedOn w:val="Normal"/>
    <w:next w:val="Normal"/>
    <w:autoRedefine/>
    <w:uiPriority w:val="39"/>
    <w:rsid w:val="00953FA6"/>
    <w:pPr>
      <w:keepNext/>
      <w:keepLines/>
      <w:tabs>
        <w:tab w:val="right" w:leader="dot" w:pos="8828"/>
      </w:tabs>
      <w:spacing w:before="240" w:after="60"/>
    </w:pPr>
    <w:rPr>
      <w:b/>
    </w:rPr>
  </w:style>
  <w:style w:type="paragraph" w:styleId="BodyTextIndent">
    <w:name w:val="Body Text Indent"/>
    <w:basedOn w:val="Normal"/>
    <w:link w:val="BodyTextIndentChar"/>
    <w:pPr>
      <w:spacing w:after="120"/>
      <w:ind w:left="283"/>
    </w:pPr>
    <w:rPr>
      <w:rFonts w:ascii="Arial" w:hAnsi="Arial"/>
      <w:sz w:val="24"/>
      <w:lang w:val="x-none"/>
    </w:rPr>
  </w:style>
  <w:style w:type="character" w:customStyle="1" w:styleId="BodyTextIndentChar">
    <w:name w:val="Body Text Indent Char"/>
    <w:link w:val="BodyTextIndent"/>
    <w:rsid w:val="00181FE6"/>
    <w:rPr>
      <w:rFonts w:ascii="Arial" w:eastAsia="Times New Roman" w:hAnsi="Arial"/>
      <w:sz w:val="24"/>
      <w:szCs w:val="24"/>
      <w:lang w:eastAsia="en-US"/>
    </w:rPr>
  </w:style>
  <w:style w:type="paragraph" w:styleId="Caption">
    <w:name w:val="caption"/>
    <w:basedOn w:val="Normal"/>
    <w:next w:val="Normal"/>
    <w:qFormat/>
    <w:rsid w:val="008B5BF8"/>
    <w:pPr>
      <w:spacing w:after="120"/>
      <w:jc w:val="center"/>
    </w:pPr>
    <w:rPr>
      <w:b/>
    </w:rPr>
  </w:style>
  <w:style w:type="paragraph" w:styleId="Date">
    <w:name w:val="Date"/>
    <w:basedOn w:val="Normal"/>
    <w:next w:val="Normal"/>
    <w:link w:val="DateChar"/>
    <w:rPr>
      <w:i/>
    </w:rPr>
  </w:style>
  <w:style w:type="paragraph" w:customStyle="1" w:styleId="DefinitionDescription">
    <w:name w:val="Definition Description"/>
    <w:basedOn w:val="Normal"/>
    <w:next w:val="Normal"/>
    <w:pPr>
      <w:ind w:left="1077"/>
    </w:pPr>
  </w:style>
  <w:style w:type="paragraph" w:customStyle="1" w:styleId="DefinitionTerm">
    <w:name w:val="Definition Term"/>
    <w:basedOn w:val="Normal"/>
    <w:next w:val="DefinitionDescription"/>
    <w:rPr>
      <w:b/>
    </w:rPr>
  </w:style>
  <w:style w:type="paragraph" w:styleId="DocumentMap">
    <w:name w:val="Document Map"/>
    <w:basedOn w:val="Normal"/>
    <w:link w:val="DocumentMapChar"/>
    <w:pPr>
      <w:shd w:val="clear" w:color="auto" w:fill="000080"/>
    </w:pPr>
    <w:rPr>
      <w:rFonts w:ascii="Tahoma" w:hAnsi="Tahoma" w:cs="Tahoma"/>
      <w:sz w:val="20"/>
    </w:rPr>
  </w:style>
  <w:style w:type="character" w:styleId="Emphasis">
    <w:name w:val="Emphasis"/>
    <w:qFormat/>
    <w:rPr>
      <w:i/>
    </w:rPr>
  </w:style>
  <w:style w:type="character" w:styleId="FollowedHyperlink">
    <w:name w:val="FollowedHyperlink"/>
    <w:rPr>
      <w:color w:val="800080"/>
      <w:u w:val="single"/>
    </w:rPr>
  </w:style>
  <w:style w:type="paragraph" w:styleId="Footer">
    <w:name w:val="footer"/>
    <w:basedOn w:val="Normal"/>
    <w:link w:val="FooterChar"/>
    <w:uiPriority w:val="99"/>
    <w:pPr>
      <w:tabs>
        <w:tab w:val="center" w:pos="4153"/>
        <w:tab w:val="right" w:pos="8306"/>
      </w:tabs>
      <w:spacing w:before="60" w:after="60"/>
    </w:pPr>
    <w:rPr>
      <w:color w:val="323232"/>
      <w:sz w:val="20"/>
      <w:szCs w:val="20"/>
    </w:rPr>
  </w:style>
  <w:style w:type="paragraph" w:customStyle="1" w:styleId="GraphCaption">
    <w:name w:val="GraphCaption"/>
    <w:basedOn w:val="Normal"/>
    <w:rsid w:val="00B76547"/>
    <w:pPr>
      <w:keepNext/>
      <w:keepLines/>
      <w:spacing w:after="120"/>
      <w:jc w:val="center"/>
    </w:pPr>
    <w:rPr>
      <w:b/>
    </w:rPr>
  </w:style>
  <w:style w:type="paragraph" w:styleId="Header">
    <w:name w:val="header"/>
    <w:basedOn w:val="Normal"/>
    <w:link w:val="HeaderChar"/>
    <w:uiPriority w:val="99"/>
    <w:rsid w:val="00F351D6"/>
    <w:pPr>
      <w:tabs>
        <w:tab w:val="center" w:pos="4320"/>
        <w:tab w:val="right" w:pos="8640"/>
      </w:tabs>
      <w:spacing w:after="120"/>
    </w:pPr>
    <w:rPr>
      <w:color w:val="333333"/>
      <w:sz w:val="22"/>
      <w:szCs w:val="20"/>
    </w:rPr>
  </w:style>
  <w:style w:type="character" w:styleId="Hyperlink">
    <w:name w:val="Hyperlink"/>
    <w:uiPriority w:val="99"/>
    <w:rPr>
      <w:color w:val="0000FF"/>
      <w:u w:val="single"/>
    </w:rPr>
  </w:style>
  <w:style w:type="paragraph" w:styleId="ListBullet">
    <w:name w:val="List Bullet"/>
    <w:basedOn w:val="Normal"/>
    <w:rsid w:val="007B6238"/>
    <w:pPr>
      <w:numPr>
        <w:numId w:val="1"/>
      </w:numPr>
      <w:spacing w:after="120"/>
    </w:pPr>
  </w:style>
  <w:style w:type="paragraph" w:styleId="ListBullet2">
    <w:name w:val="List Bullet 2"/>
    <w:basedOn w:val="Normal"/>
    <w:uiPriority w:val="99"/>
    <w:rsid w:val="005C292B"/>
    <w:pPr>
      <w:numPr>
        <w:numId w:val="2"/>
      </w:numPr>
      <w:tabs>
        <w:tab w:val="clear" w:pos="717"/>
        <w:tab w:val="left" w:pos="357"/>
      </w:tabs>
      <w:spacing w:before="60" w:after="60"/>
      <w:ind w:left="641" w:hanging="357"/>
    </w:pPr>
  </w:style>
  <w:style w:type="paragraph" w:styleId="ListBullet3">
    <w:name w:val="List Bullet 3"/>
    <w:basedOn w:val="Normal"/>
    <w:rsid w:val="001F0D22"/>
    <w:pPr>
      <w:numPr>
        <w:numId w:val="3"/>
      </w:numPr>
      <w:tabs>
        <w:tab w:val="clear" w:pos="360"/>
      </w:tabs>
      <w:spacing w:before="60" w:after="60"/>
      <w:ind w:left="925" w:hanging="284"/>
    </w:pPr>
  </w:style>
  <w:style w:type="paragraph" w:styleId="ListContinue">
    <w:name w:val="List Continue"/>
    <w:basedOn w:val="Normal"/>
    <w:pPr>
      <w:spacing w:before="120" w:after="120"/>
      <w:ind w:left="357"/>
    </w:pPr>
  </w:style>
  <w:style w:type="paragraph" w:styleId="ListContinue2">
    <w:name w:val="List Continue 2"/>
    <w:basedOn w:val="Normal"/>
    <w:pPr>
      <w:spacing w:before="60" w:after="60"/>
      <w:ind w:left="641"/>
    </w:pPr>
  </w:style>
  <w:style w:type="paragraph" w:styleId="ListContinue3">
    <w:name w:val="List Continue 3"/>
    <w:basedOn w:val="Normal"/>
    <w:pPr>
      <w:spacing w:before="60" w:after="60"/>
      <w:ind w:left="924"/>
    </w:pPr>
  </w:style>
  <w:style w:type="paragraph" w:styleId="ListNumber">
    <w:name w:val="List Number"/>
    <w:basedOn w:val="Normal"/>
    <w:pPr>
      <w:numPr>
        <w:numId w:val="4"/>
      </w:numPr>
      <w:tabs>
        <w:tab w:val="clear" w:pos="360"/>
      </w:tabs>
      <w:spacing w:after="120"/>
      <w:ind w:left="720"/>
    </w:pPr>
  </w:style>
  <w:style w:type="paragraph" w:styleId="ListNumber2">
    <w:name w:val="List Number 2"/>
    <w:basedOn w:val="Normal"/>
    <w:pPr>
      <w:spacing w:before="60" w:after="60"/>
    </w:pPr>
  </w:style>
  <w:style w:type="paragraph" w:styleId="ListNumber3">
    <w:name w:val="List Number 3"/>
    <w:basedOn w:val="Normal"/>
    <w:rsid w:val="00055418"/>
    <w:pPr>
      <w:numPr>
        <w:numId w:val="5"/>
      </w:numPr>
      <w:tabs>
        <w:tab w:val="clear" w:pos="926"/>
        <w:tab w:val="num" w:pos="360"/>
      </w:tabs>
      <w:spacing w:before="60" w:after="60"/>
      <w:ind w:left="924" w:hanging="357"/>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eastAsia="Times New Roman" w:hAnsi="Courier New" w:cs="Courier New"/>
      <w:lang w:eastAsia="en-US"/>
    </w:rPr>
  </w:style>
  <w:style w:type="paragraph" w:styleId="NormalIndent">
    <w:name w:val="Normal Indent"/>
    <w:basedOn w:val="Normal"/>
    <w:pPr>
      <w:ind w:left="720"/>
    </w:pPr>
  </w:style>
  <w:style w:type="paragraph" w:customStyle="1" w:styleId="Note">
    <w:name w:val="Note"/>
    <w:basedOn w:val="Normal"/>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uiPriority w:val="99"/>
  </w:style>
  <w:style w:type="character" w:customStyle="1" w:styleId="Quote1">
    <w:name w:val="Quote1"/>
    <w:rPr>
      <w:i/>
    </w:rPr>
  </w:style>
  <w:style w:type="paragraph" w:styleId="Subtitle">
    <w:name w:val="Subtitle"/>
    <w:basedOn w:val="Normal"/>
    <w:next w:val="Normal"/>
    <w:link w:val="SubtitleChar"/>
    <w:qFormat/>
    <w:pPr>
      <w:jc w:val="center"/>
      <w:outlineLvl w:val="1"/>
    </w:pPr>
    <w:rPr>
      <w:sz w:val="28"/>
    </w:rPr>
  </w:style>
  <w:style w:type="paragraph" w:customStyle="1" w:styleId="TableCell">
    <w:name w:val="Table Cell"/>
    <w:basedOn w:val="Normal"/>
    <w:rsid w:val="00BD0DCA"/>
    <w:pPr>
      <w:spacing w:after="0"/>
      <w:jc w:val="right"/>
    </w:pPr>
  </w:style>
  <w:style w:type="paragraph" w:customStyle="1" w:styleId="TableHead">
    <w:name w:val="Table Head"/>
    <w:basedOn w:val="Normal"/>
    <w:next w:val="Normal"/>
    <w:pPr>
      <w:spacing w:after="0"/>
    </w:pPr>
    <w:rPr>
      <w:b/>
    </w:rPr>
  </w:style>
  <w:style w:type="paragraph" w:customStyle="1" w:styleId="TableNote">
    <w:name w:val="Table Note"/>
    <w:basedOn w:val="Normal"/>
    <w:next w:val="Normal"/>
    <w:pPr>
      <w:spacing w:before="120"/>
      <w:jc w:val="center"/>
    </w:pPr>
    <w:rPr>
      <w:sz w:val="20"/>
      <w:szCs w:val="20"/>
    </w:rPr>
  </w:style>
  <w:style w:type="paragraph" w:customStyle="1" w:styleId="TableRowHead">
    <w:name w:val="Table Row Head"/>
    <w:basedOn w:val="Normal"/>
    <w:pPr>
      <w:keepNext/>
      <w:spacing w:after="0"/>
    </w:pPr>
    <w:rPr>
      <w:rFonts w:ascii="Arial Bold" w:hAnsi="Arial Bold"/>
      <w:b/>
    </w:rPr>
  </w:style>
  <w:style w:type="paragraph" w:customStyle="1" w:styleId="TableSummary">
    <w:name w:val="Table Summary"/>
    <w:basedOn w:val="Normal"/>
    <w:next w:val="TableHead"/>
    <w:pPr>
      <w:ind w:left="567" w:right="567"/>
      <w:jc w:val="center"/>
    </w:pPr>
    <w:rPr>
      <w:i/>
    </w:rPr>
  </w:style>
  <w:style w:type="paragraph" w:customStyle="1" w:styleId="TableTitle">
    <w:name w:val="Table Title"/>
    <w:basedOn w:val="Normal"/>
    <w:next w:val="TableSummary"/>
    <w:rsid w:val="00B76547"/>
    <w:pPr>
      <w:keepNext/>
      <w:keepLines/>
      <w:spacing w:after="120"/>
      <w:jc w:val="center"/>
    </w:pPr>
    <w:rPr>
      <w:b/>
    </w:rPr>
  </w:style>
  <w:style w:type="paragraph" w:customStyle="1" w:styleId="TaggedText">
    <w:name w:val="Tagged Text"/>
    <w:basedOn w:val="Normal"/>
    <w:pPr>
      <w:suppressAutoHyphens/>
      <w:spacing w:after="0"/>
    </w:pPr>
    <w:rPr>
      <w:rFonts w:ascii="Courier New" w:hAnsi="Courier New"/>
      <w:color w:val="FF0000"/>
    </w:rPr>
  </w:style>
  <w:style w:type="paragraph" w:styleId="Title">
    <w:name w:val="Title"/>
    <w:basedOn w:val="Normal"/>
    <w:next w:val="Normal"/>
    <w:link w:val="TitleChar"/>
    <w:qFormat/>
    <w:rsid w:val="003B10EC"/>
    <w:pPr>
      <w:spacing w:after="360"/>
      <w:jc w:val="center"/>
      <w:outlineLvl w:val="0"/>
    </w:pPr>
    <w:rPr>
      <w:rFonts w:cs="Arial"/>
      <w:b/>
      <w:bCs/>
      <w:kern w:val="28"/>
      <w:sz w:val="36"/>
      <w:szCs w:val="32"/>
    </w:rPr>
  </w:style>
  <w:style w:type="paragraph" w:customStyle="1" w:styleId="NormalBeforeList">
    <w:name w:val="Normal (Before List)"/>
    <w:basedOn w:val="Normal"/>
    <w:next w:val="ListBullet"/>
    <w:qFormat/>
    <w:rsid w:val="00BA2579"/>
    <w:pPr>
      <w:spacing w:after="120"/>
    </w:pPr>
  </w:style>
  <w:style w:type="paragraph" w:customStyle="1" w:styleId="TableHeadRight">
    <w:name w:val="Table Head Right"/>
    <w:basedOn w:val="TableHead"/>
    <w:pPr>
      <w:jc w:val="right"/>
    </w:pPr>
  </w:style>
  <w:style w:type="paragraph" w:customStyle="1" w:styleId="TableCellLeft">
    <w:name w:val="Table Cell Left"/>
    <w:basedOn w:val="TableCell"/>
    <w:rsid w:val="006E0C75"/>
    <w:pPr>
      <w:jc w:val="left"/>
    </w:pPr>
  </w:style>
  <w:style w:type="paragraph" w:styleId="FootnoteText">
    <w:name w:val="footnote text"/>
    <w:aliases w:val="Footnote Text Char2 Char1,Footnote Text Char Char1 Char1,Footnote Text Char1 Char Char Char,Footnote Text Char Char Char Char Char,Footnote Text Char1 Char1 Char,Footnote Text Char Char Char1 Char,Footnote Text Char1"/>
    <w:basedOn w:val="Normal"/>
    <w:link w:val="FootnoteTextChar"/>
    <w:rsid w:val="009222D3"/>
    <w:pPr>
      <w:spacing w:after="80"/>
    </w:pPr>
    <w:rPr>
      <w:sz w:val="22"/>
      <w:szCs w:val="20"/>
    </w:rPr>
  </w:style>
  <w:style w:type="paragraph" w:styleId="TOC2">
    <w:name w:val="toc 2"/>
    <w:basedOn w:val="Normal"/>
    <w:next w:val="Normal"/>
    <w:autoRedefine/>
    <w:uiPriority w:val="39"/>
    <w:rsid w:val="002D3F58"/>
    <w:pPr>
      <w:keepLines/>
      <w:tabs>
        <w:tab w:val="right" w:leader="dot" w:pos="8828"/>
      </w:tabs>
      <w:spacing w:after="60"/>
      <w:ind w:left="261"/>
    </w:pPr>
  </w:style>
  <w:style w:type="paragraph" w:customStyle="1" w:styleId="NormalAfterList">
    <w:name w:val="Normal (After List)"/>
    <w:basedOn w:val="Normal"/>
    <w:next w:val="Normal"/>
    <w:qFormat/>
    <w:rsid w:val="00C154AE"/>
    <w:pPr>
      <w:spacing w:before="120"/>
    </w:pPr>
  </w:style>
  <w:style w:type="character" w:styleId="FootnoteReference">
    <w:name w:val="footnote reference"/>
    <w:rsid w:val="00A1079C"/>
    <w:rPr>
      <w:rFonts w:ascii="Gill Sans" w:hAnsi="Gill Sans"/>
      <w:sz w:val="26"/>
      <w:vertAlign w:val="superscript"/>
    </w:rPr>
  </w:style>
  <w:style w:type="table" w:styleId="TableGrid">
    <w:name w:val="Table Grid"/>
    <w:basedOn w:val="TableNormal"/>
    <w:uiPriority w:val="39"/>
    <w:rsid w:val="0059743C"/>
    <w:pPr>
      <w:spacing w:after="240" w:line="36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C6D6C"/>
    <w:rPr>
      <w:sz w:val="16"/>
      <w:szCs w:val="16"/>
    </w:rPr>
  </w:style>
  <w:style w:type="paragraph" w:styleId="CommentSubject">
    <w:name w:val="annotation subject"/>
    <w:basedOn w:val="CommentText"/>
    <w:next w:val="CommentText"/>
    <w:link w:val="CommentSubjectChar"/>
    <w:rsid w:val="009C6D6C"/>
    <w:rPr>
      <w:rFonts w:ascii="Gill Sans" w:hAnsi="Gill Sans"/>
      <w:b/>
      <w:bCs/>
      <w:szCs w:val="20"/>
      <w:lang w:val="en-IE"/>
    </w:rPr>
  </w:style>
  <w:style w:type="character" w:customStyle="1" w:styleId="CommentSubjectChar">
    <w:name w:val="Comment Subject Char"/>
    <w:link w:val="CommentSubject"/>
    <w:rsid w:val="009C6D6C"/>
    <w:rPr>
      <w:rFonts w:ascii="Gill Sans" w:eastAsia="Times New Roman" w:hAnsi="Gill Sans"/>
      <w:b/>
      <w:bCs/>
      <w:szCs w:val="24"/>
      <w:lang w:eastAsia="en-US"/>
    </w:rPr>
  </w:style>
  <w:style w:type="paragraph" w:styleId="BalloonText">
    <w:name w:val="Balloon Text"/>
    <w:basedOn w:val="Normal"/>
    <w:link w:val="BalloonTextChar"/>
    <w:rsid w:val="009C6D6C"/>
    <w:pPr>
      <w:spacing w:after="0"/>
    </w:pPr>
    <w:rPr>
      <w:rFonts w:ascii="Tahoma" w:hAnsi="Tahoma" w:cs="Tahoma"/>
      <w:sz w:val="16"/>
      <w:szCs w:val="16"/>
    </w:rPr>
  </w:style>
  <w:style w:type="character" w:customStyle="1" w:styleId="BalloonTextChar">
    <w:name w:val="Balloon Text Char"/>
    <w:link w:val="BalloonText"/>
    <w:rsid w:val="009C6D6C"/>
    <w:rPr>
      <w:rFonts w:ascii="Tahoma" w:eastAsia="Times New Roman" w:hAnsi="Tahoma" w:cs="Tahoma"/>
      <w:sz w:val="16"/>
      <w:szCs w:val="16"/>
      <w:lang w:eastAsia="en-US"/>
    </w:rPr>
  </w:style>
  <w:style w:type="paragraph" w:styleId="ListParagraph">
    <w:name w:val="List Paragraph"/>
    <w:basedOn w:val="Normal"/>
    <w:uiPriority w:val="34"/>
    <w:qFormat/>
    <w:rsid w:val="008925F1"/>
    <w:pPr>
      <w:ind w:left="720"/>
      <w:contextualSpacing/>
    </w:pPr>
  </w:style>
  <w:style w:type="paragraph" w:styleId="Revision">
    <w:name w:val="Revision"/>
    <w:hidden/>
    <w:uiPriority w:val="99"/>
    <w:semiHidden/>
    <w:rsid w:val="008E2168"/>
    <w:rPr>
      <w:rFonts w:ascii="Gill Sans" w:eastAsia="Times New Roman" w:hAnsi="Gill Sans"/>
      <w:sz w:val="26"/>
      <w:szCs w:val="24"/>
      <w:lang w:eastAsia="en-US"/>
    </w:rPr>
  </w:style>
  <w:style w:type="character" w:customStyle="1" w:styleId="FootnoteTextChar">
    <w:name w:val="Footnote Text Char"/>
    <w:aliases w:val="Footnote Text Char2 Char1 Char,Footnote Text Char Char1 Char1 Char,Footnote Text Char1 Char Char Char Char,Footnote Text Char Char Char Char Char Char,Footnote Text Char1 Char1 Char Char,Footnote Text Char Char Char1 Char Char"/>
    <w:basedOn w:val="DefaultParagraphFont"/>
    <w:link w:val="FootnoteText"/>
    <w:rsid w:val="002C621B"/>
    <w:rPr>
      <w:rFonts w:ascii="Gill Sans" w:eastAsia="Times New Roman" w:hAnsi="Gill Sans"/>
      <w:sz w:val="22"/>
      <w:lang w:eastAsia="en-US"/>
    </w:rPr>
  </w:style>
  <w:style w:type="paragraph" w:customStyle="1" w:styleId="Default">
    <w:name w:val="Default"/>
    <w:rsid w:val="004E6C8D"/>
    <w:pPr>
      <w:autoSpaceDE w:val="0"/>
      <w:autoSpaceDN w:val="0"/>
      <w:adjustRightInd w:val="0"/>
    </w:pPr>
    <w:rPr>
      <w:rFonts w:eastAsia="Times New Roman"/>
      <w:color w:val="000000"/>
      <w:sz w:val="24"/>
      <w:szCs w:val="24"/>
    </w:rPr>
  </w:style>
  <w:style w:type="character" w:styleId="Strong">
    <w:name w:val="Strong"/>
    <w:basedOn w:val="DefaultParagraphFont"/>
    <w:uiPriority w:val="22"/>
    <w:qFormat/>
    <w:rsid w:val="00E15AC2"/>
    <w:rPr>
      <w:b/>
      <w:bCs/>
    </w:rPr>
  </w:style>
  <w:style w:type="character" w:customStyle="1" w:styleId="FooterChar">
    <w:name w:val="Footer Char"/>
    <w:basedOn w:val="DefaultParagraphFont"/>
    <w:link w:val="Footer"/>
    <w:uiPriority w:val="99"/>
    <w:rsid w:val="002C0C83"/>
    <w:rPr>
      <w:rFonts w:ascii="Gill Sans" w:eastAsia="Times New Roman" w:hAnsi="Gill Sans"/>
      <w:color w:val="323232"/>
      <w:lang w:eastAsia="en-US"/>
    </w:rPr>
  </w:style>
  <w:style w:type="paragraph" w:styleId="NormalWeb">
    <w:name w:val="Normal (Web)"/>
    <w:basedOn w:val="Normal"/>
    <w:uiPriority w:val="99"/>
    <w:unhideWhenUsed/>
    <w:rsid w:val="00EC6747"/>
    <w:pPr>
      <w:spacing w:before="100" w:beforeAutospacing="1" w:after="100" w:afterAutospacing="1"/>
    </w:pPr>
    <w:rPr>
      <w:rFonts w:ascii="Times New Roman" w:hAnsi="Times New Roman"/>
      <w:sz w:val="24"/>
      <w:lang w:eastAsia="en-IE"/>
    </w:rPr>
  </w:style>
  <w:style w:type="table" w:styleId="GridTable5Dark-Accent1">
    <w:name w:val="Grid Table 5 Dark Accent 1"/>
    <w:basedOn w:val="TableNormal"/>
    <w:uiPriority w:val="50"/>
    <w:rsid w:val="00EC6747"/>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eGridLight">
    <w:name w:val="Grid Table Light"/>
    <w:basedOn w:val="TableNormal"/>
    <w:uiPriority w:val="40"/>
    <w:rsid w:val="00EC67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C43251"/>
    <w:rPr>
      <w:color w:val="2B579A"/>
      <w:shd w:val="clear" w:color="auto" w:fill="E1DFDD"/>
    </w:rPr>
  </w:style>
  <w:style w:type="paragraph" w:customStyle="1" w:styleId="Indentforquotes">
    <w:name w:val="Indent for quotes"/>
    <w:basedOn w:val="Normal"/>
    <w:link w:val="IndentforquotesChar"/>
    <w:qFormat/>
    <w:rsid w:val="004444D9"/>
    <w:pPr>
      <w:ind w:left="102" w:right="102"/>
    </w:pPr>
  </w:style>
  <w:style w:type="paragraph" w:customStyle="1" w:styleId="EndNoteBibliographyTitle">
    <w:name w:val="EndNote Bibliography Title"/>
    <w:basedOn w:val="Normal"/>
    <w:link w:val="EndNoteBibliographyTitleChar"/>
    <w:rsid w:val="00B702CB"/>
    <w:pPr>
      <w:spacing w:after="0"/>
      <w:jc w:val="center"/>
    </w:pPr>
    <w:rPr>
      <w:rFonts w:ascii="Gill Sans" w:hAnsi="Gill Sans"/>
      <w:noProof/>
      <w:lang w:val="en-US"/>
    </w:rPr>
  </w:style>
  <w:style w:type="character" w:customStyle="1" w:styleId="IndentforquotesChar">
    <w:name w:val="Indent for quotes Char"/>
    <w:basedOn w:val="DefaultParagraphFont"/>
    <w:link w:val="Indentforquotes"/>
    <w:rsid w:val="004444D9"/>
    <w:rPr>
      <w:rFonts w:ascii="Gill Sans" w:eastAsia="Times New Roman" w:hAnsi="Gill Sans"/>
      <w:sz w:val="26"/>
      <w:szCs w:val="24"/>
      <w:lang w:eastAsia="en-US"/>
    </w:rPr>
  </w:style>
  <w:style w:type="character" w:customStyle="1" w:styleId="EndNoteBibliographyTitleChar">
    <w:name w:val="EndNote Bibliography Title Char"/>
    <w:basedOn w:val="DefaultParagraphFont"/>
    <w:link w:val="EndNoteBibliographyTitle"/>
    <w:rsid w:val="00B702CB"/>
    <w:rPr>
      <w:rFonts w:ascii="Gill Sans" w:eastAsia="Times New Roman" w:hAnsi="Gill Sans"/>
      <w:noProof/>
      <w:sz w:val="26"/>
      <w:szCs w:val="24"/>
      <w:lang w:val="en-US" w:eastAsia="en-US"/>
    </w:rPr>
  </w:style>
  <w:style w:type="paragraph" w:customStyle="1" w:styleId="EndNoteBibliography">
    <w:name w:val="EndNote Bibliography"/>
    <w:basedOn w:val="Normal"/>
    <w:link w:val="EndNoteBibliographyChar"/>
    <w:rsid w:val="00B702CB"/>
    <w:rPr>
      <w:rFonts w:ascii="Gill Sans" w:hAnsi="Gill Sans"/>
      <w:noProof/>
      <w:lang w:val="en-US"/>
    </w:rPr>
  </w:style>
  <w:style w:type="character" w:customStyle="1" w:styleId="EndNoteBibliographyChar">
    <w:name w:val="EndNote Bibliography Char"/>
    <w:basedOn w:val="DefaultParagraphFont"/>
    <w:link w:val="EndNoteBibliography"/>
    <w:rsid w:val="00B702CB"/>
    <w:rPr>
      <w:rFonts w:ascii="Gill Sans" w:eastAsia="Times New Roman" w:hAnsi="Gill Sans"/>
      <w:noProof/>
      <w:sz w:val="26"/>
      <w:szCs w:val="24"/>
      <w:lang w:val="en-US" w:eastAsia="en-US"/>
    </w:rPr>
  </w:style>
  <w:style w:type="character" w:customStyle="1" w:styleId="UnresolvedMention1">
    <w:name w:val="Unresolved Mention1"/>
    <w:basedOn w:val="DefaultParagraphFont"/>
    <w:uiPriority w:val="99"/>
    <w:unhideWhenUsed/>
    <w:rsid w:val="00B702CB"/>
    <w:rPr>
      <w:color w:val="605E5C"/>
      <w:shd w:val="clear" w:color="auto" w:fill="E1DFDD"/>
    </w:rPr>
  </w:style>
  <w:style w:type="paragraph" w:customStyle="1" w:styleId="paragraph">
    <w:name w:val="paragraph"/>
    <w:basedOn w:val="Normal"/>
    <w:rsid w:val="00FC3D24"/>
    <w:pPr>
      <w:spacing w:before="100" w:beforeAutospacing="1" w:after="100" w:afterAutospacing="1"/>
    </w:pPr>
    <w:rPr>
      <w:rFonts w:ascii="Times New Roman" w:hAnsi="Times New Roman"/>
      <w:sz w:val="24"/>
      <w:lang w:eastAsia="en-IE"/>
    </w:rPr>
  </w:style>
  <w:style w:type="character" w:customStyle="1" w:styleId="normaltextrun">
    <w:name w:val="normaltextrun"/>
    <w:basedOn w:val="DefaultParagraphFont"/>
    <w:rsid w:val="00FC3D24"/>
  </w:style>
  <w:style w:type="paragraph" w:styleId="TOCHeading">
    <w:name w:val="TOC Heading"/>
    <w:basedOn w:val="Heading1"/>
    <w:next w:val="Normal"/>
    <w:uiPriority w:val="39"/>
    <w:unhideWhenUsed/>
    <w:qFormat/>
    <w:rsid w:val="001611D2"/>
    <w:pPr>
      <w:keepLines/>
      <w:pBdr>
        <w:top w:val="none" w:sz="0" w:space="0" w:color="auto"/>
        <w:left w:val="none" w:sz="0" w:space="0" w:color="auto"/>
        <w:bottom w:val="none" w:sz="0" w:space="0" w:color="auto"/>
        <w:right w:val="none" w:sz="0" w:space="0" w:color="auto"/>
      </w:pBdr>
      <w:spacing w:before="240" w:after="0" w:line="259" w:lineRule="auto"/>
      <w:outlineLvl w:val="9"/>
    </w:pPr>
    <w:rPr>
      <w:rFonts w:asciiTheme="majorHAnsi" w:eastAsiaTheme="majorEastAsia" w:hAnsiTheme="majorHAnsi" w:cstheme="majorBidi"/>
      <w:b w:val="0"/>
      <w:bCs w:val="0"/>
      <w:color w:val="2E74B5" w:themeColor="accent1" w:themeShade="BF"/>
      <w:kern w:val="0"/>
      <w:lang w:val="en-US"/>
    </w:rPr>
  </w:style>
  <w:style w:type="paragraph" w:styleId="TOC3">
    <w:name w:val="toc 3"/>
    <w:basedOn w:val="Normal"/>
    <w:next w:val="Normal"/>
    <w:autoRedefine/>
    <w:uiPriority w:val="39"/>
    <w:rsid w:val="001611D2"/>
    <w:pPr>
      <w:spacing w:after="100"/>
      <w:ind w:left="520"/>
    </w:pPr>
  </w:style>
  <w:style w:type="paragraph" w:styleId="TableofFigures">
    <w:name w:val="table of figures"/>
    <w:aliases w:val="List of Tables"/>
    <w:basedOn w:val="Normal"/>
    <w:next w:val="Normal"/>
    <w:autoRedefine/>
    <w:uiPriority w:val="99"/>
    <w:rsid w:val="003318DB"/>
    <w:pPr>
      <w:tabs>
        <w:tab w:val="right" w:leader="dot" w:pos="8828"/>
      </w:tabs>
      <w:spacing w:after="0"/>
    </w:pPr>
  </w:style>
  <w:style w:type="character" w:customStyle="1" w:styleId="Heading1Char">
    <w:name w:val="Heading 1 Char"/>
    <w:basedOn w:val="DefaultParagraphFont"/>
    <w:link w:val="Heading1"/>
    <w:uiPriority w:val="9"/>
    <w:rsid w:val="00421092"/>
    <w:rPr>
      <w:rFonts w:ascii="Gill Sans" w:eastAsia="Times New Roman" w:hAnsi="Gill Sans" w:cs="Arial"/>
      <w:b/>
      <w:bCs/>
      <w:kern w:val="32"/>
      <w:sz w:val="32"/>
      <w:szCs w:val="32"/>
      <w:lang w:eastAsia="en-US"/>
    </w:rPr>
  </w:style>
  <w:style w:type="character" w:customStyle="1" w:styleId="Heading2Char">
    <w:name w:val="Heading 2 Char"/>
    <w:basedOn w:val="DefaultParagraphFont"/>
    <w:link w:val="Heading2"/>
    <w:rsid w:val="00647FED"/>
    <w:rPr>
      <w:rFonts w:ascii="Gill Sans MT" w:eastAsia="Times New Roman" w:hAnsi="Gill Sans MT" w:cs="Arial Bold"/>
      <w:b/>
      <w:bCs/>
      <w:iCs/>
      <w:sz w:val="30"/>
      <w:szCs w:val="28"/>
      <w:lang w:eastAsia="en-US"/>
    </w:rPr>
  </w:style>
  <w:style w:type="character" w:customStyle="1" w:styleId="Heading3Char">
    <w:name w:val="Heading 3 Char"/>
    <w:basedOn w:val="DefaultParagraphFont"/>
    <w:link w:val="Heading3"/>
    <w:rsid w:val="00647FED"/>
    <w:rPr>
      <w:rFonts w:ascii="Gill Sans" w:eastAsia="Times New Roman" w:hAnsi="Gill Sans" w:cs="Arial Bold"/>
      <w:b/>
      <w:bCs/>
      <w:i/>
      <w:color w:val="333333"/>
      <w:sz w:val="28"/>
      <w:szCs w:val="24"/>
      <w:lang w:eastAsia="en-US"/>
    </w:rPr>
  </w:style>
  <w:style w:type="character" w:customStyle="1" w:styleId="eop">
    <w:name w:val="eop"/>
    <w:basedOn w:val="DefaultParagraphFont"/>
    <w:rsid w:val="00421092"/>
  </w:style>
  <w:style w:type="character" w:customStyle="1" w:styleId="findhit">
    <w:name w:val="findhit"/>
    <w:basedOn w:val="DefaultParagraphFont"/>
    <w:rsid w:val="00421092"/>
  </w:style>
  <w:style w:type="character" w:customStyle="1" w:styleId="Heading4Char">
    <w:name w:val="Heading 4 Char"/>
    <w:basedOn w:val="DefaultParagraphFont"/>
    <w:link w:val="Heading4"/>
    <w:uiPriority w:val="9"/>
    <w:rsid w:val="00647FED"/>
    <w:rPr>
      <w:rFonts w:ascii="Gill Sans" w:eastAsia="Times New Roman" w:hAnsi="Gill Sans"/>
      <w:b/>
      <w:bCs/>
      <w:color w:val="7F7F7F" w:themeColor="text1" w:themeTint="80"/>
      <w:sz w:val="26"/>
      <w:szCs w:val="24"/>
      <w:lang w:eastAsia="en-US"/>
    </w:rPr>
  </w:style>
  <w:style w:type="character" w:customStyle="1" w:styleId="Heading5Char">
    <w:name w:val="Heading 5 Char"/>
    <w:basedOn w:val="DefaultParagraphFont"/>
    <w:link w:val="Heading5"/>
    <w:uiPriority w:val="9"/>
    <w:rsid w:val="00421092"/>
    <w:rPr>
      <w:rFonts w:ascii="Gill Sans" w:eastAsia="Times New Roman" w:hAnsi="Gill Sans"/>
      <w:b/>
      <w:bCs/>
      <w:i/>
      <w:iCs/>
      <w:sz w:val="26"/>
      <w:szCs w:val="26"/>
      <w:lang w:eastAsia="en-US"/>
    </w:rPr>
  </w:style>
  <w:style w:type="character" w:customStyle="1" w:styleId="HeaderChar">
    <w:name w:val="Header Char"/>
    <w:basedOn w:val="DefaultParagraphFont"/>
    <w:link w:val="Header"/>
    <w:uiPriority w:val="99"/>
    <w:rsid w:val="00421092"/>
    <w:rPr>
      <w:rFonts w:ascii="Gill Sans" w:eastAsia="Times New Roman" w:hAnsi="Gill Sans"/>
      <w:color w:val="333333"/>
      <w:sz w:val="22"/>
      <w:lang w:eastAsia="en-US"/>
    </w:rPr>
  </w:style>
  <w:style w:type="character" w:customStyle="1" w:styleId="tabchar">
    <w:name w:val="tabchar"/>
    <w:basedOn w:val="DefaultParagraphFont"/>
    <w:rsid w:val="00421092"/>
  </w:style>
  <w:style w:type="table" w:styleId="PlainTable2">
    <w:name w:val="Plain Table 2"/>
    <w:basedOn w:val="TableNormal"/>
    <w:uiPriority w:val="42"/>
    <w:rsid w:val="0042109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5Dark-Accent5">
    <w:name w:val="Grid Table 5 Dark Accent 5"/>
    <w:basedOn w:val="TableNormal"/>
    <w:uiPriority w:val="50"/>
    <w:rsid w:val="0042109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Table">
    <w:name w:val="Table"/>
    <w:basedOn w:val="Normal"/>
    <w:next w:val="TableofFigures"/>
    <w:link w:val="TableChar"/>
    <w:qFormat/>
    <w:rsid w:val="005D754F"/>
    <w:pPr>
      <w:spacing w:after="0"/>
    </w:pPr>
    <w:rPr>
      <w:sz w:val="20"/>
      <w:szCs w:val="20"/>
    </w:rPr>
  </w:style>
  <w:style w:type="character" w:customStyle="1" w:styleId="searchquerykeyword3dbtj">
    <w:name w:val="searchquery__keyword___3dbtj"/>
    <w:basedOn w:val="DefaultParagraphFont"/>
    <w:rsid w:val="00E36455"/>
  </w:style>
  <w:style w:type="character" w:customStyle="1" w:styleId="TableChar">
    <w:name w:val="Table Char"/>
    <w:basedOn w:val="DefaultParagraphFont"/>
    <w:link w:val="Table"/>
    <w:rsid w:val="005D754F"/>
    <w:rPr>
      <w:rFonts w:ascii="Gill Sans" w:eastAsia="Times New Roman" w:hAnsi="Gill Sans"/>
      <w:lang w:eastAsia="en-US"/>
    </w:rPr>
  </w:style>
  <w:style w:type="table" w:customStyle="1" w:styleId="QTable">
    <w:name w:val="QTable"/>
    <w:uiPriority w:val="99"/>
    <w:qFormat/>
    <w:rsid w:val="00E36455"/>
    <w:rPr>
      <w:rFonts w:asciiTheme="minorHAnsi" w:eastAsiaTheme="minorEastAsia" w:hAnsiTheme="minorHAnsi" w:cstheme="minorBidi"/>
      <w:sz w:val="22"/>
      <w:szCs w:val="22"/>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E36455"/>
    <w:pPr>
      <w:jc w:val="center"/>
    </w:pPr>
    <w:rPr>
      <w:rFonts w:asciiTheme="minorHAnsi" w:eastAsiaTheme="minorEastAsia" w:hAnsiTheme="minorHAnsi" w:cstheme="minorBidi"/>
      <w:sz w:val="22"/>
      <w:szCs w:val="22"/>
      <w:lang w:val="en-US"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
    <w:name w:val="QQuestionTableBipolar"/>
    <w:uiPriority w:val="99"/>
    <w:qFormat/>
    <w:rsid w:val="00E36455"/>
    <w:pPr>
      <w:jc w:val="center"/>
    </w:pPr>
    <w:rPr>
      <w:rFonts w:asciiTheme="minorHAnsi" w:eastAsiaTheme="minorEastAsia" w:hAnsiTheme="minorHAnsi" w:cstheme="minorBidi"/>
      <w:sz w:val="22"/>
      <w:szCs w:val="22"/>
      <w:lang w:val="en-US"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E36455"/>
    <w:pPr>
      <w:jc w:val="center"/>
    </w:pPr>
    <w:rPr>
      <w:rFonts w:asciiTheme="minorHAnsi" w:eastAsiaTheme="minorEastAsia" w:hAnsiTheme="minorHAnsi" w:cstheme="minorBidi"/>
      <w:sz w:val="22"/>
      <w:szCs w:val="22"/>
      <w:lang w:val="en-US" w:eastAsia="en-US"/>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
    <w:name w:val="QVerticalGraphicSliderTable"/>
    <w:uiPriority w:val="99"/>
    <w:qFormat/>
    <w:rsid w:val="00E36455"/>
    <w:rPr>
      <w:rFonts w:asciiTheme="minorHAnsi" w:eastAsiaTheme="minorEastAsia" w:hAnsiTheme="minorHAnsi" w:cstheme="minorBidi"/>
      <w:sz w:val="22"/>
      <w:szCs w:val="22"/>
      <w:lang w:val="en-US" w:eastAsia="en-US"/>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E36455"/>
    <w:pPr>
      <w:spacing w:after="120"/>
      <w:jc w:val="center"/>
    </w:pPr>
    <w:rPr>
      <w:rFonts w:asciiTheme="minorHAnsi" w:eastAsiaTheme="minorEastAsia" w:hAnsiTheme="minorHAnsi" w:cstheme="minorBidi"/>
      <w:sz w:val="22"/>
      <w:szCs w:val="22"/>
      <w:lang w:val="en-US" w:eastAsia="en-US"/>
    </w:rPr>
    <w:tblPr>
      <w:tblCellMar>
        <w:top w:w="40" w:type="dxa"/>
        <w:left w:w="40" w:type="dxa"/>
        <w:bottom w:w="40" w:type="dxa"/>
        <w:right w:w="40" w:type="dxa"/>
      </w:tblCellMar>
    </w:tblPr>
  </w:style>
  <w:style w:type="table" w:customStyle="1" w:styleId="QStarSliderTable">
    <w:name w:val="QStarSliderTable"/>
    <w:uiPriority w:val="99"/>
    <w:qFormat/>
    <w:rsid w:val="00E36455"/>
    <w:pPr>
      <w:spacing w:after="120"/>
      <w:jc w:val="center"/>
    </w:pPr>
    <w:rPr>
      <w:rFonts w:asciiTheme="minorHAnsi" w:eastAsiaTheme="minorEastAsia" w:hAnsiTheme="minorHAnsi" w:cstheme="minorBidi"/>
      <w:sz w:val="22"/>
      <w:szCs w:val="22"/>
      <w:lang w:val="en-US" w:eastAsia="en-US"/>
    </w:rPr>
    <w:tblPr>
      <w:tblCellMar>
        <w:top w:w="0" w:type="dxa"/>
        <w:left w:w="20" w:type="dxa"/>
        <w:bottom w:w="0" w:type="dxa"/>
        <w:right w:w="20" w:type="dxa"/>
      </w:tblCellMar>
    </w:tblPr>
  </w:style>
  <w:style w:type="table" w:customStyle="1" w:styleId="QStandardSliderTable">
    <w:name w:val="QStandardSliderTable"/>
    <w:uiPriority w:val="99"/>
    <w:qFormat/>
    <w:rsid w:val="00E36455"/>
    <w:pPr>
      <w:jc w:val="center"/>
    </w:pPr>
    <w:rPr>
      <w:rFonts w:asciiTheme="minorHAnsi" w:eastAsiaTheme="minorEastAsia" w:hAnsiTheme="minorHAnsi" w:cstheme="minorBidi"/>
      <w:sz w:val="22"/>
      <w:szCs w:val="22"/>
      <w:lang w:val="en-US" w:eastAsia="en-US"/>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E36455"/>
    <w:pPr>
      <w:jc w:val="center"/>
    </w:pPr>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paragraph" w:customStyle="1" w:styleId="BarSlider">
    <w:name w:val="BarSlider"/>
    <w:basedOn w:val="Normal"/>
    <w:qFormat/>
    <w:rsid w:val="00E36455"/>
    <w:pPr>
      <w:pBdr>
        <w:top w:val="single" w:sz="160" w:space="0" w:color="499FD1"/>
      </w:pBdr>
      <w:spacing w:before="80" w:after="0"/>
    </w:pPr>
    <w:rPr>
      <w:rFonts w:asciiTheme="minorHAnsi" w:eastAsiaTheme="minorEastAsia" w:hAnsiTheme="minorHAnsi" w:cstheme="minorBidi"/>
      <w:sz w:val="22"/>
      <w:szCs w:val="22"/>
      <w:lang w:val="en-US"/>
    </w:rPr>
  </w:style>
  <w:style w:type="paragraph" w:customStyle="1" w:styleId="QSummary">
    <w:name w:val="QSummary"/>
    <w:basedOn w:val="Normal"/>
    <w:qFormat/>
    <w:rsid w:val="00E36455"/>
    <w:pPr>
      <w:spacing w:after="0" w:line="276" w:lineRule="auto"/>
    </w:pPr>
    <w:rPr>
      <w:rFonts w:asciiTheme="minorHAnsi" w:eastAsiaTheme="minorEastAsia" w:hAnsiTheme="minorHAnsi" w:cstheme="minorBidi"/>
      <w:b/>
      <w:sz w:val="22"/>
      <w:szCs w:val="22"/>
      <w:lang w:val="en-US"/>
    </w:rPr>
  </w:style>
  <w:style w:type="table" w:customStyle="1" w:styleId="QQuestionIconTable">
    <w:name w:val="QQuestionIconTable"/>
    <w:uiPriority w:val="99"/>
    <w:qFormat/>
    <w:rsid w:val="00E36455"/>
    <w:pPr>
      <w:jc w:val="center"/>
    </w:pPr>
    <w:rPr>
      <w:rFonts w:asciiTheme="minorHAnsi" w:eastAsiaTheme="minorEastAsia" w:hAnsiTheme="minorHAnsi" w:cstheme="minorBidi"/>
      <w:sz w:val="22"/>
      <w:szCs w:val="22"/>
      <w:lang w:val="en-US" w:eastAsia="en-US"/>
    </w:r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E36455"/>
    <w:pPr>
      <w:pBdr>
        <w:left w:val="single" w:sz="4" w:space="4" w:color="D9D9D9" w:themeColor="background1" w:themeShade="D9"/>
        <w:right w:val="single" w:sz="4" w:space="4" w:color="D9D9D9" w:themeColor="background1" w:themeShade="D9"/>
      </w:pBdr>
      <w:shd w:val="clear" w:color="auto" w:fill="D9D9D9" w:themeFill="background1" w:themeFillShade="D9"/>
      <w:spacing w:after="0" w:line="276" w:lineRule="auto"/>
    </w:pPr>
    <w:rPr>
      <w:rFonts w:asciiTheme="minorHAnsi" w:eastAsiaTheme="minorEastAsia" w:hAnsiTheme="minorHAnsi" w:cstheme="minorBidi"/>
      <w:b/>
      <w:sz w:val="32"/>
      <w:szCs w:val="22"/>
      <w:lang w:val="en-US"/>
    </w:rPr>
  </w:style>
  <w:style w:type="table" w:customStyle="1" w:styleId="QBar">
    <w:name w:val="QBar"/>
    <w:uiPriority w:val="99"/>
    <w:qFormat/>
    <w:rsid w:val="00E36455"/>
    <w:rPr>
      <w:rFonts w:asciiTheme="minorHAnsi" w:eastAsiaTheme="minorEastAsia" w:hAnsiTheme="minorHAnsi" w:cstheme="minorBidi"/>
      <w:sz w:val="18"/>
      <w:lang w:val="en-US" w:eastAsia="ja-JP"/>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E36455"/>
    <w:rPr>
      <w:rFonts w:asciiTheme="minorHAnsi" w:eastAsiaTheme="minorEastAsia" w:hAnsiTheme="minorHAnsi" w:cstheme="minorBidi"/>
      <w:b/>
      <w:color w:val="FFFFFF" w:themeColor="background1"/>
      <w:lang w:val="en-US" w:eastAsia="ja-JP"/>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E36455"/>
    <w:rPr>
      <w:rFonts w:asciiTheme="minorHAnsi" w:eastAsiaTheme="minorEastAsia" w:hAnsiTheme="minorHAnsi" w:cstheme="minorBidi"/>
      <w:color w:val="FFFFFF" w:themeColor="background1"/>
      <w:sz w:val="22"/>
      <w:szCs w:val="22"/>
      <w:lang w:val="en-US" w:eastAsia="en-US"/>
    </w:rPr>
  </w:style>
  <w:style w:type="paragraph" w:customStyle="1" w:styleId="WhiteCompositeLabel">
    <w:name w:val="WhiteCompositeLabel"/>
    <w:next w:val="Normal"/>
    <w:rsid w:val="00E36455"/>
    <w:pPr>
      <w:spacing w:before="43" w:after="43"/>
      <w:jc w:val="center"/>
    </w:pPr>
    <w:rPr>
      <w:rFonts w:ascii="Calibri" w:eastAsia="Times New Roman" w:hAnsi="Calibri"/>
      <w:b/>
      <w:color w:val="FFFFFF"/>
      <w:sz w:val="22"/>
      <w:szCs w:val="22"/>
      <w:lang w:val="en-US" w:eastAsia="en-US"/>
    </w:rPr>
  </w:style>
  <w:style w:type="paragraph" w:customStyle="1" w:styleId="CompositeLabel">
    <w:name w:val="CompositeLabel"/>
    <w:next w:val="Normal"/>
    <w:rsid w:val="00E36455"/>
    <w:pPr>
      <w:spacing w:before="43" w:after="43"/>
      <w:jc w:val="center"/>
    </w:pPr>
    <w:rPr>
      <w:rFonts w:ascii="Calibri" w:eastAsia="Times New Roman" w:hAnsi="Calibri"/>
      <w:b/>
      <w:sz w:val="22"/>
      <w:szCs w:val="22"/>
      <w:lang w:val="en-US" w:eastAsia="en-US"/>
    </w:rPr>
  </w:style>
  <w:style w:type="numbering" w:customStyle="1" w:styleId="Multipunch">
    <w:name w:val="Multi punch"/>
    <w:rsid w:val="00E36455"/>
    <w:pPr>
      <w:numPr>
        <w:numId w:val="20"/>
      </w:numPr>
    </w:pPr>
  </w:style>
  <w:style w:type="numbering" w:customStyle="1" w:styleId="Singlepunch">
    <w:name w:val="Single punch"/>
    <w:rsid w:val="00E36455"/>
    <w:pPr>
      <w:numPr>
        <w:numId w:val="22"/>
      </w:numPr>
    </w:pPr>
  </w:style>
  <w:style w:type="paragraph" w:customStyle="1" w:styleId="QDisplayLogic">
    <w:name w:val="QDisplayLogic"/>
    <w:basedOn w:val="Normal"/>
    <w:qFormat/>
    <w:rsid w:val="00E36455"/>
    <w:pPr>
      <w:shd w:val="clear" w:color="auto" w:fill="6898BB"/>
      <w:spacing w:before="120" w:after="120"/>
    </w:pPr>
    <w:rPr>
      <w:rFonts w:asciiTheme="minorHAnsi" w:eastAsiaTheme="minorEastAsia" w:hAnsiTheme="minorHAnsi" w:cstheme="minorBidi"/>
      <w:i/>
      <w:color w:val="FFFFFF"/>
      <w:sz w:val="20"/>
      <w:szCs w:val="22"/>
      <w:lang w:val="en-US"/>
    </w:rPr>
  </w:style>
  <w:style w:type="paragraph" w:customStyle="1" w:styleId="QSkipLogic">
    <w:name w:val="QSkipLogic"/>
    <w:basedOn w:val="Normal"/>
    <w:qFormat/>
    <w:rsid w:val="00E36455"/>
    <w:pPr>
      <w:shd w:val="clear" w:color="auto" w:fill="8D8D8D"/>
      <w:spacing w:before="120" w:after="120"/>
    </w:pPr>
    <w:rPr>
      <w:rFonts w:asciiTheme="minorHAnsi" w:eastAsiaTheme="minorEastAsia" w:hAnsiTheme="minorHAnsi" w:cstheme="minorBidi"/>
      <w:i/>
      <w:color w:val="FFFFFF"/>
      <w:sz w:val="20"/>
      <w:szCs w:val="22"/>
      <w:lang w:val="en-US"/>
    </w:rPr>
  </w:style>
  <w:style w:type="paragraph" w:customStyle="1" w:styleId="SingleLineText">
    <w:name w:val="SingleLineText"/>
    <w:next w:val="Normal"/>
    <w:rsid w:val="00E36455"/>
    <w:rPr>
      <w:rFonts w:asciiTheme="minorHAnsi" w:eastAsiaTheme="minorEastAsia" w:hAnsiTheme="minorHAnsi" w:cstheme="minorBidi"/>
      <w:sz w:val="22"/>
      <w:szCs w:val="22"/>
      <w:lang w:val="en-US" w:eastAsia="en-US"/>
    </w:rPr>
  </w:style>
  <w:style w:type="paragraph" w:customStyle="1" w:styleId="QDynamicChoices">
    <w:name w:val="QDynamicChoices"/>
    <w:basedOn w:val="Normal"/>
    <w:qFormat/>
    <w:rsid w:val="00E36455"/>
    <w:pPr>
      <w:shd w:val="clear" w:color="auto" w:fill="6FAC3D"/>
      <w:spacing w:before="120" w:after="120"/>
    </w:pPr>
    <w:rPr>
      <w:rFonts w:asciiTheme="minorHAnsi" w:eastAsiaTheme="minorEastAsia" w:hAnsiTheme="minorHAnsi" w:cstheme="minorBidi"/>
      <w:i/>
      <w:color w:val="FFFFFF"/>
      <w:sz w:val="20"/>
      <w:szCs w:val="22"/>
      <w:lang w:val="en-US"/>
    </w:rPr>
  </w:style>
  <w:style w:type="paragraph" w:customStyle="1" w:styleId="QReusableChoices">
    <w:name w:val="QReusableChoices"/>
    <w:basedOn w:val="Normal"/>
    <w:qFormat/>
    <w:rsid w:val="00E36455"/>
    <w:pPr>
      <w:shd w:val="clear" w:color="auto" w:fill="3EA18E"/>
      <w:spacing w:before="120" w:after="120"/>
    </w:pPr>
    <w:rPr>
      <w:rFonts w:asciiTheme="minorHAnsi" w:eastAsiaTheme="minorEastAsia" w:hAnsiTheme="minorHAnsi" w:cstheme="minorBidi"/>
      <w:i/>
      <w:color w:val="FFFFFF"/>
      <w:sz w:val="20"/>
      <w:szCs w:val="22"/>
      <w:lang w:val="en-US"/>
    </w:rPr>
  </w:style>
  <w:style w:type="paragraph" w:customStyle="1" w:styleId="H1">
    <w:name w:val="H1"/>
    <w:next w:val="Normal"/>
    <w:rsid w:val="00E36455"/>
    <w:pPr>
      <w:spacing w:after="240"/>
    </w:pPr>
    <w:rPr>
      <w:rFonts w:asciiTheme="minorHAnsi" w:eastAsiaTheme="minorEastAsia" w:hAnsiTheme="minorHAnsi" w:cstheme="minorBidi"/>
      <w:b/>
      <w:color w:val="000000"/>
      <w:sz w:val="64"/>
      <w:szCs w:val="64"/>
      <w:lang w:val="en-US" w:eastAsia="en-US"/>
    </w:rPr>
  </w:style>
  <w:style w:type="paragraph" w:customStyle="1" w:styleId="H2">
    <w:name w:val="H2"/>
    <w:next w:val="Normal"/>
    <w:rsid w:val="00E36455"/>
    <w:pPr>
      <w:spacing w:after="240"/>
    </w:pPr>
    <w:rPr>
      <w:rFonts w:asciiTheme="minorHAnsi" w:eastAsiaTheme="minorEastAsia" w:hAnsiTheme="minorHAnsi" w:cstheme="minorBidi"/>
      <w:b/>
      <w:color w:val="000000"/>
      <w:sz w:val="48"/>
      <w:szCs w:val="48"/>
      <w:lang w:val="en-US" w:eastAsia="en-US"/>
    </w:rPr>
  </w:style>
  <w:style w:type="paragraph" w:customStyle="1" w:styleId="H3">
    <w:name w:val="H3"/>
    <w:next w:val="Normal"/>
    <w:rsid w:val="00E36455"/>
    <w:pPr>
      <w:spacing w:after="120"/>
    </w:pPr>
    <w:rPr>
      <w:rFonts w:asciiTheme="minorHAnsi" w:eastAsiaTheme="minorEastAsia" w:hAnsiTheme="minorHAnsi" w:cstheme="minorBidi"/>
      <w:b/>
      <w:color w:val="000000"/>
      <w:sz w:val="36"/>
      <w:szCs w:val="36"/>
      <w:lang w:val="en-US" w:eastAsia="en-US"/>
    </w:rPr>
  </w:style>
  <w:style w:type="paragraph" w:customStyle="1" w:styleId="BlockStartLabel">
    <w:name w:val="BlockStartLabel"/>
    <w:basedOn w:val="Normal"/>
    <w:qFormat/>
    <w:rsid w:val="00E36455"/>
    <w:pPr>
      <w:spacing w:before="120" w:after="120"/>
    </w:pPr>
    <w:rPr>
      <w:rFonts w:asciiTheme="minorHAnsi" w:eastAsiaTheme="minorEastAsia" w:hAnsiTheme="minorHAnsi" w:cstheme="minorBidi"/>
      <w:b/>
      <w:color w:val="CCCCCC"/>
      <w:sz w:val="22"/>
      <w:szCs w:val="22"/>
      <w:lang w:val="en-US"/>
    </w:rPr>
  </w:style>
  <w:style w:type="paragraph" w:customStyle="1" w:styleId="BlockEndLabel">
    <w:name w:val="BlockEndLabel"/>
    <w:basedOn w:val="Normal"/>
    <w:qFormat/>
    <w:rsid w:val="00E36455"/>
    <w:pPr>
      <w:spacing w:before="120" w:after="0"/>
    </w:pPr>
    <w:rPr>
      <w:rFonts w:asciiTheme="minorHAnsi" w:eastAsiaTheme="minorEastAsia" w:hAnsiTheme="minorHAnsi" w:cstheme="minorBidi"/>
      <w:b/>
      <w:color w:val="CCCCCC"/>
      <w:sz w:val="22"/>
      <w:szCs w:val="22"/>
      <w:lang w:val="en-US"/>
    </w:rPr>
  </w:style>
  <w:style w:type="paragraph" w:customStyle="1" w:styleId="BlockSeparator">
    <w:name w:val="BlockSeparator"/>
    <w:basedOn w:val="Normal"/>
    <w:qFormat/>
    <w:rsid w:val="00E36455"/>
    <w:pPr>
      <w:pBdr>
        <w:bottom w:val="single" w:sz="8" w:space="0" w:color="CCCCCC"/>
      </w:pBdr>
      <w:spacing w:after="0" w:line="120" w:lineRule="auto"/>
      <w:jc w:val="center"/>
    </w:pPr>
    <w:rPr>
      <w:rFonts w:asciiTheme="minorHAnsi" w:eastAsiaTheme="minorEastAsia" w:hAnsiTheme="minorHAnsi" w:cstheme="minorBidi"/>
      <w:b/>
      <w:color w:val="CCCCCC"/>
      <w:sz w:val="22"/>
      <w:szCs w:val="22"/>
      <w:lang w:val="en-US"/>
    </w:rPr>
  </w:style>
  <w:style w:type="paragraph" w:customStyle="1" w:styleId="QuestionSeparator">
    <w:name w:val="QuestionSeparator"/>
    <w:basedOn w:val="Normal"/>
    <w:qFormat/>
    <w:rsid w:val="00E36455"/>
    <w:pPr>
      <w:pBdr>
        <w:top w:val="dashed" w:sz="8" w:space="0" w:color="CCCCCC"/>
      </w:pBdr>
      <w:spacing w:before="120" w:after="120" w:line="120" w:lineRule="auto"/>
    </w:pPr>
    <w:rPr>
      <w:rFonts w:asciiTheme="minorHAnsi" w:eastAsiaTheme="minorEastAsia" w:hAnsiTheme="minorHAnsi" w:cstheme="minorBidi"/>
      <w:sz w:val="22"/>
      <w:szCs w:val="22"/>
      <w:lang w:val="en-US"/>
    </w:rPr>
  </w:style>
  <w:style w:type="paragraph" w:customStyle="1" w:styleId="Dropdown">
    <w:name w:val="Dropdown"/>
    <w:basedOn w:val="Normal"/>
    <w:qFormat/>
    <w:rsid w:val="00E36455"/>
    <w:pPr>
      <w:pBdr>
        <w:top w:val="single" w:sz="4" w:space="4" w:color="CCCCCC"/>
        <w:left w:val="single" w:sz="4" w:space="4" w:color="CCCCCC"/>
        <w:bottom w:val="single" w:sz="4" w:space="4" w:color="CCCCCC"/>
        <w:right w:val="single" w:sz="4" w:space="4" w:color="CCCCCC"/>
      </w:pBdr>
      <w:spacing w:before="120" w:after="120"/>
    </w:pPr>
    <w:rPr>
      <w:rFonts w:asciiTheme="minorHAnsi" w:eastAsiaTheme="minorEastAsia" w:hAnsiTheme="minorHAnsi" w:cstheme="minorBidi"/>
      <w:sz w:val="22"/>
      <w:szCs w:val="22"/>
      <w:lang w:val="en-US"/>
    </w:rPr>
  </w:style>
  <w:style w:type="paragraph" w:customStyle="1" w:styleId="TextEntryLine">
    <w:name w:val="TextEntryLine"/>
    <w:basedOn w:val="Normal"/>
    <w:qFormat/>
    <w:rsid w:val="00E36455"/>
    <w:pPr>
      <w:spacing w:before="240" w:after="0"/>
    </w:pPr>
    <w:rPr>
      <w:rFonts w:asciiTheme="minorHAnsi" w:eastAsiaTheme="minorEastAsia" w:hAnsiTheme="minorHAnsi" w:cstheme="minorBidi"/>
      <w:sz w:val="22"/>
      <w:szCs w:val="22"/>
      <w:lang w:val="en-US"/>
    </w:rPr>
  </w:style>
  <w:style w:type="paragraph" w:customStyle="1" w:styleId="SFGreen">
    <w:name w:val="SFGreen"/>
    <w:basedOn w:val="Normal"/>
    <w:qFormat/>
    <w:rsid w:val="00E36455"/>
    <w:pPr>
      <w:pBdr>
        <w:top w:val="single" w:sz="4" w:space="4" w:color="D1D9BD"/>
        <w:left w:val="single" w:sz="4" w:space="4" w:color="D1D9BD"/>
        <w:bottom w:val="single" w:sz="4" w:space="4" w:color="D1D9BD"/>
        <w:right w:val="single" w:sz="4" w:space="4" w:color="D1D9BD"/>
      </w:pBdr>
      <w:shd w:val="clear" w:color="auto" w:fill="EDF2E3"/>
      <w:spacing w:after="0" w:line="276" w:lineRule="auto"/>
    </w:pPr>
    <w:rPr>
      <w:rFonts w:asciiTheme="minorHAnsi" w:eastAsiaTheme="minorEastAsia" w:hAnsiTheme="minorHAnsi" w:cstheme="minorBidi"/>
      <w:b/>
      <w:color w:val="809163"/>
      <w:sz w:val="22"/>
      <w:szCs w:val="22"/>
      <w:lang w:val="en-US"/>
    </w:rPr>
  </w:style>
  <w:style w:type="paragraph" w:customStyle="1" w:styleId="SFBlue">
    <w:name w:val="SFBlue"/>
    <w:basedOn w:val="Normal"/>
    <w:qFormat/>
    <w:rsid w:val="00E36455"/>
    <w:pPr>
      <w:pBdr>
        <w:top w:val="single" w:sz="4" w:space="4" w:color="C3CDDB"/>
        <w:left w:val="single" w:sz="4" w:space="4" w:color="C3CDDB"/>
        <w:bottom w:val="single" w:sz="4" w:space="4" w:color="C3CDDB"/>
        <w:right w:val="single" w:sz="4" w:space="4" w:color="C3CDDB"/>
      </w:pBdr>
      <w:shd w:val="clear" w:color="auto" w:fill="E6ECF5"/>
      <w:spacing w:after="0" w:line="276" w:lineRule="auto"/>
    </w:pPr>
    <w:rPr>
      <w:rFonts w:asciiTheme="minorHAnsi" w:eastAsiaTheme="minorEastAsia" w:hAnsiTheme="minorHAnsi" w:cstheme="minorBidi"/>
      <w:b/>
      <w:color w:val="426092"/>
      <w:sz w:val="22"/>
      <w:szCs w:val="22"/>
      <w:lang w:val="en-US"/>
    </w:rPr>
  </w:style>
  <w:style w:type="paragraph" w:customStyle="1" w:styleId="SFPurple">
    <w:name w:val="SFPurple"/>
    <w:basedOn w:val="Normal"/>
    <w:qFormat/>
    <w:rsid w:val="00E36455"/>
    <w:pPr>
      <w:pBdr>
        <w:top w:val="single" w:sz="4" w:space="4" w:color="D1C0D1"/>
        <w:left w:val="single" w:sz="4" w:space="4" w:color="D1C0D1"/>
        <w:bottom w:val="single" w:sz="4" w:space="4" w:color="D1C0D1"/>
        <w:right w:val="single" w:sz="4" w:space="4" w:color="D1C0D1"/>
      </w:pBdr>
      <w:shd w:val="clear" w:color="auto" w:fill="F2E3F2"/>
      <w:spacing w:after="0" w:line="276" w:lineRule="auto"/>
    </w:pPr>
    <w:rPr>
      <w:rFonts w:asciiTheme="minorHAnsi" w:eastAsiaTheme="minorEastAsia" w:hAnsiTheme="minorHAnsi" w:cstheme="minorBidi"/>
      <w:b/>
      <w:color w:val="916391"/>
      <w:sz w:val="22"/>
      <w:szCs w:val="22"/>
      <w:lang w:val="en-US"/>
    </w:rPr>
  </w:style>
  <w:style w:type="paragraph" w:customStyle="1" w:styleId="SFGray">
    <w:name w:val="SFGray"/>
    <w:basedOn w:val="Normal"/>
    <w:qFormat/>
    <w:rsid w:val="00E36455"/>
    <w:pPr>
      <w:pBdr>
        <w:top w:val="single" w:sz="4" w:space="4" w:color="CFCFCF"/>
        <w:left w:val="single" w:sz="4" w:space="4" w:color="CFCFCF"/>
        <w:bottom w:val="single" w:sz="4" w:space="4" w:color="CFCFCF"/>
        <w:right w:val="single" w:sz="4" w:space="4" w:color="CFCFCF"/>
      </w:pBdr>
      <w:shd w:val="clear" w:color="auto" w:fill="F2F2F2"/>
      <w:spacing w:after="0" w:line="276" w:lineRule="auto"/>
    </w:pPr>
    <w:rPr>
      <w:rFonts w:asciiTheme="minorHAnsi" w:eastAsiaTheme="minorEastAsia" w:hAnsiTheme="minorHAnsi" w:cstheme="minorBidi"/>
      <w:b/>
      <w:color w:val="555555"/>
      <w:sz w:val="22"/>
      <w:szCs w:val="22"/>
      <w:lang w:val="en-US"/>
    </w:rPr>
  </w:style>
  <w:style w:type="paragraph" w:customStyle="1" w:styleId="SFRed">
    <w:name w:val="SFRed"/>
    <w:basedOn w:val="Normal"/>
    <w:qFormat/>
    <w:rsid w:val="00E36455"/>
    <w:pPr>
      <w:pBdr>
        <w:top w:val="single" w:sz="4" w:space="4" w:color="700606"/>
        <w:left w:val="single" w:sz="4" w:space="4" w:color="700606"/>
        <w:bottom w:val="single" w:sz="4" w:space="4" w:color="700606"/>
        <w:right w:val="single" w:sz="4" w:space="4" w:color="700606"/>
      </w:pBdr>
      <w:shd w:val="clear" w:color="auto" w:fill="8C0707"/>
      <w:spacing w:after="0" w:line="276" w:lineRule="auto"/>
    </w:pPr>
    <w:rPr>
      <w:rFonts w:asciiTheme="minorHAnsi" w:eastAsiaTheme="minorEastAsia" w:hAnsiTheme="minorHAnsi" w:cstheme="minorBidi"/>
      <w:b/>
      <w:color w:val="FFFFFF"/>
      <w:sz w:val="22"/>
      <w:szCs w:val="22"/>
      <w:lang w:val="en-US"/>
    </w:rPr>
  </w:style>
  <w:style w:type="paragraph" w:customStyle="1" w:styleId="QPlaceholderAlert">
    <w:name w:val="QPlaceholderAlert"/>
    <w:basedOn w:val="Normal"/>
    <w:qFormat/>
    <w:rsid w:val="00E36455"/>
    <w:pPr>
      <w:spacing w:after="0" w:line="276" w:lineRule="auto"/>
    </w:pPr>
    <w:rPr>
      <w:rFonts w:asciiTheme="minorHAnsi" w:eastAsiaTheme="minorEastAsia" w:hAnsiTheme="minorHAnsi" w:cstheme="minorBidi"/>
      <w:color w:val="FF0000"/>
      <w:sz w:val="22"/>
      <w:szCs w:val="22"/>
      <w:lang w:val="en-US"/>
    </w:rPr>
  </w:style>
  <w:style w:type="paragraph" w:customStyle="1" w:styleId="msonormal0">
    <w:name w:val="msonormal"/>
    <w:basedOn w:val="Normal"/>
    <w:rsid w:val="00E36455"/>
    <w:pPr>
      <w:spacing w:before="100" w:beforeAutospacing="1" w:after="100" w:afterAutospacing="1"/>
    </w:pPr>
    <w:rPr>
      <w:rFonts w:ascii="Times New Roman" w:hAnsi="Times New Roman"/>
      <w:sz w:val="24"/>
      <w:lang w:eastAsia="en-IE"/>
    </w:rPr>
  </w:style>
  <w:style w:type="character" w:customStyle="1" w:styleId="textrun">
    <w:name w:val="textrun"/>
    <w:basedOn w:val="DefaultParagraphFont"/>
    <w:rsid w:val="00E36455"/>
  </w:style>
  <w:style w:type="character" w:customStyle="1" w:styleId="author">
    <w:name w:val="author"/>
    <w:basedOn w:val="DefaultParagraphFont"/>
    <w:rsid w:val="00CA745A"/>
  </w:style>
  <w:style w:type="character" w:customStyle="1" w:styleId="articletitle">
    <w:name w:val="articletitle"/>
    <w:basedOn w:val="DefaultParagraphFont"/>
    <w:rsid w:val="00CA745A"/>
  </w:style>
  <w:style w:type="character" w:customStyle="1" w:styleId="pubyear">
    <w:name w:val="pubyear"/>
    <w:basedOn w:val="DefaultParagraphFont"/>
    <w:rsid w:val="00CA745A"/>
  </w:style>
  <w:style w:type="character" w:customStyle="1" w:styleId="vol">
    <w:name w:val="vol"/>
    <w:basedOn w:val="DefaultParagraphFont"/>
    <w:rsid w:val="00CA745A"/>
  </w:style>
  <w:style w:type="character" w:customStyle="1" w:styleId="pagefirst">
    <w:name w:val="pagefirst"/>
    <w:basedOn w:val="DefaultParagraphFont"/>
    <w:rsid w:val="00CA745A"/>
  </w:style>
  <w:style w:type="character" w:customStyle="1" w:styleId="pagelast">
    <w:name w:val="pagelast"/>
    <w:basedOn w:val="DefaultParagraphFont"/>
    <w:rsid w:val="00CA745A"/>
  </w:style>
  <w:style w:type="character" w:customStyle="1" w:styleId="Subtitle1">
    <w:name w:val="Subtitle1"/>
    <w:basedOn w:val="DefaultParagraphFont"/>
    <w:rsid w:val="00126080"/>
  </w:style>
  <w:style w:type="character" w:customStyle="1" w:styleId="title-text">
    <w:name w:val="title-text"/>
    <w:basedOn w:val="DefaultParagraphFont"/>
    <w:rsid w:val="00126080"/>
  </w:style>
  <w:style w:type="character" w:customStyle="1" w:styleId="UnresolvedMention2">
    <w:name w:val="Unresolved Mention2"/>
    <w:basedOn w:val="DefaultParagraphFont"/>
    <w:uiPriority w:val="99"/>
    <w:unhideWhenUsed/>
    <w:rsid w:val="00AD406D"/>
    <w:rPr>
      <w:color w:val="605E5C"/>
      <w:shd w:val="clear" w:color="auto" w:fill="E1DFDD"/>
    </w:rPr>
  </w:style>
  <w:style w:type="character" w:customStyle="1" w:styleId="Mention2">
    <w:name w:val="Mention2"/>
    <w:basedOn w:val="DefaultParagraphFont"/>
    <w:uiPriority w:val="99"/>
    <w:unhideWhenUsed/>
    <w:rsid w:val="009C1FFB"/>
    <w:rPr>
      <w:color w:val="2B579A"/>
      <w:shd w:val="clear" w:color="auto" w:fill="E1DFDD"/>
    </w:rPr>
  </w:style>
  <w:style w:type="numbering" w:customStyle="1" w:styleId="Multipunch1">
    <w:name w:val="Multi punch1"/>
    <w:rsid w:val="00A93DB6"/>
  </w:style>
  <w:style w:type="numbering" w:customStyle="1" w:styleId="Singlepunch1">
    <w:name w:val="Single punch1"/>
    <w:rsid w:val="00A93DB6"/>
  </w:style>
  <w:style w:type="character" w:customStyle="1" w:styleId="DateChar">
    <w:name w:val="Date Char"/>
    <w:basedOn w:val="DefaultParagraphFont"/>
    <w:link w:val="Date"/>
    <w:rsid w:val="00693AC8"/>
    <w:rPr>
      <w:rFonts w:ascii="Gill Sans MT" w:eastAsia="Times New Roman" w:hAnsi="Gill Sans MT"/>
      <w:i/>
      <w:sz w:val="26"/>
      <w:szCs w:val="24"/>
      <w:lang w:eastAsia="en-US"/>
    </w:rPr>
  </w:style>
  <w:style w:type="character" w:customStyle="1" w:styleId="DocumentMapChar">
    <w:name w:val="Document Map Char"/>
    <w:basedOn w:val="DefaultParagraphFont"/>
    <w:link w:val="DocumentMap"/>
    <w:rsid w:val="00693AC8"/>
    <w:rPr>
      <w:rFonts w:ascii="Tahoma" w:eastAsia="Times New Roman" w:hAnsi="Tahoma" w:cs="Tahoma"/>
      <w:szCs w:val="24"/>
      <w:shd w:val="clear" w:color="auto" w:fill="000080"/>
      <w:lang w:eastAsia="en-US"/>
    </w:rPr>
  </w:style>
  <w:style w:type="character" w:customStyle="1" w:styleId="MacroTextChar">
    <w:name w:val="Macro Text Char"/>
    <w:basedOn w:val="DefaultParagraphFont"/>
    <w:link w:val="MacroText"/>
    <w:rsid w:val="00693AC8"/>
    <w:rPr>
      <w:rFonts w:ascii="Courier New" w:eastAsia="Times New Roman" w:hAnsi="Courier New" w:cs="Courier New"/>
      <w:lang w:eastAsia="en-US"/>
    </w:rPr>
  </w:style>
  <w:style w:type="character" w:customStyle="1" w:styleId="SubtitleChar">
    <w:name w:val="Subtitle Char"/>
    <w:basedOn w:val="DefaultParagraphFont"/>
    <w:link w:val="Subtitle"/>
    <w:rsid w:val="00693AC8"/>
    <w:rPr>
      <w:rFonts w:ascii="Gill Sans MT" w:eastAsia="Times New Roman" w:hAnsi="Gill Sans MT"/>
      <w:sz w:val="28"/>
      <w:szCs w:val="24"/>
      <w:lang w:eastAsia="en-US"/>
    </w:rPr>
  </w:style>
  <w:style w:type="character" w:customStyle="1" w:styleId="TitleChar">
    <w:name w:val="Title Char"/>
    <w:basedOn w:val="DefaultParagraphFont"/>
    <w:link w:val="Title"/>
    <w:rsid w:val="00693AC8"/>
    <w:rPr>
      <w:rFonts w:ascii="Gill Sans MT" w:eastAsia="Times New Roman" w:hAnsi="Gill Sans MT" w:cs="Arial"/>
      <w:b/>
      <w:bCs/>
      <w:kern w:val="28"/>
      <w:sz w:val="36"/>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25884">
      <w:bodyDiv w:val="1"/>
      <w:marLeft w:val="0"/>
      <w:marRight w:val="0"/>
      <w:marTop w:val="0"/>
      <w:marBottom w:val="0"/>
      <w:divBdr>
        <w:top w:val="none" w:sz="0" w:space="0" w:color="auto"/>
        <w:left w:val="none" w:sz="0" w:space="0" w:color="auto"/>
        <w:bottom w:val="none" w:sz="0" w:space="0" w:color="auto"/>
        <w:right w:val="none" w:sz="0" w:space="0" w:color="auto"/>
      </w:divBdr>
    </w:div>
    <w:div w:id="111828204">
      <w:bodyDiv w:val="1"/>
      <w:marLeft w:val="0"/>
      <w:marRight w:val="0"/>
      <w:marTop w:val="0"/>
      <w:marBottom w:val="0"/>
      <w:divBdr>
        <w:top w:val="none" w:sz="0" w:space="0" w:color="auto"/>
        <w:left w:val="none" w:sz="0" w:space="0" w:color="auto"/>
        <w:bottom w:val="none" w:sz="0" w:space="0" w:color="auto"/>
        <w:right w:val="none" w:sz="0" w:space="0" w:color="auto"/>
      </w:divBdr>
    </w:div>
    <w:div w:id="126168808">
      <w:bodyDiv w:val="1"/>
      <w:marLeft w:val="0"/>
      <w:marRight w:val="0"/>
      <w:marTop w:val="0"/>
      <w:marBottom w:val="0"/>
      <w:divBdr>
        <w:top w:val="none" w:sz="0" w:space="0" w:color="auto"/>
        <w:left w:val="none" w:sz="0" w:space="0" w:color="auto"/>
        <w:bottom w:val="none" w:sz="0" w:space="0" w:color="auto"/>
        <w:right w:val="none" w:sz="0" w:space="0" w:color="auto"/>
      </w:divBdr>
    </w:div>
    <w:div w:id="195314518">
      <w:bodyDiv w:val="1"/>
      <w:marLeft w:val="0"/>
      <w:marRight w:val="0"/>
      <w:marTop w:val="0"/>
      <w:marBottom w:val="0"/>
      <w:divBdr>
        <w:top w:val="none" w:sz="0" w:space="0" w:color="auto"/>
        <w:left w:val="none" w:sz="0" w:space="0" w:color="auto"/>
        <w:bottom w:val="none" w:sz="0" w:space="0" w:color="auto"/>
        <w:right w:val="none" w:sz="0" w:space="0" w:color="auto"/>
      </w:divBdr>
      <w:divsChild>
        <w:div w:id="918443531">
          <w:marLeft w:val="0"/>
          <w:marRight w:val="0"/>
          <w:marTop w:val="0"/>
          <w:marBottom w:val="0"/>
          <w:divBdr>
            <w:top w:val="none" w:sz="0" w:space="0" w:color="auto"/>
            <w:left w:val="none" w:sz="0" w:space="0" w:color="auto"/>
            <w:bottom w:val="none" w:sz="0" w:space="0" w:color="auto"/>
            <w:right w:val="none" w:sz="0" w:space="0" w:color="auto"/>
          </w:divBdr>
        </w:div>
        <w:div w:id="1515875349">
          <w:marLeft w:val="0"/>
          <w:marRight w:val="0"/>
          <w:marTop w:val="0"/>
          <w:marBottom w:val="0"/>
          <w:divBdr>
            <w:top w:val="none" w:sz="0" w:space="0" w:color="auto"/>
            <w:left w:val="none" w:sz="0" w:space="0" w:color="auto"/>
            <w:bottom w:val="none" w:sz="0" w:space="0" w:color="auto"/>
            <w:right w:val="none" w:sz="0" w:space="0" w:color="auto"/>
          </w:divBdr>
        </w:div>
        <w:div w:id="1663122191">
          <w:marLeft w:val="0"/>
          <w:marRight w:val="0"/>
          <w:marTop w:val="0"/>
          <w:marBottom w:val="0"/>
          <w:divBdr>
            <w:top w:val="none" w:sz="0" w:space="0" w:color="auto"/>
            <w:left w:val="none" w:sz="0" w:space="0" w:color="auto"/>
            <w:bottom w:val="none" w:sz="0" w:space="0" w:color="auto"/>
            <w:right w:val="none" w:sz="0" w:space="0" w:color="auto"/>
          </w:divBdr>
        </w:div>
      </w:divsChild>
    </w:div>
    <w:div w:id="301543851">
      <w:bodyDiv w:val="1"/>
      <w:marLeft w:val="0"/>
      <w:marRight w:val="0"/>
      <w:marTop w:val="0"/>
      <w:marBottom w:val="0"/>
      <w:divBdr>
        <w:top w:val="none" w:sz="0" w:space="0" w:color="auto"/>
        <w:left w:val="none" w:sz="0" w:space="0" w:color="auto"/>
        <w:bottom w:val="none" w:sz="0" w:space="0" w:color="auto"/>
        <w:right w:val="none" w:sz="0" w:space="0" w:color="auto"/>
      </w:divBdr>
    </w:div>
    <w:div w:id="483667379">
      <w:bodyDiv w:val="1"/>
      <w:marLeft w:val="0"/>
      <w:marRight w:val="0"/>
      <w:marTop w:val="0"/>
      <w:marBottom w:val="0"/>
      <w:divBdr>
        <w:top w:val="none" w:sz="0" w:space="0" w:color="auto"/>
        <w:left w:val="none" w:sz="0" w:space="0" w:color="auto"/>
        <w:bottom w:val="none" w:sz="0" w:space="0" w:color="auto"/>
        <w:right w:val="none" w:sz="0" w:space="0" w:color="auto"/>
      </w:divBdr>
    </w:div>
    <w:div w:id="492113499">
      <w:bodyDiv w:val="1"/>
      <w:marLeft w:val="0"/>
      <w:marRight w:val="0"/>
      <w:marTop w:val="0"/>
      <w:marBottom w:val="0"/>
      <w:divBdr>
        <w:top w:val="none" w:sz="0" w:space="0" w:color="auto"/>
        <w:left w:val="none" w:sz="0" w:space="0" w:color="auto"/>
        <w:bottom w:val="none" w:sz="0" w:space="0" w:color="auto"/>
        <w:right w:val="none" w:sz="0" w:space="0" w:color="auto"/>
      </w:divBdr>
      <w:divsChild>
        <w:div w:id="37946442">
          <w:marLeft w:val="0"/>
          <w:marRight w:val="0"/>
          <w:marTop w:val="0"/>
          <w:marBottom w:val="0"/>
          <w:divBdr>
            <w:top w:val="none" w:sz="0" w:space="0" w:color="auto"/>
            <w:left w:val="none" w:sz="0" w:space="0" w:color="auto"/>
            <w:bottom w:val="none" w:sz="0" w:space="0" w:color="auto"/>
            <w:right w:val="none" w:sz="0" w:space="0" w:color="auto"/>
          </w:divBdr>
        </w:div>
        <w:div w:id="39257387">
          <w:marLeft w:val="0"/>
          <w:marRight w:val="0"/>
          <w:marTop w:val="0"/>
          <w:marBottom w:val="0"/>
          <w:divBdr>
            <w:top w:val="none" w:sz="0" w:space="0" w:color="auto"/>
            <w:left w:val="none" w:sz="0" w:space="0" w:color="auto"/>
            <w:bottom w:val="none" w:sz="0" w:space="0" w:color="auto"/>
            <w:right w:val="none" w:sz="0" w:space="0" w:color="auto"/>
          </w:divBdr>
        </w:div>
        <w:div w:id="65956738">
          <w:marLeft w:val="0"/>
          <w:marRight w:val="0"/>
          <w:marTop w:val="0"/>
          <w:marBottom w:val="0"/>
          <w:divBdr>
            <w:top w:val="none" w:sz="0" w:space="0" w:color="auto"/>
            <w:left w:val="none" w:sz="0" w:space="0" w:color="auto"/>
            <w:bottom w:val="none" w:sz="0" w:space="0" w:color="auto"/>
            <w:right w:val="none" w:sz="0" w:space="0" w:color="auto"/>
          </w:divBdr>
        </w:div>
        <w:div w:id="95757832">
          <w:marLeft w:val="0"/>
          <w:marRight w:val="0"/>
          <w:marTop w:val="0"/>
          <w:marBottom w:val="0"/>
          <w:divBdr>
            <w:top w:val="none" w:sz="0" w:space="0" w:color="auto"/>
            <w:left w:val="none" w:sz="0" w:space="0" w:color="auto"/>
            <w:bottom w:val="none" w:sz="0" w:space="0" w:color="auto"/>
            <w:right w:val="none" w:sz="0" w:space="0" w:color="auto"/>
          </w:divBdr>
        </w:div>
        <w:div w:id="100885293">
          <w:marLeft w:val="0"/>
          <w:marRight w:val="0"/>
          <w:marTop w:val="0"/>
          <w:marBottom w:val="0"/>
          <w:divBdr>
            <w:top w:val="none" w:sz="0" w:space="0" w:color="auto"/>
            <w:left w:val="none" w:sz="0" w:space="0" w:color="auto"/>
            <w:bottom w:val="none" w:sz="0" w:space="0" w:color="auto"/>
            <w:right w:val="none" w:sz="0" w:space="0" w:color="auto"/>
          </w:divBdr>
        </w:div>
        <w:div w:id="127861021">
          <w:marLeft w:val="0"/>
          <w:marRight w:val="0"/>
          <w:marTop w:val="0"/>
          <w:marBottom w:val="0"/>
          <w:divBdr>
            <w:top w:val="none" w:sz="0" w:space="0" w:color="auto"/>
            <w:left w:val="none" w:sz="0" w:space="0" w:color="auto"/>
            <w:bottom w:val="none" w:sz="0" w:space="0" w:color="auto"/>
            <w:right w:val="none" w:sz="0" w:space="0" w:color="auto"/>
          </w:divBdr>
        </w:div>
        <w:div w:id="504129865">
          <w:marLeft w:val="0"/>
          <w:marRight w:val="0"/>
          <w:marTop w:val="0"/>
          <w:marBottom w:val="0"/>
          <w:divBdr>
            <w:top w:val="none" w:sz="0" w:space="0" w:color="auto"/>
            <w:left w:val="none" w:sz="0" w:space="0" w:color="auto"/>
            <w:bottom w:val="none" w:sz="0" w:space="0" w:color="auto"/>
            <w:right w:val="none" w:sz="0" w:space="0" w:color="auto"/>
          </w:divBdr>
        </w:div>
        <w:div w:id="562062655">
          <w:marLeft w:val="0"/>
          <w:marRight w:val="0"/>
          <w:marTop w:val="0"/>
          <w:marBottom w:val="0"/>
          <w:divBdr>
            <w:top w:val="none" w:sz="0" w:space="0" w:color="auto"/>
            <w:left w:val="none" w:sz="0" w:space="0" w:color="auto"/>
            <w:bottom w:val="none" w:sz="0" w:space="0" w:color="auto"/>
            <w:right w:val="none" w:sz="0" w:space="0" w:color="auto"/>
          </w:divBdr>
        </w:div>
        <w:div w:id="577059463">
          <w:marLeft w:val="0"/>
          <w:marRight w:val="0"/>
          <w:marTop w:val="0"/>
          <w:marBottom w:val="0"/>
          <w:divBdr>
            <w:top w:val="none" w:sz="0" w:space="0" w:color="auto"/>
            <w:left w:val="none" w:sz="0" w:space="0" w:color="auto"/>
            <w:bottom w:val="none" w:sz="0" w:space="0" w:color="auto"/>
            <w:right w:val="none" w:sz="0" w:space="0" w:color="auto"/>
          </w:divBdr>
        </w:div>
        <w:div w:id="912548756">
          <w:marLeft w:val="0"/>
          <w:marRight w:val="0"/>
          <w:marTop w:val="0"/>
          <w:marBottom w:val="0"/>
          <w:divBdr>
            <w:top w:val="none" w:sz="0" w:space="0" w:color="auto"/>
            <w:left w:val="none" w:sz="0" w:space="0" w:color="auto"/>
            <w:bottom w:val="none" w:sz="0" w:space="0" w:color="auto"/>
            <w:right w:val="none" w:sz="0" w:space="0" w:color="auto"/>
          </w:divBdr>
        </w:div>
        <w:div w:id="916405680">
          <w:marLeft w:val="0"/>
          <w:marRight w:val="0"/>
          <w:marTop w:val="0"/>
          <w:marBottom w:val="0"/>
          <w:divBdr>
            <w:top w:val="none" w:sz="0" w:space="0" w:color="auto"/>
            <w:left w:val="none" w:sz="0" w:space="0" w:color="auto"/>
            <w:bottom w:val="none" w:sz="0" w:space="0" w:color="auto"/>
            <w:right w:val="none" w:sz="0" w:space="0" w:color="auto"/>
          </w:divBdr>
        </w:div>
        <w:div w:id="1008673361">
          <w:marLeft w:val="0"/>
          <w:marRight w:val="0"/>
          <w:marTop w:val="0"/>
          <w:marBottom w:val="0"/>
          <w:divBdr>
            <w:top w:val="none" w:sz="0" w:space="0" w:color="auto"/>
            <w:left w:val="none" w:sz="0" w:space="0" w:color="auto"/>
            <w:bottom w:val="none" w:sz="0" w:space="0" w:color="auto"/>
            <w:right w:val="none" w:sz="0" w:space="0" w:color="auto"/>
          </w:divBdr>
        </w:div>
        <w:div w:id="1011372064">
          <w:marLeft w:val="0"/>
          <w:marRight w:val="0"/>
          <w:marTop w:val="0"/>
          <w:marBottom w:val="0"/>
          <w:divBdr>
            <w:top w:val="none" w:sz="0" w:space="0" w:color="auto"/>
            <w:left w:val="none" w:sz="0" w:space="0" w:color="auto"/>
            <w:bottom w:val="none" w:sz="0" w:space="0" w:color="auto"/>
            <w:right w:val="none" w:sz="0" w:space="0" w:color="auto"/>
          </w:divBdr>
        </w:div>
        <w:div w:id="1114834370">
          <w:marLeft w:val="0"/>
          <w:marRight w:val="0"/>
          <w:marTop w:val="0"/>
          <w:marBottom w:val="0"/>
          <w:divBdr>
            <w:top w:val="none" w:sz="0" w:space="0" w:color="auto"/>
            <w:left w:val="none" w:sz="0" w:space="0" w:color="auto"/>
            <w:bottom w:val="none" w:sz="0" w:space="0" w:color="auto"/>
            <w:right w:val="none" w:sz="0" w:space="0" w:color="auto"/>
          </w:divBdr>
          <w:divsChild>
            <w:div w:id="500313782">
              <w:marLeft w:val="0"/>
              <w:marRight w:val="0"/>
              <w:marTop w:val="0"/>
              <w:marBottom w:val="0"/>
              <w:divBdr>
                <w:top w:val="none" w:sz="0" w:space="0" w:color="auto"/>
                <w:left w:val="none" w:sz="0" w:space="0" w:color="auto"/>
                <w:bottom w:val="none" w:sz="0" w:space="0" w:color="auto"/>
                <w:right w:val="none" w:sz="0" w:space="0" w:color="auto"/>
              </w:divBdr>
            </w:div>
            <w:div w:id="1003584857">
              <w:marLeft w:val="0"/>
              <w:marRight w:val="0"/>
              <w:marTop w:val="0"/>
              <w:marBottom w:val="0"/>
              <w:divBdr>
                <w:top w:val="none" w:sz="0" w:space="0" w:color="auto"/>
                <w:left w:val="none" w:sz="0" w:space="0" w:color="auto"/>
                <w:bottom w:val="none" w:sz="0" w:space="0" w:color="auto"/>
                <w:right w:val="none" w:sz="0" w:space="0" w:color="auto"/>
              </w:divBdr>
            </w:div>
            <w:div w:id="1554122203">
              <w:marLeft w:val="0"/>
              <w:marRight w:val="0"/>
              <w:marTop w:val="0"/>
              <w:marBottom w:val="0"/>
              <w:divBdr>
                <w:top w:val="none" w:sz="0" w:space="0" w:color="auto"/>
                <w:left w:val="none" w:sz="0" w:space="0" w:color="auto"/>
                <w:bottom w:val="none" w:sz="0" w:space="0" w:color="auto"/>
                <w:right w:val="none" w:sz="0" w:space="0" w:color="auto"/>
              </w:divBdr>
            </w:div>
            <w:div w:id="1782262005">
              <w:marLeft w:val="0"/>
              <w:marRight w:val="0"/>
              <w:marTop w:val="0"/>
              <w:marBottom w:val="0"/>
              <w:divBdr>
                <w:top w:val="none" w:sz="0" w:space="0" w:color="auto"/>
                <w:left w:val="none" w:sz="0" w:space="0" w:color="auto"/>
                <w:bottom w:val="none" w:sz="0" w:space="0" w:color="auto"/>
                <w:right w:val="none" w:sz="0" w:space="0" w:color="auto"/>
              </w:divBdr>
            </w:div>
            <w:div w:id="2132242994">
              <w:marLeft w:val="0"/>
              <w:marRight w:val="0"/>
              <w:marTop w:val="0"/>
              <w:marBottom w:val="0"/>
              <w:divBdr>
                <w:top w:val="none" w:sz="0" w:space="0" w:color="auto"/>
                <w:left w:val="none" w:sz="0" w:space="0" w:color="auto"/>
                <w:bottom w:val="none" w:sz="0" w:space="0" w:color="auto"/>
                <w:right w:val="none" w:sz="0" w:space="0" w:color="auto"/>
              </w:divBdr>
            </w:div>
          </w:divsChild>
        </w:div>
        <w:div w:id="1203320984">
          <w:marLeft w:val="0"/>
          <w:marRight w:val="0"/>
          <w:marTop w:val="0"/>
          <w:marBottom w:val="0"/>
          <w:divBdr>
            <w:top w:val="none" w:sz="0" w:space="0" w:color="auto"/>
            <w:left w:val="none" w:sz="0" w:space="0" w:color="auto"/>
            <w:bottom w:val="none" w:sz="0" w:space="0" w:color="auto"/>
            <w:right w:val="none" w:sz="0" w:space="0" w:color="auto"/>
          </w:divBdr>
        </w:div>
        <w:div w:id="1256481714">
          <w:marLeft w:val="0"/>
          <w:marRight w:val="0"/>
          <w:marTop w:val="0"/>
          <w:marBottom w:val="0"/>
          <w:divBdr>
            <w:top w:val="none" w:sz="0" w:space="0" w:color="auto"/>
            <w:left w:val="none" w:sz="0" w:space="0" w:color="auto"/>
            <w:bottom w:val="none" w:sz="0" w:space="0" w:color="auto"/>
            <w:right w:val="none" w:sz="0" w:space="0" w:color="auto"/>
          </w:divBdr>
        </w:div>
        <w:div w:id="1267276247">
          <w:marLeft w:val="0"/>
          <w:marRight w:val="0"/>
          <w:marTop w:val="0"/>
          <w:marBottom w:val="0"/>
          <w:divBdr>
            <w:top w:val="none" w:sz="0" w:space="0" w:color="auto"/>
            <w:left w:val="none" w:sz="0" w:space="0" w:color="auto"/>
            <w:bottom w:val="none" w:sz="0" w:space="0" w:color="auto"/>
            <w:right w:val="none" w:sz="0" w:space="0" w:color="auto"/>
          </w:divBdr>
        </w:div>
        <w:div w:id="1279871643">
          <w:marLeft w:val="0"/>
          <w:marRight w:val="0"/>
          <w:marTop w:val="0"/>
          <w:marBottom w:val="0"/>
          <w:divBdr>
            <w:top w:val="none" w:sz="0" w:space="0" w:color="auto"/>
            <w:left w:val="none" w:sz="0" w:space="0" w:color="auto"/>
            <w:bottom w:val="none" w:sz="0" w:space="0" w:color="auto"/>
            <w:right w:val="none" w:sz="0" w:space="0" w:color="auto"/>
          </w:divBdr>
        </w:div>
        <w:div w:id="1285192746">
          <w:marLeft w:val="0"/>
          <w:marRight w:val="0"/>
          <w:marTop w:val="0"/>
          <w:marBottom w:val="0"/>
          <w:divBdr>
            <w:top w:val="none" w:sz="0" w:space="0" w:color="auto"/>
            <w:left w:val="none" w:sz="0" w:space="0" w:color="auto"/>
            <w:bottom w:val="none" w:sz="0" w:space="0" w:color="auto"/>
            <w:right w:val="none" w:sz="0" w:space="0" w:color="auto"/>
          </w:divBdr>
        </w:div>
        <w:div w:id="1300764373">
          <w:marLeft w:val="0"/>
          <w:marRight w:val="0"/>
          <w:marTop w:val="0"/>
          <w:marBottom w:val="0"/>
          <w:divBdr>
            <w:top w:val="none" w:sz="0" w:space="0" w:color="auto"/>
            <w:left w:val="none" w:sz="0" w:space="0" w:color="auto"/>
            <w:bottom w:val="none" w:sz="0" w:space="0" w:color="auto"/>
            <w:right w:val="none" w:sz="0" w:space="0" w:color="auto"/>
          </w:divBdr>
        </w:div>
        <w:div w:id="1430929185">
          <w:marLeft w:val="0"/>
          <w:marRight w:val="0"/>
          <w:marTop w:val="0"/>
          <w:marBottom w:val="0"/>
          <w:divBdr>
            <w:top w:val="none" w:sz="0" w:space="0" w:color="auto"/>
            <w:left w:val="none" w:sz="0" w:space="0" w:color="auto"/>
            <w:bottom w:val="none" w:sz="0" w:space="0" w:color="auto"/>
            <w:right w:val="none" w:sz="0" w:space="0" w:color="auto"/>
          </w:divBdr>
        </w:div>
        <w:div w:id="1509058170">
          <w:marLeft w:val="0"/>
          <w:marRight w:val="0"/>
          <w:marTop w:val="0"/>
          <w:marBottom w:val="0"/>
          <w:divBdr>
            <w:top w:val="none" w:sz="0" w:space="0" w:color="auto"/>
            <w:left w:val="none" w:sz="0" w:space="0" w:color="auto"/>
            <w:bottom w:val="none" w:sz="0" w:space="0" w:color="auto"/>
            <w:right w:val="none" w:sz="0" w:space="0" w:color="auto"/>
          </w:divBdr>
          <w:divsChild>
            <w:div w:id="329136678">
              <w:marLeft w:val="0"/>
              <w:marRight w:val="0"/>
              <w:marTop w:val="0"/>
              <w:marBottom w:val="0"/>
              <w:divBdr>
                <w:top w:val="none" w:sz="0" w:space="0" w:color="auto"/>
                <w:left w:val="none" w:sz="0" w:space="0" w:color="auto"/>
                <w:bottom w:val="none" w:sz="0" w:space="0" w:color="auto"/>
                <w:right w:val="none" w:sz="0" w:space="0" w:color="auto"/>
              </w:divBdr>
            </w:div>
            <w:div w:id="716660213">
              <w:marLeft w:val="0"/>
              <w:marRight w:val="0"/>
              <w:marTop w:val="0"/>
              <w:marBottom w:val="0"/>
              <w:divBdr>
                <w:top w:val="none" w:sz="0" w:space="0" w:color="auto"/>
                <w:left w:val="none" w:sz="0" w:space="0" w:color="auto"/>
                <w:bottom w:val="none" w:sz="0" w:space="0" w:color="auto"/>
                <w:right w:val="none" w:sz="0" w:space="0" w:color="auto"/>
              </w:divBdr>
            </w:div>
            <w:div w:id="1230261429">
              <w:marLeft w:val="0"/>
              <w:marRight w:val="0"/>
              <w:marTop w:val="0"/>
              <w:marBottom w:val="0"/>
              <w:divBdr>
                <w:top w:val="none" w:sz="0" w:space="0" w:color="auto"/>
                <w:left w:val="none" w:sz="0" w:space="0" w:color="auto"/>
                <w:bottom w:val="none" w:sz="0" w:space="0" w:color="auto"/>
                <w:right w:val="none" w:sz="0" w:space="0" w:color="auto"/>
              </w:divBdr>
            </w:div>
            <w:div w:id="1291276886">
              <w:marLeft w:val="0"/>
              <w:marRight w:val="0"/>
              <w:marTop w:val="0"/>
              <w:marBottom w:val="0"/>
              <w:divBdr>
                <w:top w:val="none" w:sz="0" w:space="0" w:color="auto"/>
                <w:left w:val="none" w:sz="0" w:space="0" w:color="auto"/>
                <w:bottom w:val="none" w:sz="0" w:space="0" w:color="auto"/>
                <w:right w:val="none" w:sz="0" w:space="0" w:color="auto"/>
              </w:divBdr>
            </w:div>
            <w:div w:id="1582058445">
              <w:marLeft w:val="0"/>
              <w:marRight w:val="0"/>
              <w:marTop w:val="0"/>
              <w:marBottom w:val="0"/>
              <w:divBdr>
                <w:top w:val="none" w:sz="0" w:space="0" w:color="auto"/>
                <w:left w:val="none" w:sz="0" w:space="0" w:color="auto"/>
                <w:bottom w:val="none" w:sz="0" w:space="0" w:color="auto"/>
                <w:right w:val="none" w:sz="0" w:space="0" w:color="auto"/>
              </w:divBdr>
            </w:div>
          </w:divsChild>
        </w:div>
        <w:div w:id="1618174149">
          <w:marLeft w:val="0"/>
          <w:marRight w:val="0"/>
          <w:marTop w:val="0"/>
          <w:marBottom w:val="0"/>
          <w:divBdr>
            <w:top w:val="none" w:sz="0" w:space="0" w:color="auto"/>
            <w:left w:val="none" w:sz="0" w:space="0" w:color="auto"/>
            <w:bottom w:val="none" w:sz="0" w:space="0" w:color="auto"/>
            <w:right w:val="none" w:sz="0" w:space="0" w:color="auto"/>
          </w:divBdr>
        </w:div>
        <w:div w:id="1927422372">
          <w:marLeft w:val="0"/>
          <w:marRight w:val="0"/>
          <w:marTop w:val="0"/>
          <w:marBottom w:val="0"/>
          <w:divBdr>
            <w:top w:val="none" w:sz="0" w:space="0" w:color="auto"/>
            <w:left w:val="none" w:sz="0" w:space="0" w:color="auto"/>
            <w:bottom w:val="none" w:sz="0" w:space="0" w:color="auto"/>
            <w:right w:val="none" w:sz="0" w:space="0" w:color="auto"/>
          </w:divBdr>
          <w:divsChild>
            <w:div w:id="5257321">
              <w:marLeft w:val="0"/>
              <w:marRight w:val="0"/>
              <w:marTop w:val="0"/>
              <w:marBottom w:val="0"/>
              <w:divBdr>
                <w:top w:val="none" w:sz="0" w:space="0" w:color="auto"/>
                <w:left w:val="none" w:sz="0" w:space="0" w:color="auto"/>
                <w:bottom w:val="none" w:sz="0" w:space="0" w:color="auto"/>
                <w:right w:val="none" w:sz="0" w:space="0" w:color="auto"/>
              </w:divBdr>
            </w:div>
            <w:div w:id="360983061">
              <w:marLeft w:val="0"/>
              <w:marRight w:val="0"/>
              <w:marTop w:val="0"/>
              <w:marBottom w:val="0"/>
              <w:divBdr>
                <w:top w:val="none" w:sz="0" w:space="0" w:color="auto"/>
                <w:left w:val="none" w:sz="0" w:space="0" w:color="auto"/>
                <w:bottom w:val="none" w:sz="0" w:space="0" w:color="auto"/>
                <w:right w:val="none" w:sz="0" w:space="0" w:color="auto"/>
              </w:divBdr>
            </w:div>
            <w:div w:id="399912402">
              <w:marLeft w:val="0"/>
              <w:marRight w:val="0"/>
              <w:marTop w:val="0"/>
              <w:marBottom w:val="0"/>
              <w:divBdr>
                <w:top w:val="none" w:sz="0" w:space="0" w:color="auto"/>
                <w:left w:val="none" w:sz="0" w:space="0" w:color="auto"/>
                <w:bottom w:val="none" w:sz="0" w:space="0" w:color="auto"/>
                <w:right w:val="none" w:sz="0" w:space="0" w:color="auto"/>
              </w:divBdr>
            </w:div>
            <w:div w:id="886180291">
              <w:marLeft w:val="0"/>
              <w:marRight w:val="0"/>
              <w:marTop w:val="0"/>
              <w:marBottom w:val="0"/>
              <w:divBdr>
                <w:top w:val="none" w:sz="0" w:space="0" w:color="auto"/>
                <w:left w:val="none" w:sz="0" w:space="0" w:color="auto"/>
                <w:bottom w:val="none" w:sz="0" w:space="0" w:color="auto"/>
                <w:right w:val="none" w:sz="0" w:space="0" w:color="auto"/>
              </w:divBdr>
            </w:div>
            <w:div w:id="1508977466">
              <w:marLeft w:val="0"/>
              <w:marRight w:val="0"/>
              <w:marTop w:val="0"/>
              <w:marBottom w:val="0"/>
              <w:divBdr>
                <w:top w:val="none" w:sz="0" w:space="0" w:color="auto"/>
                <w:left w:val="none" w:sz="0" w:space="0" w:color="auto"/>
                <w:bottom w:val="none" w:sz="0" w:space="0" w:color="auto"/>
                <w:right w:val="none" w:sz="0" w:space="0" w:color="auto"/>
              </w:divBdr>
            </w:div>
          </w:divsChild>
        </w:div>
        <w:div w:id="1928074777">
          <w:marLeft w:val="0"/>
          <w:marRight w:val="0"/>
          <w:marTop w:val="0"/>
          <w:marBottom w:val="0"/>
          <w:divBdr>
            <w:top w:val="none" w:sz="0" w:space="0" w:color="auto"/>
            <w:left w:val="none" w:sz="0" w:space="0" w:color="auto"/>
            <w:bottom w:val="none" w:sz="0" w:space="0" w:color="auto"/>
            <w:right w:val="none" w:sz="0" w:space="0" w:color="auto"/>
          </w:divBdr>
        </w:div>
      </w:divsChild>
    </w:div>
    <w:div w:id="541331146">
      <w:bodyDiv w:val="1"/>
      <w:marLeft w:val="0"/>
      <w:marRight w:val="0"/>
      <w:marTop w:val="0"/>
      <w:marBottom w:val="0"/>
      <w:divBdr>
        <w:top w:val="none" w:sz="0" w:space="0" w:color="auto"/>
        <w:left w:val="none" w:sz="0" w:space="0" w:color="auto"/>
        <w:bottom w:val="none" w:sz="0" w:space="0" w:color="auto"/>
        <w:right w:val="none" w:sz="0" w:space="0" w:color="auto"/>
      </w:divBdr>
      <w:divsChild>
        <w:div w:id="33114835">
          <w:marLeft w:val="0"/>
          <w:marRight w:val="0"/>
          <w:marTop w:val="0"/>
          <w:marBottom w:val="0"/>
          <w:divBdr>
            <w:top w:val="none" w:sz="0" w:space="0" w:color="auto"/>
            <w:left w:val="none" w:sz="0" w:space="0" w:color="auto"/>
            <w:bottom w:val="none" w:sz="0" w:space="0" w:color="auto"/>
            <w:right w:val="none" w:sz="0" w:space="0" w:color="auto"/>
          </w:divBdr>
          <w:divsChild>
            <w:div w:id="254290687">
              <w:marLeft w:val="0"/>
              <w:marRight w:val="0"/>
              <w:marTop w:val="0"/>
              <w:marBottom w:val="0"/>
              <w:divBdr>
                <w:top w:val="none" w:sz="0" w:space="0" w:color="auto"/>
                <w:left w:val="none" w:sz="0" w:space="0" w:color="auto"/>
                <w:bottom w:val="none" w:sz="0" w:space="0" w:color="auto"/>
                <w:right w:val="none" w:sz="0" w:space="0" w:color="auto"/>
              </w:divBdr>
            </w:div>
          </w:divsChild>
        </w:div>
        <w:div w:id="37976018">
          <w:marLeft w:val="0"/>
          <w:marRight w:val="0"/>
          <w:marTop w:val="0"/>
          <w:marBottom w:val="0"/>
          <w:divBdr>
            <w:top w:val="none" w:sz="0" w:space="0" w:color="auto"/>
            <w:left w:val="none" w:sz="0" w:space="0" w:color="auto"/>
            <w:bottom w:val="none" w:sz="0" w:space="0" w:color="auto"/>
            <w:right w:val="none" w:sz="0" w:space="0" w:color="auto"/>
          </w:divBdr>
          <w:divsChild>
            <w:div w:id="317344553">
              <w:marLeft w:val="0"/>
              <w:marRight w:val="0"/>
              <w:marTop w:val="0"/>
              <w:marBottom w:val="0"/>
              <w:divBdr>
                <w:top w:val="none" w:sz="0" w:space="0" w:color="auto"/>
                <w:left w:val="none" w:sz="0" w:space="0" w:color="auto"/>
                <w:bottom w:val="none" w:sz="0" w:space="0" w:color="auto"/>
                <w:right w:val="none" w:sz="0" w:space="0" w:color="auto"/>
              </w:divBdr>
            </w:div>
          </w:divsChild>
        </w:div>
        <w:div w:id="44644089">
          <w:marLeft w:val="0"/>
          <w:marRight w:val="0"/>
          <w:marTop w:val="0"/>
          <w:marBottom w:val="0"/>
          <w:divBdr>
            <w:top w:val="none" w:sz="0" w:space="0" w:color="auto"/>
            <w:left w:val="none" w:sz="0" w:space="0" w:color="auto"/>
            <w:bottom w:val="none" w:sz="0" w:space="0" w:color="auto"/>
            <w:right w:val="none" w:sz="0" w:space="0" w:color="auto"/>
          </w:divBdr>
          <w:divsChild>
            <w:div w:id="324091128">
              <w:marLeft w:val="0"/>
              <w:marRight w:val="0"/>
              <w:marTop w:val="0"/>
              <w:marBottom w:val="0"/>
              <w:divBdr>
                <w:top w:val="none" w:sz="0" w:space="0" w:color="auto"/>
                <w:left w:val="none" w:sz="0" w:space="0" w:color="auto"/>
                <w:bottom w:val="none" w:sz="0" w:space="0" w:color="auto"/>
                <w:right w:val="none" w:sz="0" w:space="0" w:color="auto"/>
              </w:divBdr>
            </w:div>
          </w:divsChild>
        </w:div>
        <w:div w:id="51387704">
          <w:marLeft w:val="0"/>
          <w:marRight w:val="0"/>
          <w:marTop w:val="0"/>
          <w:marBottom w:val="0"/>
          <w:divBdr>
            <w:top w:val="none" w:sz="0" w:space="0" w:color="auto"/>
            <w:left w:val="none" w:sz="0" w:space="0" w:color="auto"/>
            <w:bottom w:val="none" w:sz="0" w:space="0" w:color="auto"/>
            <w:right w:val="none" w:sz="0" w:space="0" w:color="auto"/>
          </w:divBdr>
          <w:divsChild>
            <w:div w:id="1317150752">
              <w:marLeft w:val="0"/>
              <w:marRight w:val="0"/>
              <w:marTop w:val="0"/>
              <w:marBottom w:val="0"/>
              <w:divBdr>
                <w:top w:val="none" w:sz="0" w:space="0" w:color="auto"/>
                <w:left w:val="none" w:sz="0" w:space="0" w:color="auto"/>
                <w:bottom w:val="none" w:sz="0" w:space="0" w:color="auto"/>
                <w:right w:val="none" w:sz="0" w:space="0" w:color="auto"/>
              </w:divBdr>
            </w:div>
          </w:divsChild>
        </w:div>
        <w:div w:id="55320540">
          <w:marLeft w:val="0"/>
          <w:marRight w:val="0"/>
          <w:marTop w:val="0"/>
          <w:marBottom w:val="0"/>
          <w:divBdr>
            <w:top w:val="none" w:sz="0" w:space="0" w:color="auto"/>
            <w:left w:val="none" w:sz="0" w:space="0" w:color="auto"/>
            <w:bottom w:val="none" w:sz="0" w:space="0" w:color="auto"/>
            <w:right w:val="none" w:sz="0" w:space="0" w:color="auto"/>
          </w:divBdr>
          <w:divsChild>
            <w:div w:id="85229480">
              <w:marLeft w:val="0"/>
              <w:marRight w:val="0"/>
              <w:marTop w:val="0"/>
              <w:marBottom w:val="0"/>
              <w:divBdr>
                <w:top w:val="none" w:sz="0" w:space="0" w:color="auto"/>
                <w:left w:val="none" w:sz="0" w:space="0" w:color="auto"/>
                <w:bottom w:val="none" w:sz="0" w:space="0" w:color="auto"/>
                <w:right w:val="none" w:sz="0" w:space="0" w:color="auto"/>
              </w:divBdr>
            </w:div>
          </w:divsChild>
        </w:div>
        <w:div w:id="65148532">
          <w:marLeft w:val="0"/>
          <w:marRight w:val="0"/>
          <w:marTop w:val="0"/>
          <w:marBottom w:val="0"/>
          <w:divBdr>
            <w:top w:val="none" w:sz="0" w:space="0" w:color="auto"/>
            <w:left w:val="none" w:sz="0" w:space="0" w:color="auto"/>
            <w:bottom w:val="none" w:sz="0" w:space="0" w:color="auto"/>
            <w:right w:val="none" w:sz="0" w:space="0" w:color="auto"/>
          </w:divBdr>
          <w:divsChild>
            <w:div w:id="36010419">
              <w:marLeft w:val="0"/>
              <w:marRight w:val="0"/>
              <w:marTop w:val="0"/>
              <w:marBottom w:val="0"/>
              <w:divBdr>
                <w:top w:val="none" w:sz="0" w:space="0" w:color="auto"/>
                <w:left w:val="none" w:sz="0" w:space="0" w:color="auto"/>
                <w:bottom w:val="none" w:sz="0" w:space="0" w:color="auto"/>
                <w:right w:val="none" w:sz="0" w:space="0" w:color="auto"/>
              </w:divBdr>
            </w:div>
          </w:divsChild>
        </w:div>
        <w:div w:id="68842970">
          <w:marLeft w:val="0"/>
          <w:marRight w:val="0"/>
          <w:marTop w:val="0"/>
          <w:marBottom w:val="0"/>
          <w:divBdr>
            <w:top w:val="none" w:sz="0" w:space="0" w:color="auto"/>
            <w:left w:val="none" w:sz="0" w:space="0" w:color="auto"/>
            <w:bottom w:val="none" w:sz="0" w:space="0" w:color="auto"/>
            <w:right w:val="none" w:sz="0" w:space="0" w:color="auto"/>
          </w:divBdr>
          <w:divsChild>
            <w:div w:id="1053886171">
              <w:marLeft w:val="0"/>
              <w:marRight w:val="0"/>
              <w:marTop w:val="0"/>
              <w:marBottom w:val="0"/>
              <w:divBdr>
                <w:top w:val="none" w:sz="0" w:space="0" w:color="auto"/>
                <w:left w:val="none" w:sz="0" w:space="0" w:color="auto"/>
                <w:bottom w:val="none" w:sz="0" w:space="0" w:color="auto"/>
                <w:right w:val="none" w:sz="0" w:space="0" w:color="auto"/>
              </w:divBdr>
            </w:div>
          </w:divsChild>
        </w:div>
        <w:div w:id="70396162">
          <w:marLeft w:val="0"/>
          <w:marRight w:val="0"/>
          <w:marTop w:val="0"/>
          <w:marBottom w:val="0"/>
          <w:divBdr>
            <w:top w:val="none" w:sz="0" w:space="0" w:color="auto"/>
            <w:left w:val="none" w:sz="0" w:space="0" w:color="auto"/>
            <w:bottom w:val="none" w:sz="0" w:space="0" w:color="auto"/>
            <w:right w:val="none" w:sz="0" w:space="0" w:color="auto"/>
          </w:divBdr>
          <w:divsChild>
            <w:div w:id="409431211">
              <w:marLeft w:val="0"/>
              <w:marRight w:val="0"/>
              <w:marTop w:val="0"/>
              <w:marBottom w:val="0"/>
              <w:divBdr>
                <w:top w:val="none" w:sz="0" w:space="0" w:color="auto"/>
                <w:left w:val="none" w:sz="0" w:space="0" w:color="auto"/>
                <w:bottom w:val="none" w:sz="0" w:space="0" w:color="auto"/>
                <w:right w:val="none" w:sz="0" w:space="0" w:color="auto"/>
              </w:divBdr>
            </w:div>
          </w:divsChild>
        </w:div>
        <w:div w:id="72164047">
          <w:marLeft w:val="0"/>
          <w:marRight w:val="0"/>
          <w:marTop w:val="0"/>
          <w:marBottom w:val="0"/>
          <w:divBdr>
            <w:top w:val="none" w:sz="0" w:space="0" w:color="auto"/>
            <w:left w:val="none" w:sz="0" w:space="0" w:color="auto"/>
            <w:bottom w:val="none" w:sz="0" w:space="0" w:color="auto"/>
            <w:right w:val="none" w:sz="0" w:space="0" w:color="auto"/>
          </w:divBdr>
          <w:divsChild>
            <w:div w:id="475876284">
              <w:marLeft w:val="0"/>
              <w:marRight w:val="0"/>
              <w:marTop w:val="0"/>
              <w:marBottom w:val="0"/>
              <w:divBdr>
                <w:top w:val="none" w:sz="0" w:space="0" w:color="auto"/>
                <w:left w:val="none" w:sz="0" w:space="0" w:color="auto"/>
                <w:bottom w:val="none" w:sz="0" w:space="0" w:color="auto"/>
                <w:right w:val="none" w:sz="0" w:space="0" w:color="auto"/>
              </w:divBdr>
            </w:div>
          </w:divsChild>
        </w:div>
        <w:div w:id="81265435">
          <w:marLeft w:val="0"/>
          <w:marRight w:val="0"/>
          <w:marTop w:val="0"/>
          <w:marBottom w:val="0"/>
          <w:divBdr>
            <w:top w:val="none" w:sz="0" w:space="0" w:color="auto"/>
            <w:left w:val="none" w:sz="0" w:space="0" w:color="auto"/>
            <w:bottom w:val="none" w:sz="0" w:space="0" w:color="auto"/>
            <w:right w:val="none" w:sz="0" w:space="0" w:color="auto"/>
          </w:divBdr>
          <w:divsChild>
            <w:div w:id="508376621">
              <w:marLeft w:val="0"/>
              <w:marRight w:val="0"/>
              <w:marTop w:val="0"/>
              <w:marBottom w:val="0"/>
              <w:divBdr>
                <w:top w:val="none" w:sz="0" w:space="0" w:color="auto"/>
                <w:left w:val="none" w:sz="0" w:space="0" w:color="auto"/>
                <w:bottom w:val="none" w:sz="0" w:space="0" w:color="auto"/>
                <w:right w:val="none" w:sz="0" w:space="0" w:color="auto"/>
              </w:divBdr>
            </w:div>
          </w:divsChild>
        </w:div>
        <w:div w:id="82804690">
          <w:marLeft w:val="0"/>
          <w:marRight w:val="0"/>
          <w:marTop w:val="0"/>
          <w:marBottom w:val="0"/>
          <w:divBdr>
            <w:top w:val="none" w:sz="0" w:space="0" w:color="auto"/>
            <w:left w:val="none" w:sz="0" w:space="0" w:color="auto"/>
            <w:bottom w:val="none" w:sz="0" w:space="0" w:color="auto"/>
            <w:right w:val="none" w:sz="0" w:space="0" w:color="auto"/>
          </w:divBdr>
          <w:divsChild>
            <w:div w:id="1257517486">
              <w:marLeft w:val="0"/>
              <w:marRight w:val="0"/>
              <w:marTop w:val="0"/>
              <w:marBottom w:val="0"/>
              <w:divBdr>
                <w:top w:val="none" w:sz="0" w:space="0" w:color="auto"/>
                <w:left w:val="none" w:sz="0" w:space="0" w:color="auto"/>
                <w:bottom w:val="none" w:sz="0" w:space="0" w:color="auto"/>
                <w:right w:val="none" w:sz="0" w:space="0" w:color="auto"/>
              </w:divBdr>
            </w:div>
          </w:divsChild>
        </w:div>
        <w:div w:id="89400198">
          <w:marLeft w:val="0"/>
          <w:marRight w:val="0"/>
          <w:marTop w:val="0"/>
          <w:marBottom w:val="0"/>
          <w:divBdr>
            <w:top w:val="none" w:sz="0" w:space="0" w:color="auto"/>
            <w:left w:val="none" w:sz="0" w:space="0" w:color="auto"/>
            <w:bottom w:val="none" w:sz="0" w:space="0" w:color="auto"/>
            <w:right w:val="none" w:sz="0" w:space="0" w:color="auto"/>
          </w:divBdr>
          <w:divsChild>
            <w:div w:id="551770332">
              <w:marLeft w:val="0"/>
              <w:marRight w:val="0"/>
              <w:marTop w:val="0"/>
              <w:marBottom w:val="0"/>
              <w:divBdr>
                <w:top w:val="none" w:sz="0" w:space="0" w:color="auto"/>
                <w:left w:val="none" w:sz="0" w:space="0" w:color="auto"/>
                <w:bottom w:val="none" w:sz="0" w:space="0" w:color="auto"/>
                <w:right w:val="none" w:sz="0" w:space="0" w:color="auto"/>
              </w:divBdr>
            </w:div>
          </w:divsChild>
        </w:div>
        <w:div w:id="89931053">
          <w:marLeft w:val="0"/>
          <w:marRight w:val="0"/>
          <w:marTop w:val="0"/>
          <w:marBottom w:val="0"/>
          <w:divBdr>
            <w:top w:val="none" w:sz="0" w:space="0" w:color="auto"/>
            <w:left w:val="none" w:sz="0" w:space="0" w:color="auto"/>
            <w:bottom w:val="none" w:sz="0" w:space="0" w:color="auto"/>
            <w:right w:val="none" w:sz="0" w:space="0" w:color="auto"/>
          </w:divBdr>
          <w:divsChild>
            <w:div w:id="1422533174">
              <w:marLeft w:val="0"/>
              <w:marRight w:val="0"/>
              <w:marTop w:val="0"/>
              <w:marBottom w:val="0"/>
              <w:divBdr>
                <w:top w:val="none" w:sz="0" w:space="0" w:color="auto"/>
                <w:left w:val="none" w:sz="0" w:space="0" w:color="auto"/>
                <w:bottom w:val="none" w:sz="0" w:space="0" w:color="auto"/>
                <w:right w:val="none" w:sz="0" w:space="0" w:color="auto"/>
              </w:divBdr>
            </w:div>
          </w:divsChild>
        </w:div>
        <w:div w:id="96297763">
          <w:marLeft w:val="0"/>
          <w:marRight w:val="0"/>
          <w:marTop w:val="0"/>
          <w:marBottom w:val="0"/>
          <w:divBdr>
            <w:top w:val="none" w:sz="0" w:space="0" w:color="auto"/>
            <w:left w:val="none" w:sz="0" w:space="0" w:color="auto"/>
            <w:bottom w:val="none" w:sz="0" w:space="0" w:color="auto"/>
            <w:right w:val="none" w:sz="0" w:space="0" w:color="auto"/>
          </w:divBdr>
          <w:divsChild>
            <w:div w:id="766538026">
              <w:marLeft w:val="0"/>
              <w:marRight w:val="0"/>
              <w:marTop w:val="0"/>
              <w:marBottom w:val="0"/>
              <w:divBdr>
                <w:top w:val="none" w:sz="0" w:space="0" w:color="auto"/>
                <w:left w:val="none" w:sz="0" w:space="0" w:color="auto"/>
                <w:bottom w:val="none" w:sz="0" w:space="0" w:color="auto"/>
                <w:right w:val="none" w:sz="0" w:space="0" w:color="auto"/>
              </w:divBdr>
            </w:div>
          </w:divsChild>
        </w:div>
        <w:div w:id="100878683">
          <w:marLeft w:val="0"/>
          <w:marRight w:val="0"/>
          <w:marTop w:val="0"/>
          <w:marBottom w:val="0"/>
          <w:divBdr>
            <w:top w:val="none" w:sz="0" w:space="0" w:color="auto"/>
            <w:left w:val="none" w:sz="0" w:space="0" w:color="auto"/>
            <w:bottom w:val="none" w:sz="0" w:space="0" w:color="auto"/>
            <w:right w:val="none" w:sz="0" w:space="0" w:color="auto"/>
          </w:divBdr>
          <w:divsChild>
            <w:div w:id="1519199855">
              <w:marLeft w:val="0"/>
              <w:marRight w:val="0"/>
              <w:marTop w:val="0"/>
              <w:marBottom w:val="0"/>
              <w:divBdr>
                <w:top w:val="none" w:sz="0" w:space="0" w:color="auto"/>
                <w:left w:val="none" w:sz="0" w:space="0" w:color="auto"/>
                <w:bottom w:val="none" w:sz="0" w:space="0" w:color="auto"/>
                <w:right w:val="none" w:sz="0" w:space="0" w:color="auto"/>
              </w:divBdr>
            </w:div>
          </w:divsChild>
        </w:div>
        <w:div w:id="109781828">
          <w:marLeft w:val="0"/>
          <w:marRight w:val="0"/>
          <w:marTop w:val="0"/>
          <w:marBottom w:val="0"/>
          <w:divBdr>
            <w:top w:val="none" w:sz="0" w:space="0" w:color="auto"/>
            <w:left w:val="none" w:sz="0" w:space="0" w:color="auto"/>
            <w:bottom w:val="none" w:sz="0" w:space="0" w:color="auto"/>
            <w:right w:val="none" w:sz="0" w:space="0" w:color="auto"/>
          </w:divBdr>
          <w:divsChild>
            <w:div w:id="1395079442">
              <w:marLeft w:val="0"/>
              <w:marRight w:val="0"/>
              <w:marTop w:val="0"/>
              <w:marBottom w:val="0"/>
              <w:divBdr>
                <w:top w:val="none" w:sz="0" w:space="0" w:color="auto"/>
                <w:left w:val="none" w:sz="0" w:space="0" w:color="auto"/>
                <w:bottom w:val="none" w:sz="0" w:space="0" w:color="auto"/>
                <w:right w:val="none" w:sz="0" w:space="0" w:color="auto"/>
              </w:divBdr>
            </w:div>
          </w:divsChild>
        </w:div>
        <w:div w:id="110635113">
          <w:marLeft w:val="0"/>
          <w:marRight w:val="0"/>
          <w:marTop w:val="0"/>
          <w:marBottom w:val="0"/>
          <w:divBdr>
            <w:top w:val="none" w:sz="0" w:space="0" w:color="auto"/>
            <w:left w:val="none" w:sz="0" w:space="0" w:color="auto"/>
            <w:bottom w:val="none" w:sz="0" w:space="0" w:color="auto"/>
            <w:right w:val="none" w:sz="0" w:space="0" w:color="auto"/>
          </w:divBdr>
          <w:divsChild>
            <w:div w:id="2099868103">
              <w:marLeft w:val="0"/>
              <w:marRight w:val="0"/>
              <w:marTop w:val="0"/>
              <w:marBottom w:val="0"/>
              <w:divBdr>
                <w:top w:val="none" w:sz="0" w:space="0" w:color="auto"/>
                <w:left w:val="none" w:sz="0" w:space="0" w:color="auto"/>
                <w:bottom w:val="none" w:sz="0" w:space="0" w:color="auto"/>
                <w:right w:val="none" w:sz="0" w:space="0" w:color="auto"/>
              </w:divBdr>
            </w:div>
          </w:divsChild>
        </w:div>
        <w:div w:id="116411289">
          <w:marLeft w:val="0"/>
          <w:marRight w:val="0"/>
          <w:marTop w:val="0"/>
          <w:marBottom w:val="0"/>
          <w:divBdr>
            <w:top w:val="none" w:sz="0" w:space="0" w:color="auto"/>
            <w:left w:val="none" w:sz="0" w:space="0" w:color="auto"/>
            <w:bottom w:val="none" w:sz="0" w:space="0" w:color="auto"/>
            <w:right w:val="none" w:sz="0" w:space="0" w:color="auto"/>
          </w:divBdr>
          <w:divsChild>
            <w:div w:id="282345240">
              <w:marLeft w:val="0"/>
              <w:marRight w:val="0"/>
              <w:marTop w:val="0"/>
              <w:marBottom w:val="0"/>
              <w:divBdr>
                <w:top w:val="none" w:sz="0" w:space="0" w:color="auto"/>
                <w:left w:val="none" w:sz="0" w:space="0" w:color="auto"/>
                <w:bottom w:val="none" w:sz="0" w:space="0" w:color="auto"/>
                <w:right w:val="none" w:sz="0" w:space="0" w:color="auto"/>
              </w:divBdr>
            </w:div>
          </w:divsChild>
        </w:div>
        <w:div w:id="121728893">
          <w:marLeft w:val="0"/>
          <w:marRight w:val="0"/>
          <w:marTop w:val="0"/>
          <w:marBottom w:val="0"/>
          <w:divBdr>
            <w:top w:val="none" w:sz="0" w:space="0" w:color="auto"/>
            <w:left w:val="none" w:sz="0" w:space="0" w:color="auto"/>
            <w:bottom w:val="none" w:sz="0" w:space="0" w:color="auto"/>
            <w:right w:val="none" w:sz="0" w:space="0" w:color="auto"/>
          </w:divBdr>
          <w:divsChild>
            <w:div w:id="752237479">
              <w:marLeft w:val="0"/>
              <w:marRight w:val="0"/>
              <w:marTop w:val="0"/>
              <w:marBottom w:val="0"/>
              <w:divBdr>
                <w:top w:val="none" w:sz="0" w:space="0" w:color="auto"/>
                <w:left w:val="none" w:sz="0" w:space="0" w:color="auto"/>
                <w:bottom w:val="none" w:sz="0" w:space="0" w:color="auto"/>
                <w:right w:val="none" w:sz="0" w:space="0" w:color="auto"/>
              </w:divBdr>
            </w:div>
          </w:divsChild>
        </w:div>
        <w:div w:id="130363654">
          <w:marLeft w:val="0"/>
          <w:marRight w:val="0"/>
          <w:marTop w:val="0"/>
          <w:marBottom w:val="0"/>
          <w:divBdr>
            <w:top w:val="none" w:sz="0" w:space="0" w:color="auto"/>
            <w:left w:val="none" w:sz="0" w:space="0" w:color="auto"/>
            <w:bottom w:val="none" w:sz="0" w:space="0" w:color="auto"/>
            <w:right w:val="none" w:sz="0" w:space="0" w:color="auto"/>
          </w:divBdr>
          <w:divsChild>
            <w:div w:id="167595717">
              <w:marLeft w:val="0"/>
              <w:marRight w:val="0"/>
              <w:marTop w:val="0"/>
              <w:marBottom w:val="0"/>
              <w:divBdr>
                <w:top w:val="none" w:sz="0" w:space="0" w:color="auto"/>
                <w:left w:val="none" w:sz="0" w:space="0" w:color="auto"/>
                <w:bottom w:val="none" w:sz="0" w:space="0" w:color="auto"/>
                <w:right w:val="none" w:sz="0" w:space="0" w:color="auto"/>
              </w:divBdr>
            </w:div>
          </w:divsChild>
        </w:div>
        <w:div w:id="135951981">
          <w:marLeft w:val="0"/>
          <w:marRight w:val="0"/>
          <w:marTop w:val="0"/>
          <w:marBottom w:val="0"/>
          <w:divBdr>
            <w:top w:val="none" w:sz="0" w:space="0" w:color="auto"/>
            <w:left w:val="none" w:sz="0" w:space="0" w:color="auto"/>
            <w:bottom w:val="none" w:sz="0" w:space="0" w:color="auto"/>
            <w:right w:val="none" w:sz="0" w:space="0" w:color="auto"/>
          </w:divBdr>
          <w:divsChild>
            <w:div w:id="1164931030">
              <w:marLeft w:val="0"/>
              <w:marRight w:val="0"/>
              <w:marTop w:val="0"/>
              <w:marBottom w:val="0"/>
              <w:divBdr>
                <w:top w:val="none" w:sz="0" w:space="0" w:color="auto"/>
                <w:left w:val="none" w:sz="0" w:space="0" w:color="auto"/>
                <w:bottom w:val="none" w:sz="0" w:space="0" w:color="auto"/>
                <w:right w:val="none" w:sz="0" w:space="0" w:color="auto"/>
              </w:divBdr>
            </w:div>
          </w:divsChild>
        </w:div>
        <w:div w:id="136460523">
          <w:marLeft w:val="0"/>
          <w:marRight w:val="0"/>
          <w:marTop w:val="0"/>
          <w:marBottom w:val="0"/>
          <w:divBdr>
            <w:top w:val="none" w:sz="0" w:space="0" w:color="auto"/>
            <w:left w:val="none" w:sz="0" w:space="0" w:color="auto"/>
            <w:bottom w:val="none" w:sz="0" w:space="0" w:color="auto"/>
            <w:right w:val="none" w:sz="0" w:space="0" w:color="auto"/>
          </w:divBdr>
          <w:divsChild>
            <w:div w:id="1707490295">
              <w:marLeft w:val="0"/>
              <w:marRight w:val="0"/>
              <w:marTop w:val="0"/>
              <w:marBottom w:val="0"/>
              <w:divBdr>
                <w:top w:val="none" w:sz="0" w:space="0" w:color="auto"/>
                <w:left w:val="none" w:sz="0" w:space="0" w:color="auto"/>
                <w:bottom w:val="none" w:sz="0" w:space="0" w:color="auto"/>
                <w:right w:val="none" w:sz="0" w:space="0" w:color="auto"/>
              </w:divBdr>
            </w:div>
          </w:divsChild>
        </w:div>
        <w:div w:id="147482783">
          <w:marLeft w:val="0"/>
          <w:marRight w:val="0"/>
          <w:marTop w:val="0"/>
          <w:marBottom w:val="0"/>
          <w:divBdr>
            <w:top w:val="none" w:sz="0" w:space="0" w:color="auto"/>
            <w:left w:val="none" w:sz="0" w:space="0" w:color="auto"/>
            <w:bottom w:val="none" w:sz="0" w:space="0" w:color="auto"/>
            <w:right w:val="none" w:sz="0" w:space="0" w:color="auto"/>
          </w:divBdr>
          <w:divsChild>
            <w:div w:id="1525679108">
              <w:marLeft w:val="0"/>
              <w:marRight w:val="0"/>
              <w:marTop w:val="0"/>
              <w:marBottom w:val="0"/>
              <w:divBdr>
                <w:top w:val="none" w:sz="0" w:space="0" w:color="auto"/>
                <w:left w:val="none" w:sz="0" w:space="0" w:color="auto"/>
                <w:bottom w:val="none" w:sz="0" w:space="0" w:color="auto"/>
                <w:right w:val="none" w:sz="0" w:space="0" w:color="auto"/>
              </w:divBdr>
            </w:div>
          </w:divsChild>
        </w:div>
        <w:div w:id="151798606">
          <w:marLeft w:val="0"/>
          <w:marRight w:val="0"/>
          <w:marTop w:val="0"/>
          <w:marBottom w:val="0"/>
          <w:divBdr>
            <w:top w:val="none" w:sz="0" w:space="0" w:color="auto"/>
            <w:left w:val="none" w:sz="0" w:space="0" w:color="auto"/>
            <w:bottom w:val="none" w:sz="0" w:space="0" w:color="auto"/>
            <w:right w:val="none" w:sz="0" w:space="0" w:color="auto"/>
          </w:divBdr>
          <w:divsChild>
            <w:div w:id="1113087456">
              <w:marLeft w:val="0"/>
              <w:marRight w:val="0"/>
              <w:marTop w:val="0"/>
              <w:marBottom w:val="0"/>
              <w:divBdr>
                <w:top w:val="none" w:sz="0" w:space="0" w:color="auto"/>
                <w:left w:val="none" w:sz="0" w:space="0" w:color="auto"/>
                <w:bottom w:val="none" w:sz="0" w:space="0" w:color="auto"/>
                <w:right w:val="none" w:sz="0" w:space="0" w:color="auto"/>
              </w:divBdr>
            </w:div>
          </w:divsChild>
        </w:div>
        <w:div w:id="153225189">
          <w:marLeft w:val="0"/>
          <w:marRight w:val="0"/>
          <w:marTop w:val="0"/>
          <w:marBottom w:val="0"/>
          <w:divBdr>
            <w:top w:val="none" w:sz="0" w:space="0" w:color="auto"/>
            <w:left w:val="none" w:sz="0" w:space="0" w:color="auto"/>
            <w:bottom w:val="none" w:sz="0" w:space="0" w:color="auto"/>
            <w:right w:val="none" w:sz="0" w:space="0" w:color="auto"/>
          </w:divBdr>
          <w:divsChild>
            <w:div w:id="467674632">
              <w:marLeft w:val="0"/>
              <w:marRight w:val="0"/>
              <w:marTop w:val="0"/>
              <w:marBottom w:val="0"/>
              <w:divBdr>
                <w:top w:val="none" w:sz="0" w:space="0" w:color="auto"/>
                <w:left w:val="none" w:sz="0" w:space="0" w:color="auto"/>
                <w:bottom w:val="none" w:sz="0" w:space="0" w:color="auto"/>
                <w:right w:val="none" w:sz="0" w:space="0" w:color="auto"/>
              </w:divBdr>
            </w:div>
          </w:divsChild>
        </w:div>
        <w:div w:id="159739120">
          <w:marLeft w:val="0"/>
          <w:marRight w:val="0"/>
          <w:marTop w:val="0"/>
          <w:marBottom w:val="0"/>
          <w:divBdr>
            <w:top w:val="none" w:sz="0" w:space="0" w:color="auto"/>
            <w:left w:val="none" w:sz="0" w:space="0" w:color="auto"/>
            <w:bottom w:val="none" w:sz="0" w:space="0" w:color="auto"/>
            <w:right w:val="none" w:sz="0" w:space="0" w:color="auto"/>
          </w:divBdr>
          <w:divsChild>
            <w:div w:id="1172374578">
              <w:marLeft w:val="0"/>
              <w:marRight w:val="0"/>
              <w:marTop w:val="0"/>
              <w:marBottom w:val="0"/>
              <w:divBdr>
                <w:top w:val="none" w:sz="0" w:space="0" w:color="auto"/>
                <w:left w:val="none" w:sz="0" w:space="0" w:color="auto"/>
                <w:bottom w:val="none" w:sz="0" w:space="0" w:color="auto"/>
                <w:right w:val="none" w:sz="0" w:space="0" w:color="auto"/>
              </w:divBdr>
            </w:div>
          </w:divsChild>
        </w:div>
        <w:div w:id="160512696">
          <w:marLeft w:val="0"/>
          <w:marRight w:val="0"/>
          <w:marTop w:val="0"/>
          <w:marBottom w:val="0"/>
          <w:divBdr>
            <w:top w:val="none" w:sz="0" w:space="0" w:color="auto"/>
            <w:left w:val="none" w:sz="0" w:space="0" w:color="auto"/>
            <w:bottom w:val="none" w:sz="0" w:space="0" w:color="auto"/>
            <w:right w:val="none" w:sz="0" w:space="0" w:color="auto"/>
          </w:divBdr>
          <w:divsChild>
            <w:div w:id="1277056770">
              <w:marLeft w:val="0"/>
              <w:marRight w:val="0"/>
              <w:marTop w:val="0"/>
              <w:marBottom w:val="0"/>
              <w:divBdr>
                <w:top w:val="none" w:sz="0" w:space="0" w:color="auto"/>
                <w:left w:val="none" w:sz="0" w:space="0" w:color="auto"/>
                <w:bottom w:val="none" w:sz="0" w:space="0" w:color="auto"/>
                <w:right w:val="none" w:sz="0" w:space="0" w:color="auto"/>
              </w:divBdr>
            </w:div>
          </w:divsChild>
        </w:div>
        <w:div w:id="160775148">
          <w:marLeft w:val="0"/>
          <w:marRight w:val="0"/>
          <w:marTop w:val="0"/>
          <w:marBottom w:val="0"/>
          <w:divBdr>
            <w:top w:val="none" w:sz="0" w:space="0" w:color="auto"/>
            <w:left w:val="none" w:sz="0" w:space="0" w:color="auto"/>
            <w:bottom w:val="none" w:sz="0" w:space="0" w:color="auto"/>
            <w:right w:val="none" w:sz="0" w:space="0" w:color="auto"/>
          </w:divBdr>
          <w:divsChild>
            <w:div w:id="1443719409">
              <w:marLeft w:val="0"/>
              <w:marRight w:val="0"/>
              <w:marTop w:val="0"/>
              <w:marBottom w:val="0"/>
              <w:divBdr>
                <w:top w:val="none" w:sz="0" w:space="0" w:color="auto"/>
                <w:left w:val="none" w:sz="0" w:space="0" w:color="auto"/>
                <w:bottom w:val="none" w:sz="0" w:space="0" w:color="auto"/>
                <w:right w:val="none" w:sz="0" w:space="0" w:color="auto"/>
              </w:divBdr>
            </w:div>
          </w:divsChild>
        </w:div>
        <w:div w:id="166944374">
          <w:marLeft w:val="0"/>
          <w:marRight w:val="0"/>
          <w:marTop w:val="0"/>
          <w:marBottom w:val="0"/>
          <w:divBdr>
            <w:top w:val="none" w:sz="0" w:space="0" w:color="auto"/>
            <w:left w:val="none" w:sz="0" w:space="0" w:color="auto"/>
            <w:bottom w:val="none" w:sz="0" w:space="0" w:color="auto"/>
            <w:right w:val="none" w:sz="0" w:space="0" w:color="auto"/>
          </w:divBdr>
          <w:divsChild>
            <w:div w:id="691952136">
              <w:marLeft w:val="0"/>
              <w:marRight w:val="0"/>
              <w:marTop w:val="0"/>
              <w:marBottom w:val="0"/>
              <w:divBdr>
                <w:top w:val="none" w:sz="0" w:space="0" w:color="auto"/>
                <w:left w:val="none" w:sz="0" w:space="0" w:color="auto"/>
                <w:bottom w:val="none" w:sz="0" w:space="0" w:color="auto"/>
                <w:right w:val="none" w:sz="0" w:space="0" w:color="auto"/>
              </w:divBdr>
            </w:div>
          </w:divsChild>
        </w:div>
        <w:div w:id="175510876">
          <w:marLeft w:val="0"/>
          <w:marRight w:val="0"/>
          <w:marTop w:val="0"/>
          <w:marBottom w:val="0"/>
          <w:divBdr>
            <w:top w:val="none" w:sz="0" w:space="0" w:color="auto"/>
            <w:left w:val="none" w:sz="0" w:space="0" w:color="auto"/>
            <w:bottom w:val="none" w:sz="0" w:space="0" w:color="auto"/>
            <w:right w:val="none" w:sz="0" w:space="0" w:color="auto"/>
          </w:divBdr>
          <w:divsChild>
            <w:div w:id="1632906380">
              <w:marLeft w:val="0"/>
              <w:marRight w:val="0"/>
              <w:marTop w:val="0"/>
              <w:marBottom w:val="0"/>
              <w:divBdr>
                <w:top w:val="none" w:sz="0" w:space="0" w:color="auto"/>
                <w:left w:val="none" w:sz="0" w:space="0" w:color="auto"/>
                <w:bottom w:val="none" w:sz="0" w:space="0" w:color="auto"/>
                <w:right w:val="none" w:sz="0" w:space="0" w:color="auto"/>
              </w:divBdr>
            </w:div>
          </w:divsChild>
        </w:div>
        <w:div w:id="183401593">
          <w:marLeft w:val="0"/>
          <w:marRight w:val="0"/>
          <w:marTop w:val="0"/>
          <w:marBottom w:val="0"/>
          <w:divBdr>
            <w:top w:val="none" w:sz="0" w:space="0" w:color="auto"/>
            <w:left w:val="none" w:sz="0" w:space="0" w:color="auto"/>
            <w:bottom w:val="none" w:sz="0" w:space="0" w:color="auto"/>
            <w:right w:val="none" w:sz="0" w:space="0" w:color="auto"/>
          </w:divBdr>
          <w:divsChild>
            <w:div w:id="495999343">
              <w:marLeft w:val="0"/>
              <w:marRight w:val="0"/>
              <w:marTop w:val="0"/>
              <w:marBottom w:val="0"/>
              <w:divBdr>
                <w:top w:val="none" w:sz="0" w:space="0" w:color="auto"/>
                <w:left w:val="none" w:sz="0" w:space="0" w:color="auto"/>
                <w:bottom w:val="none" w:sz="0" w:space="0" w:color="auto"/>
                <w:right w:val="none" w:sz="0" w:space="0" w:color="auto"/>
              </w:divBdr>
            </w:div>
          </w:divsChild>
        </w:div>
        <w:div w:id="188570948">
          <w:marLeft w:val="0"/>
          <w:marRight w:val="0"/>
          <w:marTop w:val="0"/>
          <w:marBottom w:val="0"/>
          <w:divBdr>
            <w:top w:val="none" w:sz="0" w:space="0" w:color="auto"/>
            <w:left w:val="none" w:sz="0" w:space="0" w:color="auto"/>
            <w:bottom w:val="none" w:sz="0" w:space="0" w:color="auto"/>
            <w:right w:val="none" w:sz="0" w:space="0" w:color="auto"/>
          </w:divBdr>
          <w:divsChild>
            <w:div w:id="2102143356">
              <w:marLeft w:val="0"/>
              <w:marRight w:val="0"/>
              <w:marTop w:val="0"/>
              <w:marBottom w:val="0"/>
              <w:divBdr>
                <w:top w:val="none" w:sz="0" w:space="0" w:color="auto"/>
                <w:left w:val="none" w:sz="0" w:space="0" w:color="auto"/>
                <w:bottom w:val="none" w:sz="0" w:space="0" w:color="auto"/>
                <w:right w:val="none" w:sz="0" w:space="0" w:color="auto"/>
              </w:divBdr>
            </w:div>
          </w:divsChild>
        </w:div>
        <w:div w:id="191498678">
          <w:marLeft w:val="0"/>
          <w:marRight w:val="0"/>
          <w:marTop w:val="0"/>
          <w:marBottom w:val="0"/>
          <w:divBdr>
            <w:top w:val="none" w:sz="0" w:space="0" w:color="auto"/>
            <w:left w:val="none" w:sz="0" w:space="0" w:color="auto"/>
            <w:bottom w:val="none" w:sz="0" w:space="0" w:color="auto"/>
            <w:right w:val="none" w:sz="0" w:space="0" w:color="auto"/>
          </w:divBdr>
          <w:divsChild>
            <w:div w:id="1151867135">
              <w:marLeft w:val="0"/>
              <w:marRight w:val="0"/>
              <w:marTop w:val="0"/>
              <w:marBottom w:val="0"/>
              <w:divBdr>
                <w:top w:val="none" w:sz="0" w:space="0" w:color="auto"/>
                <w:left w:val="none" w:sz="0" w:space="0" w:color="auto"/>
                <w:bottom w:val="none" w:sz="0" w:space="0" w:color="auto"/>
                <w:right w:val="none" w:sz="0" w:space="0" w:color="auto"/>
              </w:divBdr>
            </w:div>
          </w:divsChild>
        </w:div>
        <w:div w:id="197283512">
          <w:marLeft w:val="0"/>
          <w:marRight w:val="0"/>
          <w:marTop w:val="0"/>
          <w:marBottom w:val="0"/>
          <w:divBdr>
            <w:top w:val="none" w:sz="0" w:space="0" w:color="auto"/>
            <w:left w:val="none" w:sz="0" w:space="0" w:color="auto"/>
            <w:bottom w:val="none" w:sz="0" w:space="0" w:color="auto"/>
            <w:right w:val="none" w:sz="0" w:space="0" w:color="auto"/>
          </w:divBdr>
          <w:divsChild>
            <w:div w:id="16466145">
              <w:marLeft w:val="0"/>
              <w:marRight w:val="0"/>
              <w:marTop w:val="0"/>
              <w:marBottom w:val="0"/>
              <w:divBdr>
                <w:top w:val="none" w:sz="0" w:space="0" w:color="auto"/>
                <w:left w:val="none" w:sz="0" w:space="0" w:color="auto"/>
                <w:bottom w:val="none" w:sz="0" w:space="0" w:color="auto"/>
                <w:right w:val="none" w:sz="0" w:space="0" w:color="auto"/>
              </w:divBdr>
            </w:div>
          </w:divsChild>
        </w:div>
        <w:div w:id="198593025">
          <w:marLeft w:val="0"/>
          <w:marRight w:val="0"/>
          <w:marTop w:val="0"/>
          <w:marBottom w:val="0"/>
          <w:divBdr>
            <w:top w:val="none" w:sz="0" w:space="0" w:color="auto"/>
            <w:left w:val="none" w:sz="0" w:space="0" w:color="auto"/>
            <w:bottom w:val="none" w:sz="0" w:space="0" w:color="auto"/>
            <w:right w:val="none" w:sz="0" w:space="0" w:color="auto"/>
          </w:divBdr>
          <w:divsChild>
            <w:div w:id="1372462743">
              <w:marLeft w:val="0"/>
              <w:marRight w:val="0"/>
              <w:marTop w:val="0"/>
              <w:marBottom w:val="0"/>
              <w:divBdr>
                <w:top w:val="none" w:sz="0" w:space="0" w:color="auto"/>
                <w:left w:val="none" w:sz="0" w:space="0" w:color="auto"/>
                <w:bottom w:val="none" w:sz="0" w:space="0" w:color="auto"/>
                <w:right w:val="none" w:sz="0" w:space="0" w:color="auto"/>
              </w:divBdr>
            </w:div>
          </w:divsChild>
        </w:div>
        <w:div w:id="203949591">
          <w:marLeft w:val="0"/>
          <w:marRight w:val="0"/>
          <w:marTop w:val="0"/>
          <w:marBottom w:val="0"/>
          <w:divBdr>
            <w:top w:val="none" w:sz="0" w:space="0" w:color="auto"/>
            <w:left w:val="none" w:sz="0" w:space="0" w:color="auto"/>
            <w:bottom w:val="none" w:sz="0" w:space="0" w:color="auto"/>
            <w:right w:val="none" w:sz="0" w:space="0" w:color="auto"/>
          </w:divBdr>
          <w:divsChild>
            <w:div w:id="822353332">
              <w:marLeft w:val="0"/>
              <w:marRight w:val="0"/>
              <w:marTop w:val="0"/>
              <w:marBottom w:val="0"/>
              <w:divBdr>
                <w:top w:val="none" w:sz="0" w:space="0" w:color="auto"/>
                <w:left w:val="none" w:sz="0" w:space="0" w:color="auto"/>
                <w:bottom w:val="none" w:sz="0" w:space="0" w:color="auto"/>
                <w:right w:val="none" w:sz="0" w:space="0" w:color="auto"/>
              </w:divBdr>
            </w:div>
          </w:divsChild>
        </w:div>
        <w:div w:id="208298617">
          <w:marLeft w:val="0"/>
          <w:marRight w:val="0"/>
          <w:marTop w:val="0"/>
          <w:marBottom w:val="0"/>
          <w:divBdr>
            <w:top w:val="none" w:sz="0" w:space="0" w:color="auto"/>
            <w:left w:val="none" w:sz="0" w:space="0" w:color="auto"/>
            <w:bottom w:val="none" w:sz="0" w:space="0" w:color="auto"/>
            <w:right w:val="none" w:sz="0" w:space="0" w:color="auto"/>
          </w:divBdr>
          <w:divsChild>
            <w:div w:id="1932542924">
              <w:marLeft w:val="0"/>
              <w:marRight w:val="0"/>
              <w:marTop w:val="0"/>
              <w:marBottom w:val="0"/>
              <w:divBdr>
                <w:top w:val="none" w:sz="0" w:space="0" w:color="auto"/>
                <w:left w:val="none" w:sz="0" w:space="0" w:color="auto"/>
                <w:bottom w:val="none" w:sz="0" w:space="0" w:color="auto"/>
                <w:right w:val="none" w:sz="0" w:space="0" w:color="auto"/>
              </w:divBdr>
            </w:div>
          </w:divsChild>
        </w:div>
        <w:div w:id="229776215">
          <w:marLeft w:val="0"/>
          <w:marRight w:val="0"/>
          <w:marTop w:val="0"/>
          <w:marBottom w:val="0"/>
          <w:divBdr>
            <w:top w:val="none" w:sz="0" w:space="0" w:color="auto"/>
            <w:left w:val="none" w:sz="0" w:space="0" w:color="auto"/>
            <w:bottom w:val="none" w:sz="0" w:space="0" w:color="auto"/>
            <w:right w:val="none" w:sz="0" w:space="0" w:color="auto"/>
          </w:divBdr>
          <w:divsChild>
            <w:div w:id="888149641">
              <w:marLeft w:val="0"/>
              <w:marRight w:val="0"/>
              <w:marTop w:val="0"/>
              <w:marBottom w:val="0"/>
              <w:divBdr>
                <w:top w:val="none" w:sz="0" w:space="0" w:color="auto"/>
                <w:left w:val="none" w:sz="0" w:space="0" w:color="auto"/>
                <w:bottom w:val="none" w:sz="0" w:space="0" w:color="auto"/>
                <w:right w:val="none" w:sz="0" w:space="0" w:color="auto"/>
              </w:divBdr>
            </w:div>
          </w:divsChild>
        </w:div>
        <w:div w:id="241909789">
          <w:marLeft w:val="0"/>
          <w:marRight w:val="0"/>
          <w:marTop w:val="0"/>
          <w:marBottom w:val="0"/>
          <w:divBdr>
            <w:top w:val="none" w:sz="0" w:space="0" w:color="auto"/>
            <w:left w:val="none" w:sz="0" w:space="0" w:color="auto"/>
            <w:bottom w:val="none" w:sz="0" w:space="0" w:color="auto"/>
            <w:right w:val="none" w:sz="0" w:space="0" w:color="auto"/>
          </w:divBdr>
          <w:divsChild>
            <w:div w:id="891963377">
              <w:marLeft w:val="0"/>
              <w:marRight w:val="0"/>
              <w:marTop w:val="0"/>
              <w:marBottom w:val="0"/>
              <w:divBdr>
                <w:top w:val="none" w:sz="0" w:space="0" w:color="auto"/>
                <w:left w:val="none" w:sz="0" w:space="0" w:color="auto"/>
                <w:bottom w:val="none" w:sz="0" w:space="0" w:color="auto"/>
                <w:right w:val="none" w:sz="0" w:space="0" w:color="auto"/>
              </w:divBdr>
            </w:div>
          </w:divsChild>
        </w:div>
        <w:div w:id="245261087">
          <w:marLeft w:val="0"/>
          <w:marRight w:val="0"/>
          <w:marTop w:val="0"/>
          <w:marBottom w:val="0"/>
          <w:divBdr>
            <w:top w:val="none" w:sz="0" w:space="0" w:color="auto"/>
            <w:left w:val="none" w:sz="0" w:space="0" w:color="auto"/>
            <w:bottom w:val="none" w:sz="0" w:space="0" w:color="auto"/>
            <w:right w:val="none" w:sz="0" w:space="0" w:color="auto"/>
          </w:divBdr>
          <w:divsChild>
            <w:div w:id="862092741">
              <w:marLeft w:val="0"/>
              <w:marRight w:val="0"/>
              <w:marTop w:val="0"/>
              <w:marBottom w:val="0"/>
              <w:divBdr>
                <w:top w:val="none" w:sz="0" w:space="0" w:color="auto"/>
                <w:left w:val="none" w:sz="0" w:space="0" w:color="auto"/>
                <w:bottom w:val="none" w:sz="0" w:space="0" w:color="auto"/>
                <w:right w:val="none" w:sz="0" w:space="0" w:color="auto"/>
              </w:divBdr>
            </w:div>
          </w:divsChild>
        </w:div>
        <w:div w:id="246766232">
          <w:marLeft w:val="0"/>
          <w:marRight w:val="0"/>
          <w:marTop w:val="0"/>
          <w:marBottom w:val="0"/>
          <w:divBdr>
            <w:top w:val="none" w:sz="0" w:space="0" w:color="auto"/>
            <w:left w:val="none" w:sz="0" w:space="0" w:color="auto"/>
            <w:bottom w:val="none" w:sz="0" w:space="0" w:color="auto"/>
            <w:right w:val="none" w:sz="0" w:space="0" w:color="auto"/>
          </w:divBdr>
          <w:divsChild>
            <w:div w:id="834998337">
              <w:marLeft w:val="0"/>
              <w:marRight w:val="0"/>
              <w:marTop w:val="0"/>
              <w:marBottom w:val="0"/>
              <w:divBdr>
                <w:top w:val="none" w:sz="0" w:space="0" w:color="auto"/>
                <w:left w:val="none" w:sz="0" w:space="0" w:color="auto"/>
                <w:bottom w:val="none" w:sz="0" w:space="0" w:color="auto"/>
                <w:right w:val="none" w:sz="0" w:space="0" w:color="auto"/>
              </w:divBdr>
            </w:div>
          </w:divsChild>
        </w:div>
        <w:div w:id="247349474">
          <w:marLeft w:val="0"/>
          <w:marRight w:val="0"/>
          <w:marTop w:val="0"/>
          <w:marBottom w:val="0"/>
          <w:divBdr>
            <w:top w:val="none" w:sz="0" w:space="0" w:color="auto"/>
            <w:left w:val="none" w:sz="0" w:space="0" w:color="auto"/>
            <w:bottom w:val="none" w:sz="0" w:space="0" w:color="auto"/>
            <w:right w:val="none" w:sz="0" w:space="0" w:color="auto"/>
          </w:divBdr>
          <w:divsChild>
            <w:div w:id="534468294">
              <w:marLeft w:val="0"/>
              <w:marRight w:val="0"/>
              <w:marTop w:val="0"/>
              <w:marBottom w:val="0"/>
              <w:divBdr>
                <w:top w:val="none" w:sz="0" w:space="0" w:color="auto"/>
                <w:left w:val="none" w:sz="0" w:space="0" w:color="auto"/>
                <w:bottom w:val="none" w:sz="0" w:space="0" w:color="auto"/>
                <w:right w:val="none" w:sz="0" w:space="0" w:color="auto"/>
              </w:divBdr>
            </w:div>
          </w:divsChild>
        </w:div>
        <w:div w:id="260845855">
          <w:marLeft w:val="0"/>
          <w:marRight w:val="0"/>
          <w:marTop w:val="0"/>
          <w:marBottom w:val="0"/>
          <w:divBdr>
            <w:top w:val="none" w:sz="0" w:space="0" w:color="auto"/>
            <w:left w:val="none" w:sz="0" w:space="0" w:color="auto"/>
            <w:bottom w:val="none" w:sz="0" w:space="0" w:color="auto"/>
            <w:right w:val="none" w:sz="0" w:space="0" w:color="auto"/>
          </w:divBdr>
          <w:divsChild>
            <w:div w:id="1470367191">
              <w:marLeft w:val="0"/>
              <w:marRight w:val="0"/>
              <w:marTop w:val="0"/>
              <w:marBottom w:val="0"/>
              <w:divBdr>
                <w:top w:val="none" w:sz="0" w:space="0" w:color="auto"/>
                <w:left w:val="none" w:sz="0" w:space="0" w:color="auto"/>
                <w:bottom w:val="none" w:sz="0" w:space="0" w:color="auto"/>
                <w:right w:val="none" w:sz="0" w:space="0" w:color="auto"/>
              </w:divBdr>
            </w:div>
          </w:divsChild>
        </w:div>
        <w:div w:id="261836468">
          <w:marLeft w:val="0"/>
          <w:marRight w:val="0"/>
          <w:marTop w:val="0"/>
          <w:marBottom w:val="0"/>
          <w:divBdr>
            <w:top w:val="none" w:sz="0" w:space="0" w:color="auto"/>
            <w:left w:val="none" w:sz="0" w:space="0" w:color="auto"/>
            <w:bottom w:val="none" w:sz="0" w:space="0" w:color="auto"/>
            <w:right w:val="none" w:sz="0" w:space="0" w:color="auto"/>
          </w:divBdr>
          <w:divsChild>
            <w:div w:id="1466118758">
              <w:marLeft w:val="0"/>
              <w:marRight w:val="0"/>
              <w:marTop w:val="0"/>
              <w:marBottom w:val="0"/>
              <w:divBdr>
                <w:top w:val="none" w:sz="0" w:space="0" w:color="auto"/>
                <w:left w:val="none" w:sz="0" w:space="0" w:color="auto"/>
                <w:bottom w:val="none" w:sz="0" w:space="0" w:color="auto"/>
                <w:right w:val="none" w:sz="0" w:space="0" w:color="auto"/>
              </w:divBdr>
            </w:div>
          </w:divsChild>
        </w:div>
        <w:div w:id="262540774">
          <w:marLeft w:val="0"/>
          <w:marRight w:val="0"/>
          <w:marTop w:val="0"/>
          <w:marBottom w:val="0"/>
          <w:divBdr>
            <w:top w:val="none" w:sz="0" w:space="0" w:color="auto"/>
            <w:left w:val="none" w:sz="0" w:space="0" w:color="auto"/>
            <w:bottom w:val="none" w:sz="0" w:space="0" w:color="auto"/>
            <w:right w:val="none" w:sz="0" w:space="0" w:color="auto"/>
          </w:divBdr>
          <w:divsChild>
            <w:div w:id="1179076270">
              <w:marLeft w:val="0"/>
              <w:marRight w:val="0"/>
              <w:marTop w:val="0"/>
              <w:marBottom w:val="0"/>
              <w:divBdr>
                <w:top w:val="none" w:sz="0" w:space="0" w:color="auto"/>
                <w:left w:val="none" w:sz="0" w:space="0" w:color="auto"/>
                <w:bottom w:val="none" w:sz="0" w:space="0" w:color="auto"/>
                <w:right w:val="none" w:sz="0" w:space="0" w:color="auto"/>
              </w:divBdr>
            </w:div>
          </w:divsChild>
        </w:div>
        <w:div w:id="265776886">
          <w:marLeft w:val="0"/>
          <w:marRight w:val="0"/>
          <w:marTop w:val="0"/>
          <w:marBottom w:val="0"/>
          <w:divBdr>
            <w:top w:val="none" w:sz="0" w:space="0" w:color="auto"/>
            <w:left w:val="none" w:sz="0" w:space="0" w:color="auto"/>
            <w:bottom w:val="none" w:sz="0" w:space="0" w:color="auto"/>
            <w:right w:val="none" w:sz="0" w:space="0" w:color="auto"/>
          </w:divBdr>
          <w:divsChild>
            <w:div w:id="1992324838">
              <w:marLeft w:val="0"/>
              <w:marRight w:val="0"/>
              <w:marTop w:val="0"/>
              <w:marBottom w:val="0"/>
              <w:divBdr>
                <w:top w:val="none" w:sz="0" w:space="0" w:color="auto"/>
                <w:left w:val="none" w:sz="0" w:space="0" w:color="auto"/>
                <w:bottom w:val="none" w:sz="0" w:space="0" w:color="auto"/>
                <w:right w:val="none" w:sz="0" w:space="0" w:color="auto"/>
              </w:divBdr>
            </w:div>
          </w:divsChild>
        </w:div>
        <w:div w:id="303241960">
          <w:marLeft w:val="0"/>
          <w:marRight w:val="0"/>
          <w:marTop w:val="0"/>
          <w:marBottom w:val="0"/>
          <w:divBdr>
            <w:top w:val="none" w:sz="0" w:space="0" w:color="auto"/>
            <w:left w:val="none" w:sz="0" w:space="0" w:color="auto"/>
            <w:bottom w:val="none" w:sz="0" w:space="0" w:color="auto"/>
            <w:right w:val="none" w:sz="0" w:space="0" w:color="auto"/>
          </w:divBdr>
          <w:divsChild>
            <w:div w:id="979849509">
              <w:marLeft w:val="0"/>
              <w:marRight w:val="0"/>
              <w:marTop w:val="0"/>
              <w:marBottom w:val="0"/>
              <w:divBdr>
                <w:top w:val="none" w:sz="0" w:space="0" w:color="auto"/>
                <w:left w:val="none" w:sz="0" w:space="0" w:color="auto"/>
                <w:bottom w:val="none" w:sz="0" w:space="0" w:color="auto"/>
                <w:right w:val="none" w:sz="0" w:space="0" w:color="auto"/>
              </w:divBdr>
            </w:div>
          </w:divsChild>
        </w:div>
        <w:div w:id="307515792">
          <w:marLeft w:val="0"/>
          <w:marRight w:val="0"/>
          <w:marTop w:val="0"/>
          <w:marBottom w:val="0"/>
          <w:divBdr>
            <w:top w:val="none" w:sz="0" w:space="0" w:color="auto"/>
            <w:left w:val="none" w:sz="0" w:space="0" w:color="auto"/>
            <w:bottom w:val="none" w:sz="0" w:space="0" w:color="auto"/>
            <w:right w:val="none" w:sz="0" w:space="0" w:color="auto"/>
          </w:divBdr>
          <w:divsChild>
            <w:div w:id="1263996749">
              <w:marLeft w:val="0"/>
              <w:marRight w:val="0"/>
              <w:marTop w:val="0"/>
              <w:marBottom w:val="0"/>
              <w:divBdr>
                <w:top w:val="none" w:sz="0" w:space="0" w:color="auto"/>
                <w:left w:val="none" w:sz="0" w:space="0" w:color="auto"/>
                <w:bottom w:val="none" w:sz="0" w:space="0" w:color="auto"/>
                <w:right w:val="none" w:sz="0" w:space="0" w:color="auto"/>
              </w:divBdr>
            </w:div>
          </w:divsChild>
        </w:div>
        <w:div w:id="316232408">
          <w:marLeft w:val="0"/>
          <w:marRight w:val="0"/>
          <w:marTop w:val="0"/>
          <w:marBottom w:val="0"/>
          <w:divBdr>
            <w:top w:val="none" w:sz="0" w:space="0" w:color="auto"/>
            <w:left w:val="none" w:sz="0" w:space="0" w:color="auto"/>
            <w:bottom w:val="none" w:sz="0" w:space="0" w:color="auto"/>
            <w:right w:val="none" w:sz="0" w:space="0" w:color="auto"/>
          </w:divBdr>
          <w:divsChild>
            <w:div w:id="1268077618">
              <w:marLeft w:val="0"/>
              <w:marRight w:val="0"/>
              <w:marTop w:val="0"/>
              <w:marBottom w:val="0"/>
              <w:divBdr>
                <w:top w:val="none" w:sz="0" w:space="0" w:color="auto"/>
                <w:left w:val="none" w:sz="0" w:space="0" w:color="auto"/>
                <w:bottom w:val="none" w:sz="0" w:space="0" w:color="auto"/>
                <w:right w:val="none" w:sz="0" w:space="0" w:color="auto"/>
              </w:divBdr>
            </w:div>
          </w:divsChild>
        </w:div>
        <w:div w:id="331837430">
          <w:marLeft w:val="0"/>
          <w:marRight w:val="0"/>
          <w:marTop w:val="0"/>
          <w:marBottom w:val="0"/>
          <w:divBdr>
            <w:top w:val="none" w:sz="0" w:space="0" w:color="auto"/>
            <w:left w:val="none" w:sz="0" w:space="0" w:color="auto"/>
            <w:bottom w:val="none" w:sz="0" w:space="0" w:color="auto"/>
            <w:right w:val="none" w:sz="0" w:space="0" w:color="auto"/>
          </w:divBdr>
          <w:divsChild>
            <w:div w:id="543950185">
              <w:marLeft w:val="0"/>
              <w:marRight w:val="0"/>
              <w:marTop w:val="0"/>
              <w:marBottom w:val="0"/>
              <w:divBdr>
                <w:top w:val="none" w:sz="0" w:space="0" w:color="auto"/>
                <w:left w:val="none" w:sz="0" w:space="0" w:color="auto"/>
                <w:bottom w:val="none" w:sz="0" w:space="0" w:color="auto"/>
                <w:right w:val="none" w:sz="0" w:space="0" w:color="auto"/>
              </w:divBdr>
            </w:div>
          </w:divsChild>
        </w:div>
        <w:div w:id="337539295">
          <w:marLeft w:val="0"/>
          <w:marRight w:val="0"/>
          <w:marTop w:val="0"/>
          <w:marBottom w:val="0"/>
          <w:divBdr>
            <w:top w:val="none" w:sz="0" w:space="0" w:color="auto"/>
            <w:left w:val="none" w:sz="0" w:space="0" w:color="auto"/>
            <w:bottom w:val="none" w:sz="0" w:space="0" w:color="auto"/>
            <w:right w:val="none" w:sz="0" w:space="0" w:color="auto"/>
          </w:divBdr>
          <w:divsChild>
            <w:div w:id="1716076105">
              <w:marLeft w:val="0"/>
              <w:marRight w:val="0"/>
              <w:marTop w:val="0"/>
              <w:marBottom w:val="0"/>
              <w:divBdr>
                <w:top w:val="none" w:sz="0" w:space="0" w:color="auto"/>
                <w:left w:val="none" w:sz="0" w:space="0" w:color="auto"/>
                <w:bottom w:val="none" w:sz="0" w:space="0" w:color="auto"/>
                <w:right w:val="none" w:sz="0" w:space="0" w:color="auto"/>
              </w:divBdr>
            </w:div>
          </w:divsChild>
        </w:div>
        <w:div w:id="346908684">
          <w:marLeft w:val="0"/>
          <w:marRight w:val="0"/>
          <w:marTop w:val="0"/>
          <w:marBottom w:val="0"/>
          <w:divBdr>
            <w:top w:val="none" w:sz="0" w:space="0" w:color="auto"/>
            <w:left w:val="none" w:sz="0" w:space="0" w:color="auto"/>
            <w:bottom w:val="none" w:sz="0" w:space="0" w:color="auto"/>
            <w:right w:val="none" w:sz="0" w:space="0" w:color="auto"/>
          </w:divBdr>
          <w:divsChild>
            <w:div w:id="821580689">
              <w:marLeft w:val="0"/>
              <w:marRight w:val="0"/>
              <w:marTop w:val="0"/>
              <w:marBottom w:val="0"/>
              <w:divBdr>
                <w:top w:val="none" w:sz="0" w:space="0" w:color="auto"/>
                <w:left w:val="none" w:sz="0" w:space="0" w:color="auto"/>
                <w:bottom w:val="none" w:sz="0" w:space="0" w:color="auto"/>
                <w:right w:val="none" w:sz="0" w:space="0" w:color="auto"/>
              </w:divBdr>
            </w:div>
          </w:divsChild>
        </w:div>
        <w:div w:id="349138257">
          <w:marLeft w:val="0"/>
          <w:marRight w:val="0"/>
          <w:marTop w:val="0"/>
          <w:marBottom w:val="0"/>
          <w:divBdr>
            <w:top w:val="none" w:sz="0" w:space="0" w:color="auto"/>
            <w:left w:val="none" w:sz="0" w:space="0" w:color="auto"/>
            <w:bottom w:val="none" w:sz="0" w:space="0" w:color="auto"/>
            <w:right w:val="none" w:sz="0" w:space="0" w:color="auto"/>
          </w:divBdr>
          <w:divsChild>
            <w:div w:id="1224557406">
              <w:marLeft w:val="0"/>
              <w:marRight w:val="0"/>
              <w:marTop w:val="0"/>
              <w:marBottom w:val="0"/>
              <w:divBdr>
                <w:top w:val="none" w:sz="0" w:space="0" w:color="auto"/>
                <w:left w:val="none" w:sz="0" w:space="0" w:color="auto"/>
                <w:bottom w:val="none" w:sz="0" w:space="0" w:color="auto"/>
                <w:right w:val="none" w:sz="0" w:space="0" w:color="auto"/>
              </w:divBdr>
            </w:div>
          </w:divsChild>
        </w:div>
        <w:div w:id="363987551">
          <w:marLeft w:val="0"/>
          <w:marRight w:val="0"/>
          <w:marTop w:val="0"/>
          <w:marBottom w:val="0"/>
          <w:divBdr>
            <w:top w:val="none" w:sz="0" w:space="0" w:color="auto"/>
            <w:left w:val="none" w:sz="0" w:space="0" w:color="auto"/>
            <w:bottom w:val="none" w:sz="0" w:space="0" w:color="auto"/>
            <w:right w:val="none" w:sz="0" w:space="0" w:color="auto"/>
          </w:divBdr>
          <w:divsChild>
            <w:div w:id="1654334160">
              <w:marLeft w:val="0"/>
              <w:marRight w:val="0"/>
              <w:marTop w:val="0"/>
              <w:marBottom w:val="0"/>
              <w:divBdr>
                <w:top w:val="none" w:sz="0" w:space="0" w:color="auto"/>
                <w:left w:val="none" w:sz="0" w:space="0" w:color="auto"/>
                <w:bottom w:val="none" w:sz="0" w:space="0" w:color="auto"/>
                <w:right w:val="none" w:sz="0" w:space="0" w:color="auto"/>
              </w:divBdr>
            </w:div>
          </w:divsChild>
        </w:div>
        <w:div w:id="373311597">
          <w:marLeft w:val="0"/>
          <w:marRight w:val="0"/>
          <w:marTop w:val="0"/>
          <w:marBottom w:val="0"/>
          <w:divBdr>
            <w:top w:val="none" w:sz="0" w:space="0" w:color="auto"/>
            <w:left w:val="none" w:sz="0" w:space="0" w:color="auto"/>
            <w:bottom w:val="none" w:sz="0" w:space="0" w:color="auto"/>
            <w:right w:val="none" w:sz="0" w:space="0" w:color="auto"/>
          </w:divBdr>
          <w:divsChild>
            <w:div w:id="1507403279">
              <w:marLeft w:val="0"/>
              <w:marRight w:val="0"/>
              <w:marTop w:val="0"/>
              <w:marBottom w:val="0"/>
              <w:divBdr>
                <w:top w:val="none" w:sz="0" w:space="0" w:color="auto"/>
                <w:left w:val="none" w:sz="0" w:space="0" w:color="auto"/>
                <w:bottom w:val="none" w:sz="0" w:space="0" w:color="auto"/>
                <w:right w:val="none" w:sz="0" w:space="0" w:color="auto"/>
              </w:divBdr>
            </w:div>
          </w:divsChild>
        </w:div>
        <w:div w:id="379549851">
          <w:marLeft w:val="0"/>
          <w:marRight w:val="0"/>
          <w:marTop w:val="0"/>
          <w:marBottom w:val="0"/>
          <w:divBdr>
            <w:top w:val="none" w:sz="0" w:space="0" w:color="auto"/>
            <w:left w:val="none" w:sz="0" w:space="0" w:color="auto"/>
            <w:bottom w:val="none" w:sz="0" w:space="0" w:color="auto"/>
            <w:right w:val="none" w:sz="0" w:space="0" w:color="auto"/>
          </w:divBdr>
          <w:divsChild>
            <w:div w:id="1681203526">
              <w:marLeft w:val="0"/>
              <w:marRight w:val="0"/>
              <w:marTop w:val="0"/>
              <w:marBottom w:val="0"/>
              <w:divBdr>
                <w:top w:val="none" w:sz="0" w:space="0" w:color="auto"/>
                <w:left w:val="none" w:sz="0" w:space="0" w:color="auto"/>
                <w:bottom w:val="none" w:sz="0" w:space="0" w:color="auto"/>
                <w:right w:val="none" w:sz="0" w:space="0" w:color="auto"/>
              </w:divBdr>
            </w:div>
          </w:divsChild>
        </w:div>
        <w:div w:id="385686239">
          <w:marLeft w:val="0"/>
          <w:marRight w:val="0"/>
          <w:marTop w:val="0"/>
          <w:marBottom w:val="0"/>
          <w:divBdr>
            <w:top w:val="none" w:sz="0" w:space="0" w:color="auto"/>
            <w:left w:val="none" w:sz="0" w:space="0" w:color="auto"/>
            <w:bottom w:val="none" w:sz="0" w:space="0" w:color="auto"/>
            <w:right w:val="none" w:sz="0" w:space="0" w:color="auto"/>
          </w:divBdr>
          <w:divsChild>
            <w:div w:id="228005546">
              <w:marLeft w:val="0"/>
              <w:marRight w:val="0"/>
              <w:marTop w:val="0"/>
              <w:marBottom w:val="0"/>
              <w:divBdr>
                <w:top w:val="none" w:sz="0" w:space="0" w:color="auto"/>
                <w:left w:val="none" w:sz="0" w:space="0" w:color="auto"/>
                <w:bottom w:val="none" w:sz="0" w:space="0" w:color="auto"/>
                <w:right w:val="none" w:sz="0" w:space="0" w:color="auto"/>
              </w:divBdr>
            </w:div>
          </w:divsChild>
        </w:div>
        <w:div w:id="388379667">
          <w:marLeft w:val="0"/>
          <w:marRight w:val="0"/>
          <w:marTop w:val="0"/>
          <w:marBottom w:val="0"/>
          <w:divBdr>
            <w:top w:val="none" w:sz="0" w:space="0" w:color="auto"/>
            <w:left w:val="none" w:sz="0" w:space="0" w:color="auto"/>
            <w:bottom w:val="none" w:sz="0" w:space="0" w:color="auto"/>
            <w:right w:val="none" w:sz="0" w:space="0" w:color="auto"/>
          </w:divBdr>
          <w:divsChild>
            <w:div w:id="466514292">
              <w:marLeft w:val="0"/>
              <w:marRight w:val="0"/>
              <w:marTop w:val="0"/>
              <w:marBottom w:val="0"/>
              <w:divBdr>
                <w:top w:val="none" w:sz="0" w:space="0" w:color="auto"/>
                <w:left w:val="none" w:sz="0" w:space="0" w:color="auto"/>
                <w:bottom w:val="none" w:sz="0" w:space="0" w:color="auto"/>
                <w:right w:val="none" w:sz="0" w:space="0" w:color="auto"/>
              </w:divBdr>
            </w:div>
          </w:divsChild>
        </w:div>
        <w:div w:id="389696478">
          <w:marLeft w:val="0"/>
          <w:marRight w:val="0"/>
          <w:marTop w:val="0"/>
          <w:marBottom w:val="0"/>
          <w:divBdr>
            <w:top w:val="none" w:sz="0" w:space="0" w:color="auto"/>
            <w:left w:val="none" w:sz="0" w:space="0" w:color="auto"/>
            <w:bottom w:val="none" w:sz="0" w:space="0" w:color="auto"/>
            <w:right w:val="none" w:sz="0" w:space="0" w:color="auto"/>
          </w:divBdr>
          <w:divsChild>
            <w:div w:id="1059208584">
              <w:marLeft w:val="0"/>
              <w:marRight w:val="0"/>
              <w:marTop w:val="0"/>
              <w:marBottom w:val="0"/>
              <w:divBdr>
                <w:top w:val="none" w:sz="0" w:space="0" w:color="auto"/>
                <w:left w:val="none" w:sz="0" w:space="0" w:color="auto"/>
                <w:bottom w:val="none" w:sz="0" w:space="0" w:color="auto"/>
                <w:right w:val="none" w:sz="0" w:space="0" w:color="auto"/>
              </w:divBdr>
            </w:div>
          </w:divsChild>
        </w:div>
        <w:div w:id="393311978">
          <w:marLeft w:val="0"/>
          <w:marRight w:val="0"/>
          <w:marTop w:val="0"/>
          <w:marBottom w:val="0"/>
          <w:divBdr>
            <w:top w:val="none" w:sz="0" w:space="0" w:color="auto"/>
            <w:left w:val="none" w:sz="0" w:space="0" w:color="auto"/>
            <w:bottom w:val="none" w:sz="0" w:space="0" w:color="auto"/>
            <w:right w:val="none" w:sz="0" w:space="0" w:color="auto"/>
          </w:divBdr>
          <w:divsChild>
            <w:div w:id="1234585676">
              <w:marLeft w:val="0"/>
              <w:marRight w:val="0"/>
              <w:marTop w:val="0"/>
              <w:marBottom w:val="0"/>
              <w:divBdr>
                <w:top w:val="none" w:sz="0" w:space="0" w:color="auto"/>
                <w:left w:val="none" w:sz="0" w:space="0" w:color="auto"/>
                <w:bottom w:val="none" w:sz="0" w:space="0" w:color="auto"/>
                <w:right w:val="none" w:sz="0" w:space="0" w:color="auto"/>
              </w:divBdr>
            </w:div>
          </w:divsChild>
        </w:div>
        <w:div w:id="396363884">
          <w:marLeft w:val="0"/>
          <w:marRight w:val="0"/>
          <w:marTop w:val="0"/>
          <w:marBottom w:val="0"/>
          <w:divBdr>
            <w:top w:val="none" w:sz="0" w:space="0" w:color="auto"/>
            <w:left w:val="none" w:sz="0" w:space="0" w:color="auto"/>
            <w:bottom w:val="none" w:sz="0" w:space="0" w:color="auto"/>
            <w:right w:val="none" w:sz="0" w:space="0" w:color="auto"/>
          </w:divBdr>
          <w:divsChild>
            <w:div w:id="475489574">
              <w:marLeft w:val="0"/>
              <w:marRight w:val="0"/>
              <w:marTop w:val="0"/>
              <w:marBottom w:val="0"/>
              <w:divBdr>
                <w:top w:val="none" w:sz="0" w:space="0" w:color="auto"/>
                <w:left w:val="none" w:sz="0" w:space="0" w:color="auto"/>
                <w:bottom w:val="none" w:sz="0" w:space="0" w:color="auto"/>
                <w:right w:val="none" w:sz="0" w:space="0" w:color="auto"/>
              </w:divBdr>
            </w:div>
          </w:divsChild>
        </w:div>
        <w:div w:id="399132959">
          <w:marLeft w:val="0"/>
          <w:marRight w:val="0"/>
          <w:marTop w:val="0"/>
          <w:marBottom w:val="0"/>
          <w:divBdr>
            <w:top w:val="none" w:sz="0" w:space="0" w:color="auto"/>
            <w:left w:val="none" w:sz="0" w:space="0" w:color="auto"/>
            <w:bottom w:val="none" w:sz="0" w:space="0" w:color="auto"/>
            <w:right w:val="none" w:sz="0" w:space="0" w:color="auto"/>
          </w:divBdr>
          <w:divsChild>
            <w:div w:id="523439269">
              <w:marLeft w:val="0"/>
              <w:marRight w:val="0"/>
              <w:marTop w:val="0"/>
              <w:marBottom w:val="0"/>
              <w:divBdr>
                <w:top w:val="none" w:sz="0" w:space="0" w:color="auto"/>
                <w:left w:val="none" w:sz="0" w:space="0" w:color="auto"/>
                <w:bottom w:val="none" w:sz="0" w:space="0" w:color="auto"/>
                <w:right w:val="none" w:sz="0" w:space="0" w:color="auto"/>
              </w:divBdr>
            </w:div>
          </w:divsChild>
        </w:div>
        <w:div w:id="412240178">
          <w:marLeft w:val="0"/>
          <w:marRight w:val="0"/>
          <w:marTop w:val="0"/>
          <w:marBottom w:val="0"/>
          <w:divBdr>
            <w:top w:val="none" w:sz="0" w:space="0" w:color="auto"/>
            <w:left w:val="none" w:sz="0" w:space="0" w:color="auto"/>
            <w:bottom w:val="none" w:sz="0" w:space="0" w:color="auto"/>
            <w:right w:val="none" w:sz="0" w:space="0" w:color="auto"/>
          </w:divBdr>
          <w:divsChild>
            <w:div w:id="1087117955">
              <w:marLeft w:val="0"/>
              <w:marRight w:val="0"/>
              <w:marTop w:val="0"/>
              <w:marBottom w:val="0"/>
              <w:divBdr>
                <w:top w:val="none" w:sz="0" w:space="0" w:color="auto"/>
                <w:left w:val="none" w:sz="0" w:space="0" w:color="auto"/>
                <w:bottom w:val="none" w:sz="0" w:space="0" w:color="auto"/>
                <w:right w:val="none" w:sz="0" w:space="0" w:color="auto"/>
              </w:divBdr>
            </w:div>
          </w:divsChild>
        </w:div>
        <w:div w:id="412898022">
          <w:marLeft w:val="0"/>
          <w:marRight w:val="0"/>
          <w:marTop w:val="0"/>
          <w:marBottom w:val="0"/>
          <w:divBdr>
            <w:top w:val="none" w:sz="0" w:space="0" w:color="auto"/>
            <w:left w:val="none" w:sz="0" w:space="0" w:color="auto"/>
            <w:bottom w:val="none" w:sz="0" w:space="0" w:color="auto"/>
            <w:right w:val="none" w:sz="0" w:space="0" w:color="auto"/>
          </w:divBdr>
          <w:divsChild>
            <w:div w:id="178131279">
              <w:marLeft w:val="0"/>
              <w:marRight w:val="0"/>
              <w:marTop w:val="0"/>
              <w:marBottom w:val="0"/>
              <w:divBdr>
                <w:top w:val="none" w:sz="0" w:space="0" w:color="auto"/>
                <w:left w:val="none" w:sz="0" w:space="0" w:color="auto"/>
                <w:bottom w:val="none" w:sz="0" w:space="0" w:color="auto"/>
                <w:right w:val="none" w:sz="0" w:space="0" w:color="auto"/>
              </w:divBdr>
            </w:div>
          </w:divsChild>
        </w:div>
        <w:div w:id="428963647">
          <w:marLeft w:val="0"/>
          <w:marRight w:val="0"/>
          <w:marTop w:val="0"/>
          <w:marBottom w:val="0"/>
          <w:divBdr>
            <w:top w:val="none" w:sz="0" w:space="0" w:color="auto"/>
            <w:left w:val="none" w:sz="0" w:space="0" w:color="auto"/>
            <w:bottom w:val="none" w:sz="0" w:space="0" w:color="auto"/>
            <w:right w:val="none" w:sz="0" w:space="0" w:color="auto"/>
          </w:divBdr>
          <w:divsChild>
            <w:div w:id="2103529812">
              <w:marLeft w:val="0"/>
              <w:marRight w:val="0"/>
              <w:marTop w:val="0"/>
              <w:marBottom w:val="0"/>
              <w:divBdr>
                <w:top w:val="none" w:sz="0" w:space="0" w:color="auto"/>
                <w:left w:val="none" w:sz="0" w:space="0" w:color="auto"/>
                <w:bottom w:val="none" w:sz="0" w:space="0" w:color="auto"/>
                <w:right w:val="none" w:sz="0" w:space="0" w:color="auto"/>
              </w:divBdr>
            </w:div>
          </w:divsChild>
        </w:div>
        <w:div w:id="459157007">
          <w:marLeft w:val="0"/>
          <w:marRight w:val="0"/>
          <w:marTop w:val="0"/>
          <w:marBottom w:val="0"/>
          <w:divBdr>
            <w:top w:val="none" w:sz="0" w:space="0" w:color="auto"/>
            <w:left w:val="none" w:sz="0" w:space="0" w:color="auto"/>
            <w:bottom w:val="none" w:sz="0" w:space="0" w:color="auto"/>
            <w:right w:val="none" w:sz="0" w:space="0" w:color="auto"/>
          </w:divBdr>
          <w:divsChild>
            <w:div w:id="651952959">
              <w:marLeft w:val="0"/>
              <w:marRight w:val="0"/>
              <w:marTop w:val="0"/>
              <w:marBottom w:val="0"/>
              <w:divBdr>
                <w:top w:val="none" w:sz="0" w:space="0" w:color="auto"/>
                <w:left w:val="none" w:sz="0" w:space="0" w:color="auto"/>
                <w:bottom w:val="none" w:sz="0" w:space="0" w:color="auto"/>
                <w:right w:val="none" w:sz="0" w:space="0" w:color="auto"/>
              </w:divBdr>
            </w:div>
          </w:divsChild>
        </w:div>
        <w:div w:id="462771455">
          <w:marLeft w:val="0"/>
          <w:marRight w:val="0"/>
          <w:marTop w:val="0"/>
          <w:marBottom w:val="0"/>
          <w:divBdr>
            <w:top w:val="none" w:sz="0" w:space="0" w:color="auto"/>
            <w:left w:val="none" w:sz="0" w:space="0" w:color="auto"/>
            <w:bottom w:val="none" w:sz="0" w:space="0" w:color="auto"/>
            <w:right w:val="none" w:sz="0" w:space="0" w:color="auto"/>
          </w:divBdr>
          <w:divsChild>
            <w:div w:id="1714035668">
              <w:marLeft w:val="0"/>
              <w:marRight w:val="0"/>
              <w:marTop w:val="0"/>
              <w:marBottom w:val="0"/>
              <w:divBdr>
                <w:top w:val="none" w:sz="0" w:space="0" w:color="auto"/>
                <w:left w:val="none" w:sz="0" w:space="0" w:color="auto"/>
                <w:bottom w:val="none" w:sz="0" w:space="0" w:color="auto"/>
                <w:right w:val="none" w:sz="0" w:space="0" w:color="auto"/>
              </w:divBdr>
            </w:div>
          </w:divsChild>
        </w:div>
        <w:div w:id="464469210">
          <w:marLeft w:val="0"/>
          <w:marRight w:val="0"/>
          <w:marTop w:val="0"/>
          <w:marBottom w:val="0"/>
          <w:divBdr>
            <w:top w:val="none" w:sz="0" w:space="0" w:color="auto"/>
            <w:left w:val="none" w:sz="0" w:space="0" w:color="auto"/>
            <w:bottom w:val="none" w:sz="0" w:space="0" w:color="auto"/>
            <w:right w:val="none" w:sz="0" w:space="0" w:color="auto"/>
          </w:divBdr>
          <w:divsChild>
            <w:div w:id="1974097760">
              <w:marLeft w:val="0"/>
              <w:marRight w:val="0"/>
              <w:marTop w:val="0"/>
              <w:marBottom w:val="0"/>
              <w:divBdr>
                <w:top w:val="none" w:sz="0" w:space="0" w:color="auto"/>
                <w:left w:val="none" w:sz="0" w:space="0" w:color="auto"/>
                <w:bottom w:val="none" w:sz="0" w:space="0" w:color="auto"/>
                <w:right w:val="none" w:sz="0" w:space="0" w:color="auto"/>
              </w:divBdr>
            </w:div>
          </w:divsChild>
        </w:div>
        <w:div w:id="468475402">
          <w:marLeft w:val="0"/>
          <w:marRight w:val="0"/>
          <w:marTop w:val="0"/>
          <w:marBottom w:val="0"/>
          <w:divBdr>
            <w:top w:val="none" w:sz="0" w:space="0" w:color="auto"/>
            <w:left w:val="none" w:sz="0" w:space="0" w:color="auto"/>
            <w:bottom w:val="none" w:sz="0" w:space="0" w:color="auto"/>
            <w:right w:val="none" w:sz="0" w:space="0" w:color="auto"/>
          </w:divBdr>
          <w:divsChild>
            <w:div w:id="1942296418">
              <w:marLeft w:val="0"/>
              <w:marRight w:val="0"/>
              <w:marTop w:val="0"/>
              <w:marBottom w:val="0"/>
              <w:divBdr>
                <w:top w:val="none" w:sz="0" w:space="0" w:color="auto"/>
                <w:left w:val="none" w:sz="0" w:space="0" w:color="auto"/>
                <w:bottom w:val="none" w:sz="0" w:space="0" w:color="auto"/>
                <w:right w:val="none" w:sz="0" w:space="0" w:color="auto"/>
              </w:divBdr>
            </w:div>
          </w:divsChild>
        </w:div>
        <w:div w:id="471410070">
          <w:marLeft w:val="0"/>
          <w:marRight w:val="0"/>
          <w:marTop w:val="0"/>
          <w:marBottom w:val="0"/>
          <w:divBdr>
            <w:top w:val="none" w:sz="0" w:space="0" w:color="auto"/>
            <w:left w:val="none" w:sz="0" w:space="0" w:color="auto"/>
            <w:bottom w:val="none" w:sz="0" w:space="0" w:color="auto"/>
            <w:right w:val="none" w:sz="0" w:space="0" w:color="auto"/>
          </w:divBdr>
          <w:divsChild>
            <w:div w:id="1501459788">
              <w:marLeft w:val="0"/>
              <w:marRight w:val="0"/>
              <w:marTop w:val="0"/>
              <w:marBottom w:val="0"/>
              <w:divBdr>
                <w:top w:val="none" w:sz="0" w:space="0" w:color="auto"/>
                <w:left w:val="none" w:sz="0" w:space="0" w:color="auto"/>
                <w:bottom w:val="none" w:sz="0" w:space="0" w:color="auto"/>
                <w:right w:val="none" w:sz="0" w:space="0" w:color="auto"/>
              </w:divBdr>
            </w:div>
          </w:divsChild>
        </w:div>
        <w:div w:id="476531441">
          <w:marLeft w:val="0"/>
          <w:marRight w:val="0"/>
          <w:marTop w:val="0"/>
          <w:marBottom w:val="0"/>
          <w:divBdr>
            <w:top w:val="none" w:sz="0" w:space="0" w:color="auto"/>
            <w:left w:val="none" w:sz="0" w:space="0" w:color="auto"/>
            <w:bottom w:val="none" w:sz="0" w:space="0" w:color="auto"/>
            <w:right w:val="none" w:sz="0" w:space="0" w:color="auto"/>
          </w:divBdr>
          <w:divsChild>
            <w:div w:id="1835341042">
              <w:marLeft w:val="0"/>
              <w:marRight w:val="0"/>
              <w:marTop w:val="0"/>
              <w:marBottom w:val="0"/>
              <w:divBdr>
                <w:top w:val="none" w:sz="0" w:space="0" w:color="auto"/>
                <w:left w:val="none" w:sz="0" w:space="0" w:color="auto"/>
                <w:bottom w:val="none" w:sz="0" w:space="0" w:color="auto"/>
                <w:right w:val="none" w:sz="0" w:space="0" w:color="auto"/>
              </w:divBdr>
            </w:div>
          </w:divsChild>
        </w:div>
        <w:div w:id="484518169">
          <w:marLeft w:val="0"/>
          <w:marRight w:val="0"/>
          <w:marTop w:val="0"/>
          <w:marBottom w:val="0"/>
          <w:divBdr>
            <w:top w:val="none" w:sz="0" w:space="0" w:color="auto"/>
            <w:left w:val="none" w:sz="0" w:space="0" w:color="auto"/>
            <w:bottom w:val="none" w:sz="0" w:space="0" w:color="auto"/>
            <w:right w:val="none" w:sz="0" w:space="0" w:color="auto"/>
          </w:divBdr>
          <w:divsChild>
            <w:div w:id="2100252224">
              <w:marLeft w:val="0"/>
              <w:marRight w:val="0"/>
              <w:marTop w:val="0"/>
              <w:marBottom w:val="0"/>
              <w:divBdr>
                <w:top w:val="none" w:sz="0" w:space="0" w:color="auto"/>
                <w:left w:val="none" w:sz="0" w:space="0" w:color="auto"/>
                <w:bottom w:val="none" w:sz="0" w:space="0" w:color="auto"/>
                <w:right w:val="none" w:sz="0" w:space="0" w:color="auto"/>
              </w:divBdr>
            </w:div>
          </w:divsChild>
        </w:div>
        <w:div w:id="488447012">
          <w:marLeft w:val="0"/>
          <w:marRight w:val="0"/>
          <w:marTop w:val="0"/>
          <w:marBottom w:val="0"/>
          <w:divBdr>
            <w:top w:val="none" w:sz="0" w:space="0" w:color="auto"/>
            <w:left w:val="none" w:sz="0" w:space="0" w:color="auto"/>
            <w:bottom w:val="none" w:sz="0" w:space="0" w:color="auto"/>
            <w:right w:val="none" w:sz="0" w:space="0" w:color="auto"/>
          </w:divBdr>
          <w:divsChild>
            <w:div w:id="1685471521">
              <w:marLeft w:val="0"/>
              <w:marRight w:val="0"/>
              <w:marTop w:val="0"/>
              <w:marBottom w:val="0"/>
              <w:divBdr>
                <w:top w:val="none" w:sz="0" w:space="0" w:color="auto"/>
                <w:left w:val="none" w:sz="0" w:space="0" w:color="auto"/>
                <w:bottom w:val="none" w:sz="0" w:space="0" w:color="auto"/>
                <w:right w:val="none" w:sz="0" w:space="0" w:color="auto"/>
              </w:divBdr>
            </w:div>
          </w:divsChild>
        </w:div>
        <w:div w:id="501513506">
          <w:marLeft w:val="0"/>
          <w:marRight w:val="0"/>
          <w:marTop w:val="0"/>
          <w:marBottom w:val="0"/>
          <w:divBdr>
            <w:top w:val="none" w:sz="0" w:space="0" w:color="auto"/>
            <w:left w:val="none" w:sz="0" w:space="0" w:color="auto"/>
            <w:bottom w:val="none" w:sz="0" w:space="0" w:color="auto"/>
            <w:right w:val="none" w:sz="0" w:space="0" w:color="auto"/>
          </w:divBdr>
          <w:divsChild>
            <w:div w:id="1560096181">
              <w:marLeft w:val="0"/>
              <w:marRight w:val="0"/>
              <w:marTop w:val="0"/>
              <w:marBottom w:val="0"/>
              <w:divBdr>
                <w:top w:val="none" w:sz="0" w:space="0" w:color="auto"/>
                <w:left w:val="none" w:sz="0" w:space="0" w:color="auto"/>
                <w:bottom w:val="none" w:sz="0" w:space="0" w:color="auto"/>
                <w:right w:val="none" w:sz="0" w:space="0" w:color="auto"/>
              </w:divBdr>
            </w:div>
          </w:divsChild>
        </w:div>
        <w:div w:id="513810410">
          <w:marLeft w:val="0"/>
          <w:marRight w:val="0"/>
          <w:marTop w:val="0"/>
          <w:marBottom w:val="0"/>
          <w:divBdr>
            <w:top w:val="none" w:sz="0" w:space="0" w:color="auto"/>
            <w:left w:val="none" w:sz="0" w:space="0" w:color="auto"/>
            <w:bottom w:val="none" w:sz="0" w:space="0" w:color="auto"/>
            <w:right w:val="none" w:sz="0" w:space="0" w:color="auto"/>
          </w:divBdr>
          <w:divsChild>
            <w:div w:id="1449423554">
              <w:marLeft w:val="0"/>
              <w:marRight w:val="0"/>
              <w:marTop w:val="0"/>
              <w:marBottom w:val="0"/>
              <w:divBdr>
                <w:top w:val="none" w:sz="0" w:space="0" w:color="auto"/>
                <w:left w:val="none" w:sz="0" w:space="0" w:color="auto"/>
                <w:bottom w:val="none" w:sz="0" w:space="0" w:color="auto"/>
                <w:right w:val="none" w:sz="0" w:space="0" w:color="auto"/>
              </w:divBdr>
            </w:div>
          </w:divsChild>
        </w:div>
        <w:div w:id="523784522">
          <w:marLeft w:val="0"/>
          <w:marRight w:val="0"/>
          <w:marTop w:val="0"/>
          <w:marBottom w:val="0"/>
          <w:divBdr>
            <w:top w:val="none" w:sz="0" w:space="0" w:color="auto"/>
            <w:left w:val="none" w:sz="0" w:space="0" w:color="auto"/>
            <w:bottom w:val="none" w:sz="0" w:space="0" w:color="auto"/>
            <w:right w:val="none" w:sz="0" w:space="0" w:color="auto"/>
          </w:divBdr>
          <w:divsChild>
            <w:div w:id="2082289018">
              <w:marLeft w:val="0"/>
              <w:marRight w:val="0"/>
              <w:marTop w:val="0"/>
              <w:marBottom w:val="0"/>
              <w:divBdr>
                <w:top w:val="none" w:sz="0" w:space="0" w:color="auto"/>
                <w:left w:val="none" w:sz="0" w:space="0" w:color="auto"/>
                <w:bottom w:val="none" w:sz="0" w:space="0" w:color="auto"/>
                <w:right w:val="none" w:sz="0" w:space="0" w:color="auto"/>
              </w:divBdr>
            </w:div>
          </w:divsChild>
        </w:div>
        <w:div w:id="528222986">
          <w:marLeft w:val="0"/>
          <w:marRight w:val="0"/>
          <w:marTop w:val="0"/>
          <w:marBottom w:val="0"/>
          <w:divBdr>
            <w:top w:val="none" w:sz="0" w:space="0" w:color="auto"/>
            <w:left w:val="none" w:sz="0" w:space="0" w:color="auto"/>
            <w:bottom w:val="none" w:sz="0" w:space="0" w:color="auto"/>
            <w:right w:val="none" w:sz="0" w:space="0" w:color="auto"/>
          </w:divBdr>
          <w:divsChild>
            <w:div w:id="1900244490">
              <w:marLeft w:val="0"/>
              <w:marRight w:val="0"/>
              <w:marTop w:val="0"/>
              <w:marBottom w:val="0"/>
              <w:divBdr>
                <w:top w:val="none" w:sz="0" w:space="0" w:color="auto"/>
                <w:left w:val="none" w:sz="0" w:space="0" w:color="auto"/>
                <w:bottom w:val="none" w:sz="0" w:space="0" w:color="auto"/>
                <w:right w:val="none" w:sz="0" w:space="0" w:color="auto"/>
              </w:divBdr>
            </w:div>
          </w:divsChild>
        </w:div>
        <w:div w:id="533032493">
          <w:marLeft w:val="0"/>
          <w:marRight w:val="0"/>
          <w:marTop w:val="0"/>
          <w:marBottom w:val="0"/>
          <w:divBdr>
            <w:top w:val="none" w:sz="0" w:space="0" w:color="auto"/>
            <w:left w:val="none" w:sz="0" w:space="0" w:color="auto"/>
            <w:bottom w:val="none" w:sz="0" w:space="0" w:color="auto"/>
            <w:right w:val="none" w:sz="0" w:space="0" w:color="auto"/>
          </w:divBdr>
          <w:divsChild>
            <w:div w:id="2043506640">
              <w:marLeft w:val="0"/>
              <w:marRight w:val="0"/>
              <w:marTop w:val="0"/>
              <w:marBottom w:val="0"/>
              <w:divBdr>
                <w:top w:val="none" w:sz="0" w:space="0" w:color="auto"/>
                <w:left w:val="none" w:sz="0" w:space="0" w:color="auto"/>
                <w:bottom w:val="none" w:sz="0" w:space="0" w:color="auto"/>
                <w:right w:val="none" w:sz="0" w:space="0" w:color="auto"/>
              </w:divBdr>
            </w:div>
          </w:divsChild>
        </w:div>
        <w:div w:id="539051164">
          <w:marLeft w:val="0"/>
          <w:marRight w:val="0"/>
          <w:marTop w:val="0"/>
          <w:marBottom w:val="0"/>
          <w:divBdr>
            <w:top w:val="none" w:sz="0" w:space="0" w:color="auto"/>
            <w:left w:val="none" w:sz="0" w:space="0" w:color="auto"/>
            <w:bottom w:val="none" w:sz="0" w:space="0" w:color="auto"/>
            <w:right w:val="none" w:sz="0" w:space="0" w:color="auto"/>
          </w:divBdr>
          <w:divsChild>
            <w:div w:id="1730348720">
              <w:marLeft w:val="0"/>
              <w:marRight w:val="0"/>
              <w:marTop w:val="0"/>
              <w:marBottom w:val="0"/>
              <w:divBdr>
                <w:top w:val="none" w:sz="0" w:space="0" w:color="auto"/>
                <w:left w:val="none" w:sz="0" w:space="0" w:color="auto"/>
                <w:bottom w:val="none" w:sz="0" w:space="0" w:color="auto"/>
                <w:right w:val="none" w:sz="0" w:space="0" w:color="auto"/>
              </w:divBdr>
            </w:div>
          </w:divsChild>
        </w:div>
        <w:div w:id="543250365">
          <w:marLeft w:val="0"/>
          <w:marRight w:val="0"/>
          <w:marTop w:val="0"/>
          <w:marBottom w:val="0"/>
          <w:divBdr>
            <w:top w:val="none" w:sz="0" w:space="0" w:color="auto"/>
            <w:left w:val="none" w:sz="0" w:space="0" w:color="auto"/>
            <w:bottom w:val="none" w:sz="0" w:space="0" w:color="auto"/>
            <w:right w:val="none" w:sz="0" w:space="0" w:color="auto"/>
          </w:divBdr>
          <w:divsChild>
            <w:div w:id="1568764059">
              <w:marLeft w:val="0"/>
              <w:marRight w:val="0"/>
              <w:marTop w:val="0"/>
              <w:marBottom w:val="0"/>
              <w:divBdr>
                <w:top w:val="none" w:sz="0" w:space="0" w:color="auto"/>
                <w:left w:val="none" w:sz="0" w:space="0" w:color="auto"/>
                <w:bottom w:val="none" w:sz="0" w:space="0" w:color="auto"/>
                <w:right w:val="none" w:sz="0" w:space="0" w:color="auto"/>
              </w:divBdr>
            </w:div>
          </w:divsChild>
        </w:div>
        <w:div w:id="550389286">
          <w:marLeft w:val="0"/>
          <w:marRight w:val="0"/>
          <w:marTop w:val="0"/>
          <w:marBottom w:val="0"/>
          <w:divBdr>
            <w:top w:val="none" w:sz="0" w:space="0" w:color="auto"/>
            <w:left w:val="none" w:sz="0" w:space="0" w:color="auto"/>
            <w:bottom w:val="none" w:sz="0" w:space="0" w:color="auto"/>
            <w:right w:val="none" w:sz="0" w:space="0" w:color="auto"/>
          </w:divBdr>
          <w:divsChild>
            <w:div w:id="492063920">
              <w:marLeft w:val="0"/>
              <w:marRight w:val="0"/>
              <w:marTop w:val="0"/>
              <w:marBottom w:val="0"/>
              <w:divBdr>
                <w:top w:val="none" w:sz="0" w:space="0" w:color="auto"/>
                <w:left w:val="none" w:sz="0" w:space="0" w:color="auto"/>
                <w:bottom w:val="none" w:sz="0" w:space="0" w:color="auto"/>
                <w:right w:val="none" w:sz="0" w:space="0" w:color="auto"/>
              </w:divBdr>
            </w:div>
          </w:divsChild>
        </w:div>
        <w:div w:id="555358044">
          <w:marLeft w:val="0"/>
          <w:marRight w:val="0"/>
          <w:marTop w:val="0"/>
          <w:marBottom w:val="0"/>
          <w:divBdr>
            <w:top w:val="none" w:sz="0" w:space="0" w:color="auto"/>
            <w:left w:val="none" w:sz="0" w:space="0" w:color="auto"/>
            <w:bottom w:val="none" w:sz="0" w:space="0" w:color="auto"/>
            <w:right w:val="none" w:sz="0" w:space="0" w:color="auto"/>
          </w:divBdr>
          <w:divsChild>
            <w:div w:id="838276285">
              <w:marLeft w:val="0"/>
              <w:marRight w:val="0"/>
              <w:marTop w:val="0"/>
              <w:marBottom w:val="0"/>
              <w:divBdr>
                <w:top w:val="none" w:sz="0" w:space="0" w:color="auto"/>
                <w:left w:val="none" w:sz="0" w:space="0" w:color="auto"/>
                <w:bottom w:val="none" w:sz="0" w:space="0" w:color="auto"/>
                <w:right w:val="none" w:sz="0" w:space="0" w:color="auto"/>
              </w:divBdr>
            </w:div>
          </w:divsChild>
        </w:div>
        <w:div w:id="558639965">
          <w:marLeft w:val="0"/>
          <w:marRight w:val="0"/>
          <w:marTop w:val="0"/>
          <w:marBottom w:val="0"/>
          <w:divBdr>
            <w:top w:val="none" w:sz="0" w:space="0" w:color="auto"/>
            <w:left w:val="none" w:sz="0" w:space="0" w:color="auto"/>
            <w:bottom w:val="none" w:sz="0" w:space="0" w:color="auto"/>
            <w:right w:val="none" w:sz="0" w:space="0" w:color="auto"/>
          </w:divBdr>
          <w:divsChild>
            <w:div w:id="1105928872">
              <w:marLeft w:val="0"/>
              <w:marRight w:val="0"/>
              <w:marTop w:val="0"/>
              <w:marBottom w:val="0"/>
              <w:divBdr>
                <w:top w:val="none" w:sz="0" w:space="0" w:color="auto"/>
                <w:left w:val="none" w:sz="0" w:space="0" w:color="auto"/>
                <w:bottom w:val="none" w:sz="0" w:space="0" w:color="auto"/>
                <w:right w:val="none" w:sz="0" w:space="0" w:color="auto"/>
              </w:divBdr>
            </w:div>
          </w:divsChild>
        </w:div>
        <w:div w:id="561212015">
          <w:marLeft w:val="0"/>
          <w:marRight w:val="0"/>
          <w:marTop w:val="0"/>
          <w:marBottom w:val="0"/>
          <w:divBdr>
            <w:top w:val="none" w:sz="0" w:space="0" w:color="auto"/>
            <w:left w:val="none" w:sz="0" w:space="0" w:color="auto"/>
            <w:bottom w:val="none" w:sz="0" w:space="0" w:color="auto"/>
            <w:right w:val="none" w:sz="0" w:space="0" w:color="auto"/>
          </w:divBdr>
          <w:divsChild>
            <w:div w:id="1675495045">
              <w:marLeft w:val="0"/>
              <w:marRight w:val="0"/>
              <w:marTop w:val="0"/>
              <w:marBottom w:val="0"/>
              <w:divBdr>
                <w:top w:val="none" w:sz="0" w:space="0" w:color="auto"/>
                <w:left w:val="none" w:sz="0" w:space="0" w:color="auto"/>
                <w:bottom w:val="none" w:sz="0" w:space="0" w:color="auto"/>
                <w:right w:val="none" w:sz="0" w:space="0" w:color="auto"/>
              </w:divBdr>
            </w:div>
          </w:divsChild>
        </w:div>
        <w:div w:id="564996197">
          <w:marLeft w:val="0"/>
          <w:marRight w:val="0"/>
          <w:marTop w:val="0"/>
          <w:marBottom w:val="0"/>
          <w:divBdr>
            <w:top w:val="none" w:sz="0" w:space="0" w:color="auto"/>
            <w:left w:val="none" w:sz="0" w:space="0" w:color="auto"/>
            <w:bottom w:val="none" w:sz="0" w:space="0" w:color="auto"/>
            <w:right w:val="none" w:sz="0" w:space="0" w:color="auto"/>
          </w:divBdr>
          <w:divsChild>
            <w:div w:id="524249660">
              <w:marLeft w:val="0"/>
              <w:marRight w:val="0"/>
              <w:marTop w:val="0"/>
              <w:marBottom w:val="0"/>
              <w:divBdr>
                <w:top w:val="none" w:sz="0" w:space="0" w:color="auto"/>
                <w:left w:val="none" w:sz="0" w:space="0" w:color="auto"/>
                <w:bottom w:val="none" w:sz="0" w:space="0" w:color="auto"/>
                <w:right w:val="none" w:sz="0" w:space="0" w:color="auto"/>
              </w:divBdr>
            </w:div>
          </w:divsChild>
        </w:div>
        <w:div w:id="568657834">
          <w:marLeft w:val="0"/>
          <w:marRight w:val="0"/>
          <w:marTop w:val="0"/>
          <w:marBottom w:val="0"/>
          <w:divBdr>
            <w:top w:val="none" w:sz="0" w:space="0" w:color="auto"/>
            <w:left w:val="none" w:sz="0" w:space="0" w:color="auto"/>
            <w:bottom w:val="none" w:sz="0" w:space="0" w:color="auto"/>
            <w:right w:val="none" w:sz="0" w:space="0" w:color="auto"/>
          </w:divBdr>
          <w:divsChild>
            <w:div w:id="1923634460">
              <w:marLeft w:val="0"/>
              <w:marRight w:val="0"/>
              <w:marTop w:val="0"/>
              <w:marBottom w:val="0"/>
              <w:divBdr>
                <w:top w:val="none" w:sz="0" w:space="0" w:color="auto"/>
                <w:left w:val="none" w:sz="0" w:space="0" w:color="auto"/>
                <w:bottom w:val="none" w:sz="0" w:space="0" w:color="auto"/>
                <w:right w:val="none" w:sz="0" w:space="0" w:color="auto"/>
              </w:divBdr>
            </w:div>
          </w:divsChild>
        </w:div>
        <w:div w:id="569193988">
          <w:marLeft w:val="0"/>
          <w:marRight w:val="0"/>
          <w:marTop w:val="0"/>
          <w:marBottom w:val="0"/>
          <w:divBdr>
            <w:top w:val="none" w:sz="0" w:space="0" w:color="auto"/>
            <w:left w:val="none" w:sz="0" w:space="0" w:color="auto"/>
            <w:bottom w:val="none" w:sz="0" w:space="0" w:color="auto"/>
            <w:right w:val="none" w:sz="0" w:space="0" w:color="auto"/>
          </w:divBdr>
          <w:divsChild>
            <w:div w:id="353771109">
              <w:marLeft w:val="0"/>
              <w:marRight w:val="0"/>
              <w:marTop w:val="0"/>
              <w:marBottom w:val="0"/>
              <w:divBdr>
                <w:top w:val="none" w:sz="0" w:space="0" w:color="auto"/>
                <w:left w:val="none" w:sz="0" w:space="0" w:color="auto"/>
                <w:bottom w:val="none" w:sz="0" w:space="0" w:color="auto"/>
                <w:right w:val="none" w:sz="0" w:space="0" w:color="auto"/>
              </w:divBdr>
            </w:div>
          </w:divsChild>
        </w:div>
        <w:div w:id="577908095">
          <w:marLeft w:val="0"/>
          <w:marRight w:val="0"/>
          <w:marTop w:val="0"/>
          <w:marBottom w:val="0"/>
          <w:divBdr>
            <w:top w:val="none" w:sz="0" w:space="0" w:color="auto"/>
            <w:left w:val="none" w:sz="0" w:space="0" w:color="auto"/>
            <w:bottom w:val="none" w:sz="0" w:space="0" w:color="auto"/>
            <w:right w:val="none" w:sz="0" w:space="0" w:color="auto"/>
          </w:divBdr>
          <w:divsChild>
            <w:div w:id="2048018288">
              <w:marLeft w:val="0"/>
              <w:marRight w:val="0"/>
              <w:marTop w:val="0"/>
              <w:marBottom w:val="0"/>
              <w:divBdr>
                <w:top w:val="none" w:sz="0" w:space="0" w:color="auto"/>
                <w:left w:val="none" w:sz="0" w:space="0" w:color="auto"/>
                <w:bottom w:val="none" w:sz="0" w:space="0" w:color="auto"/>
                <w:right w:val="none" w:sz="0" w:space="0" w:color="auto"/>
              </w:divBdr>
            </w:div>
          </w:divsChild>
        </w:div>
        <w:div w:id="596213752">
          <w:marLeft w:val="0"/>
          <w:marRight w:val="0"/>
          <w:marTop w:val="0"/>
          <w:marBottom w:val="0"/>
          <w:divBdr>
            <w:top w:val="none" w:sz="0" w:space="0" w:color="auto"/>
            <w:left w:val="none" w:sz="0" w:space="0" w:color="auto"/>
            <w:bottom w:val="none" w:sz="0" w:space="0" w:color="auto"/>
            <w:right w:val="none" w:sz="0" w:space="0" w:color="auto"/>
          </w:divBdr>
          <w:divsChild>
            <w:div w:id="1428186894">
              <w:marLeft w:val="0"/>
              <w:marRight w:val="0"/>
              <w:marTop w:val="0"/>
              <w:marBottom w:val="0"/>
              <w:divBdr>
                <w:top w:val="none" w:sz="0" w:space="0" w:color="auto"/>
                <w:left w:val="none" w:sz="0" w:space="0" w:color="auto"/>
                <w:bottom w:val="none" w:sz="0" w:space="0" w:color="auto"/>
                <w:right w:val="none" w:sz="0" w:space="0" w:color="auto"/>
              </w:divBdr>
            </w:div>
          </w:divsChild>
        </w:div>
        <w:div w:id="599996815">
          <w:marLeft w:val="0"/>
          <w:marRight w:val="0"/>
          <w:marTop w:val="0"/>
          <w:marBottom w:val="0"/>
          <w:divBdr>
            <w:top w:val="none" w:sz="0" w:space="0" w:color="auto"/>
            <w:left w:val="none" w:sz="0" w:space="0" w:color="auto"/>
            <w:bottom w:val="none" w:sz="0" w:space="0" w:color="auto"/>
            <w:right w:val="none" w:sz="0" w:space="0" w:color="auto"/>
          </w:divBdr>
          <w:divsChild>
            <w:div w:id="393968126">
              <w:marLeft w:val="0"/>
              <w:marRight w:val="0"/>
              <w:marTop w:val="0"/>
              <w:marBottom w:val="0"/>
              <w:divBdr>
                <w:top w:val="none" w:sz="0" w:space="0" w:color="auto"/>
                <w:left w:val="none" w:sz="0" w:space="0" w:color="auto"/>
                <w:bottom w:val="none" w:sz="0" w:space="0" w:color="auto"/>
                <w:right w:val="none" w:sz="0" w:space="0" w:color="auto"/>
              </w:divBdr>
            </w:div>
          </w:divsChild>
        </w:div>
        <w:div w:id="610673200">
          <w:marLeft w:val="0"/>
          <w:marRight w:val="0"/>
          <w:marTop w:val="0"/>
          <w:marBottom w:val="0"/>
          <w:divBdr>
            <w:top w:val="none" w:sz="0" w:space="0" w:color="auto"/>
            <w:left w:val="none" w:sz="0" w:space="0" w:color="auto"/>
            <w:bottom w:val="none" w:sz="0" w:space="0" w:color="auto"/>
            <w:right w:val="none" w:sz="0" w:space="0" w:color="auto"/>
          </w:divBdr>
          <w:divsChild>
            <w:div w:id="173885089">
              <w:marLeft w:val="0"/>
              <w:marRight w:val="0"/>
              <w:marTop w:val="0"/>
              <w:marBottom w:val="0"/>
              <w:divBdr>
                <w:top w:val="none" w:sz="0" w:space="0" w:color="auto"/>
                <w:left w:val="none" w:sz="0" w:space="0" w:color="auto"/>
                <w:bottom w:val="none" w:sz="0" w:space="0" w:color="auto"/>
                <w:right w:val="none" w:sz="0" w:space="0" w:color="auto"/>
              </w:divBdr>
            </w:div>
          </w:divsChild>
        </w:div>
        <w:div w:id="613442169">
          <w:marLeft w:val="0"/>
          <w:marRight w:val="0"/>
          <w:marTop w:val="0"/>
          <w:marBottom w:val="0"/>
          <w:divBdr>
            <w:top w:val="none" w:sz="0" w:space="0" w:color="auto"/>
            <w:left w:val="none" w:sz="0" w:space="0" w:color="auto"/>
            <w:bottom w:val="none" w:sz="0" w:space="0" w:color="auto"/>
            <w:right w:val="none" w:sz="0" w:space="0" w:color="auto"/>
          </w:divBdr>
          <w:divsChild>
            <w:div w:id="867647817">
              <w:marLeft w:val="0"/>
              <w:marRight w:val="0"/>
              <w:marTop w:val="0"/>
              <w:marBottom w:val="0"/>
              <w:divBdr>
                <w:top w:val="none" w:sz="0" w:space="0" w:color="auto"/>
                <w:left w:val="none" w:sz="0" w:space="0" w:color="auto"/>
                <w:bottom w:val="none" w:sz="0" w:space="0" w:color="auto"/>
                <w:right w:val="none" w:sz="0" w:space="0" w:color="auto"/>
              </w:divBdr>
            </w:div>
          </w:divsChild>
        </w:div>
        <w:div w:id="626358189">
          <w:marLeft w:val="0"/>
          <w:marRight w:val="0"/>
          <w:marTop w:val="0"/>
          <w:marBottom w:val="0"/>
          <w:divBdr>
            <w:top w:val="none" w:sz="0" w:space="0" w:color="auto"/>
            <w:left w:val="none" w:sz="0" w:space="0" w:color="auto"/>
            <w:bottom w:val="none" w:sz="0" w:space="0" w:color="auto"/>
            <w:right w:val="none" w:sz="0" w:space="0" w:color="auto"/>
          </w:divBdr>
          <w:divsChild>
            <w:div w:id="1111629253">
              <w:marLeft w:val="0"/>
              <w:marRight w:val="0"/>
              <w:marTop w:val="0"/>
              <w:marBottom w:val="0"/>
              <w:divBdr>
                <w:top w:val="none" w:sz="0" w:space="0" w:color="auto"/>
                <w:left w:val="none" w:sz="0" w:space="0" w:color="auto"/>
                <w:bottom w:val="none" w:sz="0" w:space="0" w:color="auto"/>
                <w:right w:val="none" w:sz="0" w:space="0" w:color="auto"/>
              </w:divBdr>
            </w:div>
          </w:divsChild>
        </w:div>
        <w:div w:id="634717838">
          <w:marLeft w:val="0"/>
          <w:marRight w:val="0"/>
          <w:marTop w:val="0"/>
          <w:marBottom w:val="0"/>
          <w:divBdr>
            <w:top w:val="none" w:sz="0" w:space="0" w:color="auto"/>
            <w:left w:val="none" w:sz="0" w:space="0" w:color="auto"/>
            <w:bottom w:val="none" w:sz="0" w:space="0" w:color="auto"/>
            <w:right w:val="none" w:sz="0" w:space="0" w:color="auto"/>
          </w:divBdr>
          <w:divsChild>
            <w:div w:id="908614516">
              <w:marLeft w:val="0"/>
              <w:marRight w:val="0"/>
              <w:marTop w:val="0"/>
              <w:marBottom w:val="0"/>
              <w:divBdr>
                <w:top w:val="none" w:sz="0" w:space="0" w:color="auto"/>
                <w:left w:val="none" w:sz="0" w:space="0" w:color="auto"/>
                <w:bottom w:val="none" w:sz="0" w:space="0" w:color="auto"/>
                <w:right w:val="none" w:sz="0" w:space="0" w:color="auto"/>
              </w:divBdr>
            </w:div>
          </w:divsChild>
        </w:div>
        <w:div w:id="640892761">
          <w:marLeft w:val="0"/>
          <w:marRight w:val="0"/>
          <w:marTop w:val="0"/>
          <w:marBottom w:val="0"/>
          <w:divBdr>
            <w:top w:val="none" w:sz="0" w:space="0" w:color="auto"/>
            <w:left w:val="none" w:sz="0" w:space="0" w:color="auto"/>
            <w:bottom w:val="none" w:sz="0" w:space="0" w:color="auto"/>
            <w:right w:val="none" w:sz="0" w:space="0" w:color="auto"/>
          </w:divBdr>
          <w:divsChild>
            <w:div w:id="735010677">
              <w:marLeft w:val="0"/>
              <w:marRight w:val="0"/>
              <w:marTop w:val="0"/>
              <w:marBottom w:val="0"/>
              <w:divBdr>
                <w:top w:val="none" w:sz="0" w:space="0" w:color="auto"/>
                <w:left w:val="none" w:sz="0" w:space="0" w:color="auto"/>
                <w:bottom w:val="none" w:sz="0" w:space="0" w:color="auto"/>
                <w:right w:val="none" w:sz="0" w:space="0" w:color="auto"/>
              </w:divBdr>
            </w:div>
          </w:divsChild>
        </w:div>
        <w:div w:id="645205503">
          <w:marLeft w:val="0"/>
          <w:marRight w:val="0"/>
          <w:marTop w:val="0"/>
          <w:marBottom w:val="0"/>
          <w:divBdr>
            <w:top w:val="none" w:sz="0" w:space="0" w:color="auto"/>
            <w:left w:val="none" w:sz="0" w:space="0" w:color="auto"/>
            <w:bottom w:val="none" w:sz="0" w:space="0" w:color="auto"/>
            <w:right w:val="none" w:sz="0" w:space="0" w:color="auto"/>
          </w:divBdr>
          <w:divsChild>
            <w:div w:id="1788230631">
              <w:marLeft w:val="0"/>
              <w:marRight w:val="0"/>
              <w:marTop w:val="0"/>
              <w:marBottom w:val="0"/>
              <w:divBdr>
                <w:top w:val="none" w:sz="0" w:space="0" w:color="auto"/>
                <w:left w:val="none" w:sz="0" w:space="0" w:color="auto"/>
                <w:bottom w:val="none" w:sz="0" w:space="0" w:color="auto"/>
                <w:right w:val="none" w:sz="0" w:space="0" w:color="auto"/>
              </w:divBdr>
            </w:div>
          </w:divsChild>
        </w:div>
        <w:div w:id="648172483">
          <w:marLeft w:val="0"/>
          <w:marRight w:val="0"/>
          <w:marTop w:val="0"/>
          <w:marBottom w:val="0"/>
          <w:divBdr>
            <w:top w:val="none" w:sz="0" w:space="0" w:color="auto"/>
            <w:left w:val="none" w:sz="0" w:space="0" w:color="auto"/>
            <w:bottom w:val="none" w:sz="0" w:space="0" w:color="auto"/>
            <w:right w:val="none" w:sz="0" w:space="0" w:color="auto"/>
          </w:divBdr>
          <w:divsChild>
            <w:div w:id="1321276205">
              <w:marLeft w:val="0"/>
              <w:marRight w:val="0"/>
              <w:marTop w:val="0"/>
              <w:marBottom w:val="0"/>
              <w:divBdr>
                <w:top w:val="none" w:sz="0" w:space="0" w:color="auto"/>
                <w:left w:val="none" w:sz="0" w:space="0" w:color="auto"/>
                <w:bottom w:val="none" w:sz="0" w:space="0" w:color="auto"/>
                <w:right w:val="none" w:sz="0" w:space="0" w:color="auto"/>
              </w:divBdr>
            </w:div>
          </w:divsChild>
        </w:div>
        <w:div w:id="650988532">
          <w:marLeft w:val="0"/>
          <w:marRight w:val="0"/>
          <w:marTop w:val="0"/>
          <w:marBottom w:val="0"/>
          <w:divBdr>
            <w:top w:val="none" w:sz="0" w:space="0" w:color="auto"/>
            <w:left w:val="none" w:sz="0" w:space="0" w:color="auto"/>
            <w:bottom w:val="none" w:sz="0" w:space="0" w:color="auto"/>
            <w:right w:val="none" w:sz="0" w:space="0" w:color="auto"/>
          </w:divBdr>
          <w:divsChild>
            <w:div w:id="1828858821">
              <w:marLeft w:val="0"/>
              <w:marRight w:val="0"/>
              <w:marTop w:val="0"/>
              <w:marBottom w:val="0"/>
              <w:divBdr>
                <w:top w:val="none" w:sz="0" w:space="0" w:color="auto"/>
                <w:left w:val="none" w:sz="0" w:space="0" w:color="auto"/>
                <w:bottom w:val="none" w:sz="0" w:space="0" w:color="auto"/>
                <w:right w:val="none" w:sz="0" w:space="0" w:color="auto"/>
              </w:divBdr>
            </w:div>
          </w:divsChild>
        </w:div>
        <w:div w:id="653947118">
          <w:marLeft w:val="0"/>
          <w:marRight w:val="0"/>
          <w:marTop w:val="0"/>
          <w:marBottom w:val="0"/>
          <w:divBdr>
            <w:top w:val="none" w:sz="0" w:space="0" w:color="auto"/>
            <w:left w:val="none" w:sz="0" w:space="0" w:color="auto"/>
            <w:bottom w:val="none" w:sz="0" w:space="0" w:color="auto"/>
            <w:right w:val="none" w:sz="0" w:space="0" w:color="auto"/>
          </w:divBdr>
          <w:divsChild>
            <w:div w:id="1920282752">
              <w:marLeft w:val="0"/>
              <w:marRight w:val="0"/>
              <w:marTop w:val="0"/>
              <w:marBottom w:val="0"/>
              <w:divBdr>
                <w:top w:val="none" w:sz="0" w:space="0" w:color="auto"/>
                <w:left w:val="none" w:sz="0" w:space="0" w:color="auto"/>
                <w:bottom w:val="none" w:sz="0" w:space="0" w:color="auto"/>
                <w:right w:val="none" w:sz="0" w:space="0" w:color="auto"/>
              </w:divBdr>
            </w:div>
          </w:divsChild>
        </w:div>
        <w:div w:id="655378878">
          <w:marLeft w:val="0"/>
          <w:marRight w:val="0"/>
          <w:marTop w:val="0"/>
          <w:marBottom w:val="0"/>
          <w:divBdr>
            <w:top w:val="none" w:sz="0" w:space="0" w:color="auto"/>
            <w:left w:val="none" w:sz="0" w:space="0" w:color="auto"/>
            <w:bottom w:val="none" w:sz="0" w:space="0" w:color="auto"/>
            <w:right w:val="none" w:sz="0" w:space="0" w:color="auto"/>
          </w:divBdr>
          <w:divsChild>
            <w:div w:id="1300040355">
              <w:marLeft w:val="0"/>
              <w:marRight w:val="0"/>
              <w:marTop w:val="0"/>
              <w:marBottom w:val="0"/>
              <w:divBdr>
                <w:top w:val="none" w:sz="0" w:space="0" w:color="auto"/>
                <w:left w:val="none" w:sz="0" w:space="0" w:color="auto"/>
                <w:bottom w:val="none" w:sz="0" w:space="0" w:color="auto"/>
                <w:right w:val="none" w:sz="0" w:space="0" w:color="auto"/>
              </w:divBdr>
            </w:div>
          </w:divsChild>
        </w:div>
        <w:div w:id="655572695">
          <w:marLeft w:val="0"/>
          <w:marRight w:val="0"/>
          <w:marTop w:val="0"/>
          <w:marBottom w:val="0"/>
          <w:divBdr>
            <w:top w:val="none" w:sz="0" w:space="0" w:color="auto"/>
            <w:left w:val="none" w:sz="0" w:space="0" w:color="auto"/>
            <w:bottom w:val="none" w:sz="0" w:space="0" w:color="auto"/>
            <w:right w:val="none" w:sz="0" w:space="0" w:color="auto"/>
          </w:divBdr>
          <w:divsChild>
            <w:div w:id="726224872">
              <w:marLeft w:val="0"/>
              <w:marRight w:val="0"/>
              <w:marTop w:val="0"/>
              <w:marBottom w:val="0"/>
              <w:divBdr>
                <w:top w:val="none" w:sz="0" w:space="0" w:color="auto"/>
                <w:left w:val="none" w:sz="0" w:space="0" w:color="auto"/>
                <w:bottom w:val="none" w:sz="0" w:space="0" w:color="auto"/>
                <w:right w:val="none" w:sz="0" w:space="0" w:color="auto"/>
              </w:divBdr>
            </w:div>
          </w:divsChild>
        </w:div>
        <w:div w:id="658077681">
          <w:marLeft w:val="0"/>
          <w:marRight w:val="0"/>
          <w:marTop w:val="0"/>
          <w:marBottom w:val="0"/>
          <w:divBdr>
            <w:top w:val="none" w:sz="0" w:space="0" w:color="auto"/>
            <w:left w:val="none" w:sz="0" w:space="0" w:color="auto"/>
            <w:bottom w:val="none" w:sz="0" w:space="0" w:color="auto"/>
            <w:right w:val="none" w:sz="0" w:space="0" w:color="auto"/>
          </w:divBdr>
          <w:divsChild>
            <w:div w:id="803347469">
              <w:marLeft w:val="0"/>
              <w:marRight w:val="0"/>
              <w:marTop w:val="0"/>
              <w:marBottom w:val="0"/>
              <w:divBdr>
                <w:top w:val="none" w:sz="0" w:space="0" w:color="auto"/>
                <w:left w:val="none" w:sz="0" w:space="0" w:color="auto"/>
                <w:bottom w:val="none" w:sz="0" w:space="0" w:color="auto"/>
                <w:right w:val="none" w:sz="0" w:space="0" w:color="auto"/>
              </w:divBdr>
            </w:div>
          </w:divsChild>
        </w:div>
        <w:div w:id="667903635">
          <w:marLeft w:val="0"/>
          <w:marRight w:val="0"/>
          <w:marTop w:val="0"/>
          <w:marBottom w:val="0"/>
          <w:divBdr>
            <w:top w:val="none" w:sz="0" w:space="0" w:color="auto"/>
            <w:left w:val="none" w:sz="0" w:space="0" w:color="auto"/>
            <w:bottom w:val="none" w:sz="0" w:space="0" w:color="auto"/>
            <w:right w:val="none" w:sz="0" w:space="0" w:color="auto"/>
          </w:divBdr>
          <w:divsChild>
            <w:div w:id="2142992403">
              <w:marLeft w:val="0"/>
              <w:marRight w:val="0"/>
              <w:marTop w:val="0"/>
              <w:marBottom w:val="0"/>
              <w:divBdr>
                <w:top w:val="none" w:sz="0" w:space="0" w:color="auto"/>
                <w:left w:val="none" w:sz="0" w:space="0" w:color="auto"/>
                <w:bottom w:val="none" w:sz="0" w:space="0" w:color="auto"/>
                <w:right w:val="none" w:sz="0" w:space="0" w:color="auto"/>
              </w:divBdr>
            </w:div>
          </w:divsChild>
        </w:div>
        <w:div w:id="675377294">
          <w:marLeft w:val="0"/>
          <w:marRight w:val="0"/>
          <w:marTop w:val="0"/>
          <w:marBottom w:val="0"/>
          <w:divBdr>
            <w:top w:val="none" w:sz="0" w:space="0" w:color="auto"/>
            <w:left w:val="none" w:sz="0" w:space="0" w:color="auto"/>
            <w:bottom w:val="none" w:sz="0" w:space="0" w:color="auto"/>
            <w:right w:val="none" w:sz="0" w:space="0" w:color="auto"/>
          </w:divBdr>
          <w:divsChild>
            <w:div w:id="1751778789">
              <w:marLeft w:val="0"/>
              <w:marRight w:val="0"/>
              <w:marTop w:val="0"/>
              <w:marBottom w:val="0"/>
              <w:divBdr>
                <w:top w:val="none" w:sz="0" w:space="0" w:color="auto"/>
                <w:left w:val="none" w:sz="0" w:space="0" w:color="auto"/>
                <w:bottom w:val="none" w:sz="0" w:space="0" w:color="auto"/>
                <w:right w:val="none" w:sz="0" w:space="0" w:color="auto"/>
              </w:divBdr>
            </w:div>
          </w:divsChild>
        </w:div>
        <w:div w:id="678315084">
          <w:marLeft w:val="0"/>
          <w:marRight w:val="0"/>
          <w:marTop w:val="0"/>
          <w:marBottom w:val="0"/>
          <w:divBdr>
            <w:top w:val="none" w:sz="0" w:space="0" w:color="auto"/>
            <w:left w:val="none" w:sz="0" w:space="0" w:color="auto"/>
            <w:bottom w:val="none" w:sz="0" w:space="0" w:color="auto"/>
            <w:right w:val="none" w:sz="0" w:space="0" w:color="auto"/>
          </w:divBdr>
          <w:divsChild>
            <w:div w:id="939408112">
              <w:marLeft w:val="0"/>
              <w:marRight w:val="0"/>
              <w:marTop w:val="0"/>
              <w:marBottom w:val="0"/>
              <w:divBdr>
                <w:top w:val="none" w:sz="0" w:space="0" w:color="auto"/>
                <w:left w:val="none" w:sz="0" w:space="0" w:color="auto"/>
                <w:bottom w:val="none" w:sz="0" w:space="0" w:color="auto"/>
                <w:right w:val="none" w:sz="0" w:space="0" w:color="auto"/>
              </w:divBdr>
            </w:div>
          </w:divsChild>
        </w:div>
        <w:div w:id="678461223">
          <w:marLeft w:val="0"/>
          <w:marRight w:val="0"/>
          <w:marTop w:val="0"/>
          <w:marBottom w:val="0"/>
          <w:divBdr>
            <w:top w:val="none" w:sz="0" w:space="0" w:color="auto"/>
            <w:left w:val="none" w:sz="0" w:space="0" w:color="auto"/>
            <w:bottom w:val="none" w:sz="0" w:space="0" w:color="auto"/>
            <w:right w:val="none" w:sz="0" w:space="0" w:color="auto"/>
          </w:divBdr>
          <w:divsChild>
            <w:div w:id="3632323">
              <w:marLeft w:val="0"/>
              <w:marRight w:val="0"/>
              <w:marTop w:val="0"/>
              <w:marBottom w:val="0"/>
              <w:divBdr>
                <w:top w:val="none" w:sz="0" w:space="0" w:color="auto"/>
                <w:left w:val="none" w:sz="0" w:space="0" w:color="auto"/>
                <w:bottom w:val="none" w:sz="0" w:space="0" w:color="auto"/>
                <w:right w:val="none" w:sz="0" w:space="0" w:color="auto"/>
              </w:divBdr>
            </w:div>
          </w:divsChild>
        </w:div>
        <w:div w:id="679509398">
          <w:marLeft w:val="0"/>
          <w:marRight w:val="0"/>
          <w:marTop w:val="0"/>
          <w:marBottom w:val="0"/>
          <w:divBdr>
            <w:top w:val="none" w:sz="0" w:space="0" w:color="auto"/>
            <w:left w:val="none" w:sz="0" w:space="0" w:color="auto"/>
            <w:bottom w:val="none" w:sz="0" w:space="0" w:color="auto"/>
            <w:right w:val="none" w:sz="0" w:space="0" w:color="auto"/>
          </w:divBdr>
          <w:divsChild>
            <w:div w:id="415831766">
              <w:marLeft w:val="0"/>
              <w:marRight w:val="0"/>
              <w:marTop w:val="0"/>
              <w:marBottom w:val="0"/>
              <w:divBdr>
                <w:top w:val="none" w:sz="0" w:space="0" w:color="auto"/>
                <w:left w:val="none" w:sz="0" w:space="0" w:color="auto"/>
                <w:bottom w:val="none" w:sz="0" w:space="0" w:color="auto"/>
                <w:right w:val="none" w:sz="0" w:space="0" w:color="auto"/>
              </w:divBdr>
            </w:div>
          </w:divsChild>
        </w:div>
        <w:div w:id="691036390">
          <w:marLeft w:val="0"/>
          <w:marRight w:val="0"/>
          <w:marTop w:val="0"/>
          <w:marBottom w:val="0"/>
          <w:divBdr>
            <w:top w:val="none" w:sz="0" w:space="0" w:color="auto"/>
            <w:left w:val="none" w:sz="0" w:space="0" w:color="auto"/>
            <w:bottom w:val="none" w:sz="0" w:space="0" w:color="auto"/>
            <w:right w:val="none" w:sz="0" w:space="0" w:color="auto"/>
          </w:divBdr>
          <w:divsChild>
            <w:div w:id="1895389418">
              <w:marLeft w:val="0"/>
              <w:marRight w:val="0"/>
              <w:marTop w:val="0"/>
              <w:marBottom w:val="0"/>
              <w:divBdr>
                <w:top w:val="none" w:sz="0" w:space="0" w:color="auto"/>
                <w:left w:val="none" w:sz="0" w:space="0" w:color="auto"/>
                <w:bottom w:val="none" w:sz="0" w:space="0" w:color="auto"/>
                <w:right w:val="none" w:sz="0" w:space="0" w:color="auto"/>
              </w:divBdr>
            </w:div>
          </w:divsChild>
        </w:div>
        <w:div w:id="702561398">
          <w:marLeft w:val="0"/>
          <w:marRight w:val="0"/>
          <w:marTop w:val="0"/>
          <w:marBottom w:val="0"/>
          <w:divBdr>
            <w:top w:val="none" w:sz="0" w:space="0" w:color="auto"/>
            <w:left w:val="none" w:sz="0" w:space="0" w:color="auto"/>
            <w:bottom w:val="none" w:sz="0" w:space="0" w:color="auto"/>
            <w:right w:val="none" w:sz="0" w:space="0" w:color="auto"/>
          </w:divBdr>
          <w:divsChild>
            <w:div w:id="386026215">
              <w:marLeft w:val="0"/>
              <w:marRight w:val="0"/>
              <w:marTop w:val="0"/>
              <w:marBottom w:val="0"/>
              <w:divBdr>
                <w:top w:val="none" w:sz="0" w:space="0" w:color="auto"/>
                <w:left w:val="none" w:sz="0" w:space="0" w:color="auto"/>
                <w:bottom w:val="none" w:sz="0" w:space="0" w:color="auto"/>
                <w:right w:val="none" w:sz="0" w:space="0" w:color="auto"/>
              </w:divBdr>
            </w:div>
          </w:divsChild>
        </w:div>
        <w:div w:id="707948145">
          <w:marLeft w:val="0"/>
          <w:marRight w:val="0"/>
          <w:marTop w:val="0"/>
          <w:marBottom w:val="0"/>
          <w:divBdr>
            <w:top w:val="none" w:sz="0" w:space="0" w:color="auto"/>
            <w:left w:val="none" w:sz="0" w:space="0" w:color="auto"/>
            <w:bottom w:val="none" w:sz="0" w:space="0" w:color="auto"/>
            <w:right w:val="none" w:sz="0" w:space="0" w:color="auto"/>
          </w:divBdr>
          <w:divsChild>
            <w:div w:id="1331257288">
              <w:marLeft w:val="0"/>
              <w:marRight w:val="0"/>
              <w:marTop w:val="0"/>
              <w:marBottom w:val="0"/>
              <w:divBdr>
                <w:top w:val="none" w:sz="0" w:space="0" w:color="auto"/>
                <w:left w:val="none" w:sz="0" w:space="0" w:color="auto"/>
                <w:bottom w:val="none" w:sz="0" w:space="0" w:color="auto"/>
                <w:right w:val="none" w:sz="0" w:space="0" w:color="auto"/>
              </w:divBdr>
            </w:div>
          </w:divsChild>
        </w:div>
        <w:div w:id="719982315">
          <w:marLeft w:val="0"/>
          <w:marRight w:val="0"/>
          <w:marTop w:val="0"/>
          <w:marBottom w:val="0"/>
          <w:divBdr>
            <w:top w:val="none" w:sz="0" w:space="0" w:color="auto"/>
            <w:left w:val="none" w:sz="0" w:space="0" w:color="auto"/>
            <w:bottom w:val="none" w:sz="0" w:space="0" w:color="auto"/>
            <w:right w:val="none" w:sz="0" w:space="0" w:color="auto"/>
          </w:divBdr>
          <w:divsChild>
            <w:div w:id="1588492284">
              <w:marLeft w:val="0"/>
              <w:marRight w:val="0"/>
              <w:marTop w:val="0"/>
              <w:marBottom w:val="0"/>
              <w:divBdr>
                <w:top w:val="none" w:sz="0" w:space="0" w:color="auto"/>
                <w:left w:val="none" w:sz="0" w:space="0" w:color="auto"/>
                <w:bottom w:val="none" w:sz="0" w:space="0" w:color="auto"/>
                <w:right w:val="none" w:sz="0" w:space="0" w:color="auto"/>
              </w:divBdr>
            </w:div>
          </w:divsChild>
        </w:div>
        <w:div w:id="720059052">
          <w:marLeft w:val="0"/>
          <w:marRight w:val="0"/>
          <w:marTop w:val="0"/>
          <w:marBottom w:val="0"/>
          <w:divBdr>
            <w:top w:val="none" w:sz="0" w:space="0" w:color="auto"/>
            <w:left w:val="none" w:sz="0" w:space="0" w:color="auto"/>
            <w:bottom w:val="none" w:sz="0" w:space="0" w:color="auto"/>
            <w:right w:val="none" w:sz="0" w:space="0" w:color="auto"/>
          </w:divBdr>
          <w:divsChild>
            <w:div w:id="1758940043">
              <w:marLeft w:val="0"/>
              <w:marRight w:val="0"/>
              <w:marTop w:val="0"/>
              <w:marBottom w:val="0"/>
              <w:divBdr>
                <w:top w:val="none" w:sz="0" w:space="0" w:color="auto"/>
                <w:left w:val="none" w:sz="0" w:space="0" w:color="auto"/>
                <w:bottom w:val="none" w:sz="0" w:space="0" w:color="auto"/>
                <w:right w:val="none" w:sz="0" w:space="0" w:color="auto"/>
              </w:divBdr>
            </w:div>
          </w:divsChild>
        </w:div>
        <w:div w:id="720986036">
          <w:marLeft w:val="0"/>
          <w:marRight w:val="0"/>
          <w:marTop w:val="0"/>
          <w:marBottom w:val="0"/>
          <w:divBdr>
            <w:top w:val="none" w:sz="0" w:space="0" w:color="auto"/>
            <w:left w:val="none" w:sz="0" w:space="0" w:color="auto"/>
            <w:bottom w:val="none" w:sz="0" w:space="0" w:color="auto"/>
            <w:right w:val="none" w:sz="0" w:space="0" w:color="auto"/>
          </w:divBdr>
          <w:divsChild>
            <w:div w:id="1899634581">
              <w:marLeft w:val="0"/>
              <w:marRight w:val="0"/>
              <w:marTop w:val="0"/>
              <w:marBottom w:val="0"/>
              <w:divBdr>
                <w:top w:val="none" w:sz="0" w:space="0" w:color="auto"/>
                <w:left w:val="none" w:sz="0" w:space="0" w:color="auto"/>
                <w:bottom w:val="none" w:sz="0" w:space="0" w:color="auto"/>
                <w:right w:val="none" w:sz="0" w:space="0" w:color="auto"/>
              </w:divBdr>
            </w:div>
          </w:divsChild>
        </w:div>
        <w:div w:id="721752259">
          <w:marLeft w:val="0"/>
          <w:marRight w:val="0"/>
          <w:marTop w:val="0"/>
          <w:marBottom w:val="0"/>
          <w:divBdr>
            <w:top w:val="none" w:sz="0" w:space="0" w:color="auto"/>
            <w:left w:val="none" w:sz="0" w:space="0" w:color="auto"/>
            <w:bottom w:val="none" w:sz="0" w:space="0" w:color="auto"/>
            <w:right w:val="none" w:sz="0" w:space="0" w:color="auto"/>
          </w:divBdr>
          <w:divsChild>
            <w:div w:id="1164393377">
              <w:marLeft w:val="0"/>
              <w:marRight w:val="0"/>
              <w:marTop w:val="0"/>
              <w:marBottom w:val="0"/>
              <w:divBdr>
                <w:top w:val="none" w:sz="0" w:space="0" w:color="auto"/>
                <w:left w:val="none" w:sz="0" w:space="0" w:color="auto"/>
                <w:bottom w:val="none" w:sz="0" w:space="0" w:color="auto"/>
                <w:right w:val="none" w:sz="0" w:space="0" w:color="auto"/>
              </w:divBdr>
            </w:div>
          </w:divsChild>
        </w:div>
        <w:div w:id="722563597">
          <w:marLeft w:val="0"/>
          <w:marRight w:val="0"/>
          <w:marTop w:val="0"/>
          <w:marBottom w:val="0"/>
          <w:divBdr>
            <w:top w:val="none" w:sz="0" w:space="0" w:color="auto"/>
            <w:left w:val="none" w:sz="0" w:space="0" w:color="auto"/>
            <w:bottom w:val="none" w:sz="0" w:space="0" w:color="auto"/>
            <w:right w:val="none" w:sz="0" w:space="0" w:color="auto"/>
          </w:divBdr>
          <w:divsChild>
            <w:div w:id="920262252">
              <w:marLeft w:val="0"/>
              <w:marRight w:val="0"/>
              <w:marTop w:val="0"/>
              <w:marBottom w:val="0"/>
              <w:divBdr>
                <w:top w:val="none" w:sz="0" w:space="0" w:color="auto"/>
                <w:left w:val="none" w:sz="0" w:space="0" w:color="auto"/>
                <w:bottom w:val="none" w:sz="0" w:space="0" w:color="auto"/>
                <w:right w:val="none" w:sz="0" w:space="0" w:color="auto"/>
              </w:divBdr>
            </w:div>
          </w:divsChild>
        </w:div>
        <w:div w:id="723023004">
          <w:marLeft w:val="0"/>
          <w:marRight w:val="0"/>
          <w:marTop w:val="0"/>
          <w:marBottom w:val="0"/>
          <w:divBdr>
            <w:top w:val="none" w:sz="0" w:space="0" w:color="auto"/>
            <w:left w:val="none" w:sz="0" w:space="0" w:color="auto"/>
            <w:bottom w:val="none" w:sz="0" w:space="0" w:color="auto"/>
            <w:right w:val="none" w:sz="0" w:space="0" w:color="auto"/>
          </w:divBdr>
          <w:divsChild>
            <w:div w:id="1440837981">
              <w:marLeft w:val="0"/>
              <w:marRight w:val="0"/>
              <w:marTop w:val="0"/>
              <w:marBottom w:val="0"/>
              <w:divBdr>
                <w:top w:val="none" w:sz="0" w:space="0" w:color="auto"/>
                <w:left w:val="none" w:sz="0" w:space="0" w:color="auto"/>
                <w:bottom w:val="none" w:sz="0" w:space="0" w:color="auto"/>
                <w:right w:val="none" w:sz="0" w:space="0" w:color="auto"/>
              </w:divBdr>
            </w:div>
          </w:divsChild>
        </w:div>
        <w:div w:id="728958451">
          <w:marLeft w:val="0"/>
          <w:marRight w:val="0"/>
          <w:marTop w:val="0"/>
          <w:marBottom w:val="0"/>
          <w:divBdr>
            <w:top w:val="none" w:sz="0" w:space="0" w:color="auto"/>
            <w:left w:val="none" w:sz="0" w:space="0" w:color="auto"/>
            <w:bottom w:val="none" w:sz="0" w:space="0" w:color="auto"/>
            <w:right w:val="none" w:sz="0" w:space="0" w:color="auto"/>
          </w:divBdr>
          <w:divsChild>
            <w:div w:id="1113403530">
              <w:marLeft w:val="0"/>
              <w:marRight w:val="0"/>
              <w:marTop w:val="0"/>
              <w:marBottom w:val="0"/>
              <w:divBdr>
                <w:top w:val="none" w:sz="0" w:space="0" w:color="auto"/>
                <w:left w:val="none" w:sz="0" w:space="0" w:color="auto"/>
                <w:bottom w:val="none" w:sz="0" w:space="0" w:color="auto"/>
                <w:right w:val="none" w:sz="0" w:space="0" w:color="auto"/>
              </w:divBdr>
            </w:div>
          </w:divsChild>
        </w:div>
        <w:div w:id="734358495">
          <w:marLeft w:val="0"/>
          <w:marRight w:val="0"/>
          <w:marTop w:val="0"/>
          <w:marBottom w:val="0"/>
          <w:divBdr>
            <w:top w:val="none" w:sz="0" w:space="0" w:color="auto"/>
            <w:left w:val="none" w:sz="0" w:space="0" w:color="auto"/>
            <w:bottom w:val="none" w:sz="0" w:space="0" w:color="auto"/>
            <w:right w:val="none" w:sz="0" w:space="0" w:color="auto"/>
          </w:divBdr>
          <w:divsChild>
            <w:div w:id="1721202767">
              <w:marLeft w:val="0"/>
              <w:marRight w:val="0"/>
              <w:marTop w:val="0"/>
              <w:marBottom w:val="0"/>
              <w:divBdr>
                <w:top w:val="none" w:sz="0" w:space="0" w:color="auto"/>
                <w:left w:val="none" w:sz="0" w:space="0" w:color="auto"/>
                <w:bottom w:val="none" w:sz="0" w:space="0" w:color="auto"/>
                <w:right w:val="none" w:sz="0" w:space="0" w:color="auto"/>
              </w:divBdr>
            </w:div>
          </w:divsChild>
        </w:div>
        <w:div w:id="735011120">
          <w:marLeft w:val="0"/>
          <w:marRight w:val="0"/>
          <w:marTop w:val="0"/>
          <w:marBottom w:val="0"/>
          <w:divBdr>
            <w:top w:val="none" w:sz="0" w:space="0" w:color="auto"/>
            <w:left w:val="none" w:sz="0" w:space="0" w:color="auto"/>
            <w:bottom w:val="none" w:sz="0" w:space="0" w:color="auto"/>
            <w:right w:val="none" w:sz="0" w:space="0" w:color="auto"/>
          </w:divBdr>
          <w:divsChild>
            <w:div w:id="225990500">
              <w:marLeft w:val="0"/>
              <w:marRight w:val="0"/>
              <w:marTop w:val="0"/>
              <w:marBottom w:val="0"/>
              <w:divBdr>
                <w:top w:val="none" w:sz="0" w:space="0" w:color="auto"/>
                <w:left w:val="none" w:sz="0" w:space="0" w:color="auto"/>
                <w:bottom w:val="none" w:sz="0" w:space="0" w:color="auto"/>
                <w:right w:val="none" w:sz="0" w:space="0" w:color="auto"/>
              </w:divBdr>
            </w:div>
          </w:divsChild>
        </w:div>
        <w:div w:id="741678164">
          <w:marLeft w:val="0"/>
          <w:marRight w:val="0"/>
          <w:marTop w:val="0"/>
          <w:marBottom w:val="0"/>
          <w:divBdr>
            <w:top w:val="none" w:sz="0" w:space="0" w:color="auto"/>
            <w:left w:val="none" w:sz="0" w:space="0" w:color="auto"/>
            <w:bottom w:val="none" w:sz="0" w:space="0" w:color="auto"/>
            <w:right w:val="none" w:sz="0" w:space="0" w:color="auto"/>
          </w:divBdr>
          <w:divsChild>
            <w:div w:id="1540970830">
              <w:marLeft w:val="0"/>
              <w:marRight w:val="0"/>
              <w:marTop w:val="0"/>
              <w:marBottom w:val="0"/>
              <w:divBdr>
                <w:top w:val="none" w:sz="0" w:space="0" w:color="auto"/>
                <w:left w:val="none" w:sz="0" w:space="0" w:color="auto"/>
                <w:bottom w:val="none" w:sz="0" w:space="0" w:color="auto"/>
                <w:right w:val="none" w:sz="0" w:space="0" w:color="auto"/>
              </w:divBdr>
            </w:div>
          </w:divsChild>
        </w:div>
        <w:div w:id="742677942">
          <w:marLeft w:val="0"/>
          <w:marRight w:val="0"/>
          <w:marTop w:val="0"/>
          <w:marBottom w:val="0"/>
          <w:divBdr>
            <w:top w:val="none" w:sz="0" w:space="0" w:color="auto"/>
            <w:left w:val="none" w:sz="0" w:space="0" w:color="auto"/>
            <w:bottom w:val="none" w:sz="0" w:space="0" w:color="auto"/>
            <w:right w:val="none" w:sz="0" w:space="0" w:color="auto"/>
          </w:divBdr>
          <w:divsChild>
            <w:div w:id="627319488">
              <w:marLeft w:val="0"/>
              <w:marRight w:val="0"/>
              <w:marTop w:val="0"/>
              <w:marBottom w:val="0"/>
              <w:divBdr>
                <w:top w:val="none" w:sz="0" w:space="0" w:color="auto"/>
                <w:left w:val="none" w:sz="0" w:space="0" w:color="auto"/>
                <w:bottom w:val="none" w:sz="0" w:space="0" w:color="auto"/>
                <w:right w:val="none" w:sz="0" w:space="0" w:color="auto"/>
              </w:divBdr>
            </w:div>
          </w:divsChild>
        </w:div>
        <w:div w:id="744104732">
          <w:marLeft w:val="0"/>
          <w:marRight w:val="0"/>
          <w:marTop w:val="0"/>
          <w:marBottom w:val="0"/>
          <w:divBdr>
            <w:top w:val="none" w:sz="0" w:space="0" w:color="auto"/>
            <w:left w:val="none" w:sz="0" w:space="0" w:color="auto"/>
            <w:bottom w:val="none" w:sz="0" w:space="0" w:color="auto"/>
            <w:right w:val="none" w:sz="0" w:space="0" w:color="auto"/>
          </w:divBdr>
          <w:divsChild>
            <w:div w:id="1013148807">
              <w:marLeft w:val="0"/>
              <w:marRight w:val="0"/>
              <w:marTop w:val="0"/>
              <w:marBottom w:val="0"/>
              <w:divBdr>
                <w:top w:val="none" w:sz="0" w:space="0" w:color="auto"/>
                <w:left w:val="none" w:sz="0" w:space="0" w:color="auto"/>
                <w:bottom w:val="none" w:sz="0" w:space="0" w:color="auto"/>
                <w:right w:val="none" w:sz="0" w:space="0" w:color="auto"/>
              </w:divBdr>
            </w:div>
          </w:divsChild>
        </w:div>
        <w:div w:id="751967500">
          <w:marLeft w:val="0"/>
          <w:marRight w:val="0"/>
          <w:marTop w:val="0"/>
          <w:marBottom w:val="0"/>
          <w:divBdr>
            <w:top w:val="none" w:sz="0" w:space="0" w:color="auto"/>
            <w:left w:val="none" w:sz="0" w:space="0" w:color="auto"/>
            <w:bottom w:val="none" w:sz="0" w:space="0" w:color="auto"/>
            <w:right w:val="none" w:sz="0" w:space="0" w:color="auto"/>
          </w:divBdr>
          <w:divsChild>
            <w:div w:id="2035112250">
              <w:marLeft w:val="0"/>
              <w:marRight w:val="0"/>
              <w:marTop w:val="0"/>
              <w:marBottom w:val="0"/>
              <w:divBdr>
                <w:top w:val="none" w:sz="0" w:space="0" w:color="auto"/>
                <w:left w:val="none" w:sz="0" w:space="0" w:color="auto"/>
                <w:bottom w:val="none" w:sz="0" w:space="0" w:color="auto"/>
                <w:right w:val="none" w:sz="0" w:space="0" w:color="auto"/>
              </w:divBdr>
            </w:div>
          </w:divsChild>
        </w:div>
        <w:div w:id="753210741">
          <w:marLeft w:val="0"/>
          <w:marRight w:val="0"/>
          <w:marTop w:val="0"/>
          <w:marBottom w:val="0"/>
          <w:divBdr>
            <w:top w:val="none" w:sz="0" w:space="0" w:color="auto"/>
            <w:left w:val="none" w:sz="0" w:space="0" w:color="auto"/>
            <w:bottom w:val="none" w:sz="0" w:space="0" w:color="auto"/>
            <w:right w:val="none" w:sz="0" w:space="0" w:color="auto"/>
          </w:divBdr>
          <w:divsChild>
            <w:div w:id="620457209">
              <w:marLeft w:val="0"/>
              <w:marRight w:val="0"/>
              <w:marTop w:val="0"/>
              <w:marBottom w:val="0"/>
              <w:divBdr>
                <w:top w:val="none" w:sz="0" w:space="0" w:color="auto"/>
                <w:left w:val="none" w:sz="0" w:space="0" w:color="auto"/>
                <w:bottom w:val="none" w:sz="0" w:space="0" w:color="auto"/>
                <w:right w:val="none" w:sz="0" w:space="0" w:color="auto"/>
              </w:divBdr>
            </w:div>
          </w:divsChild>
        </w:div>
        <w:div w:id="755782096">
          <w:marLeft w:val="0"/>
          <w:marRight w:val="0"/>
          <w:marTop w:val="0"/>
          <w:marBottom w:val="0"/>
          <w:divBdr>
            <w:top w:val="none" w:sz="0" w:space="0" w:color="auto"/>
            <w:left w:val="none" w:sz="0" w:space="0" w:color="auto"/>
            <w:bottom w:val="none" w:sz="0" w:space="0" w:color="auto"/>
            <w:right w:val="none" w:sz="0" w:space="0" w:color="auto"/>
          </w:divBdr>
          <w:divsChild>
            <w:div w:id="1103182136">
              <w:marLeft w:val="0"/>
              <w:marRight w:val="0"/>
              <w:marTop w:val="0"/>
              <w:marBottom w:val="0"/>
              <w:divBdr>
                <w:top w:val="none" w:sz="0" w:space="0" w:color="auto"/>
                <w:left w:val="none" w:sz="0" w:space="0" w:color="auto"/>
                <w:bottom w:val="none" w:sz="0" w:space="0" w:color="auto"/>
                <w:right w:val="none" w:sz="0" w:space="0" w:color="auto"/>
              </w:divBdr>
            </w:div>
          </w:divsChild>
        </w:div>
        <w:div w:id="762068601">
          <w:marLeft w:val="0"/>
          <w:marRight w:val="0"/>
          <w:marTop w:val="0"/>
          <w:marBottom w:val="0"/>
          <w:divBdr>
            <w:top w:val="none" w:sz="0" w:space="0" w:color="auto"/>
            <w:left w:val="none" w:sz="0" w:space="0" w:color="auto"/>
            <w:bottom w:val="none" w:sz="0" w:space="0" w:color="auto"/>
            <w:right w:val="none" w:sz="0" w:space="0" w:color="auto"/>
          </w:divBdr>
          <w:divsChild>
            <w:div w:id="1319698453">
              <w:marLeft w:val="0"/>
              <w:marRight w:val="0"/>
              <w:marTop w:val="0"/>
              <w:marBottom w:val="0"/>
              <w:divBdr>
                <w:top w:val="none" w:sz="0" w:space="0" w:color="auto"/>
                <w:left w:val="none" w:sz="0" w:space="0" w:color="auto"/>
                <w:bottom w:val="none" w:sz="0" w:space="0" w:color="auto"/>
                <w:right w:val="none" w:sz="0" w:space="0" w:color="auto"/>
              </w:divBdr>
            </w:div>
          </w:divsChild>
        </w:div>
        <w:div w:id="773984472">
          <w:marLeft w:val="0"/>
          <w:marRight w:val="0"/>
          <w:marTop w:val="0"/>
          <w:marBottom w:val="0"/>
          <w:divBdr>
            <w:top w:val="none" w:sz="0" w:space="0" w:color="auto"/>
            <w:left w:val="none" w:sz="0" w:space="0" w:color="auto"/>
            <w:bottom w:val="none" w:sz="0" w:space="0" w:color="auto"/>
            <w:right w:val="none" w:sz="0" w:space="0" w:color="auto"/>
          </w:divBdr>
          <w:divsChild>
            <w:div w:id="564922920">
              <w:marLeft w:val="0"/>
              <w:marRight w:val="0"/>
              <w:marTop w:val="0"/>
              <w:marBottom w:val="0"/>
              <w:divBdr>
                <w:top w:val="none" w:sz="0" w:space="0" w:color="auto"/>
                <w:left w:val="none" w:sz="0" w:space="0" w:color="auto"/>
                <w:bottom w:val="none" w:sz="0" w:space="0" w:color="auto"/>
                <w:right w:val="none" w:sz="0" w:space="0" w:color="auto"/>
              </w:divBdr>
            </w:div>
          </w:divsChild>
        </w:div>
        <w:div w:id="774053626">
          <w:marLeft w:val="0"/>
          <w:marRight w:val="0"/>
          <w:marTop w:val="0"/>
          <w:marBottom w:val="0"/>
          <w:divBdr>
            <w:top w:val="none" w:sz="0" w:space="0" w:color="auto"/>
            <w:left w:val="none" w:sz="0" w:space="0" w:color="auto"/>
            <w:bottom w:val="none" w:sz="0" w:space="0" w:color="auto"/>
            <w:right w:val="none" w:sz="0" w:space="0" w:color="auto"/>
          </w:divBdr>
          <w:divsChild>
            <w:div w:id="1993366272">
              <w:marLeft w:val="0"/>
              <w:marRight w:val="0"/>
              <w:marTop w:val="0"/>
              <w:marBottom w:val="0"/>
              <w:divBdr>
                <w:top w:val="none" w:sz="0" w:space="0" w:color="auto"/>
                <w:left w:val="none" w:sz="0" w:space="0" w:color="auto"/>
                <w:bottom w:val="none" w:sz="0" w:space="0" w:color="auto"/>
                <w:right w:val="none" w:sz="0" w:space="0" w:color="auto"/>
              </w:divBdr>
            </w:div>
          </w:divsChild>
        </w:div>
        <w:div w:id="780034950">
          <w:marLeft w:val="0"/>
          <w:marRight w:val="0"/>
          <w:marTop w:val="0"/>
          <w:marBottom w:val="0"/>
          <w:divBdr>
            <w:top w:val="none" w:sz="0" w:space="0" w:color="auto"/>
            <w:left w:val="none" w:sz="0" w:space="0" w:color="auto"/>
            <w:bottom w:val="none" w:sz="0" w:space="0" w:color="auto"/>
            <w:right w:val="none" w:sz="0" w:space="0" w:color="auto"/>
          </w:divBdr>
          <w:divsChild>
            <w:div w:id="1562669669">
              <w:marLeft w:val="0"/>
              <w:marRight w:val="0"/>
              <w:marTop w:val="0"/>
              <w:marBottom w:val="0"/>
              <w:divBdr>
                <w:top w:val="none" w:sz="0" w:space="0" w:color="auto"/>
                <w:left w:val="none" w:sz="0" w:space="0" w:color="auto"/>
                <w:bottom w:val="none" w:sz="0" w:space="0" w:color="auto"/>
                <w:right w:val="none" w:sz="0" w:space="0" w:color="auto"/>
              </w:divBdr>
            </w:div>
          </w:divsChild>
        </w:div>
        <w:div w:id="790519978">
          <w:marLeft w:val="0"/>
          <w:marRight w:val="0"/>
          <w:marTop w:val="0"/>
          <w:marBottom w:val="0"/>
          <w:divBdr>
            <w:top w:val="none" w:sz="0" w:space="0" w:color="auto"/>
            <w:left w:val="none" w:sz="0" w:space="0" w:color="auto"/>
            <w:bottom w:val="none" w:sz="0" w:space="0" w:color="auto"/>
            <w:right w:val="none" w:sz="0" w:space="0" w:color="auto"/>
          </w:divBdr>
          <w:divsChild>
            <w:div w:id="247420872">
              <w:marLeft w:val="0"/>
              <w:marRight w:val="0"/>
              <w:marTop w:val="0"/>
              <w:marBottom w:val="0"/>
              <w:divBdr>
                <w:top w:val="none" w:sz="0" w:space="0" w:color="auto"/>
                <w:left w:val="none" w:sz="0" w:space="0" w:color="auto"/>
                <w:bottom w:val="none" w:sz="0" w:space="0" w:color="auto"/>
                <w:right w:val="none" w:sz="0" w:space="0" w:color="auto"/>
              </w:divBdr>
            </w:div>
          </w:divsChild>
        </w:div>
        <w:div w:id="791561783">
          <w:marLeft w:val="0"/>
          <w:marRight w:val="0"/>
          <w:marTop w:val="0"/>
          <w:marBottom w:val="0"/>
          <w:divBdr>
            <w:top w:val="none" w:sz="0" w:space="0" w:color="auto"/>
            <w:left w:val="none" w:sz="0" w:space="0" w:color="auto"/>
            <w:bottom w:val="none" w:sz="0" w:space="0" w:color="auto"/>
            <w:right w:val="none" w:sz="0" w:space="0" w:color="auto"/>
          </w:divBdr>
          <w:divsChild>
            <w:div w:id="1967465202">
              <w:marLeft w:val="0"/>
              <w:marRight w:val="0"/>
              <w:marTop w:val="0"/>
              <w:marBottom w:val="0"/>
              <w:divBdr>
                <w:top w:val="none" w:sz="0" w:space="0" w:color="auto"/>
                <w:left w:val="none" w:sz="0" w:space="0" w:color="auto"/>
                <w:bottom w:val="none" w:sz="0" w:space="0" w:color="auto"/>
                <w:right w:val="none" w:sz="0" w:space="0" w:color="auto"/>
              </w:divBdr>
            </w:div>
          </w:divsChild>
        </w:div>
        <w:div w:id="792409224">
          <w:marLeft w:val="0"/>
          <w:marRight w:val="0"/>
          <w:marTop w:val="0"/>
          <w:marBottom w:val="0"/>
          <w:divBdr>
            <w:top w:val="none" w:sz="0" w:space="0" w:color="auto"/>
            <w:left w:val="none" w:sz="0" w:space="0" w:color="auto"/>
            <w:bottom w:val="none" w:sz="0" w:space="0" w:color="auto"/>
            <w:right w:val="none" w:sz="0" w:space="0" w:color="auto"/>
          </w:divBdr>
          <w:divsChild>
            <w:div w:id="1409420323">
              <w:marLeft w:val="0"/>
              <w:marRight w:val="0"/>
              <w:marTop w:val="0"/>
              <w:marBottom w:val="0"/>
              <w:divBdr>
                <w:top w:val="none" w:sz="0" w:space="0" w:color="auto"/>
                <w:left w:val="none" w:sz="0" w:space="0" w:color="auto"/>
                <w:bottom w:val="none" w:sz="0" w:space="0" w:color="auto"/>
                <w:right w:val="none" w:sz="0" w:space="0" w:color="auto"/>
              </w:divBdr>
            </w:div>
          </w:divsChild>
        </w:div>
        <w:div w:id="811601325">
          <w:marLeft w:val="0"/>
          <w:marRight w:val="0"/>
          <w:marTop w:val="0"/>
          <w:marBottom w:val="0"/>
          <w:divBdr>
            <w:top w:val="none" w:sz="0" w:space="0" w:color="auto"/>
            <w:left w:val="none" w:sz="0" w:space="0" w:color="auto"/>
            <w:bottom w:val="none" w:sz="0" w:space="0" w:color="auto"/>
            <w:right w:val="none" w:sz="0" w:space="0" w:color="auto"/>
          </w:divBdr>
          <w:divsChild>
            <w:div w:id="372462372">
              <w:marLeft w:val="0"/>
              <w:marRight w:val="0"/>
              <w:marTop w:val="0"/>
              <w:marBottom w:val="0"/>
              <w:divBdr>
                <w:top w:val="none" w:sz="0" w:space="0" w:color="auto"/>
                <w:left w:val="none" w:sz="0" w:space="0" w:color="auto"/>
                <w:bottom w:val="none" w:sz="0" w:space="0" w:color="auto"/>
                <w:right w:val="none" w:sz="0" w:space="0" w:color="auto"/>
              </w:divBdr>
            </w:div>
          </w:divsChild>
        </w:div>
        <w:div w:id="826167442">
          <w:marLeft w:val="0"/>
          <w:marRight w:val="0"/>
          <w:marTop w:val="0"/>
          <w:marBottom w:val="0"/>
          <w:divBdr>
            <w:top w:val="none" w:sz="0" w:space="0" w:color="auto"/>
            <w:left w:val="none" w:sz="0" w:space="0" w:color="auto"/>
            <w:bottom w:val="none" w:sz="0" w:space="0" w:color="auto"/>
            <w:right w:val="none" w:sz="0" w:space="0" w:color="auto"/>
          </w:divBdr>
          <w:divsChild>
            <w:div w:id="396510978">
              <w:marLeft w:val="0"/>
              <w:marRight w:val="0"/>
              <w:marTop w:val="0"/>
              <w:marBottom w:val="0"/>
              <w:divBdr>
                <w:top w:val="none" w:sz="0" w:space="0" w:color="auto"/>
                <w:left w:val="none" w:sz="0" w:space="0" w:color="auto"/>
                <w:bottom w:val="none" w:sz="0" w:space="0" w:color="auto"/>
                <w:right w:val="none" w:sz="0" w:space="0" w:color="auto"/>
              </w:divBdr>
            </w:div>
          </w:divsChild>
        </w:div>
        <w:div w:id="832916318">
          <w:marLeft w:val="0"/>
          <w:marRight w:val="0"/>
          <w:marTop w:val="0"/>
          <w:marBottom w:val="0"/>
          <w:divBdr>
            <w:top w:val="none" w:sz="0" w:space="0" w:color="auto"/>
            <w:left w:val="none" w:sz="0" w:space="0" w:color="auto"/>
            <w:bottom w:val="none" w:sz="0" w:space="0" w:color="auto"/>
            <w:right w:val="none" w:sz="0" w:space="0" w:color="auto"/>
          </w:divBdr>
          <w:divsChild>
            <w:div w:id="988483503">
              <w:marLeft w:val="0"/>
              <w:marRight w:val="0"/>
              <w:marTop w:val="0"/>
              <w:marBottom w:val="0"/>
              <w:divBdr>
                <w:top w:val="none" w:sz="0" w:space="0" w:color="auto"/>
                <w:left w:val="none" w:sz="0" w:space="0" w:color="auto"/>
                <w:bottom w:val="none" w:sz="0" w:space="0" w:color="auto"/>
                <w:right w:val="none" w:sz="0" w:space="0" w:color="auto"/>
              </w:divBdr>
            </w:div>
          </w:divsChild>
        </w:div>
        <w:div w:id="839583842">
          <w:marLeft w:val="0"/>
          <w:marRight w:val="0"/>
          <w:marTop w:val="0"/>
          <w:marBottom w:val="0"/>
          <w:divBdr>
            <w:top w:val="none" w:sz="0" w:space="0" w:color="auto"/>
            <w:left w:val="none" w:sz="0" w:space="0" w:color="auto"/>
            <w:bottom w:val="none" w:sz="0" w:space="0" w:color="auto"/>
            <w:right w:val="none" w:sz="0" w:space="0" w:color="auto"/>
          </w:divBdr>
          <w:divsChild>
            <w:div w:id="1114521058">
              <w:marLeft w:val="0"/>
              <w:marRight w:val="0"/>
              <w:marTop w:val="0"/>
              <w:marBottom w:val="0"/>
              <w:divBdr>
                <w:top w:val="none" w:sz="0" w:space="0" w:color="auto"/>
                <w:left w:val="none" w:sz="0" w:space="0" w:color="auto"/>
                <w:bottom w:val="none" w:sz="0" w:space="0" w:color="auto"/>
                <w:right w:val="none" w:sz="0" w:space="0" w:color="auto"/>
              </w:divBdr>
            </w:div>
          </w:divsChild>
        </w:div>
        <w:div w:id="839779351">
          <w:marLeft w:val="0"/>
          <w:marRight w:val="0"/>
          <w:marTop w:val="0"/>
          <w:marBottom w:val="0"/>
          <w:divBdr>
            <w:top w:val="none" w:sz="0" w:space="0" w:color="auto"/>
            <w:left w:val="none" w:sz="0" w:space="0" w:color="auto"/>
            <w:bottom w:val="none" w:sz="0" w:space="0" w:color="auto"/>
            <w:right w:val="none" w:sz="0" w:space="0" w:color="auto"/>
          </w:divBdr>
          <w:divsChild>
            <w:div w:id="314337715">
              <w:marLeft w:val="0"/>
              <w:marRight w:val="0"/>
              <w:marTop w:val="0"/>
              <w:marBottom w:val="0"/>
              <w:divBdr>
                <w:top w:val="none" w:sz="0" w:space="0" w:color="auto"/>
                <w:left w:val="none" w:sz="0" w:space="0" w:color="auto"/>
                <w:bottom w:val="none" w:sz="0" w:space="0" w:color="auto"/>
                <w:right w:val="none" w:sz="0" w:space="0" w:color="auto"/>
              </w:divBdr>
            </w:div>
          </w:divsChild>
        </w:div>
        <w:div w:id="845706415">
          <w:marLeft w:val="0"/>
          <w:marRight w:val="0"/>
          <w:marTop w:val="0"/>
          <w:marBottom w:val="0"/>
          <w:divBdr>
            <w:top w:val="none" w:sz="0" w:space="0" w:color="auto"/>
            <w:left w:val="none" w:sz="0" w:space="0" w:color="auto"/>
            <w:bottom w:val="none" w:sz="0" w:space="0" w:color="auto"/>
            <w:right w:val="none" w:sz="0" w:space="0" w:color="auto"/>
          </w:divBdr>
          <w:divsChild>
            <w:div w:id="563877410">
              <w:marLeft w:val="0"/>
              <w:marRight w:val="0"/>
              <w:marTop w:val="0"/>
              <w:marBottom w:val="0"/>
              <w:divBdr>
                <w:top w:val="none" w:sz="0" w:space="0" w:color="auto"/>
                <w:left w:val="none" w:sz="0" w:space="0" w:color="auto"/>
                <w:bottom w:val="none" w:sz="0" w:space="0" w:color="auto"/>
                <w:right w:val="none" w:sz="0" w:space="0" w:color="auto"/>
              </w:divBdr>
            </w:div>
          </w:divsChild>
        </w:div>
        <w:div w:id="851992546">
          <w:marLeft w:val="0"/>
          <w:marRight w:val="0"/>
          <w:marTop w:val="0"/>
          <w:marBottom w:val="0"/>
          <w:divBdr>
            <w:top w:val="none" w:sz="0" w:space="0" w:color="auto"/>
            <w:left w:val="none" w:sz="0" w:space="0" w:color="auto"/>
            <w:bottom w:val="none" w:sz="0" w:space="0" w:color="auto"/>
            <w:right w:val="none" w:sz="0" w:space="0" w:color="auto"/>
          </w:divBdr>
          <w:divsChild>
            <w:div w:id="1645157563">
              <w:marLeft w:val="0"/>
              <w:marRight w:val="0"/>
              <w:marTop w:val="0"/>
              <w:marBottom w:val="0"/>
              <w:divBdr>
                <w:top w:val="none" w:sz="0" w:space="0" w:color="auto"/>
                <w:left w:val="none" w:sz="0" w:space="0" w:color="auto"/>
                <w:bottom w:val="none" w:sz="0" w:space="0" w:color="auto"/>
                <w:right w:val="none" w:sz="0" w:space="0" w:color="auto"/>
              </w:divBdr>
            </w:div>
          </w:divsChild>
        </w:div>
        <w:div w:id="852308757">
          <w:marLeft w:val="0"/>
          <w:marRight w:val="0"/>
          <w:marTop w:val="0"/>
          <w:marBottom w:val="0"/>
          <w:divBdr>
            <w:top w:val="none" w:sz="0" w:space="0" w:color="auto"/>
            <w:left w:val="none" w:sz="0" w:space="0" w:color="auto"/>
            <w:bottom w:val="none" w:sz="0" w:space="0" w:color="auto"/>
            <w:right w:val="none" w:sz="0" w:space="0" w:color="auto"/>
          </w:divBdr>
          <w:divsChild>
            <w:div w:id="163206498">
              <w:marLeft w:val="0"/>
              <w:marRight w:val="0"/>
              <w:marTop w:val="0"/>
              <w:marBottom w:val="0"/>
              <w:divBdr>
                <w:top w:val="none" w:sz="0" w:space="0" w:color="auto"/>
                <w:left w:val="none" w:sz="0" w:space="0" w:color="auto"/>
                <w:bottom w:val="none" w:sz="0" w:space="0" w:color="auto"/>
                <w:right w:val="none" w:sz="0" w:space="0" w:color="auto"/>
              </w:divBdr>
            </w:div>
          </w:divsChild>
        </w:div>
        <w:div w:id="853808834">
          <w:marLeft w:val="0"/>
          <w:marRight w:val="0"/>
          <w:marTop w:val="0"/>
          <w:marBottom w:val="0"/>
          <w:divBdr>
            <w:top w:val="none" w:sz="0" w:space="0" w:color="auto"/>
            <w:left w:val="none" w:sz="0" w:space="0" w:color="auto"/>
            <w:bottom w:val="none" w:sz="0" w:space="0" w:color="auto"/>
            <w:right w:val="none" w:sz="0" w:space="0" w:color="auto"/>
          </w:divBdr>
          <w:divsChild>
            <w:div w:id="2055034854">
              <w:marLeft w:val="0"/>
              <w:marRight w:val="0"/>
              <w:marTop w:val="0"/>
              <w:marBottom w:val="0"/>
              <w:divBdr>
                <w:top w:val="none" w:sz="0" w:space="0" w:color="auto"/>
                <w:left w:val="none" w:sz="0" w:space="0" w:color="auto"/>
                <w:bottom w:val="none" w:sz="0" w:space="0" w:color="auto"/>
                <w:right w:val="none" w:sz="0" w:space="0" w:color="auto"/>
              </w:divBdr>
            </w:div>
          </w:divsChild>
        </w:div>
        <w:div w:id="857431432">
          <w:marLeft w:val="0"/>
          <w:marRight w:val="0"/>
          <w:marTop w:val="0"/>
          <w:marBottom w:val="0"/>
          <w:divBdr>
            <w:top w:val="none" w:sz="0" w:space="0" w:color="auto"/>
            <w:left w:val="none" w:sz="0" w:space="0" w:color="auto"/>
            <w:bottom w:val="none" w:sz="0" w:space="0" w:color="auto"/>
            <w:right w:val="none" w:sz="0" w:space="0" w:color="auto"/>
          </w:divBdr>
          <w:divsChild>
            <w:div w:id="400059307">
              <w:marLeft w:val="0"/>
              <w:marRight w:val="0"/>
              <w:marTop w:val="0"/>
              <w:marBottom w:val="0"/>
              <w:divBdr>
                <w:top w:val="none" w:sz="0" w:space="0" w:color="auto"/>
                <w:left w:val="none" w:sz="0" w:space="0" w:color="auto"/>
                <w:bottom w:val="none" w:sz="0" w:space="0" w:color="auto"/>
                <w:right w:val="none" w:sz="0" w:space="0" w:color="auto"/>
              </w:divBdr>
            </w:div>
          </w:divsChild>
        </w:div>
        <w:div w:id="860320989">
          <w:marLeft w:val="0"/>
          <w:marRight w:val="0"/>
          <w:marTop w:val="0"/>
          <w:marBottom w:val="0"/>
          <w:divBdr>
            <w:top w:val="none" w:sz="0" w:space="0" w:color="auto"/>
            <w:left w:val="none" w:sz="0" w:space="0" w:color="auto"/>
            <w:bottom w:val="none" w:sz="0" w:space="0" w:color="auto"/>
            <w:right w:val="none" w:sz="0" w:space="0" w:color="auto"/>
          </w:divBdr>
          <w:divsChild>
            <w:div w:id="1398356363">
              <w:marLeft w:val="0"/>
              <w:marRight w:val="0"/>
              <w:marTop w:val="0"/>
              <w:marBottom w:val="0"/>
              <w:divBdr>
                <w:top w:val="none" w:sz="0" w:space="0" w:color="auto"/>
                <w:left w:val="none" w:sz="0" w:space="0" w:color="auto"/>
                <w:bottom w:val="none" w:sz="0" w:space="0" w:color="auto"/>
                <w:right w:val="none" w:sz="0" w:space="0" w:color="auto"/>
              </w:divBdr>
            </w:div>
          </w:divsChild>
        </w:div>
        <w:div w:id="863056170">
          <w:marLeft w:val="0"/>
          <w:marRight w:val="0"/>
          <w:marTop w:val="0"/>
          <w:marBottom w:val="0"/>
          <w:divBdr>
            <w:top w:val="none" w:sz="0" w:space="0" w:color="auto"/>
            <w:left w:val="none" w:sz="0" w:space="0" w:color="auto"/>
            <w:bottom w:val="none" w:sz="0" w:space="0" w:color="auto"/>
            <w:right w:val="none" w:sz="0" w:space="0" w:color="auto"/>
          </w:divBdr>
          <w:divsChild>
            <w:div w:id="828595358">
              <w:marLeft w:val="0"/>
              <w:marRight w:val="0"/>
              <w:marTop w:val="0"/>
              <w:marBottom w:val="0"/>
              <w:divBdr>
                <w:top w:val="none" w:sz="0" w:space="0" w:color="auto"/>
                <w:left w:val="none" w:sz="0" w:space="0" w:color="auto"/>
                <w:bottom w:val="none" w:sz="0" w:space="0" w:color="auto"/>
                <w:right w:val="none" w:sz="0" w:space="0" w:color="auto"/>
              </w:divBdr>
            </w:div>
          </w:divsChild>
        </w:div>
        <w:div w:id="864447513">
          <w:marLeft w:val="0"/>
          <w:marRight w:val="0"/>
          <w:marTop w:val="0"/>
          <w:marBottom w:val="0"/>
          <w:divBdr>
            <w:top w:val="none" w:sz="0" w:space="0" w:color="auto"/>
            <w:left w:val="none" w:sz="0" w:space="0" w:color="auto"/>
            <w:bottom w:val="none" w:sz="0" w:space="0" w:color="auto"/>
            <w:right w:val="none" w:sz="0" w:space="0" w:color="auto"/>
          </w:divBdr>
          <w:divsChild>
            <w:div w:id="1232934218">
              <w:marLeft w:val="0"/>
              <w:marRight w:val="0"/>
              <w:marTop w:val="0"/>
              <w:marBottom w:val="0"/>
              <w:divBdr>
                <w:top w:val="none" w:sz="0" w:space="0" w:color="auto"/>
                <w:left w:val="none" w:sz="0" w:space="0" w:color="auto"/>
                <w:bottom w:val="none" w:sz="0" w:space="0" w:color="auto"/>
                <w:right w:val="none" w:sz="0" w:space="0" w:color="auto"/>
              </w:divBdr>
            </w:div>
          </w:divsChild>
        </w:div>
        <w:div w:id="870218161">
          <w:marLeft w:val="0"/>
          <w:marRight w:val="0"/>
          <w:marTop w:val="0"/>
          <w:marBottom w:val="0"/>
          <w:divBdr>
            <w:top w:val="none" w:sz="0" w:space="0" w:color="auto"/>
            <w:left w:val="none" w:sz="0" w:space="0" w:color="auto"/>
            <w:bottom w:val="none" w:sz="0" w:space="0" w:color="auto"/>
            <w:right w:val="none" w:sz="0" w:space="0" w:color="auto"/>
          </w:divBdr>
          <w:divsChild>
            <w:div w:id="348407360">
              <w:marLeft w:val="0"/>
              <w:marRight w:val="0"/>
              <w:marTop w:val="0"/>
              <w:marBottom w:val="0"/>
              <w:divBdr>
                <w:top w:val="none" w:sz="0" w:space="0" w:color="auto"/>
                <w:left w:val="none" w:sz="0" w:space="0" w:color="auto"/>
                <w:bottom w:val="none" w:sz="0" w:space="0" w:color="auto"/>
                <w:right w:val="none" w:sz="0" w:space="0" w:color="auto"/>
              </w:divBdr>
            </w:div>
          </w:divsChild>
        </w:div>
        <w:div w:id="874343847">
          <w:marLeft w:val="0"/>
          <w:marRight w:val="0"/>
          <w:marTop w:val="0"/>
          <w:marBottom w:val="0"/>
          <w:divBdr>
            <w:top w:val="none" w:sz="0" w:space="0" w:color="auto"/>
            <w:left w:val="none" w:sz="0" w:space="0" w:color="auto"/>
            <w:bottom w:val="none" w:sz="0" w:space="0" w:color="auto"/>
            <w:right w:val="none" w:sz="0" w:space="0" w:color="auto"/>
          </w:divBdr>
          <w:divsChild>
            <w:div w:id="1634172571">
              <w:marLeft w:val="0"/>
              <w:marRight w:val="0"/>
              <w:marTop w:val="0"/>
              <w:marBottom w:val="0"/>
              <w:divBdr>
                <w:top w:val="none" w:sz="0" w:space="0" w:color="auto"/>
                <w:left w:val="none" w:sz="0" w:space="0" w:color="auto"/>
                <w:bottom w:val="none" w:sz="0" w:space="0" w:color="auto"/>
                <w:right w:val="none" w:sz="0" w:space="0" w:color="auto"/>
              </w:divBdr>
            </w:div>
          </w:divsChild>
        </w:div>
        <w:div w:id="874539129">
          <w:marLeft w:val="0"/>
          <w:marRight w:val="0"/>
          <w:marTop w:val="0"/>
          <w:marBottom w:val="0"/>
          <w:divBdr>
            <w:top w:val="none" w:sz="0" w:space="0" w:color="auto"/>
            <w:left w:val="none" w:sz="0" w:space="0" w:color="auto"/>
            <w:bottom w:val="none" w:sz="0" w:space="0" w:color="auto"/>
            <w:right w:val="none" w:sz="0" w:space="0" w:color="auto"/>
          </w:divBdr>
          <w:divsChild>
            <w:div w:id="28452394">
              <w:marLeft w:val="0"/>
              <w:marRight w:val="0"/>
              <w:marTop w:val="0"/>
              <w:marBottom w:val="0"/>
              <w:divBdr>
                <w:top w:val="none" w:sz="0" w:space="0" w:color="auto"/>
                <w:left w:val="none" w:sz="0" w:space="0" w:color="auto"/>
                <w:bottom w:val="none" w:sz="0" w:space="0" w:color="auto"/>
                <w:right w:val="none" w:sz="0" w:space="0" w:color="auto"/>
              </w:divBdr>
            </w:div>
          </w:divsChild>
        </w:div>
        <w:div w:id="876813083">
          <w:marLeft w:val="0"/>
          <w:marRight w:val="0"/>
          <w:marTop w:val="0"/>
          <w:marBottom w:val="0"/>
          <w:divBdr>
            <w:top w:val="none" w:sz="0" w:space="0" w:color="auto"/>
            <w:left w:val="none" w:sz="0" w:space="0" w:color="auto"/>
            <w:bottom w:val="none" w:sz="0" w:space="0" w:color="auto"/>
            <w:right w:val="none" w:sz="0" w:space="0" w:color="auto"/>
          </w:divBdr>
          <w:divsChild>
            <w:div w:id="492186969">
              <w:marLeft w:val="0"/>
              <w:marRight w:val="0"/>
              <w:marTop w:val="0"/>
              <w:marBottom w:val="0"/>
              <w:divBdr>
                <w:top w:val="none" w:sz="0" w:space="0" w:color="auto"/>
                <w:left w:val="none" w:sz="0" w:space="0" w:color="auto"/>
                <w:bottom w:val="none" w:sz="0" w:space="0" w:color="auto"/>
                <w:right w:val="none" w:sz="0" w:space="0" w:color="auto"/>
              </w:divBdr>
            </w:div>
          </w:divsChild>
        </w:div>
        <w:div w:id="878517937">
          <w:marLeft w:val="0"/>
          <w:marRight w:val="0"/>
          <w:marTop w:val="0"/>
          <w:marBottom w:val="0"/>
          <w:divBdr>
            <w:top w:val="none" w:sz="0" w:space="0" w:color="auto"/>
            <w:left w:val="none" w:sz="0" w:space="0" w:color="auto"/>
            <w:bottom w:val="none" w:sz="0" w:space="0" w:color="auto"/>
            <w:right w:val="none" w:sz="0" w:space="0" w:color="auto"/>
          </w:divBdr>
          <w:divsChild>
            <w:div w:id="699090340">
              <w:marLeft w:val="0"/>
              <w:marRight w:val="0"/>
              <w:marTop w:val="0"/>
              <w:marBottom w:val="0"/>
              <w:divBdr>
                <w:top w:val="none" w:sz="0" w:space="0" w:color="auto"/>
                <w:left w:val="none" w:sz="0" w:space="0" w:color="auto"/>
                <w:bottom w:val="none" w:sz="0" w:space="0" w:color="auto"/>
                <w:right w:val="none" w:sz="0" w:space="0" w:color="auto"/>
              </w:divBdr>
            </w:div>
          </w:divsChild>
        </w:div>
        <w:div w:id="878708582">
          <w:marLeft w:val="0"/>
          <w:marRight w:val="0"/>
          <w:marTop w:val="0"/>
          <w:marBottom w:val="0"/>
          <w:divBdr>
            <w:top w:val="none" w:sz="0" w:space="0" w:color="auto"/>
            <w:left w:val="none" w:sz="0" w:space="0" w:color="auto"/>
            <w:bottom w:val="none" w:sz="0" w:space="0" w:color="auto"/>
            <w:right w:val="none" w:sz="0" w:space="0" w:color="auto"/>
          </w:divBdr>
          <w:divsChild>
            <w:div w:id="1127359725">
              <w:marLeft w:val="0"/>
              <w:marRight w:val="0"/>
              <w:marTop w:val="0"/>
              <w:marBottom w:val="0"/>
              <w:divBdr>
                <w:top w:val="none" w:sz="0" w:space="0" w:color="auto"/>
                <w:left w:val="none" w:sz="0" w:space="0" w:color="auto"/>
                <w:bottom w:val="none" w:sz="0" w:space="0" w:color="auto"/>
                <w:right w:val="none" w:sz="0" w:space="0" w:color="auto"/>
              </w:divBdr>
            </w:div>
          </w:divsChild>
        </w:div>
        <w:div w:id="883365360">
          <w:marLeft w:val="0"/>
          <w:marRight w:val="0"/>
          <w:marTop w:val="0"/>
          <w:marBottom w:val="0"/>
          <w:divBdr>
            <w:top w:val="none" w:sz="0" w:space="0" w:color="auto"/>
            <w:left w:val="none" w:sz="0" w:space="0" w:color="auto"/>
            <w:bottom w:val="none" w:sz="0" w:space="0" w:color="auto"/>
            <w:right w:val="none" w:sz="0" w:space="0" w:color="auto"/>
          </w:divBdr>
          <w:divsChild>
            <w:div w:id="727612366">
              <w:marLeft w:val="0"/>
              <w:marRight w:val="0"/>
              <w:marTop w:val="0"/>
              <w:marBottom w:val="0"/>
              <w:divBdr>
                <w:top w:val="none" w:sz="0" w:space="0" w:color="auto"/>
                <w:left w:val="none" w:sz="0" w:space="0" w:color="auto"/>
                <w:bottom w:val="none" w:sz="0" w:space="0" w:color="auto"/>
                <w:right w:val="none" w:sz="0" w:space="0" w:color="auto"/>
              </w:divBdr>
            </w:div>
          </w:divsChild>
        </w:div>
        <w:div w:id="883521370">
          <w:marLeft w:val="0"/>
          <w:marRight w:val="0"/>
          <w:marTop w:val="0"/>
          <w:marBottom w:val="0"/>
          <w:divBdr>
            <w:top w:val="none" w:sz="0" w:space="0" w:color="auto"/>
            <w:left w:val="none" w:sz="0" w:space="0" w:color="auto"/>
            <w:bottom w:val="none" w:sz="0" w:space="0" w:color="auto"/>
            <w:right w:val="none" w:sz="0" w:space="0" w:color="auto"/>
          </w:divBdr>
          <w:divsChild>
            <w:div w:id="1354067156">
              <w:marLeft w:val="0"/>
              <w:marRight w:val="0"/>
              <w:marTop w:val="0"/>
              <w:marBottom w:val="0"/>
              <w:divBdr>
                <w:top w:val="none" w:sz="0" w:space="0" w:color="auto"/>
                <w:left w:val="none" w:sz="0" w:space="0" w:color="auto"/>
                <w:bottom w:val="none" w:sz="0" w:space="0" w:color="auto"/>
                <w:right w:val="none" w:sz="0" w:space="0" w:color="auto"/>
              </w:divBdr>
            </w:div>
          </w:divsChild>
        </w:div>
        <w:div w:id="885872141">
          <w:marLeft w:val="0"/>
          <w:marRight w:val="0"/>
          <w:marTop w:val="0"/>
          <w:marBottom w:val="0"/>
          <w:divBdr>
            <w:top w:val="none" w:sz="0" w:space="0" w:color="auto"/>
            <w:left w:val="none" w:sz="0" w:space="0" w:color="auto"/>
            <w:bottom w:val="none" w:sz="0" w:space="0" w:color="auto"/>
            <w:right w:val="none" w:sz="0" w:space="0" w:color="auto"/>
          </w:divBdr>
          <w:divsChild>
            <w:div w:id="2100367442">
              <w:marLeft w:val="0"/>
              <w:marRight w:val="0"/>
              <w:marTop w:val="0"/>
              <w:marBottom w:val="0"/>
              <w:divBdr>
                <w:top w:val="none" w:sz="0" w:space="0" w:color="auto"/>
                <w:left w:val="none" w:sz="0" w:space="0" w:color="auto"/>
                <w:bottom w:val="none" w:sz="0" w:space="0" w:color="auto"/>
                <w:right w:val="none" w:sz="0" w:space="0" w:color="auto"/>
              </w:divBdr>
            </w:div>
          </w:divsChild>
        </w:div>
        <w:div w:id="888537815">
          <w:marLeft w:val="0"/>
          <w:marRight w:val="0"/>
          <w:marTop w:val="0"/>
          <w:marBottom w:val="0"/>
          <w:divBdr>
            <w:top w:val="none" w:sz="0" w:space="0" w:color="auto"/>
            <w:left w:val="none" w:sz="0" w:space="0" w:color="auto"/>
            <w:bottom w:val="none" w:sz="0" w:space="0" w:color="auto"/>
            <w:right w:val="none" w:sz="0" w:space="0" w:color="auto"/>
          </w:divBdr>
          <w:divsChild>
            <w:div w:id="207229181">
              <w:marLeft w:val="0"/>
              <w:marRight w:val="0"/>
              <w:marTop w:val="0"/>
              <w:marBottom w:val="0"/>
              <w:divBdr>
                <w:top w:val="none" w:sz="0" w:space="0" w:color="auto"/>
                <w:left w:val="none" w:sz="0" w:space="0" w:color="auto"/>
                <w:bottom w:val="none" w:sz="0" w:space="0" w:color="auto"/>
                <w:right w:val="none" w:sz="0" w:space="0" w:color="auto"/>
              </w:divBdr>
            </w:div>
          </w:divsChild>
        </w:div>
        <w:div w:id="902452045">
          <w:marLeft w:val="0"/>
          <w:marRight w:val="0"/>
          <w:marTop w:val="0"/>
          <w:marBottom w:val="0"/>
          <w:divBdr>
            <w:top w:val="none" w:sz="0" w:space="0" w:color="auto"/>
            <w:left w:val="none" w:sz="0" w:space="0" w:color="auto"/>
            <w:bottom w:val="none" w:sz="0" w:space="0" w:color="auto"/>
            <w:right w:val="none" w:sz="0" w:space="0" w:color="auto"/>
          </w:divBdr>
          <w:divsChild>
            <w:div w:id="1368918074">
              <w:marLeft w:val="0"/>
              <w:marRight w:val="0"/>
              <w:marTop w:val="0"/>
              <w:marBottom w:val="0"/>
              <w:divBdr>
                <w:top w:val="none" w:sz="0" w:space="0" w:color="auto"/>
                <w:left w:val="none" w:sz="0" w:space="0" w:color="auto"/>
                <w:bottom w:val="none" w:sz="0" w:space="0" w:color="auto"/>
                <w:right w:val="none" w:sz="0" w:space="0" w:color="auto"/>
              </w:divBdr>
            </w:div>
          </w:divsChild>
        </w:div>
        <w:div w:id="908619081">
          <w:marLeft w:val="0"/>
          <w:marRight w:val="0"/>
          <w:marTop w:val="0"/>
          <w:marBottom w:val="0"/>
          <w:divBdr>
            <w:top w:val="none" w:sz="0" w:space="0" w:color="auto"/>
            <w:left w:val="none" w:sz="0" w:space="0" w:color="auto"/>
            <w:bottom w:val="none" w:sz="0" w:space="0" w:color="auto"/>
            <w:right w:val="none" w:sz="0" w:space="0" w:color="auto"/>
          </w:divBdr>
          <w:divsChild>
            <w:div w:id="656030655">
              <w:marLeft w:val="0"/>
              <w:marRight w:val="0"/>
              <w:marTop w:val="0"/>
              <w:marBottom w:val="0"/>
              <w:divBdr>
                <w:top w:val="none" w:sz="0" w:space="0" w:color="auto"/>
                <w:left w:val="none" w:sz="0" w:space="0" w:color="auto"/>
                <w:bottom w:val="none" w:sz="0" w:space="0" w:color="auto"/>
                <w:right w:val="none" w:sz="0" w:space="0" w:color="auto"/>
              </w:divBdr>
            </w:div>
          </w:divsChild>
        </w:div>
        <w:div w:id="912353913">
          <w:marLeft w:val="0"/>
          <w:marRight w:val="0"/>
          <w:marTop w:val="0"/>
          <w:marBottom w:val="0"/>
          <w:divBdr>
            <w:top w:val="none" w:sz="0" w:space="0" w:color="auto"/>
            <w:left w:val="none" w:sz="0" w:space="0" w:color="auto"/>
            <w:bottom w:val="none" w:sz="0" w:space="0" w:color="auto"/>
            <w:right w:val="none" w:sz="0" w:space="0" w:color="auto"/>
          </w:divBdr>
          <w:divsChild>
            <w:div w:id="923031489">
              <w:marLeft w:val="0"/>
              <w:marRight w:val="0"/>
              <w:marTop w:val="0"/>
              <w:marBottom w:val="0"/>
              <w:divBdr>
                <w:top w:val="none" w:sz="0" w:space="0" w:color="auto"/>
                <w:left w:val="none" w:sz="0" w:space="0" w:color="auto"/>
                <w:bottom w:val="none" w:sz="0" w:space="0" w:color="auto"/>
                <w:right w:val="none" w:sz="0" w:space="0" w:color="auto"/>
              </w:divBdr>
            </w:div>
          </w:divsChild>
        </w:div>
        <w:div w:id="914508514">
          <w:marLeft w:val="0"/>
          <w:marRight w:val="0"/>
          <w:marTop w:val="0"/>
          <w:marBottom w:val="0"/>
          <w:divBdr>
            <w:top w:val="none" w:sz="0" w:space="0" w:color="auto"/>
            <w:left w:val="none" w:sz="0" w:space="0" w:color="auto"/>
            <w:bottom w:val="none" w:sz="0" w:space="0" w:color="auto"/>
            <w:right w:val="none" w:sz="0" w:space="0" w:color="auto"/>
          </w:divBdr>
          <w:divsChild>
            <w:div w:id="2130928301">
              <w:marLeft w:val="0"/>
              <w:marRight w:val="0"/>
              <w:marTop w:val="0"/>
              <w:marBottom w:val="0"/>
              <w:divBdr>
                <w:top w:val="none" w:sz="0" w:space="0" w:color="auto"/>
                <w:left w:val="none" w:sz="0" w:space="0" w:color="auto"/>
                <w:bottom w:val="none" w:sz="0" w:space="0" w:color="auto"/>
                <w:right w:val="none" w:sz="0" w:space="0" w:color="auto"/>
              </w:divBdr>
            </w:div>
          </w:divsChild>
        </w:div>
        <w:div w:id="914586620">
          <w:marLeft w:val="0"/>
          <w:marRight w:val="0"/>
          <w:marTop w:val="0"/>
          <w:marBottom w:val="0"/>
          <w:divBdr>
            <w:top w:val="none" w:sz="0" w:space="0" w:color="auto"/>
            <w:left w:val="none" w:sz="0" w:space="0" w:color="auto"/>
            <w:bottom w:val="none" w:sz="0" w:space="0" w:color="auto"/>
            <w:right w:val="none" w:sz="0" w:space="0" w:color="auto"/>
          </w:divBdr>
          <w:divsChild>
            <w:div w:id="728529610">
              <w:marLeft w:val="0"/>
              <w:marRight w:val="0"/>
              <w:marTop w:val="0"/>
              <w:marBottom w:val="0"/>
              <w:divBdr>
                <w:top w:val="none" w:sz="0" w:space="0" w:color="auto"/>
                <w:left w:val="none" w:sz="0" w:space="0" w:color="auto"/>
                <w:bottom w:val="none" w:sz="0" w:space="0" w:color="auto"/>
                <w:right w:val="none" w:sz="0" w:space="0" w:color="auto"/>
              </w:divBdr>
            </w:div>
          </w:divsChild>
        </w:div>
        <w:div w:id="916866326">
          <w:marLeft w:val="0"/>
          <w:marRight w:val="0"/>
          <w:marTop w:val="0"/>
          <w:marBottom w:val="0"/>
          <w:divBdr>
            <w:top w:val="none" w:sz="0" w:space="0" w:color="auto"/>
            <w:left w:val="none" w:sz="0" w:space="0" w:color="auto"/>
            <w:bottom w:val="none" w:sz="0" w:space="0" w:color="auto"/>
            <w:right w:val="none" w:sz="0" w:space="0" w:color="auto"/>
          </w:divBdr>
          <w:divsChild>
            <w:div w:id="176889663">
              <w:marLeft w:val="0"/>
              <w:marRight w:val="0"/>
              <w:marTop w:val="0"/>
              <w:marBottom w:val="0"/>
              <w:divBdr>
                <w:top w:val="none" w:sz="0" w:space="0" w:color="auto"/>
                <w:left w:val="none" w:sz="0" w:space="0" w:color="auto"/>
                <w:bottom w:val="none" w:sz="0" w:space="0" w:color="auto"/>
                <w:right w:val="none" w:sz="0" w:space="0" w:color="auto"/>
              </w:divBdr>
            </w:div>
          </w:divsChild>
        </w:div>
        <w:div w:id="918177453">
          <w:marLeft w:val="0"/>
          <w:marRight w:val="0"/>
          <w:marTop w:val="0"/>
          <w:marBottom w:val="0"/>
          <w:divBdr>
            <w:top w:val="none" w:sz="0" w:space="0" w:color="auto"/>
            <w:left w:val="none" w:sz="0" w:space="0" w:color="auto"/>
            <w:bottom w:val="none" w:sz="0" w:space="0" w:color="auto"/>
            <w:right w:val="none" w:sz="0" w:space="0" w:color="auto"/>
          </w:divBdr>
          <w:divsChild>
            <w:div w:id="190648799">
              <w:marLeft w:val="0"/>
              <w:marRight w:val="0"/>
              <w:marTop w:val="0"/>
              <w:marBottom w:val="0"/>
              <w:divBdr>
                <w:top w:val="none" w:sz="0" w:space="0" w:color="auto"/>
                <w:left w:val="none" w:sz="0" w:space="0" w:color="auto"/>
                <w:bottom w:val="none" w:sz="0" w:space="0" w:color="auto"/>
                <w:right w:val="none" w:sz="0" w:space="0" w:color="auto"/>
              </w:divBdr>
            </w:div>
          </w:divsChild>
        </w:div>
        <w:div w:id="925185543">
          <w:marLeft w:val="0"/>
          <w:marRight w:val="0"/>
          <w:marTop w:val="0"/>
          <w:marBottom w:val="0"/>
          <w:divBdr>
            <w:top w:val="none" w:sz="0" w:space="0" w:color="auto"/>
            <w:left w:val="none" w:sz="0" w:space="0" w:color="auto"/>
            <w:bottom w:val="none" w:sz="0" w:space="0" w:color="auto"/>
            <w:right w:val="none" w:sz="0" w:space="0" w:color="auto"/>
          </w:divBdr>
          <w:divsChild>
            <w:div w:id="1947082986">
              <w:marLeft w:val="0"/>
              <w:marRight w:val="0"/>
              <w:marTop w:val="0"/>
              <w:marBottom w:val="0"/>
              <w:divBdr>
                <w:top w:val="none" w:sz="0" w:space="0" w:color="auto"/>
                <w:left w:val="none" w:sz="0" w:space="0" w:color="auto"/>
                <w:bottom w:val="none" w:sz="0" w:space="0" w:color="auto"/>
                <w:right w:val="none" w:sz="0" w:space="0" w:color="auto"/>
              </w:divBdr>
            </w:div>
          </w:divsChild>
        </w:div>
        <w:div w:id="925378400">
          <w:marLeft w:val="0"/>
          <w:marRight w:val="0"/>
          <w:marTop w:val="0"/>
          <w:marBottom w:val="0"/>
          <w:divBdr>
            <w:top w:val="none" w:sz="0" w:space="0" w:color="auto"/>
            <w:left w:val="none" w:sz="0" w:space="0" w:color="auto"/>
            <w:bottom w:val="none" w:sz="0" w:space="0" w:color="auto"/>
            <w:right w:val="none" w:sz="0" w:space="0" w:color="auto"/>
          </w:divBdr>
          <w:divsChild>
            <w:div w:id="1995330564">
              <w:marLeft w:val="0"/>
              <w:marRight w:val="0"/>
              <w:marTop w:val="0"/>
              <w:marBottom w:val="0"/>
              <w:divBdr>
                <w:top w:val="none" w:sz="0" w:space="0" w:color="auto"/>
                <w:left w:val="none" w:sz="0" w:space="0" w:color="auto"/>
                <w:bottom w:val="none" w:sz="0" w:space="0" w:color="auto"/>
                <w:right w:val="none" w:sz="0" w:space="0" w:color="auto"/>
              </w:divBdr>
            </w:div>
          </w:divsChild>
        </w:div>
        <w:div w:id="926381059">
          <w:marLeft w:val="0"/>
          <w:marRight w:val="0"/>
          <w:marTop w:val="0"/>
          <w:marBottom w:val="0"/>
          <w:divBdr>
            <w:top w:val="none" w:sz="0" w:space="0" w:color="auto"/>
            <w:left w:val="none" w:sz="0" w:space="0" w:color="auto"/>
            <w:bottom w:val="none" w:sz="0" w:space="0" w:color="auto"/>
            <w:right w:val="none" w:sz="0" w:space="0" w:color="auto"/>
          </w:divBdr>
          <w:divsChild>
            <w:div w:id="1053504433">
              <w:marLeft w:val="0"/>
              <w:marRight w:val="0"/>
              <w:marTop w:val="0"/>
              <w:marBottom w:val="0"/>
              <w:divBdr>
                <w:top w:val="none" w:sz="0" w:space="0" w:color="auto"/>
                <w:left w:val="none" w:sz="0" w:space="0" w:color="auto"/>
                <w:bottom w:val="none" w:sz="0" w:space="0" w:color="auto"/>
                <w:right w:val="none" w:sz="0" w:space="0" w:color="auto"/>
              </w:divBdr>
            </w:div>
          </w:divsChild>
        </w:div>
        <w:div w:id="938834842">
          <w:marLeft w:val="0"/>
          <w:marRight w:val="0"/>
          <w:marTop w:val="0"/>
          <w:marBottom w:val="0"/>
          <w:divBdr>
            <w:top w:val="none" w:sz="0" w:space="0" w:color="auto"/>
            <w:left w:val="none" w:sz="0" w:space="0" w:color="auto"/>
            <w:bottom w:val="none" w:sz="0" w:space="0" w:color="auto"/>
            <w:right w:val="none" w:sz="0" w:space="0" w:color="auto"/>
          </w:divBdr>
          <w:divsChild>
            <w:div w:id="1125154342">
              <w:marLeft w:val="0"/>
              <w:marRight w:val="0"/>
              <w:marTop w:val="0"/>
              <w:marBottom w:val="0"/>
              <w:divBdr>
                <w:top w:val="none" w:sz="0" w:space="0" w:color="auto"/>
                <w:left w:val="none" w:sz="0" w:space="0" w:color="auto"/>
                <w:bottom w:val="none" w:sz="0" w:space="0" w:color="auto"/>
                <w:right w:val="none" w:sz="0" w:space="0" w:color="auto"/>
              </w:divBdr>
            </w:div>
          </w:divsChild>
        </w:div>
        <w:div w:id="943223301">
          <w:marLeft w:val="0"/>
          <w:marRight w:val="0"/>
          <w:marTop w:val="0"/>
          <w:marBottom w:val="0"/>
          <w:divBdr>
            <w:top w:val="none" w:sz="0" w:space="0" w:color="auto"/>
            <w:left w:val="none" w:sz="0" w:space="0" w:color="auto"/>
            <w:bottom w:val="none" w:sz="0" w:space="0" w:color="auto"/>
            <w:right w:val="none" w:sz="0" w:space="0" w:color="auto"/>
          </w:divBdr>
          <w:divsChild>
            <w:div w:id="2074620816">
              <w:marLeft w:val="0"/>
              <w:marRight w:val="0"/>
              <w:marTop w:val="0"/>
              <w:marBottom w:val="0"/>
              <w:divBdr>
                <w:top w:val="none" w:sz="0" w:space="0" w:color="auto"/>
                <w:left w:val="none" w:sz="0" w:space="0" w:color="auto"/>
                <w:bottom w:val="none" w:sz="0" w:space="0" w:color="auto"/>
                <w:right w:val="none" w:sz="0" w:space="0" w:color="auto"/>
              </w:divBdr>
            </w:div>
          </w:divsChild>
        </w:div>
        <w:div w:id="943657333">
          <w:marLeft w:val="0"/>
          <w:marRight w:val="0"/>
          <w:marTop w:val="0"/>
          <w:marBottom w:val="0"/>
          <w:divBdr>
            <w:top w:val="none" w:sz="0" w:space="0" w:color="auto"/>
            <w:left w:val="none" w:sz="0" w:space="0" w:color="auto"/>
            <w:bottom w:val="none" w:sz="0" w:space="0" w:color="auto"/>
            <w:right w:val="none" w:sz="0" w:space="0" w:color="auto"/>
          </w:divBdr>
          <w:divsChild>
            <w:div w:id="1071121103">
              <w:marLeft w:val="0"/>
              <w:marRight w:val="0"/>
              <w:marTop w:val="0"/>
              <w:marBottom w:val="0"/>
              <w:divBdr>
                <w:top w:val="none" w:sz="0" w:space="0" w:color="auto"/>
                <w:left w:val="none" w:sz="0" w:space="0" w:color="auto"/>
                <w:bottom w:val="none" w:sz="0" w:space="0" w:color="auto"/>
                <w:right w:val="none" w:sz="0" w:space="0" w:color="auto"/>
              </w:divBdr>
            </w:div>
          </w:divsChild>
        </w:div>
        <w:div w:id="944267188">
          <w:marLeft w:val="0"/>
          <w:marRight w:val="0"/>
          <w:marTop w:val="0"/>
          <w:marBottom w:val="0"/>
          <w:divBdr>
            <w:top w:val="none" w:sz="0" w:space="0" w:color="auto"/>
            <w:left w:val="none" w:sz="0" w:space="0" w:color="auto"/>
            <w:bottom w:val="none" w:sz="0" w:space="0" w:color="auto"/>
            <w:right w:val="none" w:sz="0" w:space="0" w:color="auto"/>
          </w:divBdr>
          <w:divsChild>
            <w:div w:id="1378430517">
              <w:marLeft w:val="0"/>
              <w:marRight w:val="0"/>
              <w:marTop w:val="0"/>
              <w:marBottom w:val="0"/>
              <w:divBdr>
                <w:top w:val="none" w:sz="0" w:space="0" w:color="auto"/>
                <w:left w:val="none" w:sz="0" w:space="0" w:color="auto"/>
                <w:bottom w:val="none" w:sz="0" w:space="0" w:color="auto"/>
                <w:right w:val="none" w:sz="0" w:space="0" w:color="auto"/>
              </w:divBdr>
            </w:div>
          </w:divsChild>
        </w:div>
        <w:div w:id="945693493">
          <w:marLeft w:val="0"/>
          <w:marRight w:val="0"/>
          <w:marTop w:val="0"/>
          <w:marBottom w:val="0"/>
          <w:divBdr>
            <w:top w:val="none" w:sz="0" w:space="0" w:color="auto"/>
            <w:left w:val="none" w:sz="0" w:space="0" w:color="auto"/>
            <w:bottom w:val="none" w:sz="0" w:space="0" w:color="auto"/>
            <w:right w:val="none" w:sz="0" w:space="0" w:color="auto"/>
          </w:divBdr>
          <w:divsChild>
            <w:div w:id="1996958261">
              <w:marLeft w:val="0"/>
              <w:marRight w:val="0"/>
              <w:marTop w:val="0"/>
              <w:marBottom w:val="0"/>
              <w:divBdr>
                <w:top w:val="none" w:sz="0" w:space="0" w:color="auto"/>
                <w:left w:val="none" w:sz="0" w:space="0" w:color="auto"/>
                <w:bottom w:val="none" w:sz="0" w:space="0" w:color="auto"/>
                <w:right w:val="none" w:sz="0" w:space="0" w:color="auto"/>
              </w:divBdr>
            </w:div>
          </w:divsChild>
        </w:div>
        <w:div w:id="948513920">
          <w:marLeft w:val="0"/>
          <w:marRight w:val="0"/>
          <w:marTop w:val="0"/>
          <w:marBottom w:val="0"/>
          <w:divBdr>
            <w:top w:val="none" w:sz="0" w:space="0" w:color="auto"/>
            <w:left w:val="none" w:sz="0" w:space="0" w:color="auto"/>
            <w:bottom w:val="none" w:sz="0" w:space="0" w:color="auto"/>
            <w:right w:val="none" w:sz="0" w:space="0" w:color="auto"/>
          </w:divBdr>
          <w:divsChild>
            <w:div w:id="1802966239">
              <w:marLeft w:val="0"/>
              <w:marRight w:val="0"/>
              <w:marTop w:val="0"/>
              <w:marBottom w:val="0"/>
              <w:divBdr>
                <w:top w:val="none" w:sz="0" w:space="0" w:color="auto"/>
                <w:left w:val="none" w:sz="0" w:space="0" w:color="auto"/>
                <w:bottom w:val="none" w:sz="0" w:space="0" w:color="auto"/>
                <w:right w:val="none" w:sz="0" w:space="0" w:color="auto"/>
              </w:divBdr>
            </w:div>
          </w:divsChild>
        </w:div>
        <w:div w:id="951472284">
          <w:marLeft w:val="0"/>
          <w:marRight w:val="0"/>
          <w:marTop w:val="0"/>
          <w:marBottom w:val="0"/>
          <w:divBdr>
            <w:top w:val="none" w:sz="0" w:space="0" w:color="auto"/>
            <w:left w:val="none" w:sz="0" w:space="0" w:color="auto"/>
            <w:bottom w:val="none" w:sz="0" w:space="0" w:color="auto"/>
            <w:right w:val="none" w:sz="0" w:space="0" w:color="auto"/>
          </w:divBdr>
          <w:divsChild>
            <w:div w:id="928808366">
              <w:marLeft w:val="0"/>
              <w:marRight w:val="0"/>
              <w:marTop w:val="0"/>
              <w:marBottom w:val="0"/>
              <w:divBdr>
                <w:top w:val="none" w:sz="0" w:space="0" w:color="auto"/>
                <w:left w:val="none" w:sz="0" w:space="0" w:color="auto"/>
                <w:bottom w:val="none" w:sz="0" w:space="0" w:color="auto"/>
                <w:right w:val="none" w:sz="0" w:space="0" w:color="auto"/>
              </w:divBdr>
            </w:div>
          </w:divsChild>
        </w:div>
        <w:div w:id="952789339">
          <w:marLeft w:val="0"/>
          <w:marRight w:val="0"/>
          <w:marTop w:val="0"/>
          <w:marBottom w:val="0"/>
          <w:divBdr>
            <w:top w:val="none" w:sz="0" w:space="0" w:color="auto"/>
            <w:left w:val="none" w:sz="0" w:space="0" w:color="auto"/>
            <w:bottom w:val="none" w:sz="0" w:space="0" w:color="auto"/>
            <w:right w:val="none" w:sz="0" w:space="0" w:color="auto"/>
          </w:divBdr>
          <w:divsChild>
            <w:div w:id="1421638663">
              <w:marLeft w:val="0"/>
              <w:marRight w:val="0"/>
              <w:marTop w:val="0"/>
              <w:marBottom w:val="0"/>
              <w:divBdr>
                <w:top w:val="none" w:sz="0" w:space="0" w:color="auto"/>
                <w:left w:val="none" w:sz="0" w:space="0" w:color="auto"/>
                <w:bottom w:val="none" w:sz="0" w:space="0" w:color="auto"/>
                <w:right w:val="none" w:sz="0" w:space="0" w:color="auto"/>
              </w:divBdr>
            </w:div>
          </w:divsChild>
        </w:div>
        <w:div w:id="967861310">
          <w:marLeft w:val="0"/>
          <w:marRight w:val="0"/>
          <w:marTop w:val="0"/>
          <w:marBottom w:val="0"/>
          <w:divBdr>
            <w:top w:val="none" w:sz="0" w:space="0" w:color="auto"/>
            <w:left w:val="none" w:sz="0" w:space="0" w:color="auto"/>
            <w:bottom w:val="none" w:sz="0" w:space="0" w:color="auto"/>
            <w:right w:val="none" w:sz="0" w:space="0" w:color="auto"/>
          </w:divBdr>
          <w:divsChild>
            <w:div w:id="503010445">
              <w:marLeft w:val="0"/>
              <w:marRight w:val="0"/>
              <w:marTop w:val="0"/>
              <w:marBottom w:val="0"/>
              <w:divBdr>
                <w:top w:val="none" w:sz="0" w:space="0" w:color="auto"/>
                <w:left w:val="none" w:sz="0" w:space="0" w:color="auto"/>
                <w:bottom w:val="none" w:sz="0" w:space="0" w:color="auto"/>
                <w:right w:val="none" w:sz="0" w:space="0" w:color="auto"/>
              </w:divBdr>
            </w:div>
          </w:divsChild>
        </w:div>
        <w:div w:id="971206159">
          <w:marLeft w:val="0"/>
          <w:marRight w:val="0"/>
          <w:marTop w:val="0"/>
          <w:marBottom w:val="0"/>
          <w:divBdr>
            <w:top w:val="none" w:sz="0" w:space="0" w:color="auto"/>
            <w:left w:val="none" w:sz="0" w:space="0" w:color="auto"/>
            <w:bottom w:val="none" w:sz="0" w:space="0" w:color="auto"/>
            <w:right w:val="none" w:sz="0" w:space="0" w:color="auto"/>
          </w:divBdr>
          <w:divsChild>
            <w:div w:id="2067298147">
              <w:marLeft w:val="0"/>
              <w:marRight w:val="0"/>
              <w:marTop w:val="0"/>
              <w:marBottom w:val="0"/>
              <w:divBdr>
                <w:top w:val="none" w:sz="0" w:space="0" w:color="auto"/>
                <w:left w:val="none" w:sz="0" w:space="0" w:color="auto"/>
                <w:bottom w:val="none" w:sz="0" w:space="0" w:color="auto"/>
                <w:right w:val="none" w:sz="0" w:space="0" w:color="auto"/>
              </w:divBdr>
            </w:div>
          </w:divsChild>
        </w:div>
        <w:div w:id="972831819">
          <w:marLeft w:val="0"/>
          <w:marRight w:val="0"/>
          <w:marTop w:val="0"/>
          <w:marBottom w:val="0"/>
          <w:divBdr>
            <w:top w:val="none" w:sz="0" w:space="0" w:color="auto"/>
            <w:left w:val="none" w:sz="0" w:space="0" w:color="auto"/>
            <w:bottom w:val="none" w:sz="0" w:space="0" w:color="auto"/>
            <w:right w:val="none" w:sz="0" w:space="0" w:color="auto"/>
          </w:divBdr>
          <w:divsChild>
            <w:div w:id="1398164587">
              <w:marLeft w:val="0"/>
              <w:marRight w:val="0"/>
              <w:marTop w:val="0"/>
              <w:marBottom w:val="0"/>
              <w:divBdr>
                <w:top w:val="none" w:sz="0" w:space="0" w:color="auto"/>
                <w:left w:val="none" w:sz="0" w:space="0" w:color="auto"/>
                <w:bottom w:val="none" w:sz="0" w:space="0" w:color="auto"/>
                <w:right w:val="none" w:sz="0" w:space="0" w:color="auto"/>
              </w:divBdr>
            </w:div>
          </w:divsChild>
        </w:div>
        <w:div w:id="978338916">
          <w:marLeft w:val="0"/>
          <w:marRight w:val="0"/>
          <w:marTop w:val="0"/>
          <w:marBottom w:val="0"/>
          <w:divBdr>
            <w:top w:val="none" w:sz="0" w:space="0" w:color="auto"/>
            <w:left w:val="none" w:sz="0" w:space="0" w:color="auto"/>
            <w:bottom w:val="none" w:sz="0" w:space="0" w:color="auto"/>
            <w:right w:val="none" w:sz="0" w:space="0" w:color="auto"/>
          </w:divBdr>
          <w:divsChild>
            <w:div w:id="1211921401">
              <w:marLeft w:val="0"/>
              <w:marRight w:val="0"/>
              <w:marTop w:val="0"/>
              <w:marBottom w:val="0"/>
              <w:divBdr>
                <w:top w:val="none" w:sz="0" w:space="0" w:color="auto"/>
                <w:left w:val="none" w:sz="0" w:space="0" w:color="auto"/>
                <w:bottom w:val="none" w:sz="0" w:space="0" w:color="auto"/>
                <w:right w:val="none" w:sz="0" w:space="0" w:color="auto"/>
              </w:divBdr>
            </w:div>
          </w:divsChild>
        </w:div>
        <w:div w:id="988435467">
          <w:marLeft w:val="0"/>
          <w:marRight w:val="0"/>
          <w:marTop w:val="0"/>
          <w:marBottom w:val="0"/>
          <w:divBdr>
            <w:top w:val="none" w:sz="0" w:space="0" w:color="auto"/>
            <w:left w:val="none" w:sz="0" w:space="0" w:color="auto"/>
            <w:bottom w:val="none" w:sz="0" w:space="0" w:color="auto"/>
            <w:right w:val="none" w:sz="0" w:space="0" w:color="auto"/>
          </w:divBdr>
          <w:divsChild>
            <w:div w:id="1632128137">
              <w:marLeft w:val="0"/>
              <w:marRight w:val="0"/>
              <w:marTop w:val="0"/>
              <w:marBottom w:val="0"/>
              <w:divBdr>
                <w:top w:val="none" w:sz="0" w:space="0" w:color="auto"/>
                <w:left w:val="none" w:sz="0" w:space="0" w:color="auto"/>
                <w:bottom w:val="none" w:sz="0" w:space="0" w:color="auto"/>
                <w:right w:val="none" w:sz="0" w:space="0" w:color="auto"/>
              </w:divBdr>
            </w:div>
          </w:divsChild>
        </w:div>
        <w:div w:id="989938881">
          <w:marLeft w:val="0"/>
          <w:marRight w:val="0"/>
          <w:marTop w:val="0"/>
          <w:marBottom w:val="0"/>
          <w:divBdr>
            <w:top w:val="none" w:sz="0" w:space="0" w:color="auto"/>
            <w:left w:val="none" w:sz="0" w:space="0" w:color="auto"/>
            <w:bottom w:val="none" w:sz="0" w:space="0" w:color="auto"/>
            <w:right w:val="none" w:sz="0" w:space="0" w:color="auto"/>
          </w:divBdr>
          <w:divsChild>
            <w:div w:id="1926304751">
              <w:marLeft w:val="0"/>
              <w:marRight w:val="0"/>
              <w:marTop w:val="0"/>
              <w:marBottom w:val="0"/>
              <w:divBdr>
                <w:top w:val="none" w:sz="0" w:space="0" w:color="auto"/>
                <w:left w:val="none" w:sz="0" w:space="0" w:color="auto"/>
                <w:bottom w:val="none" w:sz="0" w:space="0" w:color="auto"/>
                <w:right w:val="none" w:sz="0" w:space="0" w:color="auto"/>
              </w:divBdr>
            </w:div>
          </w:divsChild>
        </w:div>
        <w:div w:id="990401100">
          <w:marLeft w:val="0"/>
          <w:marRight w:val="0"/>
          <w:marTop w:val="0"/>
          <w:marBottom w:val="0"/>
          <w:divBdr>
            <w:top w:val="none" w:sz="0" w:space="0" w:color="auto"/>
            <w:left w:val="none" w:sz="0" w:space="0" w:color="auto"/>
            <w:bottom w:val="none" w:sz="0" w:space="0" w:color="auto"/>
            <w:right w:val="none" w:sz="0" w:space="0" w:color="auto"/>
          </w:divBdr>
          <w:divsChild>
            <w:div w:id="1496216085">
              <w:marLeft w:val="0"/>
              <w:marRight w:val="0"/>
              <w:marTop w:val="0"/>
              <w:marBottom w:val="0"/>
              <w:divBdr>
                <w:top w:val="none" w:sz="0" w:space="0" w:color="auto"/>
                <w:left w:val="none" w:sz="0" w:space="0" w:color="auto"/>
                <w:bottom w:val="none" w:sz="0" w:space="0" w:color="auto"/>
                <w:right w:val="none" w:sz="0" w:space="0" w:color="auto"/>
              </w:divBdr>
            </w:div>
          </w:divsChild>
        </w:div>
        <w:div w:id="991373527">
          <w:marLeft w:val="0"/>
          <w:marRight w:val="0"/>
          <w:marTop w:val="0"/>
          <w:marBottom w:val="0"/>
          <w:divBdr>
            <w:top w:val="none" w:sz="0" w:space="0" w:color="auto"/>
            <w:left w:val="none" w:sz="0" w:space="0" w:color="auto"/>
            <w:bottom w:val="none" w:sz="0" w:space="0" w:color="auto"/>
            <w:right w:val="none" w:sz="0" w:space="0" w:color="auto"/>
          </w:divBdr>
          <w:divsChild>
            <w:div w:id="908461338">
              <w:marLeft w:val="0"/>
              <w:marRight w:val="0"/>
              <w:marTop w:val="0"/>
              <w:marBottom w:val="0"/>
              <w:divBdr>
                <w:top w:val="none" w:sz="0" w:space="0" w:color="auto"/>
                <w:left w:val="none" w:sz="0" w:space="0" w:color="auto"/>
                <w:bottom w:val="none" w:sz="0" w:space="0" w:color="auto"/>
                <w:right w:val="none" w:sz="0" w:space="0" w:color="auto"/>
              </w:divBdr>
            </w:div>
          </w:divsChild>
        </w:div>
        <w:div w:id="1011564693">
          <w:marLeft w:val="0"/>
          <w:marRight w:val="0"/>
          <w:marTop w:val="0"/>
          <w:marBottom w:val="0"/>
          <w:divBdr>
            <w:top w:val="none" w:sz="0" w:space="0" w:color="auto"/>
            <w:left w:val="none" w:sz="0" w:space="0" w:color="auto"/>
            <w:bottom w:val="none" w:sz="0" w:space="0" w:color="auto"/>
            <w:right w:val="none" w:sz="0" w:space="0" w:color="auto"/>
          </w:divBdr>
          <w:divsChild>
            <w:div w:id="2033603061">
              <w:marLeft w:val="0"/>
              <w:marRight w:val="0"/>
              <w:marTop w:val="0"/>
              <w:marBottom w:val="0"/>
              <w:divBdr>
                <w:top w:val="none" w:sz="0" w:space="0" w:color="auto"/>
                <w:left w:val="none" w:sz="0" w:space="0" w:color="auto"/>
                <w:bottom w:val="none" w:sz="0" w:space="0" w:color="auto"/>
                <w:right w:val="none" w:sz="0" w:space="0" w:color="auto"/>
              </w:divBdr>
            </w:div>
          </w:divsChild>
        </w:div>
        <w:div w:id="1022129412">
          <w:marLeft w:val="0"/>
          <w:marRight w:val="0"/>
          <w:marTop w:val="0"/>
          <w:marBottom w:val="0"/>
          <w:divBdr>
            <w:top w:val="none" w:sz="0" w:space="0" w:color="auto"/>
            <w:left w:val="none" w:sz="0" w:space="0" w:color="auto"/>
            <w:bottom w:val="none" w:sz="0" w:space="0" w:color="auto"/>
            <w:right w:val="none" w:sz="0" w:space="0" w:color="auto"/>
          </w:divBdr>
          <w:divsChild>
            <w:div w:id="429543828">
              <w:marLeft w:val="0"/>
              <w:marRight w:val="0"/>
              <w:marTop w:val="0"/>
              <w:marBottom w:val="0"/>
              <w:divBdr>
                <w:top w:val="none" w:sz="0" w:space="0" w:color="auto"/>
                <w:left w:val="none" w:sz="0" w:space="0" w:color="auto"/>
                <w:bottom w:val="none" w:sz="0" w:space="0" w:color="auto"/>
                <w:right w:val="none" w:sz="0" w:space="0" w:color="auto"/>
              </w:divBdr>
            </w:div>
          </w:divsChild>
        </w:div>
        <w:div w:id="1022172241">
          <w:marLeft w:val="0"/>
          <w:marRight w:val="0"/>
          <w:marTop w:val="0"/>
          <w:marBottom w:val="0"/>
          <w:divBdr>
            <w:top w:val="none" w:sz="0" w:space="0" w:color="auto"/>
            <w:left w:val="none" w:sz="0" w:space="0" w:color="auto"/>
            <w:bottom w:val="none" w:sz="0" w:space="0" w:color="auto"/>
            <w:right w:val="none" w:sz="0" w:space="0" w:color="auto"/>
          </w:divBdr>
          <w:divsChild>
            <w:div w:id="1263876705">
              <w:marLeft w:val="0"/>
              <w:marRight w:val="0"/>
              <w:marTop w:val="0"/>
              <w:marBottom w:val="0"/>
              <w:divBdr>
                <w:top w:val="none" w:sz="0" w:space="0" w:color="auto"/>
                <w:left w:val="none" w:sz="0" w:space="0" w:color="auto"/>
                <w:bottom w:val="none" w:sz="0" w:space="0" w:color="auto"/>
                <w:right w:val="none" w:sz="0" w:space="0" w:color="auto"/>
              </w:divBdr>
            </w:div>
          </w:divsChild>
        </w:div>
        <w:div w:id="1029185931">
          <w:marLeft w:val="0"/>
          <w:marRight w:val="0"/>
          <w:marTop w:val="0"/>
          <w:marBottom w:val="0"/>
          <w:divBdr>
            <w:top w:val="none" w:sz="0" w:space="0" w:color="auto"/>
            <w:left w:val="none" w:sz="0" w:space="0" w:color="auto"/>
            <w:bottom w:val="none" w:sz="0" w:space="0" w:color="auto"/>
            <w:right w:val="none" w:sz="0" w:space="0" w:color="auto"/>
          </w:divBdr>
          <w:divsChild>
            <w:div w:id="797796898">
              <w:marLeft w:val="0"/>
              <w:marRight w:val="0"/>
              <w:marTop w:val="0"/>
              <w:marBottom w:val="0"/>
              <w:divBdr>
                <w:top w:val="none" w:sz="0" w:space="0" w:color="auto"/>
                <w:left w:val="none" w:sz="0" w:space="0" w:color="auto"/>
                <w:bottom w:val="none" w:sz="0" w:space="0" w:color="auto"/>
                <w:right w:val="none" w:sz="0" w:space="0" w:color="auto"/>
              </w:divBdr>
            </w:div>
          </w:divsChild>
        </w:div>
        <w:div w:id="1031490517">
          <w:marLeft w:val="0"/>
          <w:marRight w:val="0"/>
          <w:marTop w:val="0"/>
          <w:marBottom w:val="0"/>
          <w:divBdr>
            <w:top w:val="none" w:sz="0" w:space="0" w:color="auto"/>
            <w:left w:val="none" w:sz="0" w:space="0" w:color="auto"/>
            <w:bottom w:val="none" w:sz="0" w:space="0" w:color="auto"/>
            <w:right w:val="none" w:sz="0" w:space="0" w:color="auto"/>
          </w:divBdr>
          <w:divsChild>
            <w:div w:id="1593508562">
              <w:marLeft w:val="0"/>
              <w:marRight w:val="0"/>
              <w:marTop w:val="0"/>
              <w:marBottom w:val="0"/>
              <w:divBdr>
                <w:top w:val="none" w:sz="0" w:space="0" w:color="auto"/>
                <w:left w:val="none" w:sz="0" w:space="0" w:color="auto"/>
                <w:bottom w:val="none" w:sz="0" w:space="0" w:color="auto"/>
                <w:right w:val="none" w:sz="0" w:space="0" w:color="auto"/>
              </w:divBdr>
            </w:div>
          </w:divsChild>
        </w:div>
        <w:div w:id="1040743885">
          <w:marLeft w:val="0"/>
          <w:marRight w:val="0"/>
          <w:marTop w:val="0"/>
          <w:marBottom w:val="0"/>
          <w:divBdr>
            <w:top w:val="none" w:sz="0" w:space="0" w:color="auto"/>
            <w:left w:val="none" w:sz="0" w:space="0" w:color="auto"/>
            <w:bottom w:val="none" w:sz="0" w:space="0" w:color="auto"/>
            <w:right w:val="none" w:sz="0" w:space="0" w:color="auto"/>
          </w:divBdr>
          <w:divsChild>
            <w:div w:id="1726832311">
              <w:marLeft w:val="0"/>
              <w:marRight w:val="0"/>
              <w:marTop w:val="0"/>
              <w:marBottom w:val="0"/>
              <w:divBdr>
                <w:top w:val="none" w:sz="0" w:space="0" w:color="auto"/>
                <w:left w:val="none" w:sz="0" w:space="0" w:color="auto"/>
                <w:bottom w:val="none" w:sz="0" w:space="0" w:color="auto"/>
                <w:right w:val="none" w:sz="0" w:space="0" w:color="auto"/>
              </w:divBdr>
            </w:div>
          </w:divsChild>
        </w:div>
        <w:div w:id="1050812123">
          <w:marLeft w:val="0"/>
          <w:marRight w:val="0"/>
          <w:marTop w:val="0"/>
          <w:marBottom w:val="0"/>
          <w:divBdr>
            <w:top w:val="none" w:sz="0" w:space="0" w:color="auto"/>
            <w:left w:val="none" w:sz="0" w:space="0" w:color="auto"/>
            <w:bottom w:val="none" w:sz="0" w:space="0" w:color="auto"/>
            <w:right w:val="none" w:sz="0" w:space="0" w:color="auto"/>
          </w:divBdr>
          <w:divsChild>
            <w:div w:id="1114639739">
              <w:marLeft w:val="0"/>
              <w:marRight w:val="0"/>
              <w:marTop w:val="0"/>
              <w:marBottom w:val="0"/>
              <w:divBdr>
                <w:top w:val="none" w:sz="0" w:space="0" w:color="auto"/>
                <w:left w:val="none" w:sz="0" w:space="0" w:color="auto"/>
                <w:bottom w:val="none" w:sz="0" w:space="0" w:color="auto"/>
                <w:right w:val="none" w:sz="0" w:space="0" w:color="auto"/>
              </w:divBdr>
            </w:div>
          </w:divsChild>
        </w:div>
        <w:div w:id="1054624212">
          <w:marLeft w:val="0"/>
          <w:marRight w:val="0"/>
          <w:marTop w:val="0"/>
          <w:marBottom w:val="0"/>
          <w:divBdr>
            <w:top w:val="none" w:sz="0" w:space="0" w:color="auto"/>
            <w:left w:val="none" w:sz="0" w:space="0" w:color="auto"/>
            <w:bottom w:val="none" w:sz="0" w:space="0" w:color="auto"/>
            <w:right w:val="none" w:sz="0" w:space="0" w:color="auto"/>
          </w:divBdr>
          <w:divsChild>
            <w:div w:id="429936881">
              <w:marLeft w:val="0"/>
              <w:marRight w:val="0"/>
              <w:marTop w:val="0"/>
              <w:marBottom w:val="0"/>
              <w:divBdr>
                <w:top w:val="none" w:sz="0" w:space="0" w:color="auto"/>
                <w:left w:val="none" w:sz="0" w:space="0" w:color="auto"/>
                <w:bottom w:val="none" w:sz="0" w:space="0" w:color="auto"/>
                <w:right w:val="none" w:sz="0" w:space="0" w:color="auto"/>
              </w:divBdr>
            </w:div>
          </w:divsChild>
        </w:div>
        <w:div w:id="1056662542">
          <w:marLeft w:val="0"/>
          <w:marRight w:val="0"/>
          <w:marTop w:val="0"/>
          <w:marBottom w:val="0"/>
          <w:divBdr>
            <w:top w:val="none" w:sz="0" w:space="0" w:color="auto"/>
            <w:left w:val="none" w:sz="0" w:space="0" w:color="auto"/>
            <w:bottom w:val="none" w:sz="0" w:space="0" w:color="auto"/>
            <w:right w:val="none" w:sz="0" w:space="0" w:color="auto"/>
          </w:divBdr>
          <w:divsChild>
            <w:div w:id="1835291068">
              <w:marLeft w:val="0"/>
              <w:marRight w:val="0"/>
              <w:marTop w:val="0"/>
              <w:marBottom w:val="0"/>
              <w:divBdr>
                <w:top w:val="none" w:sz="0" w:space="0" w:color="auto"/>
                <w:left w:val="none" w:sz="0" w:space="0" w:color="auto"/>
                <w:bottom w:val="none" w:sz="0" w:space="0" w:color="auto"/>
                <w:right w:val="none" w:sz="0" w:space="0" w:color="auto"/>
              </w:divBdr>
            </w:div>
          </w:divsChild>
        </w:div>
        <w:div w:id="1058212114">
          <w:marLeft w:val="0"/>
          <w:marRight w:val="0"/>
          <w:marTop w:val="0"/>
          <w:marBottom w:val="0"/>
          <w:divBdr>
            <w:top w:val="none" w:sz="0" w:space="0" w:color="auto"/>
            <w:left w:val="none" w:sz="0" w:space="0" w:color="auto"/>
            <w:bottom w:val="none" w:sz="0" w:space="0" w:color="auto"/>
            <w:right w:val="none" w:sz="0" w:space="0" w:color="auto"/>
          </w:divBdr>
          <w:divsChild>
            <w:div w:id="360396672">
              <w:marLeft w:val="0"/>
              <w:marRight w:val="0"/>
              <w:marTop w:val="0"/>
              <w:marBottom w:val="0"/>
              <w:divBdr>
                <w:top w:val="none" w:sz="0" w:space="0" w:color="auto"/>
                <w:left w:val="none" w:sz="0" w:space="0" w:color="auto"/>
                <w:bottom w:val="none" w:sz="0" w:space="0" w:color="auto"/>
                <w:right w:val="none" w:sz="0" w:space="0" w:color="auto"/>
              </w:divBdr>
            </w:div>
          </w:divsChild>
        </w:div>
        <w:div w:id="1063991710">
          <w:marLeft w:val="0"/>
          <w:marRight w:val="0"/>
          <w:marTop w:val="0"/>
          <w:marBottom w:val="0"/>
          <w:divBdr>
            <w:top w:val="none" w:sz="0" w:space="0" w:color="auto"/>
            <w:left w:val="none" w:sz="0" w:space="0" w:color="auto"/>
            <w:bottom w:val="none" w:sz="0" w:space="0" w:color="auto"/>
            <w:right w:val="none" w:sz="0" w:space="0" w:color="auto"/>
          </w:divBdr>
          <w:divsChild>
            <w:div w:id="388306136">
              <w:marLeft w:val="0"/>
              <w:marRight w:val="0"/>
              <w:marTop w:val="0"/>
              <w:marBottom w:val="0"/>
              <w:divBdr>
                <w:top w:val="none" w:sz="0" w:space="0" w:color="auto"/>
                <w:left w:val="none" w:sz="0" w:space="0" w:color="auto"/>
                <w:bottom w:val="none" w:sz="0" w:space="0" w:color="auto"/>
                <w:right w:val="none" w:sz="0" w:space="0" w:color="auto"/>
              </w:divBdr>
            </w:div>
          </w:divsChild>
        </w:div>
        <w:div w:id="1074472696">
          <w:marLeft w:val="0"/>
          <w:marRight w:val="0"/>
          <w:marTop w:val="0"/>
          <w:marBottom w:val="0"/>
          <w:divBdr>
            <w:top w:val="none" w:sz="0" w:space="0" w:color="auto"/>
            <w:left w:val="none" w:sz="0" w:space="0" w:color="auto"/>
            <w:bottom w:val="none" w:sz="0" w:space="0" w:color="auto"/>
            <w:right w:val="none" w:sz="0" w:space="0" w:color="auto"/>
          </w:divBdr>
          <w:divsChild>
            <w:div w:id="62022264">
              <w:marLeft w:val="0"/>
              <w:marRight w:val="0"/>
              <w:marTop w:val="0"/>
              <w:marBottom w:val="0"/>
              <w:divBdr>
                <w:top w:val="none" w:sz="0" w:space="0" w:color="auto"/>
                <w:left w:val="none" w:sz="0" w:space="0" w:color="auto"/>
                <w:bottom w:val="none" w:sz="0" w:space="0" w:color="auto"/>
                <w:right w:val="none" w:sz="0" w:space="0" w:color="auto"/>
              </w:divBdr>
            </w:div>
          </w:divsChild>
        </w:div>
        <w:div w:id="1088388215">
          <w:marLeft w:val="0"/>
          <w:marRight w:val="0"/>
          <w:marTop w:val="0"/>
          <w:marBottom w:val="0"/>
          <w:divBdr>
            <w:top w:val="none" w:sz="0" w:space="0" w:color="auto"/>
            <w:left w:val="none" w:sz="0" w:space="0" w:color="auto"/>
            <w:bottom w:val="none" w:sz="0" w:space="0" w:color="auto"/>
            <w:right w:val="none" w:sz="0" w:space="0" w:color="auto"/>
          </w:divBdr>
          <w:divsChild>
            <w:div w:id="1604261484">
              <w:marLeft w:val="0"/>
              <w:marRight w:val="0"/>
              <w:marTop w:val="0"/>
              <w:marBottom w:val="0"/>
              <w:divBdr>
                <w:top w:val="none" w:sz="0" w:space="0" w:color="auto"/>
                <w:left w:val="none" w:sz="0" w:space="0" w:color="auto"/>
                <w:bottom w:val="none" w:sz="0" w:space="0" w:color="auto"/>
                <w:right w:val="none" w:sz="0" w:space="0" w:color="auto"/>
              </w:divBdr>
            </w:div>
          </w:divsChild>
        </w:div>
        <w:div w:id="1089085975">
          <w:marLeft w:val="0"/>
          <w:marRight w:val="0"/>
          <w:marTop w:val="0"/>
          <w:marBottom w:val="0"/>
          <w:divBdr>
            <w:top w:val="none" w:sz="0" w:space="0" w:color="auto"/>
            <w:left w:val="none" w:sz="0" w:space="0" w:color="auto"/>
            <w:bottom w:val="none" w:sz="0" w:space="0" w:color="auto"/>
            <w:right w:val="none" w:sz="0" w:space="0" w:color="auto"/>
          </w:divBdr>
          <w:divsChild>
            <w:div w:id="855387988">
              <w:marLeft w:val="0"/>
              <w:marRight w:val="0"/>
              <w:marTop w:val="0"/>
              <w:marBottom w:val="0"/>
              <w:divBdr>
                <w:top w:val="none" w:sz="0" w:space="0" w:color="auto"/>
                <w:left w:val="none" w:sz="0" w:space="0" w:color="auto"/>
                <w:bottom w:val="none" w:sz="0" w:space="0" w:color="auto"/>
                <w:right w:val="none" w:sz="0" w:space="0" w:color="auto"/>
              </w:divBdr>
            </w:div>
          </w:divsChild>
        </w:div>
        <w:div w:id="1093208939">
          <w:marLeft w:val="0"/>
          <w:marRight w:val="0"/>
          <w:marTop w:val="0"/>
          <w:marBottom w:val="0"/>
          <w:divBdr>
            <w:top w:val="none" w:sz="0" w:space="0" w:color="auto"/>
            <w:left w:val="none" w:sz="0" w:space="0" w:color="auto"/>
            <w:bottom w:val="none" w:sz="0" w:space="0" w:color="auto"/>
            <w:right w:val="none" w:sz="0" w:space="0" w:color="auto"/>
          </w:divBdr>
          <w:divsChild>
            <w:div w:id="132988350">
              <w:marLeft w:val="0"/>
              <w:marRight w:val="0"/>
              <w:marTop w:val="0"/>
              <w:marBottom w:val="0"/>
              <w:divBdr>
                <w:top w:val="none" w:sz="0" w:space="0" w:color="auto"/>
                <w:left w:val="none" w:sz="0" w:space="0" w:color="auto"/>
                <w:bottom w:val="none" w:sz="0" w:space="0" w:color="auto"/>
                <w:right w:val="none" w:sz="0" w:space="0" w:color="auto"/>
              </w:divBdr>
            </w:div>
          </w:divsChild>
        </w:div>
        <w:div w:id="1098913841">
          <w:marLeft w:val="0"/>
          <w:marRight w:val="0"/>
          <w:marTop w:val="0"/>
          <w:marBottom w:val="0"/>
          <w:divBdr>
            <w:top w:val="none" w:sz="0" w:space="0" w:color="auto"/>
            <w:left w:val="none" w:sz="0" w:space="0" w:color="auto"/>
            <w:bottom w:val="none" w:sz="0" w:space="0" w:color="auto"/>
            <w:right w:val="none" w:sz="0" w:space="0" w:color="auto"/>
          </w:divBdr>
          <w:divsChild>
            <w:div w:id="1458766650">
              <w:marLeft w:val="0"/>
              <w:marRight w:val="0"/>
              <w:marTop w:val="0"/>
              <w:marBottom w:val="0"/>
              <w:divBdr>
                <w:top w:val="none" w:sz="0" w:space="0" w:color="auto"/>
                <w:left w:val="none" w:sz="0" w:space="0" w:color="auto"/>
                <w:bottom w:val="none" w:sz="0" w:space="0" w:color="auto"/>
                <w:right w:val="none" w:sz="0" w:space="0" w:color="auto"/>
              </w:divBdr>
            </w:div>
          </w:divsChild>
        </w:div>
        <w:div w:id="1103384051">
          <w:marLeft w:val="0"/>
          <w:marRight w:val="0"/>
          <w:marTop w:val="0"/>
          <w:marBottom w:val="0"/>
          <w:divBdr>
            <w:top w:val="none" w:sz="0" w:space="0" w:color="auto"/>
            <w:left w:val="none" w:sz="0" w:space="0" w:color="auto"/>
            <w:bottom w:val="none" w:sz="0" w:space="0" w:color="auto"/>
            <w:right w:val="none" w:sz="0" w:space="0" w:color="auto"/>
          </w:divBdr>
          <w:divsChild>
            <w:div w:id="1154642900">
              <w:marLeft w:val="0"/>
              <w:marRight w:val="0"/>
              <w:marTop w:val="0"/>
              <w:marBottom w:val="0"/>
              <w:divBdr>
                <w:top w:val="none" w:sz="0" w:space="0" w:color="auto"/>
                <w:left w:val="none" w:sz="0" w:space="0" w:color="auto"/>
                <w:bottom w:val="none" w:sz="0" w:space="0" w:color="auto"/>
                <w:right w:val="none" w:sz="0" w:space="0" w:color="auto"/>
              </w:divBdr>
            </w:div>
          </w:divsChild>
        </w:div>
        <w:div w:id="1106461854">
          <w:marLeft w:val="0"/>
          <w:marRight w:val="0"/>
          <w:marTop w:val="0"/>
          <w:marBottom w:val="0"/>
          <w:divBdr>
            <w:top w:val="none" w:sz="0" w:space="0" w:color="auto"/>
            <w:left w:val="none" w:sz="0" w:space="0" w:color="auto"/>
            <w:bottom w:val="none" w:sz="0" w:space="0" w:color="auto"/>
            <w:right w:val="none" w:sz="0" w:space="0" w:color="auto"/>
          </w:divBdr>
          <w:divsChild>
            <w:div w:id="81800634">
              <w:marLeft w:val="0"/>
              <w:marRight w:val="0"/>
              <w:marTop w:val="0"/>
              <w:marBottom w:val="0"/>
              <w:divBdr>
                <w:top w:val="none" w:sz="0" w:space="0" w:color="auto"/>
                <w:left w:val="none" w:sz="0" w:space="0" w:color="auto"/>
                <w:bottom w:val="none" w:sz="0" w:space="0" w:color="auto"/>
                <w:right w:val="none" w:sz="0" w:space="0" w:color="auto"/>
              </w:divBdr>
            </w:div>
          </w:divsChild>
        </w:div>
        <w:div w:id="1110470264">
          <w:marLeft w:val="0"/>
          <w:marRight w:val="0"/>
          <w:marTop w:val="0"/>
          <w:marBottom w:val="0"/>
          <w:divBdr>
            <w:top w:val="none" w:sz="0" w:space="0" w:color="auto"/>
            <w:left w:val="none" w:sz="0" w:space="0" w:color="auto"/>
            <w:bottom w:val="none" w:sz="0" w:space="0" w:color="auto"/>
            <w:right w:val="none" w:sz="0" w:space="0" w:color="auto"/>
          </w:divBdr>
          <w:divsChild>
            <w:div w:id="1053578164">
              <w:marLeft w:val="0"/>
              <w:marRight w:val="0"/>
              <w:marTop w:val="0"/>
              <w:marBottom w:val="0"/>
              <w:divBdr>
                <w:top w:val="none" w:sz="0" w:space="0" w:color="auto"/>
                <w:left w:val="none" w:sz="0" w:space="0" w:color="auto"/>
                <w:bottom w:val="none" w:sz="0" w:space="0" w:color="auto"/>
                <w:right w:val="none" w:sz="0" w:space="0" w:color="auto"/>
              </w:divBdr>
            </w:div>
          </w:divsChild>
        </w:div>
        <w:div w:id="1114908810">
          <w:marLeft w:val="0"/>
          <w:marRight w:val="0"/>
          <w:marTop w:val="0"/>
          <w:marBottom w:val="0"/>
          <w:divBdr>
            <w:top w:val="none" w:sz="0" w:space="0" w:color="auto"/>
            <w:left w:val="none" w:sz="0" w:space="0" w:color="auto"/>
            <w:bottom w:val="none" w:sz="0" w:space="0" w:color="auto"/>
            <w:right w:val="none" w:sz="0" w:space="0" w:color="auto"/>
          </w:divBdr>
          <w:divsChild>
            <w:div w:id="646322887">
              <w:marLeft w:val="0"/>
              <w:marRight w:val="0"/>
              <w:marTop w:val="0"/>
              <w:marBottom w:val="0"/>
              <w:divBdr>
                <w:top w:val="none" w:sz="0" w:space="0" w:color="auto"/>
                <w:left w:val="none" w:sz="0" w:space="0" w:color="auto"/>
                <w:bottom w:val="none" w:sz="0" w:space="0" w:color="auto"/>
                <w:right w:val="none" w:sz="0" w:space="0" w:color="auto"/>
              </w:divBdr>
            </w:div>
          </w:divsChild>
        </w:div>
        <w:div w:id="1131557819">
          <w:marLeft w:val="0"/>
          <w:marRight w:val="0"/>
          <w:marTop w:val="0"/>
          <w:marBottom w:val="0"/>
          <w:divBdr>
            <w:top w:val="none" w:sz="0" w:space="0" w:color="auto"/>
            <w:left w:val="none" w:sz="0" w:space="0" w:color="auto"/>
            <w:bottom w:val="none" w:sz="0" w:space="0" w:color="auto"/>
            <w:right w:val="none" w:sz="0" w:space="0" w:color="auto"/>
          </w:divBdr>
          <w:divsChild>
            <w:div w:id="596208189">
              <w:marLeft w:val="0"/>
              <w:marRight w:val="0"/>
              <w:marTop w:val="0"/>
              <w:marBottom w:val="0"/>
              <w:divBdr>
                <w:top w:val="none" w:sz="0" w:space="0" w:color="auto"/>
                <w:left w:val="none" w:sz="0" w:space="0" w:color="auto"/>
                <w:bottom w:val="none" w:sz="0" w:space="0" w:color="auto"/>
                <w:right w:val="none" w:sz="0" w:space="0" w:color="auto"/>
              </w:divBdr>
            </w:div>
          </w:divsChild>
        </w:div>
        <w:div w:id="1134254989">
          <w:marLeft w:val="0"/>
          <w:marRight w:val="0"/>
          <w:marTop w:val="0"/>
          <w:marBottom w:val="0"/>
          <w:divBdr>
            <w:top w:val="none" w:sz="0" w:space="0" w:color="auto"/>
            <w:left w:val="none" w:sz="0" w:space="0" w:color="auto"/>
            <w:bottom w:val="none" w:sz="0" w:space="0" w:color="auto"/>
            <w:right w:val="none" w:sz="0" w:space="0" w:color="auto"/>
          </w:divBdr>
          <w:divsChild>
            <w:div w:id="2145805194">
              <w:marLeft w:val="0"/>
              <w:marRight w:val="0"/>
              <w:marTop w:val="0"/>
              <w:marBottom w:val="0"/>
              <w:divBdr>
                <w:top w:val="none" w:sz="0" w:space="0" w:color="auto"/>
                <w:left w:val="none" w:sz="0" w:space="0" w:color="auto"/>
                <w:bottom w:val="none" w:sz="0" w:space="0" w:color="auto"/>
                <w:right w:val="none" w:sz="0" w:space="0" w:color="auto"/>
              </w:divBdr>
            </w:div>
          </w:divsChild>
        </w:div>
        <w:div w:id="1137915734">
          <w:marLeft w:val="0"/>
          <w:marRight w:val="0"/>
          <w:marTop w:val="0"/>
          <w:marBottom w:val="0"/>
          <w:divBdr>
            <w:top w:val="none" w:sz="0" w:space="0" w:color="auto"/>
            <w:left w:val="none" w:sz="0" w:space="0" w:color="auto"/>
            <w:bottom w:val="none" w:sz="0" w:space="0" w:color="auto"/>
            <w:right w:val="none" w:sz="0" w:space="0" w:color="auto"/>
          </w:divBdr>
          <w:divsChild>
            <w:div w:id="129709301">
              <w:marLeft w:val="0"/>
              <w:marRight w:val="0"/>
              <w:marTop w:val="0"/>
              <w:marBottom w:val="0"/>
              <w:divBdr>
                <w:top w:val="none" w:sz="0" w:space="0" w:color="auto"/>
                <w:left w:val="none" w:sz="0" w:space="0" w:color="auto"/>
                <w:bottom w:val="none" w:sz="0" w:space="0" w:color="auto"/>
                <w:right w:val="none" w:sz="0" w:space="0" w:color="auto"/>
              </w:divBdr>
            </w:div>
          </w:divsChild>
        </w:div>
        <w:div w:id="1140928103">
          <w:marLeft w:val="0"/>
          <w:marRight w:val="0"/>
          <w:marTop w:val="0"/>
          <w:marBottom w:val="0"/>
          <w:divBdr>
            <w:top w:val="none" w:sz="0" w:space="0" w:color="auto"/>
            <w:left w:val="none" w:sz="0" w:space="0" w:color="auto"/>
            <w:bottom w:val="none" w:sz="0" w:space="0" w:color="auto"/>
            <w:right w:val="none" w:sz="0" w:space="0" w:color="auto"/>
          </w:divBdr>
          <w:divsChild>
            <w:div w:id="2121601170">
              <w:marLeft w:val="0"/>
              <w:marRight w:val="0"/>
              <w:marTop w:val="0"/>
              <w:marBottom w:val="0"/>
              <w:divBdr>
                <w:top w:val="none" w:sz="0" w:space="0" w:color="auto"/>
                <w:left w:val="none" w:sz="0" w:space="0" w:color="auto"/>
                <w:bottom w:val="none" w:sz="0" w:space="0" w:color="auto"/>
                <w:right w:val="none" w:sz="0" w:space="0" w:color="auto"/>
              </w:divBdr>
            </w:div>
          </w:divsChild>
        </w:div>
        <w:div w:id="1164249175">
          <w:marLeft w:val="0"/>
          <w:marRight w:val="0"/>
          <w:marTop w:val="0"/>
          <w:marBottom w:val="0"/>
          <w:divBdr>
            <w:top w:val="none" w:sz="0" w:space="0" w:color="auto"/>
            <w:left w:val="none" w:sz="0" w:space="0" w:color="auto"/>
            <w:bottom w:val="none" w:sz="0" w:space="0" w:color="auto"/>
            <w:right w:val="none" w:sz="0" w:space="0" w:color="auto"/>
          </w:divBdr>
          <w:divsChild>
            <w:div w:id="667441730">
              <w:marLeft w:val="0"/>
              <w:marRight w:val="0"/>
              <w:marTop w:val="0"/>
              <w:marBottom w:val="0"/>
              <w:divBdr>
                <w:top w:val="none" w:sz="0" w:space="0" w:color="auto"/>
                <w:left w:val="none" w:sz="0" w:space="0" w:color="auto"/>
                <w:bottom w:val="none" w:sz="0" w:space="0" w:color="auto"/>
                <w:right w:val="none" w:sz="0" w:space="0" w:color="auto"/>
              </w:divBdr>
            </w:div>
          </w:divsChild>
        </w:div>
        <w:div w:id="1164780954">
          <w:marLeft w:val="0"/>
          <w:marRight w:val="0"/>
          <w:marTop w:val="0"/>
          <w:marBottom w:val="0"/>
          <w:divBdr>
            <w:top w:val="none" w:sz="0" w:space="0" w:color="auto"/>
            <w:left w:val="none" w:sz="0" w:space="0" w:color="auto"/>
            <w:bottom w:val="none" w:sz="0" w:space="0" w:color="auto"/>
            <w:right w:val="none" w:sz="0" w:space="0" w:color="auto"/>
          </w:divBdr>
          <w:divsChild>
            <w:div w:id="565603457">
              <w:marLeft w:val="0"/>
              <w:marRight w:val="0"/>
              <w:marTop w:val="0"/>
              <w:marBottom w:val="0"/>
              <w:divBdr>
                <w:top w:val="none" w:sz="0" w:space="0" w:color="auto"/>
                <w:left w:val="none" w:sz="0" w:space="0" w:color="auto"/>
                <w:bottom w:val="none" w:sz="0" w:space="0" w:color="auto"/>
                <w:right w:val="none" w:sz="0" w:space="0" w:color="auto"/>
              </w:divBdr>
            </w:div>
          </w:divsChild>
        </w:div>
        <w:div w:id="1167596903">
          <w:marLeft w:val="0"/>
          <w:marRight w:val="0"/>
          <w:marTop w:val="0"/>
          <w:marBottom w:val="0"/>
          <w:divBdr>
            <w:top w:val="none" w:sz="0" w:space="0" w:color="auto"/>
            <w:left w:val="none" w:sz="0" w:space="0" w:color="auto"/>
            <w:bottom w:val="none" w:sz="0" w:space="0" w:color="auto"/>
            <w:right w:val="none" w:sz="0" w:space="0" w:color="auto"/>
          </w:divBdr>
          <w:divsChild>
            <w:div w:id="872041919">
              <w:marLeft w:val="0"/>
              <w:marRight w:val="0"/>
              <w:marTop w:val="0"/>
              <w:marBottom w:val="0"/>
              <w:divBdr>
                <w:top w:val="none" w:sz="0" w:space="0" w:color="auto"/>
                <w:left w:val="none" w:sz="0" w:space="0" w:color="auto"/>
                <w:bottom w:val="none" w:sz="0" w:space="0" w:color="auto"/>
                <w:right w:val="none" w:sz="0" w:space="0" w:color="auto"/>
              </w:divBdr>
            </w:div>
          </w:divsChild>
        </w:div>
        <w:div w:id="1176073918">
          <w:marLeft w:val="0"/>
          <w:marRight w:val="0"/>
          <w:marTop w:val="0"/>
          <w:marBottom w:val="0"/>
          <w:divBdr>
            <w:top w:val="none" w:sz="0" w:space="0" w:color="auto"/>
            <w:left w:val="none" w:sz="0" w:space="0" w:color="auto"/>
            <w:bottom w:val="none" w:sz="0" w:space="0" w:color="auto"/>
            <w:right w:val="none" w:sz="0" w:space="0" w:color="auto"/>
          </w:divBdr>
          <w:divsChild>
            <w:div w:id="2087797516">
              <w:marLeft w:val="0"/>
              <w:marRight w:val="0"/>
              <w:marTop w:val="0"/>
              <w:marBottom w:val="0"/>
              <w:divBdr>
                <w:top w:val="none" w:sz="0" w:space="0" w:color="auto"/>
                <w:left w:val="none" w:sz="0" w:space="0" w:color="auto"/>
                <w:bottom w:val="none" w:sz="0" w:space="0" w:color="auto"/>
                <w:right w:val="none" w:sz="0" w:space="0" w:color="auto"/>
              </w:divBdr>
            </w:div>
          </w:divsChild>
        </w:div>
        <w:div w:id="1185745977">
          <w:marLeft w:val="0"/>
          <w:marRight w:val="0"/>
          <w:marTop w:val="0"/>
          <w:marBottom w:val="0"/>
          <w:divBdr>
            <w:top w:val="none" w:sz="0" w:space="0" w:color="auto"/>
            <w:left w:val="none" w:sz="0" w:space="0" w:color="auto"/>
            <w:bottom w:val="none" w:sz="0" w:space="0" w:color="auto"/>
            <w:right w:val="none" w:sz="0" w:space="0" w:color="auto"/>
          </w:divBdr>
          <w:divsChild>
            <w:div w:id="2062168963">
              <w:marLeft w:val="0"/>
              <w:marRight w:val="0"/>
              <w:marTop w:val="0"/>
              <w:marBottom w:val="0"/>
              <w:divBdr>
                <w:top w:val="none" w:sz="0" w:space="0" w:color="auto"/>
                <w:left w:val="none" w:sz="0" w:space="0" w:color="auto"/>
                <w:bottom w:val="none" w:sz="0" w:space="0" w:color="auto"/>
                <w:right w:val="none" w:sz="0" w:space="0" w:color="auto"/>
              </w:divBdr>
            </w:div>
          </w:divsChild>
        </w:div>
        <w:div w:id="1203057334">
          <w:marLeft w:val="0"/>
          <w:marRight w:val="0"/>
          <w:marTop w:val="0"/>
          <w:marBottom w:val="0"/>
          <w:divBdr>
            <w:top w:val="none" w:sz="0" w:space="0" w:color="auto"/>
            <w:left w:val="none" w:sz="0" w:space="0" w:color="auto"/>
            <w:bottom w:val="none" w:sz="0" w:space="0" w:color="auto"/>
            <w:right w:val="none" w:sz="0" w:space="0" w:color="auto"/>
          </w:divBdr>
          <w:divsChild>
            <w:div w:id="764688653">
              <w:marLeft w:val="0"/>
              <w:marRight w:val="0"/>
              <w:marTop w:val="0"/>
              <w:marBottom w:val="0"/>
              <w:divBdr>
                <w:top w:val="none" w:sz="0" w:space="0" w:color="auto"/>
                <w:left w:val="none" w:sz="0" w:space="0" w:color="auto"/>
                <w:bottom w:val="none" w:sz="0" w:space="0" w:color="auto"/>
                <w:right w:val="none" w:sz="0" w:space="0" w:color="auto"/>
              </w:divBdr>
            </w:div>
          </w:divsChild>
        </w:div>
        <w:div w:id="1217623338">
          <w:marLeft w:val="0"/>
          <w:marRight w:val="0"/>
          <w:marTop w:val="0"/>
          <w:marBottom w:val="0"/>
          <w:divBdr>
            <w:top w:val="none" w:sz="0" w:space="0" w:color="auto"/>
            <w:left w:val="none" w:sz="0" w:space="0" w:color="auto"/>
            <w:bottom w:val="none" w:sz="0" w:space="0" w:color="auto"/>
            <w:right w:val="none" w:sz="0" w:space="0" w:color="auto"/>
          </w:divBdr>
          <w:divsChild>
            <w:div w:id="1574121177">
              <w:marLeft w:val="0"/>
              <w:marRight w:val="0"/>
              <w:marTop w:val="0"/>
              <w:marBottom w:val="0"/>
              <w:divBdr>
                <w:top w:val="none" w:sz="0" w:space="0" w:color="auto"/>
                <w:left w:val="none" w:sz="0" w:space="0" w:color="auto"/>
                <w:bottom w:val="none" w:sz="0" w:space="0" w:color="auto"/>
                <w:right w:val="none" w:sz="0" w:space="0" w:color="auto"/>
              </w:divBdr>
            </w:div>
          </w:divsChild>
        </w:div>
        <w:div w:id="1218126375">
          <w:marLeft w:val="0"/>
          <w:marRight w:val="0"/>
          <w:marTop w:val="0"/>
          <w:marBottom w:val="0"/>
          <w:divBdr>
            <w:top w:val="none" w:sz="0" w:space="0" w:color="auto"/>
            <w:left w:val="none" w:sz="0" w:space="0" w:color="auto"/>
            <w:bottom w:val="none" w:sz="0" w:space="0" w:color="auto"/>
            <w:right w:val="none" w:sz="0" w:space="0" w:color="auto"/>
          </w:divBdr>
          <w:divsChild>
            <w:div w:id="1857303310">
              <w:marLeft w:val="0"/>
              <w:marRight w:val="0"/>
              <w:marTop w:val="0"/>
              <w:marBottom w:val="0"/>
              <w:divBdr>
                <w:top w:val="none" w:sz="0" w:space="0" w:color="auto"/>
                <w:left w:val="none" w:sz="0" w:space="0" w:color="auto"/>
                <w:bottom w:val="none" w:sz="0" w:space="0" w:color="auto"/>
                <w:right w:val="none" w:sz="0" w:space="0" w:color="auto"/>
              </w:divBdr>
            </w:div>
          </w:divsChild>
        </w:div>
        <w:div w:id="1222012264">
          <w:marLeft w:val="0"/>
          <w:marRight w:val="0"/>
          <w:marTop w:val="0"/>
          <w:marBottom w:val="0"/>
          <w:divBdr>
            <w:top w:val="none" w:sz="0" w:space="0" w:color="auto"/>
            <w:left w:val="none" w:sz="0" w:space="0" w:color="auto"/>
            <w:bottom w:val="none" w:sz="0" w:space="0" w:color="auto"/>
            <w:right w:val="none" w:sz="0" w:space="0" w:color="auto"/>
          </w:divBdr>
          <w:divsChild>
            <w:div w:id="134301476">
              <w:marLeft w:val="0"/>
              <w:marRight w:val="0"/>
              <w:marTop w:val="0"/>
              <w:marBottom w:val="0"/>
              <w:divBdr>
                <w:top w:val="none" w:sz="0" w:space="0" w:color="auto"/>
                <w:left w:val="none" w:sz="0" w:space="0" w:color="auto"/>
                <w:bottom w:val="none" w:sz="0" w:space="0" w:color="auto"/>
                <w:right w:val="none" w:sz="0" w:space="0" w:color="auto"/>
              </w:divBdr>
            </w:div>
          </w:divsChild>
        </w:div>
        <w:div w:id="1236628236">
          <w:marLeft w:val="0"/>
          <w:marRight w:val="0"/>
          <w:marTop w:val="0"/>
          <w:marBottom w:val="0"/>
          <w:divBdr>
            <w:top w:val="none" w:sz="0" w:space="0" w:color="auto"/>
            <w:left w:val="none" w:sz="0" w:space="0" w:color="auto"/>
            <w:bottom w:val="none" w:sz="0" w:space="0" w:color="auto"/>
            <w:right w:val="none" w:sz="0" w:space="0" w:color="auto"/>
          </w:divBdr>
          <w:divsChild>
            <w:div w:id="1743866387">
              <w:marLeft w:val="0"/>
              <w:marRight w:val="0"/>
              <w:marTop w:val="0"/>
              <w:marBottom w:val="0"/>
              <w:divBdr>
                <w:top w:val="none" w:sz="0" w:space="0" w:color="auto"/>
                <w:left w:val="none" w:sz="0" w:space="0" w:color="auto"/>
                <w:bottom w:val="none" w:sz="0" w:space="0" w:color="auto"/>
                <w:right w:val="none" w:sz="0" w:space="0" w:color="auto"/>
              </w:divBdr>
            </w:div>
          </w:divsChild>
        </w:div>
        <w:div w:id="1237399540">
          <w:marLeft w:val="0"/>
          <w:marRight w:val="0"/>
          <w:marTop w:val="0"/>
          <w:marBottom w:val="0"/>
          <w:divBdr>
            <w:top w:val="none" w:sz="0" w:space="0" w:color="auto"/>
            <w:left w:val="none" w:sz="0" w:space="0" w:color="auto"/>
            <w:bottom w:val="none" w:sz="0" w:space="0" w:color="auto"/>
            <w:right w:val="none" w:sz="0" w:space="0" w:color="auto"/>
          </w:divBdr>
          <w:divsChild>
            <w:div w:id="538663090">
              <w:marLeft w:val="0"/>
              <w:marRight w:val="0"/>
              <w:marTop w:val="0"/>
              <w:marBottom w:val="0"/>
              <w:divBdr>
                <w:top w:val="none" w:sz="0" w:space="0" w:color="auto"/>
                <w:left w:val="none" w:sz="0" w:space="0" w:color="auto"/>
                <w:bottom w:val="none" w:sz="0" w:space="0" w:color="auto"/>
                <w:right w:val="none" w:sz="0" w:space="0" w:color="auto"/>
              </w:divBdr>
            </w:div>
          </w:divsChild>
        </w:div>
        <w:div w:id="1240865052">
          <w:marLeft w:val="0"/>
          <w:marRight w:val="0"/>
          <w:marTop w:val="0"/>
          <w:marBottom w:val="0"/>
          <w:divBdr>
            <w:top w:val="none" w:sz="0" w:space="0" w:color="auto"/>
            <w:left w:val="none" w:sz="0" w:space="0" w:color="auto"/>
            <w:bottom w:val="none" w:sz="0" w:space="0" w:color="auto"/>
            <w:right w:val="none" w:sz="0" w:space="0" w:color="auto"/>
          </w:divBdr>
          <w:divsChild>
            <w:div w:id="604264599">
              <w:marLeft w:val="0"/>
              <w:marRight w:val="0"/>
              <w:marTop w:val="0"/>
              <w:marBottom w:val="0"/>
              <w:divBdr>
                <w:top w:val="none" w:sz="0" w:space="0" w:color="auto"/>
                <w:left w:val="none" w:sz="0" w:space="0" w:color="auto"/>
                <w:bottom w:val="none" w:sz="0" w:space="0" w:color="auto"/>
                <w:right w:val="none" w:sz="0" w:space="0" w:color="auto"/>
              </w:divBdr>
            </w:div>
          </w:divsChild>
        </w:div>
        <w:div w:id="1243107264">
          <w:marLeft w:val="0"/>
          <w:marRight w:val="0"/>
          <w:marTop w:val="0"/>
          <w:marBottom w:val="0"/>
          <w:divBdr>
            <w:top w:val="none" w:sz="0" w:space="0" w:color="auto"/>
            <w:left w:val="none" w:sz="0" w:space="0" w:color="auto"/>
            <w:bottom w:val="none" w:sz="0" w:space="0" w:color="auto"/>
            <w:right w:val="none" w:sz="0" w:space="0" w:color="auto"/>
          </w:divBdr>
          <w:divsChild>
            <w:div w:id="1360349147">
              <w:marLeft w:val="0"/>
              <w:marRight w:val="0"/>
              <w:marTop w:val="0"/>
              <w:marBottom w:val="0"/>
              <w:divBdr>
                <w:top w:val="none" w:sz="0" w:space="0" w:color="auto"/>
                <w:left w:val="none" w:sz="0" w:space="0" w:color="auto"/>
                <w:bottom w:val="none" w:sz="0" w:space="0" w:color="auto"/>
                <w:right w:val="none" w:sz="0" w:space="0" w:color="auto"/>
              </w:divBdr>
            </w:div>
          </w:divsChild>
        </w:div>
        <w:div w:id="1244991572">
          <w:marLeft w:val="0"/>
          <w:marRight w:val="0"/>
          <w:marTop w:val="0"/>
          <w:marBottom w:val="0"/>
          <w:divBdr>
            <w:top w:val="none" w:sz="0" w:space="0" w:color="auto"/>
            <w:left w:val="none" w:sz="0" w:space="0" w:color="auto"/>
            <w:bottom w:val="none" w:sz="0" w:space="0" w:color="auto"/>
            <w:right w:val="none" w:sz="0" w:space="0" w:color="auto"/>
          </w:divBdr>
          <w:divsChild>
            <w:div w:id="1751733733">
              <w:marLeft w:val="0"/>
              <w:marRight w:val="0"/>
              <w:marTop w:val="0"/>
              <w:marBottom w:val="0"/>
              <w:divBdr>
                <w:top w:val="none" w:sz="0" w:space="0" w:color="auto"/>
                <w:left w:val="none" w:sz="0" w:space="0" w:color="auto"/>
                <w:bottom w:val="none" w:sz="0" w:space="0" w:color="auto"/>
                <w:right w:val="none" w:sz="0" w:space="0" w:color="auto"/>
              </w:divBdr>
            </w:div>
          </w:divsChild>
        </w:div>
        <w:div w:id="1245143767">
          <w:marLeft w:val="0"/>
          <w:marRight w:val="0"/>
          <w:marTop w:val="0"/>
          <w:marBottom w:val="0"/>
          <w:divBdr>
            <w:top w:val="none" w:sz="0" w:space="0" w:color="auto"/>
            <w:left w:val="none" w:sz="0" w:space="0" w:color="auto"/>
            <w:bottom w:val="none" w:sz="0" w:space="0" w:color="auto"/>
            <w:right w:val="none" w:sz="0" w:space="0" w:color="auto"/>
          </w:divBdr>
          <w:divsChild>
            <w:div w:id="495269196">
              <w:marLeft w:val="0"/>
              <w:marRight w:val="0"/>
              <w:marTop w:val="0"/>
              <w:marBottom w:val="0"/>
              <w:divBdr>
                <w:top w:val="none" w:sz="0" w:space="0" w:color="auto"/>
                <w:left w:val="none" w:sz="0" w:space="0" w:color="auto"/>
                <w:bottom w:val="none" w:sz="0" w:space="0" w:color="auto"/>
                <w:right w:val="none" w:sz="0" w:space="0" w:color="auto"/>
              </w:divBdr>
            </w:div>
          </w:divsChild>
        </w:div>
        <w:div w:id="1246377060">
          <w:marLeft w:val="0"/>
          <w:marRight w:val="0"/>
          <w:marTop w:val="0"/>
          <w:marBottom w:val="0"/>
          <w:divBdr>
            <w:top w:val="none" w:sz="0" w:space="0" w:color="auto"/>
            <w:left w:val="none" w:sz="0" w:space="0" w:color="auto"/>
            <w:bottom w:val="none" w:sz="0" w:space="0" w:color="auto"/>
            <w:right w:val="none" w:sz="0" w:space="0" w:color="auto"/>
          </w:divBdr>
          <w:divsChild>
            <w:div w:id="658390836">
              <w:marLeft w:val="0"/>
              <w:marRight w:val="0"/>
              <w:marTop w:val="0"/>
              <w:marBottom w:val="0"/>
              <w:divBdr>
                <w:top w:val="none" w:sz="0" w:space="0" w:color="auto"/>
                <w:left w:val="none" w:sz="0" w:space="0" w:color="auto"/>
                <w:bottom w:val="none" w:sz="0" w:space="0" w:color="auto"/>
                <w:right w:val="none" w:sz="0" w:space="0" w:color="auto"/>
              </w:divBdr>
            </w:div>
          </w:divsChild>
        </w:div>
        <w:div w:id="1249653221">
          <w:marLeft w:val="0"/>
          <w:marRight w:val="0"/>
          <w:marTop w:val="0"/>
          <w:marBottom w:val="0"/>
          <w:divBdr>
            <w:top w:val="none" w:sz="0" w:space="0" w:color="auto"/>
            <w:left w:val="none" w:sz="0" w:space="0" w:color="auto"/>
            <w:bottom w:val="none" w:sz="0" w:space="0" w:color="auto"/>
            <w:right w:val="none" w:sz="0" w:space="0" w:color="auto"/>
          </w:divBdr>
          <w:divsChild>
            <w:div w:id="1655599958">
              <w:marLeft w:val="0"/>
              <w:marRight w:val="0"/>
              <w:marTop w:val="0"/>
              <w:marBottom w:val="0"/>
              <w:divBdr>
                <w:top w:val="none" w:sz="0" w:space="0" w:color="auto"/>
                <w:left w:val="none" w:sz="0" w:space="0" w:color="auto"/>
                <w:bottom w:val="none" w:sz="0" w:space="0" w:color="auto"/>
                <w:right w:val="none" w:sz="0" w:space="0" w:color="auto"/>
              </w:divBdr>
            </w:div>
          </w:divsChild>
        </w:div>
        <w:div w:id="1267807848">
          <w:marLeft w:val="0"/>
          <w:marRight w:val="0"/>
          <w:marTop w:val="0"/>
          <w:marBottom w:val="0"/>
          <w:divBdr>
            <w:top w:val="none" w:sz="0" w:space="0" w:color="auto"/>
            <w:left w:val="none" w:sz="0" w:space="0" w:color="auto"/>
            <w:bottom w:val="none" w:sz="0" w:space="0" w:color="auto"/>
            <w:right w:val="none" w:sz="0" w:space="0" w:color="auto"/>
          </w:divBdr>
          <w:divsChild>
            <w:div w:id="1288468517">
              <w:marLeft w:val="0"/>
              <w:marRight w:val="0"/>
              <w:marTop w:val="0"/>
              <w:marBottom w:val="0"/>
              <w:divBdr>
                <w:top w:val="none" w:sz="0" w:space="0" w:color="auto"/>
                <w:left w:val="none" w:sz="0" w:space="0" w:color="auto"/>
                <w:bottom w:val="none" w:sz="0" w:space="0" w:color="auto"/>
                <w:right w:val="none" w:sz="0" w:space="0" w:color="auto"/>
              </w:divBdr>
            </w:div>
          </w:divsChild>
        </w:div>
        <w:div w:id="1268076213">
          <w:marLeft w:val="0"/>
          <w:marRight w:val="0"/>
          <w:marTop w:val="0"/>
          <w:marBottom w:val="0"/>
          <w:divBdr>
            <w:top w:val="none" w:sz="0" w:space="0" w:color="auto"/>
            <w:left w:val="none" w:sz="0" w:space="0" w:color="auto"/>
            <w:bottom w:val="none" w:sz="0" w:space="0" w:color="auto"/>
            <w:right w:val="none" w:sz="0" w:space="0" w:color="auto"/>
          </w:divBdr>
          <w:divsChild>
            <w:div w:id="290210719">
              <w:marLeft w:val="0"/>
              <w:marRight w:val="0"/>
              <w:marTop w:val="0"/>
              <w:marBottom w:val="0"/>
              <w:divBdr>
                <w:top w:val="none" w:sz="0" w:space="0" w:color="auto"/>
                <w:left w:val="none" w:sz="0" w:space="0" w:color="auto"/>
                <w:bottom w:val="none" w:sz="0" w:space="0" w:color="auto"/>
                <w:right w:val="none" w:sz="0" w:space="0" w:color="auto"/>
              </w:divBdr>
            </w:div>
          </w:divsChild>
        </w:div>
        <w:div w:id="1271399578">
          <w:marLeft w:val="0"/>
          <w:marRight w:val="0"/>
          <w:marTop w:val="0"/>
          <w:marBottom w:val="0"/>
          <w:divBdr>
            <w:top w:val="none" w:sz="0" w:space="0" w:color="auto"/>
            <w:left w:val="none" w:sz="0" w:space="0" w:color="auto"/>
            <w:bottom w:val="none" w:sz="0" w:space="0" w:color="auto"/>
            <w:right w:val="none" w:sz="0" w:space="0" w:color="auto"/>
          </w:divBdr>
          <w:divsChild>
            <w:div w:id="1315450555">
              <w:marLeft w:val="0"/>
              <w:marRight w:val="0"/>
              <w:marTop w:val="0"/>
              <w:marBottom w:val="0"/>
              <w:divBdr>
                <w:top w:val="none" w:sz="0" w:space="0" w:color="auto"/>
                <w:left w:val="none" w:sz="0" w:space="0" w:color="auto"/>
                <w:bottom w:val="none" w:sz="0" w:space="0" w:color="auto"/>
                <w:right w:val="none" w:sz="0" w:space="0" w:color="auto"/>
              </w:divBdr>
            </w:div>
          </w:divsChild>
        </w:div>
        <w:div w:id="1274753748">
          <w:marLeft w:val="0"/>
          <w:marRight w:val="0"/>
          <w:marTop w:val="0"/>
          <w:marBottom w:val="0"/>
          <w:divBdr>
            <w:top w:val="none" w:sz="0" w:space="0" w:color="auto"/>
            <w:left w:val="none" w:sz="0" w:space="0" w:color="auto"/>
            <w:bottom w:val="none" w:sz="0" w:space="0" w:color="auto"/>
            <w:right w:val="none" w:sz="0" w:space="0" w:color="auto"/>
          </w:divBdr>
          <w:divsChild>
            <w:div w:id="1171800304">
              <w:marLeft w:val="0"/>
              <w:marRight w:val="0"/>
              <w:marTop w:val="0"/>
              <w:marBottom w:val="0"/>
              <w:divBdr>
                <w:top w:val="none" w:sz="0" w:space="0" w:color="auto"/>
                <w:left w:val="none" w:sz="0" w:space="0" w:color="auto"/>
                <w:bottom w:val="none" w:sz="0" w:space="0" w:color="auto"/>
                <w:right w:val="none" w:sz="0" w:space="0" w:color="auto"/>
              </w:divBdr>
            </w:div>
          </w:divsChild>
        </w:div>
        <w:div w:id="1282803219">
          <w:marLeft w:val="0"/>
          <w:marRight w:val="0"/>
          <w:marTop w:val="0"/>
          <w:marBottom w:val="0"/>
          <w:divBdr>
            <w:top w:val="none" w:sz="0" w:space="0" w:color="auto"/>
            <w:left w:val="none" w:sz="0" w:space="0" w:color="auto"/>
            <w:bottom w:val="none" w:sz="0" w:space="0" w:color="auto"/>
            <w:right w:val="none" w:sz="0" w:space="0" w:color="auto"/>
          </w:divBdr>
          <w:divsChild>
            <w:div w:id="811096456">
              <w:marLeft w:val="0"/>
              <w:marRight w:val="0"/>
              <w:marTop w:val="0"/>
              <w:marBottom w:val="0"/>
              <w:divBdr>
                <w:top w:val="none" w:sz="0" w:space="0" w:color="auto"/>
                <w:left w:val="none" w:sz="0" w:space="0" w:color="auto"/>
                <w:bottom w:val="none" w:sz="0" w:space="0" w:color="auto"/>
                <w:right w:val="none" w:sz="0" w:space="0" w:color="auto"/>
              </w:divBdr>
            </w:div>
          </w:divsChild>
        </w:div>
        <w:div w:id="1286228465">
          <w:marLeft w:val="0"/>
          <w:marRight w:val="0"/>
          <w:marTop w:val="0"/>
          <w:marBottom w:val="0"/>
          <w:divBdr>
            <w:top w:val="none" w:sz="0" w:space="0" w:color="auto"/>
            <w:left w:val="none" w:sz="0" w:space="0" w:color="auto"/>
            <w:bottom w:val="none" w:sz="0" w:space="0" w:color="auto"/>
            <w:right w:val="none" w:sz="0" w:space="0" w:color="auto"/>
          </w:divBdr>
          <w:divsChild>
            <w:div w:id="109936117">
              <w:marLeft w:val="0"/>
              <w:marRight w:val="0"/>
              <w:marTop w:val="0"/>
              <w:marBottom w:val="0"/>
              <w:divBdr>
                <w:top w:val="none" w:sz="0" w:space="0" w:color="auto"/>
                <w:left w:val="none" w:sz="0" w:space="0" w:color="auto"/>
                <w:bottom w:val="none" w:sz="0" w:space="0" w:color="auto"/>
                <w:right w:val="none" w:sz="0" w:space="0" w:color="auto"/>
              </w:divBdr>
            </w:div>
          </w:divsChild>
        </w:div>
        <w:div w:id="1287272003">
          <w:marLeft w:val="0"/>
          <w:marRight w:val="0"/>
          <w:marTop w:val="0"/>
          <w:marBottom w:val="0"/>
          <w:divBdr>
            <w:top w:val="none" w:sz="0" w:space="0" w:color="auto"/>
            <w:left w:val="none" w:sz="0" w:space="0" w:color="auto"/>
            <w:bottom w:val="none" w:sz="0" w:space="0" w:color="auto"/>
            <w:right w:val="none" w:sz="0" w:space="0" w:color="auto"/>
          </w:divBdr>
          <w:divsChild>
            <w:div w:id="236940297">
              <w:marLeft w:val="0"/>
              <w:marRight w:val="0"/>
              <w:marTop w:val="0"/>
              <w:marBottom w:val="0"/>
              <w:divBdr>
                <w:top w:val="none" w:sz="0" w:space="0" w:color="auto"/>
                <w:left w:val="none" w:sz="0" w:space="0" w:color="auto"/>
                <w:bottom w:val="none" w:sz="0" w:space="0" w:color="auto"/>
                <w:right w:val="none" w:sz="0" w:space="0" w:color="auto"/>
              </w:divBdr>
            </w:div>
          </w:divsChild>
        </w:div>
        <w:div w:id="1288313278">
          <w:marLeft w:val="0"/>
          <w:marRight w:val="0"/>
          <w:marTop w:val="0"/>
          <w:marBottom w:val="0"/>
          <w:divBdr>
            <w:top w:val="none" w:sz="0" w:space="0" w:color="auto"/>
            <w:left w:val="none" w:sz="0" w:space="0" w:color="auto"/>
            <w:bottom w:val="none" w:sz="0" w:space="0" w:color="auto"/>
            <w:right w:val="none" w:sz="0" w:space="0" w:color="auto"/>
          </w:divBdr>
          <w:divsChild>
            <w:div w:id="631865171">
              <w:marLeft w:val="0"/>
              <w:marRight w:val="0"/>
              <w:marTop w:val="0"/>
              <w:marBottom w:val="0"/>
              <w:divBdr>
                <w:top w:val="none" w:sz="0" w:space="0" w:color="auto"/>
                <w:left w:val="none" w:sz="0" w:space="0" w:color="auto"/>
                <w:bottom w:val="none" w:sz="0" w:space="0" w:color="auto"/>
                <w:right w:val="none" w:sz="0" w:space="0" w:color="auto"/>
              </w:divBdr>
            </w:div>
          </w:divsChild>
        </w:div>
        <w:div w:id="1298488966">
          <w:marLeft w:val="0"/>
          <w:marRight w:val="0"/>
          <w:marTop w:val="0"/>
          <w:marBottom w:val="0"/>
          <w:divBdr>
            <w:top w:val="none" w:sz="0" w:space="0" w:color="auto"/>
            <w:left w:val="none" w:sz="0" w:space="0" w:color="auto"/>
            <w:bottom w:val="none" w:sz="0" w:space="0" w:color="auto"/>
            <w:right w:val="none" w:sz="0" w:space="0" w:color="auto"/>
          </w:divBdr>
          <w:divsChild>
            <w:div w:id="1289623455">
              <w:marLeft w:val="0"/>
              <w:marRight w:val="0"/>
              <w:marTop w:val="0"/>
              <w:marBottom w:val="0"/>
              <w:divBdr>
                <w:top w:val="none" w:sz="0" w:space="0" w:color="auto"/>
                <w:left w:val="none" w:sz="0" w:space="0" w:color="auto"/>
                <w:bottom w:val="none" w:sz="0" w:space="0" w:color="auto"/>
                <w:right w:val="none" w:sz="0" w:space="0" w:color="auto"/>
              </w:divBdr>
            </w:div>
          </w:divsChild>
        </w:div>
        <w:div w:id="1300577362">
          <w:marLeft w:val="0"/>
          <w:marRight w:val="0"/>
          <w:marTop w:val="0"/>
          <w:marBottom w:val="0"/>
          <w:divBdr>
            <w:top w:val="none" w:sz="0" w:space="0" w:color="auto"/>
            <w:left w:val="none" w:sz="0" w:space="0" w:color="auto"/>
            <w:bottom w:val="none" w:sz="0" w:space="0" w:color="auto"/>
            <w:right w:val="none" w:sz="0" w:space="0" w:color="auto"/>
          </w:divBdr>
          <w:divsChild>
            <w:div w:id="1014185266">
              <w:marLeft w:val="0"/>
              <w:marRight w:val="0"/>
              <w:marTop w:val="0"/>
              <w:marBottom w:val="0"/>
              <w:divBdr>
                <w:top w:val="none" w:sz="0" w:space="0" w:color="auto"/>
                <w:left w:val="none" w:sz="0" w:space="0" w:color="auto"/>
                <w:bottom w:val="none" w:sz="0" w:space="0" w:color="auto"/>
                <w:right w:val="none" w:sz="0" w:space="0" w:color="auto"/>
              </w:divBdr>
            </w:div>
          </w:divsChild>
        </w:div>
        <w:div w:id="1301570677">
          <w:marLeft w:val="0"/>
          <w:marRight w:val="0"/>
          <w:marTop w:val="0"/>
          <w:marBottom w:val="0"/>
          <w:divBdr>
            <w:top w:val="none" w:sz="0" w:space="0" w:color="auto"/>
            <w:left w:val="none" w:sz="0" w:space="0" w:color="auto"/>
            <w:bottom w:val="none" w:sz="0" w:space="0" w:color="auto"/>
            <w:right w:val="none" w:sz="0" w:space="0" w:color="auto"/>
          </w:divBdr>
          <w:divsChild>
            <w:div w:id="703746376">
              <w:marLeft w:val="0"/>
              <w:marRight w:val="0"/>
              <w:marTop w:val="0"/>
              <w:marBottom w:val="0"/>
              <w:divBdr>
                <w:top w:val="none" w:sz="0" w:space="0" w:color="auto"/>
                <w:left w:val="none" w:sz="0" w:space="0" w:color="auto"/>
                <w:bottom w:val="none" w:sz="0" w:space="0" w:color="auto"/>
                <w:right w:val="none" w:sz="0" w:space="0" w:color="auto"/>
              </w:divBdr>
            </w:div>
          </w:divsChild>
        </w:div>
        <w:div w:id="1304390717">
          <w:marLeft w:val="0"/>
          <w:marRight w:val="0"/>
          <w:marTop w:val="0"/>
          <w:marBottom w:val="0"/>
          <w:divBdr>
            <w:top w:val="none" w:sz="0" w:space="0" w:color="auto"/>
            <w:left w:val="none" w:sz="0" w:space="0" w:color="auto"/>
            <w:bottom w:val="none" w:sz="0" w:space="0" w:color="auto"/>
            <w:right w:val="none" w:sz="0" w:space="0" w:color="auto"/>
          </w:divBdr>
          <w:divsChild>
            <w:div w:id="934703721">
              <w:marLeft w:val="0"/>
              <w:marRight w:val="0"/>
              <w:marTop w:val="0"/>
              <w:marBottom w:val="0"/>
              <w:divBdr>
                <w:top w:val="none" w:sz="0" w:space="0" w:color="auto"/>
                <w:left w:val="none" w:sz="0" w:space="0" w:color="auto"/>
                <w:bottom w:val="none" w:sz="0" w:space="0" w:color="auto"/>
                <w:right w:val="none" w:sz="0" w:space="0" w:color="auto"/>
              </w:divBdr>
            </w:div>
          </w:divsChild>
        </w:div>
        <w:div w:id="1304697773">
          <w:marLeft w:val="0"/>
          <w:marRight w:val="0"/>
          <w:marTop w:val="0"/>
          <w:marBottom w:val="0"/>
          <w:divBdr>
            <w:top w:val="none" w:sz="0" w:space="0" w:color="auto"/>
            <w:left w:val="none" w:sz="0" w:space="0" w:color="auto"/>
            <w:bottom w:val="none" w:sz="0" w:space="0" w:color="auto"/>
            <w:right w:val="none" w:sz="0" w:space="0" w:color="auto"/>
          </w:divBdr>
          <w:divsChild>
            <w:div w:id="526067620">
              <w:marLeft w:val="0"/>
              <w:marRight w:val="0"/>
              <w:marTop w:val="0"/>
              <w:marBottom w:val="0"/>
              <w:divBdr>
                <w:top w:val="none" w:sz="0" w:space="0" w:color="auto"/>
                <w:left w:val="none" w:sz="0" w:space="0" w:color="auto"/>
                <w:bottom w:val="none" w:sz="0" w:space="0" w:color="auto"/>
                <w:right w:val="none" w:sz="0" w:space="0" w:color="auto"/>
              </w:divBdr>
            </w:div>
          </w:divsChild>
        </w:div>
        <w:div w:id="1311595473">
          <w:marLeft w:val="0"/>
          <w:marRight w:val="0"/>
          <w:marTop w:val="0"/>
          <w:marBottom w:val="0"/>
          <w:divBdr>
            <w:top w:val="none" w:sz="0" w:space="0" w:color="auto"/>
            <w:left w:val="none" w:sz="0" w:space="0" w:color="auto"/>
            <w:bottom w:val="none" w:sz="0" w:space="0" w:color="auto"/>
            <w:right w:val="none" w:sz="0" w:space="0" w:color="auto"/>
          </w:divBdr>
          <w:divsChild>
            <w:div w:id="288823947">
              <w:marLeft w:val="0"/>
              <w:marRight w:val="0"/>
              <w:marTop w:val="0"/>
              <w:marBottom w:val="0"/>
              <w:divBdr>
                <w:top w:val="none" w:sz="0" w:space="0" w:color="auto"/>
                <w:left w:val="none" w:sz="0" w:space="0" w:color="auto"/>
                <w:bottom w:val="none" w:sz="0" w:space="0" w:color="auto"/>
                <w:right w:val="none" w:sz="0" w:space="0" w:color="auto"/>
              </w:divBdr>
            </w:div>
          </w:divsChild>
        </w:div>
        <w:div w:id="1314022664">
          <w:marLeft w:val="0"/>
          <w:marRight w:val="0"/>
          <w:marTop w:val="0"/>
          <w:marBottom w:val="0"/>
          <w:divBdr>
            <w:top w:val="none" w:sz="0" w:space="0" w:color="auto"/>
            <w:left w:val="none" w:sz="0" w:space="0" w:color="auto"/>
            <w:bottom w:val="none" w:sz="0" w:space="0" w:color="auto"/>
            <w:right w:val="none" w:sz="0" w:space="0" w:color="auto"/>
          </w:divBdr>
          <w:divsChild>
            <w:div w:id="2014213407">
              <w:marLeft w:val="0"/>
              <w:marRight w:val="0"/>
              <w:marTop w:val="0"/>
              <w:marBottom w:val="0"/>
              <w:divBdr>
                <w:top w:val="none" w:sz="0" w:space="0" w:color="auto"/>
                <w:left w:val="none" w:sz="0" w:space="0" w:color="auto"/>
                <w:bottom w:val="none" w:sz="0" w:space="0" w:color="auto"/>
                <w:right w:val="none" w:sz="0" w:space="0" w:color="auto"/>
              </w:divBdr>
            </w:div>
          </w:divsChild>
        </w:div>
        <w:div w:id="1332097205">
          <w:marLeft w:val="0"/>
          <w:marRight w:val="0"/>
          <w:marTop w:val="0"/>
          <w:marBottom w:val="0"/>
          <w:divBdr>
            <w:top w:val="none" w:sz="0" w:space="0" w:color="auto"/>
            <w:left w:val="none" w:sz="0" w:space="0" w:color="auto"/>
            <w:bottom w:val="none" w:sz="0" w:space="0" w:color="auto"/>
            <w:right w:val="none" w:sz="0" w:space="0" w:color="auto"/>
          </w:divBdr>
          <w:divsChild>
            <w:div w:id="1815559207">
              <w:marLeft w:val="0"/>
              <w:marRight w:val="0"/>
              <w:marTop w:val="0"/>
              <w:marBottom w:val="0"/>
              <w:divBdr>
                <w:top w:val="none" w:sz="0" w:space="0" w:color="auto"/>
                <w:left w:val="none" w:sz="0" w:space="0" w:color="auto"/>
                <w:bottom w:val="none" w:sz="0" w:space="0" w:color="auto"/>
                <w:right w:val="none" w:sz="0" w:space="0" w:color="auto"/>
              </w:divBdr>
            </w:div>
          </w:divsChild>
        </w:div>
        <w:div w:id="1339313854">
          <w:marLeft w:val="0"/>
          <w:marRight w:val="0"/>
          <w:marTop w:val="0"/>
          <w:marBottom w:val="0"/>
          <w:divBdr>
            <w:top w:val="none" w:sz="0" w:space="0" w:color="auto"/>
            <w:left w:val="none" w:sz="0" w:space="0" w:color="auto"/>
            <w:bottom w:val="none" w:sz="0" w:space="0" w:color="auto"/>
            <w:right w:val="none" w:sz="0" w:space="0" w:color="auto"/>
          </w:divBdr>
          <w:divsChild>
            <w:div w:id="1754205897">
              <w:marLeft w:val="0"/>
              <w:marRight w:val="0"/>
              <w:marTop w:val="0"/>
              <w:marBottom w:val="0"/>
              <w:divBdr>
                <w:top w:val="none" w:sz="0" w:space="0" w:color="auto"/>
                <w:left w:val="none" w:sz="0" w:space="0" w:color="auto"/>
                <w:bottom w:val="none" w:sz="0" w:space="0" w:color="auto"/>
                <w:right w:val="none" w:sz="0" w:space="0" w:color="auto"/>
              </w:divBdr>
            </w:div>
          </w:divsChild>
        </w:div>
        <w:div w:id="1341160716">
          <w:marLeft w:val="0"/>
          <w:marRight w:val="0"/>
          <w:marTop w:val="0"/>
          <w:marBottom w:val="0"/>
          <w:divBdr>
            <w:top w:val="none" w:sz="0" w:space="0" w:color="auto"/>
            <w:left w:val="none" w:sz="0" w:space="0" w:color="auto"/>
            <w:bottom w:val="none" w:sz="0" w:space="0" w:color="auto"/>
            <w:right w:val="none" w:sz="0" w:space="0" w:color="auto"/>
          </w:divBdr>
          <w:divsChild>
            <w:div w:id="318310483">
              <w:marLeft w:val="0"/>
              <w:marRight w:val="0"/>
              <w:marTop w:val="0"/>
              <w:marBottom w:val="0"/>
              <w:divBdr>
                <w:top w:val="none" w:sz="0" w:space="0" w:color="auto"/>
                <w:left w:val="none" w:sz="0" w:space="0" w:color="auto"/>
                <w:bottom w:val="none" w:sz="0" w:space="0" w:color="auto"/>
                <w:right w:val="none" w:sz="0" w:space="0" w:color="auto"/>
              </w:divBdr>
            </w:div>
          </w:divsChild>
        </w:div>
        <w:div w:id="1343970581">
          <w:marLeft w:val="0"/>
          <w:marRight w:val="0"/>
          <w:marTop w:val="0"/>
          <w:marBottom w:val="0"/>
          <w:divBdr>
            <w:top w:val="none" w:sz="0" w:space="0" w:color="auto"/>
            <w:left w:val="none" w:sz="0" w:space="0" w:color="auto"/>
            <w:bottom w:val="none" w:sz="0" w:space="0" w:color="auto"/>
            <w:right w:val="none" w:sz="0" w:space="0" w:color="auto"/>
          </w:divBdr>
          <w:divsChild>
            <w:div w:id="2019887293">
              <w:marLeft w:val="0"/>
              <w:marRight w:val="0"/>
              <w:marTop w:val="0"/>
              <w:marBottom w:val="0"/>
              <w:divBdr>
                <w:top w:val="none" w:sz="0" w:space="0" w:color="auto"/>
                <w:left w:val="none" w:sz="0" w:space="0" w:color="auto"/>
                <w:bottom w:val="none" w:sz="0" w:space="0" w:color="auto"/>
                <w:right w:val="none" w:sz="0" w:space="0" w:color="auto"/>
              </w:divBdr>
            </w:div>
          </w:divsChild>
        </w:div>
        <w:div w:id="1368531106">
          <w:marLeft w:val="0"/>
          <w:marRight w:val="0"/>
          <w:marTop w:val="0"/>
          <w:marBottom w:val="0"/>
          <w:divBdr>
            <w:top w:val="none" w:sz="0" w:space="0" w:color="auto"/>
            <w:left w:val="none" w:sz="0" w:space="0" w:color="auto"/>
            <w:bottom w:val="none" w:sz="0" w:space="0" w:color="auto"/>
            <w:right w:val="none" w:sz="0" w:space="0" w:color="auto"/>
          </w:divBdr>
          <w:divsChild>
            <w:div w:id="1166046528">
              <w:marLeft w:val="0"/>
              <w:marRight w:val="0"/>
              <w:marTop w:val="0"/>
              <w:marBottom w:val="0"/>
              <w:divBdr>
                <w:top w:val="none" w:sz="0" w:space="0" w:color="auto"/>
                <w:left w:val="none" w:sz="0" w:space="0" w:color="auto"/>
                <w:bottom w:val="none" w:sz="0" w:space="0" w:color="auto"/>
                <w:right w:val="none" w:sz="0" w:space="0" w:color="auto"/>
              </w:divBdr>
            </w:div>
          </w:divsChild>
        </w:div>
        <w:div w:id="1371607100">
          <w:marLeft w:val="0"/>
          <w:marRight w:val="0"/>
          <w:marTop w:val="0"/>
          <w:marBottom w:val="0"/>
          <w:divBdr>
            <w:top w:val="none" w:sz="0" w:space="0" w:color="auto"/>
            <w:left w:val="none" w:sz="0" w:space="0" w:color="auto"/>
            <w:bottom w:val="none" w:sz="0" w:space="0" w:color="auto"/>
            <w:right w:val="none" w:sz="0" w:space="0" w:color="auto"/>
          </w:divBdr>
          <w:divsChild>
            <w:div w:id="1467352306">
              <w:marLeft w:val="0"/>
              <w:marRight w:val="0"/>
              <w:marTop w:val="0"/>
              <w:marBottom w:val="0"/>
              <w:divBdr>
                <w:top w:val="none" w:sz="0" w:space="0" w:color="auto"/>
                <w:left w:val="none" w:sz="0" w:space="0" w:color="auto"/>
                <w:bottom w:val="none" w:sz="0" w:space="0" w:color="auto"/>
                <w:right w:val="none" w:sz="0" w:space="0" w:color="auto"/>
              </w:divBdr>
            </w:div>
          </w:divsChild>
        </w:div>
        <w:div w:id="1380319949">
          <w:marLeft w:val="0"/>
          <w:marRight w:val="0"/>
          <w:marTop w:val="0"/>
          <w:marBottom w:val="0"/>
          <w:divBdr>
            <w:top w:val="none" w:sz="0" w:space="0" w:color="auto"/>
            <w:left w:val="none" w:sz="0" w:space="0" w:color="auto"/>
            <w:bottom w:val="none" w:sz="0" w:space="0" w:color="auto"/>
            <w:right w:val="none" w:sz="0" w:space="0" w:color="auto"/>
          </w:divBdr>
          <w:divsChild>
            <w:div w:id="1426611886">
              <w:marLeft w:val="0"/>
              <w:marRight w:val="0"/>
              <w:marTop w:val="0"/>
              <w:marBottom w:val="0"/>
              <w:divBdr>
                <w:top w:val="none" w:sz="0" w:space="0" w:color="auto"/>
                <w:left w:val="none" w:sz="0" w:space="0" w:color="auto"/>
                <w:bottom w:val="none" w:sz="0" w:space="0" w:color="auto"/>
                <w:right w:val="none" w:sz="0" w:space="0" w:color="auto"/>
              </w:divBdr>
            </w:div>
          </w:divsChild>
        </w:div>
        <w:div w:id="1392340922">
          <w:marLeft w:val="0"/>
          <w:marRight w:val="0"/>
          <w:marTop w:val="0"/>
          <w:marBottom w:val="0"/>
          <w:divBdr>
            <w:top w:val="none" w:sz="0" w:space="0" w:color="auto"/>
            <w:left w:val="none" w:sz="0" w:space="0" w:color="auto"/>
            <w:bottom w:val="none" w:sz="0" w:space="0" w:color="auto"/>
            <w:right w:val="none" w:sz="0" w:space="0" w:color="auto"/>
          </w:divBdr>
          <w:divsChild>
            <w:div w:id="1983078252">
              <w:marLeft w:val="0"/>
              <w:marRight w:val="0"/>
              <w:marTop w:val="0"/>
              <w:marBottom w:val="0"/>
              <w:divBdr>
                <w:top w:val="none" w:sz="0" w:space="0" w:color="auto"/>
                <w:left w:val="none" w:sz="0" w:space="0" w:color="auto"/>
                <w:bottom w:val="none" w:sz="0" w:space="0" w:color="auto"/>
                <w:right w:val="none" w:sz="0" w:space="0" w:color="auto"/>
              </w:divBdr>
            </w:div>
          </w:divsChild>
        </w:div>
        <w:div w:id="1398044328">
          <w:marLeft w:val="0"/>
          <w:marRight w:val="0"/>
          <w:marTop w:val="0"/>
          <w:marBottom w:val="0"/>
          <w:divBdr>
            <w:top w:val="none" w:sz="0" w:space="0" w:color="auto"/>
            <w:left w:val="none" w:sz="0" w:space="0" w:color="auto"/>
            <w:bottom w:val="none" w:sz="0" w:space="0" w:color="auto"/>
            <w:right w:val="none" w:sz="0" w:space="0" w:color="auto"/>
          </w:divBdr>
          <w:divsChild>
            <w:div w:id="1164778009">
              <w:marLeft w:val="0"/>
              <w:marRight w:val="0"/>
              <w:marTop w:val="0"/>
              <w:marBottom w:val="0"/>
              <w:divBdr>
                <w:top w:val="none" w:sz="0" w:space="0" w:color="auto"/>
                <w:left w:val="none" w:sz="0" w:space="0" w:color="auto"/>
                <w:bottom w:val="none" w:sz="0" w:space="0" w:color="auto"/>
                <w:right w:val="none" w:sz="0" w:space="0" w:color="auto"/>
              </w:divBdr>
            </w:div>
          </w:divsChild>
        </w:div>
        <w:div w:id="1400596967">
          <w:marLeft w:val="0"/>
          <w:marRight w:val="0"/>
          <w:marTop w:val="0"/>
          <w:marBottom w:val="0"/>
          <w:divBdr>
            <w:top w:val="none" w:sz="0" w:space="0" w:color="auto"/>
            <w:left w:val="none" w:sz="0" w:space="0" w:color="auto"/>
            <w:bottom w:val="none" w:sz="0" w:space="0" w:color="auto"/>
            <w:right w:val="none" w:sz="0" w:space="0" w:color="auto"/>
          </w:divBdr>
          <w:divsChild>
            <w:div w:id="46808687">
              <w:marLeft w:val="0"/>
              <w:marRight w:val="0"/>
              <w:marTop w:val="0"/>
              <w:marBottom w:val="0"/>
              <w:divBdr>
                <w:top w:val="none" w:sz="0" w:space="0" w:color="auto"/>
                <w:left w:val="none" w:sz="0" w:space="0" w:color="auto"/>
                <w:bottom w:val="none" w:sz="0" w:space="0" w:color="auto"/>
                <w:right w:val="none" w:sz="0" w:space="0" w:color="auto"/>
              </w:divBdr>
            </w:div>
          </w:divsChild>
        </w:div>
        <w:div w:id="1409155732">
          <w:marLeft w:val="0"/>
          <w:marRight w:val="0"/>
          <w:marTop w:val="0"/>
          <w:marBottom w:val="0"/>
          <w:divBdr>
            <w:top w:val="none" w:sz="0" w:space="0" w:color="auto"/>
            <w:left w:val="none" w:sz="0" w:space="0" w:color="auto"/>
            <w:bottom w:val="none" w:sz="0" w:space="0" w:color="auto"/>
            <w:right w:val="none" w:sz="0" w:space="0" w:color="auto"/>
          </w:divBdr>
          <w:divsChild>
            <w:div w:id="133526638">
              <w:marLeft w:val="0"/>
              <w:marRight w:val="0"/>
              <w:marTop w:val="0"/>
              <w:marBottom w:val="0"/>
              <w:divBdr>
                <w:top w:val="none" w:sz="0" w:space="0" w:color="auto"/>
                <w:left w:val="none" w:sz="0" w:space="0" w:color="auto"/>
                <w:bottom w:val="none" w:sz="0" w:space="0" w:color="auto"/>
                <w:right w:val="none" w:sz="0" w:space="0" w:color="auto"/>
              </w:divBdr>
            </w:div>
          </w:divsChild>
        </w:div>
        <w:div w:id="1412964752">
          <w:marLeft w:val="0"/>
          <w:marRight w:val="0"/>
          <w:marTop w:val="0"/>
          <w:marBottom w:val="0"/>
          <w:divBdr>
            <w:top w:val="none" w:sz="0" w:space="0" w:color="auto"/>
            <w:left w:val="none" w:sz="0" w:space="0" w:color="auto"/>
            <w:bottom w:val="none" w:sz="0" w:space="0" w:color="auto"/>
            <w:right w:val="none" w:sz="0" w:space="0" w:color="auto"/>
          </w:divBdr>
          <w:divsChild>
            <w:div w:id="1418282328">
              <w:marLeft w:val="0"/>
              <w:marRight w:val="0"/>
              <w:marTop w:val="0"/>
              <w:marBottom w:val="0"/>
              <w:divBdr>
                <w:top w:val="none" w:sz="0" w:space="0" w:color="auto"/>
                <w:left w:val="none" w:sz="0" w:space="0" w:color="auto"/>
                <w:bottom w:val="none" w:sz="0" w:space="0" w:color="auto"/>
                <w:right w:val="none" w:sz="0" w:space="0" w:color="auto"/>
              </w:divBdr>
            </w:div>
          </w:divsChild>
        </w:div>
        <w:div w:id="1425758314">
          <w:marLeft w:val="0"/>
          <w:marRight w:val="0"/>
          <w:marTop w:val="0"/>
          <w:marBottom w:val="0"/>
          <w:divBdr>
            <w:top w:val="none" w:sz="0" w:space="0" w:color="auto"/>
            <w:left w:val="none" w:sz="0" w:space="0" w:color="auto"/>
            <w:bottom w:val="none" w:sz="0" w:space="0" w:color="auto"/>
            <w:right w:val="none" w:sz="0" w:space="0" w:color="auto"/>
          </w:divBdr>
          <w:divsChild>
            <w:div w:id="2089109304">
              <w:marLeft w:val="0"/>
              <w:marRight w:val="0"/>
              <w:marTop w:val="0"/>
              <w:marBottom w:val="0"/>
              <w:divBdr>
                <w:top w:val="none" w:sz="0" w:space="0" w:color="auto"/>
                <w:left w:val="none" w:sz="0" w:space="0" w:color="auto"/>
                <w:bottom w:val="none" w:sz="0" w:space="0" w:color="auto"/>
                <w:right w:val="none" w:sz="0" w:space="0" w:color="auto"/>
              </w:divBdr>
            </w:div>
          </w:divsChild>
        </w:div>
        <w:div w:id="1427074019">
          <w:marLeft w:val="0"/>
          <w:marRight w:val="0"/>
          <w:marTop w:val="0"/>
          <w:marBottom w:val="0"/>
          <w:divBdr>
            <w:top w:val="none" w:sz="0" w:space="0" w:color="auto"/>
            <w:left w:val="none" w:sz="0" w:space="0" w:color="auto"/>
            <w:bottom w:val="none" w:sz="0" w:space="0" w:color="auto"/>
            <w:right w:val="none" w:sz="0" w:space="0" w:color="auto"/>
          </w:divBdr>
          <w:divsChild>
            <w:div w:id="2144731368">
              <w:marLeft w:val="0"/>
              <w:marRight w:val="0"/>
              <w:marTop w:val="0"/>
              <w:marBottom w:val="0"/>
              <w:divBdr>
                <w:top w:val="none" w:sz="0" w:space="0" w:color="auto"/>
                <w:left w:val="none" w:sz="0" w:space="0" w:color="auto"/>
                <w:bottom w:val="none" w:sz="0" w:space="0" w:color="auto"/>
                <w:right w:val="none" w:sz="0" w:space="0" w:color="auto"/>
              </w:divBdr>
            </w:div>
          </w:divsChild>
        </w:div>
        <w:div w:id="1432748236">
          <w:marLeft w:val="0"/>
          <w:marRight w:val="0"/>
          <w:marTop w:val="0"/>
          <w:marBottom w:val="0"/>
          <w:divBdr>
            <w:top w:val="none" w:sz="0" w:space="0" w:color="auto"/>
            <w:left w:val="none" w:sz="0" w:space="0" w:color="auto"/>
            <w:bottom w:val="none" w:sz="0" w:space="0" w:color="auto"/>
            <w:right w:val="none" w:sz="0" w:space="0" w:color="auto"/>
          </w:divBdr>
          <w:divsChild>
            <w:div w:id="1275402357">
              <w:marLeft w:val="0"/>
              <w:marRight w:val="0"/>
              <w:marTop w:val="0"/>
              <w:marBottom w:val="0"/>
              <w:divBdr>
                <w:top w:val="none" w:sz="0" w:space="0" w:color="auto"/>
                <w:left w:val="none" w:sz="0" w:space="0" w:color="auto"/>
                <w:bottom w:val="none" w:sz="0" w:space="0" w:color="auto"/>
                <w:right w:val="none" w:sz="0" w:space="0" w:color="auto"/>
              </w:divBdr>
            </w:div>
          </w:divsChild>
        </w:div>
        <w:div w:id="1433862740">
          <w:marLeft w:val="0"/>
          <w:marRight w:val="0"/>
          <w:marTop w:val="0"/>
          <w:marBottom w:val="0"/>
          <w:divBdr>
            <w:top w:val="none" w:sz="0" w:space="0" w:color="auto"/>
            <w:left w:val="none" w:sz="0" w:space="0" w:color="auto"/>
            <w:bottom w:val="none" w:sz="0" w:space="0" w:color="auto"/>
            <w:right w:val="none" w:sz="0" w:space="0" w:color="auto"/>
          </w:divBdr>
          <w:divsChild>
            <w:div w:id="1011642491">
              <w:marLeft w:val="0"/>
              <w:marRight w:val="0"/>
              <w:marTop w:val="0"/>
              <w:marBottom w:val="0"/>
              <w:divBdr>
                <w:top w:val="none" w:sz="0" w:space="0" w:color="auto"/>
                <w:left w:val="none" w:sz="0" w:space="0" w:color="auto"/>
                <w:bottom w:val="none" w:sz="0" w:space="0" w:color="auto"/>
                <w:right w:val="none" w:sz="0" w:space="0" w:color="auto"/>
              </w:divBdr>
            </w:div>
          </w:divsChild>
        </w:div>
        <w:div w:id="1440641716">
          <w:marLeft w:val="0"/>
          <w:marRight w:val="0"/>
          <w:marTop w:val="0"/>
          <w:marBottom w:val="0"/>
          <w:divBdr>
            <w:top w:val="none" w:sz="0" w:space="0" w:color="auto"/>
            <w:left w:val="none" w:sz="0" w:space="0" w:color="auto"/>
            <w:bottom w:val="none" w:sz="0" w:space="0" w:color="auto"/>
            <w:right w:val="none" w:sz="0" w:space="0" w:color="auto"/>
          </w:divBdr>
          <w:divsChild>
            <w:div w:id="1284071883">
              <w:marLeft w:val="0"/>
              <w:marRight w:val="0"/>
              <w:marTop w:val="0"/>
              <w:marBottom w:val="0"/>
              <w:divBdr>
                <w:top w:val="none" w:sz="0" w:space="0" w:color="auto"/>
                <w:left w:val="none" w:sz="0" w:space="0" w:color="auto"/>
                <w:bottom w:val="none" w:sz="0" w:space="0" w:color="auto"/>
                <w:right w:val="none" w:sz="0" w:space="0" w:color="auto"/>
              </w:divBdr>
            </w:div>
          </w:divsChild>
        </w:div>
        <w:div w:id="1440875505">
          <w:marLeft w:val="0"/>
          <w:marRight w:val="0"/>
          <w:marTop w:val="0"/>
          <w:marBottom w:val="0"/>
          <w:divBdr>
            <w:top w:val="none" w:sz="0" w:space="0" w:color="auto"/>
            <w:left w:val="none" w:sz="0" w:space="0" w:color="auto"/>
            <w:bottom w:val="none" w:sz="0" w:space="0" w:color="auto"/>
            <w:right w:val="none" w:sz="0" w:space="0" w:color="auto"/>
          </w:divBdr>
          <w:divsChild>
            <w:div w:id="1589539637">
              <w:marLeft w:val="0"/>
              <w:marRight w:val="0"/>
              <w:marTop w:val="0"/>
              <w:marBottom w:val="0"/>
              <w:divBdr>
                <w:top w:val="none" w:sz="0" w:space="0" w:color="auto"/>
                <w:left w:val="none" w:sz="0" w:space="0" w:color="auto"/>
                <w:bottom w:val="none" w:sz="0" w:space="0" w:color="auto"/>
                <w:right w:val="none" w:sz="0" w:space="0" w:color="auto"/>
              </w:divBdr>
            </w:div>
          </w:divsChild>
        </w:div>
        <w:div w:id="1441408865">
          <w:marLeft w:val="0"/>
          <w:marRight w:val="0"/>
          <w:marTop w:val="0"/>
          <w:marBottom w:val="0"/>
          <w:divBdr>
            <w:top w:val="none" w:sz="0" w:space="0" w:color="auto"/>
            <w:left w:val="none" w:sz="0" w:space="0" w:color="auto"/>
            <w:bottom w:val="none" w:sz="0" w:space="0" w:color="auto"/>
            <w:right w:val="none" w:sz="0" w:space="0" w:color="auto"/>
          </w:divBdr>
          <w:divsChild>
            <w:div w:id="763115883">
              <w:marLeft w:val="0"/>
              <w:marRight w:val="0"/>
              <w:marTop w:val="0"/>
              <w:marBottom w:val="0"/>
              <w:divBdr>
                <w:top w:val="none" w:sz="0" w:space="0" w:color="auto"/>
                <w:left w:val="none" w:sz="0" w:space="0" w:color="auto"/>
                <w:bottom w:val="none" w:sz="0" w:space="0" w:color="auto"/>
                <w:right w:val="none" w:sz="0" w:space="0" w:color="auto"/>
              </w:divBdr>
            </w:div>
          </w:divsChild>
        </w:div>
        <w:div w:id="1441875745">
          <w:marLeft w:val="0"/>
          <w:marRight w:val="0"/>
          <w:marTop w:val="0"/>
          <w:marBottom w:val="0"/>
          <w:divBdr>
            <w:top w:val="none" w:sz="0" w:space="0" w:color="auto"/>
            <w:left w:val="none" w:sz="0" w:space="0" w:color="auto"/>
            <w:bottom w:val="none" w:sz="0" w:space="0" w:color="auto"/>
            <w:right w:val="none" w:sz="0" w:space="0" w:color="auto"/>
          </w:divBdr>
          <w:divsChild>
            <w:div w:id="1118984000">
              <w:marLeft w:val="0"/>
              <w:marRight w:val="0"/>
              <w:marTop w:val="0"/>
              <w:marBottom w:val="0"/>
              <w:divBdr>
                <w:top w:val="none" w:sz="0" w:space="0" w:color="auto"/>
                <w:left w:val="none" w:sz="0" w:space="0" w:color="auto"/>
                <w:bottom w:val="none" w:sz="0" w:space="0" w:color="auto"/>
                <w:right w:val="none" w:sz="0" w:space="0" w:color="auto"/>
              </w:divBdr>
            </w:div>
          </w:divsChild>
        </w:div>
        <w:div w:id="1466583353">
          <w:marLeft w:val="0"/>
          <w:marRight w:val="0"/>
          <w:marTop w:val="0"/>
          <w:marBottom w:val="0"/>
          <w:divBdr>
            <w:top w:val="none" w:sz="0" w:space="0" w:color="auto"/>
            <w:left w:val="none" w:sz="0" w:space="0" w:color="auto"/>
            <w:bottom w:val="none" w:sz="0" w:space="0" w:color="auto"/>
            <w:right w:val="none" w:sz="0" w:space="0" w:color="auto"/>
          </w:divBdr>
          <w:divsChild>
            <w:div w:id="869538163">
              <w:marLeft w:val="0"/>
              <w:marRight w:val="0"/>
              <w:marTop w:val="0"/>
              <w:marBottom w:val="0"/>
              <w:divBdr>
                <w:top w:val="none" w:sz="0" w:space="0" w:color="auto"/>
                <w:left w:val="none" w:sz="0" w:space="0" w:color="auto"/>
                <w:bottom w:val="none" w:sz="0" w:space="0" w:color="auto"/>
                <w:right w:val="none" w:sz="0" w:space="0" w:color="auto"/>
              </w:divBdr>
            </w:div>
          </w:divsChild>
        </w:div>
        <w:div w:id="1488936871">
          <w:marLeft w:val="0"/>
          <w:marRight w:val="0"/>
          <w:marTop w:val="0"/>
          <w:marBottom w:val="0"/>
          <w:divBdr>
            <w:top w:val="none" w:sz="0" w:space="0" w:color="auto"/>
            <w:left w:val="none" w:sz="0" w:space="0" w:color="auto"/>
            <w:bottom w:val="none" w:sz="0" w:space="0" w:color="auto"/>
            <w:right w:val="none" w:sz="0" w:space="0" w:color="auto"/>
          </w:divBdr>
          <w:divsChild>
            <w:div w:id="542794377">
              <w:marLeft w:val="0"/>
              <w:marRight w:val="0"/>
              <w:marTop w:val="0"/>
              <w:marBottom w:val="0"/>
              <w:divBdr>
                <w:top w:val="none" w:sz="0" w:space="0" w:color="auto"/>
                <w:left w:val="none" w:sz="0" w:space="0" w:color="auto"/>
                <w:bottom w:val="none" w:sz="0" w:space="0" w:color="auto"/>
                <w:right w:val="none" w:sz="0" w:space="0" w:color="auto"/>
              </w:divBdr>
            </w:div>
          </w:divsChild>
        </w:div>
        <w:div w:id="1493839096">
          <w:marLeft w:val="0"/>
          <w:marRight w:val="0"/>
          <w:marTop w:val="0"/>
          <w:marBottom w:val="0"/>
          <w:divBdr>
            <w:top w:val="none" w:sz="0" w:space="0" w:color="auto"/>
            <w:left w:val="none" w:sz="0" w:space="0" w:color="auto"/>
            <w:bottom w:val="none" w:sz="0" w:space="0" w:color="auto"/>
            <w:right w:val="none" w:sz="0" w:space="0" w:color="auto"/>
          </w:divBdr>
          <w:divsChild>
            <w:div w:id="957374693">
              <w:marLeft w:val="0"/>
              <w:marRight w:val="0"/>
              <w:marTop w:val="0"/>
              <w:marBottom w:val="0"/>
              <w:divBdr>
                <w:top w:val="none" w:sz="0" w:space="0" w:color="auto"/>
                <w:left w:val="none" w:sz="0" w:space="0" w:color="auto"/>
                <w:bottom w:val="none" w:sz="0" w:space="0" w:color="auto"/>
                <w:right w:val="none" w:sz="0" w:space="0" w:color="auto"/>
              </w:divBdr>
            </w:div>
          </w:divsChild>
        </w:div>
        <w:div w:id="1532036748">
          <w:marLeft w:val="0"/>
          <w:marRight w:val="0"/>
          <w:marTop w:val="0"/>
          <w:marBottom w:val="0"/>
          <w:divBdr>
            <w:top w:val="none" w:sz="0" w:space="0" w:color="auto"/>
            <w:left w:val="none" w:sz="0" w:space="0" w:color="auto"/>
            <w:bottom w:val="none" w:sz="0" w:space="0" w:color="auto"/>
            <w:right w:val="none" w:sz="0" w:space="0" w:color="auto"/>
          </w:divBdr>
          <w:divsChild>
            <w:div w:id="369960745">
              <w:marLeft w:val="0"/>
              <w:marRight w:val="0"/>
              <w:marTop w:val="0"/>
              <w:marBottom w:val="0"/>
              <w:divBdr>
                <w:top w:val="none" w:sz="0" w:space="0" w:color="auto"/>
                <w:left w:val="none" w:sz="0" w:space="0" w:color="auto"/>
                <w:bottom w:val="none" w:sz="0" w:space="0" w:color="auto"/>
                <w:right w:val="none" w:sz="0" w:space="0" w:color="auto"/>
              </w:divBdr>
            </w:div>
          </w:divsChild>
        </w:div>
        <w:div w:id="1538927111">
          <w:marLeft w:val="0"/>
          <w:marRight w:val="0"/>
          <w:marTop w:val="0"/>
          <w:marBottom w:val="0"/>
          <w:divBdr>
            <w:top w:val="none" w:sz="0" w:space="0" w:color="auto"/>
            <w:left w:val="none" w:sz="0" w:space="0" w:color="auto"/>
            <w:bottom w:val="none" w:sz="0" w:space="0" w:color="auto"/>
            <w:right w:val="none" w:sz="0" w:space="0" w:color="auto"/>
          </w:divBdr>
          <w:divsChild>
            <w:div w:id="822626288">
              <w:marLeft w:val="0"/>
              <w:marRight w:val="0"/>
              <w:marTop w:val="0"/>
              <w:marBottom w:val="0"/>
              <w:divBdr>
                <w:top w:val="none" w:sz="0" w:space="0" w:color="auto"/>
                <w:left w:val="none" w:sz="0" w:space="0" w:color="auto"/>
                <w:bottom w:val="none" w:sz="0" w:space="0" w:color="auto"/>
                <w:right w:val="none" w:sz="0" w:space="0" w:color="auto"/>
              </w:divBdr>
            </w:div>
          </w:divsChild>
        </w:div>
        <w:div w:id="1551112570">
          <w:marLeft w:val="0"/>
          <w:marRight w:val="0"/>
          <w:marTop w:val="0"/>
          <w:marBottom w:val="0"/>
          <w:divBdr>
            <w:top w:val="none" w:sz="0" w:space="0" w:color="auto"/>
            <w:left w:val="none" w:sz="0" w:space="0" w:color="auto"/>
            <w:bottom w:val="none" w:sz="0" w:space="0" w:color="auto"/>
            <w:right w:val="none" w:sz="0" w:space="0" w:color="auto"/>
          </w:divBdr>
          <w:divsChild>
            <w:div w:id="1676111799">
              <w:marLeft w:val="0"/>
              <w:marRight w:val="0"/>
              <w:marTop w:val="0"/>
              <w:marBottom w:val="0"/>
              <w:divBdr>
                <w:top w:val="none" w:sz="0" w:space="0" w:color="auto"/>
                <w:left w:val="none" w:sz="0" w:space="0" w:color="auto"/>
                <w:bottom w:val="none" w:sz="0" w:space="0" w:color="auto"/>
                <w:right w:val="none" w:sz="0" w:space="0" w:color="auto"/>
              </w:divBdr>
            </w:div>
          </w:divsChild>
        </w:div>
        <w:div w:id="1551575919">
          <w:marLeft w:val="0"/>
          <w:marRight w:val="0"/>
          <w:marTop w:val="0"/>
          <w:marBottom w:val="0"/>
          <w:divBdr>
            <w:top w:val="none" w:sz="0" w:space="0" w:color="auto"/>
            <w:left w:val="none" w:sz="0" w:space="0" w:color="auto"/>
            <w:bottom w:val="none" w:sz="0" w:space="0" w:color="auto"/>
            <w:right w:val="none" w:sz="0" w:space="0" w:color="auto"/>
          </w:divBdr>
          <w:divsChild>
            <w:div w:id="1058018451">
              <w:marLeft w:val="0"/>
              <w:marRight w:val="0"/>
              <w:marTop w:val="0"/>
              <w:marBottom w:val="0"/>
              <w:divBdr>
                <w:top w:val="none" w:sz="0" w:space="0" w:color="auto"/>
                <w:left w:val="none" w:sz="0" w:space="0" w:color="auto"/>
                <w:bottom w:val="none" w:sz="0" w:space="0" w:color="auto"/>
                <w:right w:val="none" w:sz="0" w:space="0" w:color="auto"/>
              </w:divBdr>
            </w:div>
          </w:divsChild>
        </w:div>
        <w:div w:id="1552032320">
          <w:marLeft w:val="0"/>
          <w:marRight w:val="0"/>
          <w:marTop w:val="0"/>
          <w:marBottom w:val="0"/>
          <w:divBdr>
            <w:top w:val="none" w:sz="0" w:space="0" w:color="auto"/>
            <w:left w:val="none" w:sz="0" w:space="0" w:color="auto"/>
            <w:bottom w:val="none" w:sz="0" w:space="0" w:color="auto"/>
            <w:right w:val="none" w:sz="0" w:space="0" w:color="auto"/>
          </w:divBdr>
          <w:divsChild>
            <w:div w:id="256670594">
              <w:marLeft w:val="0"/>
              <w:marRight w:val="0"/>
              <w:marTop w:val="0"/>
              <w:marBottom w:val="0"/>
              <w:divBdr>
                <w:top w:val="none" w:sz="0" w:space="0" w:color="auto"/>
                <w:left w:val="none" w:sz="0" w:space="0" w:color="auto"/>
                <w:bottom w:val="none" w:sz="0" w:space="0" w:color="auto"/>
                <w:right w:val="none" w:sz="0" w:space="0" w:color="auto"/>
              </w:divBdr>
            </w:div>
          </w:divsChild>
        </w:div>
        <w:div w:id="1556046001">
          <w:marLeft w:val="0"/>
          <w:marRight w:val="0"/>
          <w:marTop w:val="0"/>
          <w:marBottom w:val="0"/>
          <w:divBdr>
            <w:top w:val="none" w:sz="0" w:space="0" w:color="auto"/>
            <w:left w:val="none" w:sz="0" w:space="0" w:color="auto"/>
            <w:bottom w:val="none" w:sz="0" w:space="0" w:color="auto"/>
            <w:right w:val="none" w:sz="0" w:space="0" w:color="auto"/>
          </w:divBdr>
          <w:divsChild>
            <w:div w:id="1207448755">
              <w:marLeft w:val="0"/>
              <w:marRight w:val="0"/>
              <w:marTop w:val="0"/>
              <w:marBottom w:val="0"/>
              <w:divBdr>
                <w:top w:val="none" w:sz="0" w:space="0" w:color="auto"/>
                <w:left w:val="none" w:sz="0" w:space="0" w:color="auto"/>
                <w:bottom w:val="none" w:sz="0" w:space="0" w:color="auto"/>
                <w:right w:val="none" w:sz="0" w:space="0" w:color="auto"/>
              </w:divBdr>
            </w:div>
          </w:divsChild>
        </w:div>
        <w:div w:id="1556163220">
          <w:marLeft w:val="0"/>
          <w:marRight w:val="0"/>
          <w:marTop w:val="0"/>
          <w:marBottom w:val="0"/>
          <w:divBdr>
            <w:top w:val="none" w:sz="0" w:space="0" w:color="auto"/>
            <w:left w:val="none" w:sz="0" w:space="0" w:color="auto"/>
            <w:bottom w:val="none" w:sz="0" w:space="0" w:color="auto"/>
            <w:right w:val="none" w:sz="0" w:space="0" w:color="auto"/>
          </w:divBdr>
          <w:divsChild>
            <w:div w:id="207230937">
              <w:marLeft w:val="0"/>
              <w:marRight w:val="0"/>
              <w:marTop w:val="0"/>
              <w:marBottom w:val="0"/>
              <w:divBdr>
                <w:top w:val="none" w:sz="0" w:space="0" w:color="auto"/>
                <w:left w:val="none" w:sz="0" w:space="0" w:color="auto"/>
                <w:bottom w:val="none" w:sz="0" w:space="0" w:color="auto"/>
                <w:right w:val="none" w:sz="0" w:space="0" w:color="auto"/>
              </w:divBdr>
            </w:div>
          </w:divsChild>
        </w:div>
        <w:div w:id="1565876938">
          <w:marLeft w:val="0"/>
          <w:marRight w:val="0"/>
          <w:marTop w:val="0"/>
          <w:marBottom w:val="0"/>
          <w:divBdr>
            <w:top w:val="none" w:sz="0" w:space="0" w:color="auto"/>
            <w:left w:val="none" w:sz="0" w:space="0" w:color="auto"/>
            <w:bottom w:val="none" w:sz="0" w:space="0" w:color="auto"/>
            <w:right w:val="none" w:sz="0" w:space="0" w:color="auto"/>
          </w:divBdr>
          <w:divsChild>
            <w:div w:id="2099280173">
              <w:marLeft w:val="0"/>
              <w:marRight w:val="0"/>
              <w:marTop w:val="0"/>
              <w:marBottom w:val="0"/>
              <w:divBdr>
                <w:top w:val="none" w:sz="0" w:space="0" w:color="auto"/>
                <w:left w:val="none" w:sz="0" w:space="0" w:color="auto"/>
                <w:bottom w:val="none" w:sz="0" w:space="0" w:color="auto"/>
                <w:right w:val="none" w:sz="0" w:space="0" w:color="auto"/>
              </w:divBdr>
            </w:div>
          </w:divsChild>
        </w:div>
        <w:div w:id="1573465934">
          <w:marLeft w:val="0"/>
          <w:marRight w:val="0"/>
          <w:marTop w:val="0"/>
          <w:marBottom w:val="0"/>
          <w:divBdr>
            <w:top w:val="none" w:sz="0" w:space="0" w:color="auto"/>
            <w:left w:val="none" w:sz="0" w:space="0" w:color="auto"/>
            <w:bottom w:val="none" w:sz="0" w:space="0" w:color="auto"/>
            <w:right w:val="none" w:sz="0" w:space="0" w:color="auto"/>
          </w:divBdr>
          <w:divsChild>
            <w:div w:id="675614306">
              <w:marLeft w:val="0"/>
              <w:marRight w:val="0"/>
              <w:marTop w:val="0"/>
              <w:marBottom w:val="0"/>
              <w:divBdr>
                <w:top w:val="none" w:sz="0" w:space="0" w:color="auto"/>
                <w:left w:val="none" w:sz="0" w:space="0" w:color="auto"/>
                <w:bottom w:val="none" w:sz="0" w:space="0" w:color="auto"/>
                <w:right w:val="none" w:sz="0" w:space="0" w:color="auto"/>
              </w:divBdr>
            </w:div>
            <w:div w:id="1628898305">
              <w:marLeft w:val="0"/>
              <w:marRight w:val="0"/>
              <w:marTop w:val="0"/>
              <w:marBottom w:val="0"/>
              <w:divBdr>
                <w:top w:val="none" w:sz="0" w:space="0" w:color="auto"/>
                <w:left w:val="none" w:sz="0" w:space="0" w:color="auto"/>
                <w:bottom w:val="none" w:sz="0" w:space="0" w:color="auto"/>
                <w:right w:val="none" w:sz="0" w:space="0" w:color="auto"/>
              </w:divBdr>
            </w:div>
          </w:divsChild>
        </w:div>
        <w:div w:id="1585141333">
          <w:marLeft w:val="0"/>
          <w:marRight w:val="0"/>
          <w:marTop w:val="0"/>
          <w:marBottom w:val="0"/>
          <w:divBdr>
            <w:top w:val="none" w:sz="0" w:space="0" w:color="auto"/>
            <w:left w:val="none" w:sz="0" w:space="0" w:color="auto"/>
            <w:bottom w:val="none" w:sz="0" w:space="0" w:color="auto"/>
            <w:right w:val="none" w:sz="0" w:space="0" w:color="auto"/>
          </w:divBdr>
          <w:divsChild>
            <w:div w:id="112095763">
              <w:marLeft w:val="0"/>
              <w:marRight w:val="0"/>
              <w:marTop w:val="0"/>
              <w:marBottom w:val="0"/>
              <w:divBdr>
                <w:top w:val="none" w:sz="0" w:space="0" w:color="auto"/>
                <w:left w:val="none" w:sz="0" w:space="0" w:color="auto"/>
                <w:bottom w:val="none" w:sz="0" w:space="0" w:color="auto"/>
                <w:right w:val="none" w:sz="0" w:space="0" w:color="auto"/>
              </w:divBdr>
            </w:div>
          </w:divsChild>
        </w:div>
        <w:div w:id="1585257151">
          <w:marLeft w:val="0"/>
          <w:marRight w:val="0"/>
          <w:marTop w:val="0"/>
          <w:marBottom w:val="0"/>
          <w:divBdr>
            <w:top w:val="none" w:sz="0" w:space="0" w:color="auto"/>
            <w:left w:val="none" w:sz="0" w:space="0" w:color="auto"/>
            <w:bottom w:val="none" w:sz="0" w:space="0" w:color="auto"/>
            <w:right w:val="none" w:sz="0" w:space="0" w:color="auto"/>
          </w:divBdr>
          <w:divsChild>
            <w:div w:id="1484615984">
              <w:marLeft w:val="0"/>
              <w:marRight w:val="0"/>
              <w:marTop w:val="0"/>
              <w:marBottom w:val="0"/>
              <w:divBdr>
                <w:top w:val="none" w:sz="0" w:space="0" w:color="auto"/>
                <w:left w:val="none" w:sz="0" w:space="0" w:color="auto"/>
                <w:bottom w:val="none" w:sz="0" w:space="0" w:color="auto"/>
                <w:right w:val="none" w:sz="0" w:space="0" w:color="auto"/>
              </w:divBdr>
            </w:div>
          </w:divsChild>
        </w:div>
        <w:div w:id="1585994208">
          <w:marLeft w:val="0"/>
          <w:marRight w:val="0"/>
          <w:marTop w:val="0"/>
          <w:marBottom w:val="0"/>
          <w:divBdr>
            <w:top w:val="none" w:sz="0" w:space="0" w:color="auto"/>
            <w:left w:val="none" w:sz="0" w:space="0" w:color="auto"/>
            <w:bottom w:val="none" w:sz="0" w:space="0" w:color="auto"/>
            <w:right w:val="none" w:sz="0" w:space="0" w:color="auto"/>
          </w:divBdr>
          <w:divsChild>
            <w:div w:id="1225027794">
              <w:marLeft w:val="0"/>
              <w:marRight w:val="0"/>
              <w:marTop w:val="0"/>
              <w:marBottom w:val="0"/>
              <w:divBdr>
                <w:top w:val="none" w:sz="0" w:space="0" w:color="auto"/>
                <w:left w:val="none" w:sz="0" w:space="0" w:color="auto"/>
                <w:bottom w:val="none" w:sz="0" w:space="0" w:color="auto"/>
                <w:right w:val="none" w:sz="0" w:space="0" w:color="auto"/>
              </w:divBdr>
            </w:div>
          </w:divsChild>
        </w:div>
        <w:div w:id="1589122303">
          <w:marLeft w:val="0"/>
          <w:marRight w:val="0"/>
          <w:marTop w:val="0"/>
          <w:marBottom w:val="0"/>
          <w:divBdr>
            <w:top w:val="none" w:sz="0" w:space="0" w:color="auto"/>
            <w:left w:val="none" w:sz="0" w:space="0" w:color="auto"/>
            <w:bottom w:val="none" w:sz="0" w:space="0" w:color="auto"/>
            <w:right w:val="none" w:sz="0" w:space="0" w:color="auto"/>
          </w:divBdr>
          <w:divsChild>
            <w:div w:id="274794516">
              <w:marLeft w:val="0"/>
              <w:marRight w:val="0"/>
              <w:marTop w:val="0"/>
              <w:marBottom w:val="0"/>
              <w:divBdr>
                <w:top w:val="none" w:sz="0" w:space="0" w:color="auto"/>
                <w:left w:val="none" w:sz="0" w:space="0" w:color="auto"/>
                <w:bottom w:val="none" w:sz="0" w:space="0" w:color="auto"/>
                <w:right w:val="none" w:sz="0" w:space="0" w:color="auto"/>
              </w:divBdr>
            </w:div>
          </w:divsChild>
        </w:div>
        <w:div w:id="1589576810">
          <w:marLeft w:val="0"/>
          <w:marRight w:val="0"/>
          <w:marTop w:val="0"/>
          <w:marBottom w:val="0"/>
          <w:divBdr>
            <w:top w:val="none" w:sz="0" w:space="0" w:color="auto"/>
            <w:left w:val="none" w:sz="0" w:space="0" w:color="auto"/>
            <w:bottom w:val="none" w:sz="0" w:space="0" w:color="auto"/>
            <w:right w:val="none" w:sz="0" w:space="0" w:color="auto"/>
          </w:divBdr>
          <w:divsChild>
            <w:div w:id="168254169">
              <w:marLeft w:val="0"/>
              <w:marRight w:val="0"/>
              <w:marTop w:val="0"/>
              <w:marBottom w:val="0"/>
              <w:divBdr>
                <w:top w:val="none" w:sz="0" w:space="0" w:color="auto"/>
                <w:left w:val="none" w:sz="0" w:space="0" w:color="auto"/>
                <w:bottom w:val="none" w:sz="0" w:space="0" w:color="auto"/>
                <w:right w:val="none" w:sz="0" w:space="0" w:color="auto"/>
              </w:divBdr>
            </w:div>
          </w:divsChild>
        </w:div>
        <w:div w:id="1592280301">
          <w:marLeft w:val="0"/>
          <w:marRight w:val="0"/>
          <w:marTop w:val="0"/>
          <w:marBottom w:val="0"/>
          <w:divBdr>
            <w:top w:val="none" w:sz="0" w:space="0" w:color="auto"/>
            <w:left w:val="none" w:sz="0" w:space="0" w:color="auto"/>
            <w:bottom w:val="none" w:sz="0" w:space="0" w:color="auto"/>
            <w:right w:val="none" w:sz="0" w:space="0" w:color="auto"/>
          </w:divBdr>
          <w:divsChild>
            <w:div w:id="1980306272">
              <w:marLeft w:val="0"/>
              <w:marRight w:val="0"/>
              <w:marTop w:val="0"/>
              <w:marBottom w:val="0"/>
              <w:divBdr>
                <w:top w:val="none" w:sz="0" w:space="0" w:color="auto"/>
                <w:left w:val="none" w:sz="0" w:space="0" w:color="auto"/>
                <w:bottom w:val="none" w:sz="0" w:space="0" w:color="auto"/>
                <w:right w:val="none" w:sz="0" w:space="0" w:color="auto"/>
              </w:divBdr>
            </w:div>
          </w:divsChild>
        </w:div>
        <w:div w:id="1599867400">
          <w:marLeft w:val="0"/>
          <w:marRight w:val="0"/>
          <w:marTop w:val="0"/>
          <w:marBottom w:val="0"/>
          <w:divBdr>
            <w:top w:val="none" w:sz="0" w:space="0" w:color="auto"/>
            <w:left w:val="none" w:sz="0" w:space="0" w:color="auto"/>
            <w:bottom w:val="none" w:sz="0" w:space="0" w:color="auto"/>
            <w:right w:val="none" w:sz="0" w:space="0" w:color="auto"/>
          </w:divBdr>
          <w:divsChild>
            <w:div w:id="1235971609">
              <w:marLeft w:val="0"/>
              <w:marRight w:val="0"/>
              <w:marTop w:val="0"/>
              <w:marBottom w:val="0"/>
              <w:divBdr>
                <w:top w:val="none" w:sz="0" w:space="0" w:color="auto"/>
                <w:left w:val="none" w:sz="0" w:space="0" w:color="auto"/>
                <w:bottom w:val="none" w:sz="0" w:space="0" w:color="auto"/>
                <w:right w:val="none" w:sz="0" w:space="0" w:color="auto"/>
              </w:divBdr>
            </w:div>
          </w:divsChild>
        </w:div>
        <w:div w:id="1603028679">
          <w:marLeft w:val="0"/>
          <w:marRight w:val="0"/>
          <w:marTop w:val="0"/>
          <w:marBottom w:val="0"/>
          <w:divBdr>
            <w:top w:val="none" w:sz="0" w:space="0" w:color="auto"/>
            <w:left w:val="none" w:sz="0" w:space="0" w:color="auto"/>
            <w:bottom w:val="none" w:sz="0" w:space="0" w:color="auto"/>
            <w:right w:val="none" w:sz="0" w:space="0" w:color="auto"/>
          </w:divBdr>
          <w:divsChild>
            <w:div w:id="256326736">
              <w:marLeft w:val="0"/>
              <w:marRight w:val="0"/>
              <w:marTop w:val="0"/>
              <w:marBottom w:val="0"/>
              <w:divBdr>
                <w:top w:val="none" w:sz="0" w:space="0" w:color="auto"/>
                <w:left w:val="none" w:sz="0" w:space="0" w:color="auto"/>
                <w:bottom w:val="none" w:sz="0" w:space="0" w:color="auto"/>
                <w:right w:val="none" w:sz="0" w:space="0" w:color="auto"/>
              </w:divBdr>
            </w:div>
          </w:divsChild>
        </w:div>
        <w:div w:id="1606690566">
          <w:marLeft w:val="0"/>
          <w:marRight w:val="0"/>
          <w:marTop w:val="0"/>
          <w:marBottom w:val="0"/>
          <w:divBdr>
            <w:top w:val="none" w:sz="0" w:space="0" w:color="auto"/>
            <w:left w:val="none" w:sz="0" w:space="0" w:color="auto"/>
            <w:bottom w:val="none" w:sz="0" w:space="0" w:color="auto"/>
            <w:right w:val="none" w:sz="0" w:space="0" w:color="auto"/>
          </w:divBdr>
          <w:divsChild>
            <w:div w:id="553851958">
              <w:marLeft w:val="0"/>
              <w:marRight w:val="0"/>
              <w:marTop w:val="0"/>
              <w:marBottom w:val="0"/>
              <w:divBdr>
                <w:top w:val="none" w:sz="0" w:space="0" w:color="auto"/>
                <w:left w:val="none" w:sz="0" w:space="0" w:color="auto"/>
                <w:bottom w:val="none" w:sz="0" w:space="0" w:color="auto"/>
                <w:right w:val="none" w:sz="0" w:space="0" w:color="auto"/>
              </w:divBdr>
            </w:div>
          </w:divsChild>
        </w:div>
        <w:div w:id="1611162033">
          <w:marLeft w:val="0"/>
          <w:marRight w:val="0"/>
          <w:marTop w:val="0"/>
          <w:marBottom w:val="0"/>
          <w:divBdr>
            <w:top w:val="none" w:sz="0" w:space="0" w:color="auto"/>
            <w:left w:val="none" w:sz="0" w:space="0" w:color="auto"/>
            <w:bottom w:val="none" w:sz="0" w:space="0" w:color="auto"/>
            <w:right w:val="none" w:sz="0" w:space="0" w:color="auto"/>
          </w:divBdr>
          <w:divsChild>
            <w:div w:id="1215579307">
              <w:marLeft w:val="0"/>
              <w:marRight w:val="0"/>
              <w:marTop w:val="0"/>
              <w:marBottom w:val="0"/>
              <w:divBdr>
                <w:top w:val="none" w:sz="0" w:space="0" w:color="auto"/>
                <w:left w:val="none" w:sz="0" w:space="0" w:color="auto"/>
                <w:bottom w:val="none" w:sz="0" w:space="0" w:color="auto"/>
                <w:right w:val="none" w:sz="0" w:space="0" w:color="auto"/>
              </w:divBdr>
            </w:div>
          </w:divsChild>
        </w:div>
        <w:div w:id="1613438991">
          <w:marLeft w:val="0"/>
          <w:marRight w:val="0"/>
          <w:marTop w:val="0"/>
          <w:marBottom w:val="0"/>
          <w:divBdr>
            <w:top w:val="none" w:sz="0" w:space="0" w:color="auto"/>
            <w:left w:val="none" w:sz="0" w:space="0" w:color="auto"/>
            <w:bottom w:val="none" w:sz="0" w:space="0" w:color="auto"/>
            <w:right w:val="none" w:sz="0" w:space="0" w:color="auto"/>
          </w:divBdr>
          <w:divsChild>
            <w:div w:id="1448235303">
              <w:marLeft w:val="0"/>
              <w:marRight w:val="0"/>
              <w:marTop w:val="0"/>
              <w:marBottom w:val="0"/>
              <w:divBdr>
                <w:top w:val="none" w:sz="0" w:space="0" w:color="auto"/>
                <w:left w:val="none" w:sz="0" w:space="0" w:color="auto"/>
                <w:bottom w:val="none" w:sz="0" w:space="0" w:color="auto"/>
                <w:right w:val="none" w:sz="0" w:space="0" w:color="auto"/>
              </w:divBdr>
            </w:div>
          </w:divsChild>
        </w:div>
        <w:div w:id="1619798131">
          <w:marLeft w:val="0"/>
          <w:marRight w:val="0"/>
          <w:marTop w:val="0"/>
          <w:marBottom w:val="0"/>
          <w:divBdr>
            <w:top w:val="none" w:sz="0" w:space="0" w:color="auto"/>
            <w:left w:val="none" w:sz="0" w:space="0" w:color="auto"/>
            <w:bottom w:val="none" w:sz="0" w:space="0" w:color="auto"/>
            <w:right w:val="none" w:sz="0" w:space="0" w:color="auto"/>
          </w:divBdr>
          <w:divsChild>
            <w:div w:id="477915816">
              <w:marLeft w:val="0"/>
              <w:marRight w:val="0"/>
              <w:marTop w:val="0"/>
              <w:marBottom w:val="0"/>
              <w:divBdr>
                <w:top w:val="none" w:sz="0" w:space="0" w:color="auto"/>
                <w:left w:val="none" w:sz="0" w:space="0" w:color="auto"/>
                <w:bottom w:val="none" w:sz="0" w:space="0" w:color="auto"/>
                <w:right w:val="none" w:sz="0" w:space="0" w:color="auto"/>
              </w:divBdr>
            </w:div>
          </w:divsChild>
        </w:div>
        <w:div w:id="1623924234">
          <w:marLeft w:val="0"/>
          <w:marRight w:val="0"/>
          <w:marTop w:val="0"/>
          <w:marBottom w:val="0"/>
          <w:divBdr>
            <w:top w:val="none" w:sz="0" w:space="0" w:color="auto"/>
            <w:left w:val="none" w:sz="0" w:space="0" w:color="auto"/>
            <w:bottom w:val="none" w:sz="0" w:space="0" w:color="auto"/>
            <w:right w:val="none" w:sz="0" w:space="0" w:color="auto"/>
          </w:divBdr>
          <w:divsChild>
            <w:div w:id="408508001">
              <w:marLeft w:val="0"/>
              <w:marRight w:val="0"/>
              <w:marTop w:val="0"/>
              <w:marBottom w:val="0"/>
              <w:divBdr>
                <w:top w:val="none" w:sz="0" w:space="0" w:color="auto"/>
                <w:left w:val="none" w:sz="0" w:space="0" w:color="auto"/>
                <w:bottom w:val="none" w:sz="0" w:space="0" w:color="auto"/>
                <w:right w:val="none" w:sz="0" w:space="0" w:color="auto"/>
              </w:divBdr>
            </w:div>
          </w:divsChild>
        </w:div>
        <w:div w:id="1626157006">
          <w:marLeft w:val="0"/>
          <w:marRight w:val="0"/>
          <w:marTop w:val="0"/>
          <w:marBottom w:val="0"/>
          <w:divBdr>
            <w:top w:val="none" w:sz="0" w:space="0" w:color="auto"/>
            <w:left w:val="none" w:sz="0" w:space="0" w:color="auto"/>
            <w:bottom w:val="none" w:sz="0" w:space="0" w:color="auto"/>
            <w:right w:val="none" w:sz="0" w:space="0" w:color="auto"/>
          </w:divBdr>
          <w:divsChild>
            <w:div w:id="2056158316">
              <w:marLeft w:val="0"/>
              <w:marRight w:val="0"/>
              <w:marTop w:val="0"/>
              <w:marBottom w:val="0"/>
              <w:divBdr>
                <w:top w:val="none" w:sz="0" w:space="0" w:color="auto"/>
                <w:left w:val="none" w:sz="0" w:space="0" w:color="auto"/>
                <w:bottom w:val="none" w:sz="0" w:space="0" w:color="auto"/>
                <w:right w:val="none" w:sz="0" w:space="0" w:color="auto"/>
              </w:divBdr>
            </w:div>
          </w:divsChild>
        </w:div>
        <w:div w:id="1626347343">
          <w:marLeft w:val="0"/>
          <w:marRight w:val="0"/>
          <w:marTop w:val="0"/>
          <w:marBottom w:val="0"/>
          <w:divBdr>
            <w:top w:val="none" w:sz="0" w:space="0" w:color="auto"/>
            <w:left w:val="none" w:sz="0" w:space="0" w:color="auto"/>
            <w:bottom w:val="none" w:sz="0" w:space="0" w:color="auto"/>
            <w:right w:val="none" w:sz="0" w:space="0" w:color="auto"/>
          </w:divBdr>
          <w:divsChild>
            <w:div w:id="1413310584">
              <w:marLeft w:val="0"/>
              <w:marRight w:val="0"/>
              <w:marTop w:val="0"/>
              <w:marBottom w:val="0"/>
              <w:divBdr>
                <w:top w:val="none" w:sz="0" w:space="0" w:color="auto"/>
                <w:left w:val="none" w:sz="0" w:space="0" w:color="auto"/>
                <w:bottom w:val="none" w:sz="0" w:space="0" w:color="auto"/>
                <w:right w:val="none" w:sz="0" w:space="0" w:color="auto"/>
              </w:divBdr>
            </w:div>
          </w:divsChild>
        </w:div>
        <w:div w:id="1628198954">
          <w:marLeft w:val="0"/>
          <w:marRight w:val="0"/>
          <w:marTop w:val="0"/>
          <w:marBottom w:val="0"/>
          <w:divBdr>
            <w:top w:val="none" w:sz="0" w:space="0" w:color="auto"/>
            <w:left w:val="none" w:sz="0" w:space="0" w:color="auto"/>
            <w:bottom w:val="none" w:sz="0" w:space="0" w:color="auto"/>
            <w:right w:val="none" w:sz="0" w:space="0" w:color="auto"/>
          </w:divBdr>
          <w:divsChild>
            <w:div w:id="1170564759">
              <w:marLeft w:val="0"/>
              <w:marRight w:val="0"/>
              <w:marTop w:val="0"/>
              <w:marBottom w:val="0"/>
              <w:divBdr>
                <w:top w:val="none" w:sz="0" w:space="0" w:color="auto"/>
                <w:left w:val="none" w:sz="0" w:space="0" w:color="auto"/>
                <w:bottom w:val="none" w:sz="0" w:space="0" w:color="auto"/>
                <w:right w:val="none" w:sz="0" w:space="0" w:color="auto"/>
              </w:divBdr>
            </w:div>
          </w:divsChild>
        </w:div>
        <w:div w:id="1634484967">
          <w:marLeft w:val="0"/>
          <w:marRight w:val="0"/>
          <w:marTop w:val="0"/>
          <w:marBottom w:val="0"/>
          <w:divBdr>
            <w:top w:val="none" w:sz="0" w:space="0" w:color="auto"/>
            <w:left w:val="none" w:sz="0" w:space="0" w:color="auto"/>
            <w:bottom w:val="none" w:sz="0" w:space="0" w:color="auto"/>
            <w:right w:val="none" w:sz="0" w:space="0" w:color="auto"/>
          </w:divBdr>
          <w:divsChild>
            <w:div w:id="1839728680">
              <w:marLeft w:val="0"/>
              <w:marRight w:val="0"/>
              <w:marTop w:val="0"/>
              <w:marBottom w:val="0"/>
              <w:divBdr>
                <w:top w:val="none" w:sz="0" w:space="0" w:color="auto"/>
                <w:left w:val="none" w:sz="0" w:space="0" w:color="auto"/>
                <w:bottom w:val="none" w:sz="0" w:space="0" w:color="auto"/>
                <w:right w:val="none" w:sz="0" w:space="0" w:color="auto"/>
              </w:divBdr>
            </w:div>
          </w:divsChild>
        </w:div>
        <w:div w:id="1642074701">
          <w:marLeft w:val="0"/>
          <w:marRight w:val="0"/>
          <w:marTop w:val="0"/>
          <w:marBottom w:val="0"/>
          <w:divBdr>
            <w:top w:val="none" w:sz="0" w:space="0" w:color="auto"/>
            <w:left w:val="none" w:sz="0" w:space="0" w:color="auto"/>
            <w:bottom w:val="none" w:sz="0" w:space="0" w:color="auto"/>
            <w:right w:val="none" w:sz="0" w:space="0" w:color="auto"/>
          </w:divBdr>
          <w:divsChild>
            <w:div w:id="487671999">
              <w:marLeft w:val="0"/>
              <w:marRight w:val="0"/>
              <w:marTop w:val="0"/>
              <w:marBottom w:val="0"/>
              <w:divBdr>
                <w:top w:val="none" w:sz="0" w:space="0" w:color="auto"/>
                <w:left w:val="none" w:sz="0" w:space="0" w:color="auto"/>
                <w:bottom w:val="none" w:sz="0" w:space="0" w:color="auto"/>
                <w:right w:val="none" w:sz="0" w:space="0" w:color="auto"/>
              </w:divBdr>
            </w:div>
          </w:divsChild>
        </w:div>
        <w:div w:id="1650133618">
          <w:marLeft w:val="0"/>
          <w:marRight w:val="0"/>
          <w:marTop w:val="0"/>
          <w:marBottom w:val="0"/>
          <w:divBdr>
            <w:top w:val="none" w:sz="0" w:space="0" w:color="auto"/>
            <w:left w:val="none" w:sz="0" w:space="0" w:color="auto"/>
            <w:bottom w:val="none" w:sz="0" w:space="0" w:color="auto"/>
            <w:right w:val="none" w:sz="0" w:space="0" w:color="auto"/>
          </w:divBdr>
          <w:divsChild>
            <w:div w:id="963193521">
              <w:marLeft w:val="0"/>
              <w:marRight w:val="0"/>
              <w:marTop w:val="0"/>
              <w:marBottom w:val="0"/>
              <w:divBdr>
                <w:top w:val="none" w:sz="0" w:space="0" w:color="auto"/>
                <w:left w:val="none" w:sz="0" w:space="0" w:color="auto"/>
                <w:bottom w:val="none" w:sz="0" w:space="0" w:color="auto"/>
                <w:right w:val="none" w:sz="0" w:space="0" w:color="auto"/>
              </w:divBdr>
            </w:div>
          </w:divsChild>
        </w:div>
        <w:div w:id="1663657775">
          <w:marLeft w:val="0"/>
          <w:marRight w:val="0"/>
          <w:marTop w:val="0"/>
          <w:marBottom w:val="0"/>
          <w:divBdr>
            <w:top w:val="none" w:sz="0" w:space="0" w:color="auto"/>
            <w:left w:val="none" w:sz="0" w:space="0" w:color="auto"/>
            <w:bottom w:val="none" w:sz="0" w:space="0" w:color="auto"/>
            <w:right w:val="none" w:sz="0" w:space="0" w:color="auto"/>
          </w:divBdr>
          <w:divsChild>
            <w:div w:id="1885285131">
              <w:marLeft w:val="0"/>
              <w:marRight w:val="0"/>
              <w:marTop w:val="0"/>
              <w:marBottom w:val="0"/>
              <w:divBdr>
                <w:top w:val="none" w:sz="0" w:space="0" w:color="auto"/>
                <w:left w:val="none" w:sz="0" w:space="0" w:color="auto"/>
                <w:bottom w:val="none" w:sz="0" w:space="0" w:color="auto"/>
                <w:right w:val="none" w:sz="0" w:space="0" w:color="auto"/>
              </w:divBdr>
            </w:div>
          </w:divsChild>
        </w:div>
        <w:div w:id="1668170227">
          <w:marLeft w:val="0"/>
          <w:marRight w:val="0"/>
          <w:marTop w:val="0"/>
          <w:marBottom w:val="0"/>
          <w:divBdr>
            <w:top w:val="none" w:sz="0" w:space="0" w:color="auto"/>
            <w:left w:val="none" w:sz="0" w:space="0" w:color="auto"/>
            <w:bottom w:val="none" w:sz="0" w:space="0" w:color="auto"/>
            <w:right w:val="none" w:sz="0" w:space="0" w:color="auto"/>
          </w:divBdr>
          <w:divsChild>
            <w:div w:id="1264194080">
              <w:marLeft w:val="0"/>
              <w:marRight w:val="0"/>
              <w:marTop w:val="0"/>
              <w:marBottom w:val="0"/>
              <w:divBdr>
                <w:top w:val="none" w:sz="0" w:space="0" w:color="auto"/>
                <w:left w:val="none" w:sz="0" w:space="0" w:color="auto"/>
                <w:bottom w:val="none" w:sz="0" w:space="0" w:color="auto"/>
                <w:right w:val="none" w:sz="0" w:space="0" w:color="auto"/>
              </w:divBdr>
            </w:div>
          </w:divsChild>
        </w:div>
        <w:div w:id="1672759346">
          <w:marLeft w:val="0"/>
          <w:marRight w:val="0"/>
          <w:marTop w:val="0"/>
          <w:marBottom w:val="0"/>
          <w:divBdr>
            <w:top w:val="none" w:sz="0" w:space="0" w:color="auto"/>
            <w:left w:val="none" w:sz="0" w:space="0" w:color="auto"/>
            <w:bottom w:val="none" w:sz="0" w:space="0" w:color="auto"/>
            <w:right w:val="none" w:sz="0" w:space="0" w:color="auto"/>
          </w:divBdr>
          <w:divsChild>
            <w:div w:id="1806462306">
              <w:marLeft w:val="0"/>
              <w:marRight w:val="0"/>
              <w:marTop w:val="0"/>
              <w:marBottom w:val="0"/>
              <w:divBdr>
                <w:top w:val="none" w:sz="0" w:space="0" w:color="auto"/>
                <w:left w:val="none" w:sz="0" w:space="0" w:color="auto"/>
                <w:bottom w:val="none" w:sz="0" w:space="0" w:color="auto"/>
                <w:right w:val="none" w:sz="0" w:space="0" w:color="auto"/>
              </w:divBdr>
            </w:div>
          </w:divsChild>
        </w:div>
        <w:div w:id="1676347069">
          <w:marLeft w:val="0"/>
          <w:marRight w:val="0"/>
          <w:marTop w:val="0"/>
          <w:marBottom w:val="0"/>
          <w:divBdr>
            <w:top w:val="none" w:sz="0" w:space="0" w:color="auto"/>
            <w:left w:val="none" w:sz="0" w:space="0" w:color="auto"/>
            <w:bottom w:val="none" w:sz="0" w:space="0" w:color="auto"/>
            <w:right w:val="none" w:sz="0" w:space="0" w:color="auto"/>
          </w:divBdr>
          <w:divsChild>
            <w:div w:id="1002467098">
              <w:marLeft w:val="0"/>
              <w:marRight w:val="0"/>
              <w:marTop w:val="0"/>
              <w:marBottom w:val="0"/>
              <w:divBdr>
                <w:top w:val="none" w:sz="0" w:space="0" w:color="auto"/>
                <w:left w:val="none" w:sz="0" w:space="0" w:color="auto"/>
                <w:bottom w:val="none" w:sz="0" w:space="0" w:color="auto"/>
                <w:right w:val="none" w:sz="0" w:space="0" w:color="auto"/>
              </w:divBdr>
            </w:div>
          </w:divsChild>
        </w:div>
        <w:div w:id="1677341866">
          <w:marLeft w:val="0"/>
          <w:marRight w:val="0"/>
          <w:marTop w:val="0"/>
          <w:marBottom w:val="0"/>
          <w:divBdr>
            <w:top w:val="none" w:sz="0" w:space="0" w:color="auto"/>
            <w:left w:val="none" w:sz="0" w:space="0" w:color="auto"/>
            <w:bottom w:val="none" w:sz="0" w:space="0" w:color="auto"/>
            <w:right w:val="none" w:sz="0" w:space="0" w:color="auto"/>
          </w:divBdr>
          <w:divsChild>
            <w:div w:id="998390554">
              <w:marLeft w:val="0"/>
              <w:marRight w:val="0"/>
              <w:marTop w:val="0"/>
              <w:marBottom w:val="0"/>
              <w:divBdr>
                <w:top w:val="none" w:sz="0" w:space="0" w:color="auto"/>
                <w:left w:val="none" w:sz="0" w:space="0" w:color="auto"/>
                <w:bottom w:val="none" w:sz="0" w:space="0" w:color="auto"/>
                <w:right w:val="none" w:sz="0" w:space="0" w:color="auto"/>
              </w:divBdr>
            </w:div>
          </w:divsChild>
        </w:div>
        <w:div w:id="1683431685">
          <w:marLeft w:val="0"/>
          <w:marRight w:val="0"/>
          <w:marTop w:val="0"/>
          <w:marBottom w:val="0"/>
          <w:divBdr>
            <w:top w:val="none" w:sz="0" w:space="0" w:color="auto"/>
            <w:left w:val="none" w:sz="0" w:space="0" w:color="auto"/>
            <w:bottom w:val="none" w:sz="0" w:space="0" w:color="auto"/>
            <w:right w:val="none" w:sz="0" w:space="0" w:color="auto"/>
          </w:divBdr>
          <w:divsChild>
            <w:div w:id="1755010700">
              <w:marLeft w:val="0"/>
              <w:marRight w:val="0"/>
              <w:marTop w:val="0"/>
              <w:marBottom w:val="0"/>
              <w:divBdr>
                <w:top w:val="none" w:sz="0" w:space="0" w:color="auto"/>
                <w:left w:val="none" w:sz="0" w:space="0" w:color="auto"/>
                <w:bottom w:val="none" w:sz="0" w:space="0" w:color="auto"/>
                <w:right w:val="none" w:sz="0" w:space="0" w:color="auto"/>
              </w:divBdr>
            </w:div>
          </w:divsChild>
        </w:div>
        <w:div w:id="1688293363">
          <w:marLeft w:val="0"/>
          <w:marRight w:val="0"/>
          <w:marTop w:val="0"/>
          <w:marBottom w:val="0"/>
          <w:divBdr>
            <w:top w:val="none" w:sz="0" w:space="0" w:color="auto"/>
            <w:left w:val="none" w:sz="0" w:space="0" w:color="auto"/>
            <w:bottom w:val="none" w:sz="0" w:space="0" w:color="auto"/>
            <w:right w:val="none" w:sz="0" w:space="0" w:color="auto"/>
          </w:divBdr>
          <w:divsChild>
            <w:div w:id="1275595809">
              <w:marLeft w:val="0"/>
              <w:marRight w:val="0"/>
              <w:marTop w:val="0"/>
              <w:marBottom w:val="0"/>
              <w:divBdr>
                <w:top w:val="none" w:sz="0" w:space="0" w:color="auto"/>
                <w:left w:val="none" w:sz="0" w:space="0" w:color="auto"/>
                <w:bottom w:val="none" w:sz="0" w:space="0" w:color="auto"/>
                <w:right w:val="none" w:sz="0" w:space="0" w:color="auto"/>
              </w:divBdr>
            </w:div>
          </w:divsChild>
        </w:div>
        <w:div w:id="1689284387">
          <w:marLeft w:val="0"/>
          <w:marRight w:val="0"/>
          <w:marTop w:val="0"/>
          <w:marBottom w:val="0"/>
          <w:divBdr>
            <w:top w:val="none" w:sz="0" w:space="0" w:color="auto"/>
            <w:left w:val="none" w:sz="0" w:space="0" w:color="auto"/>
            <w:bottom w:val="none" w:sz="0" w:space="0" w:color="auto"/>
            <w:right w:val="none" w:sz="0" w:space="0" w:color="auto"/>
          </w:divBdr>
          <w:divsChild>
            <w:div w:id="839661261">
              <w:marLeft w:val="0"/>
              <w:marRight w:val="0"/>
              <w:marTop w:val="0"/>
              <w:marBottom w:val="0"/>
              <w:divBdr>
                <w:top w:val="none" w:sz="0" w:space="0" w:color="auto"/>
                <w:left w:val="none" w:sz="0" w:space="0" w:color="auto"/>
                <w:bottom w:val="none" w:sz="0" w:space="0" w:color="auto"/>
                <w:right w:val="none" w:sz="0" w:space="0" w:color="auto"/>
              </w:divBdr>
            </w:div>
          </w:divsChild>
        </w:div>
        <w:div w:id="1695156509">
          <w:marLeft w:val="0"/>
          <w:marRight w:val="0"/>
          <w:marTop w:val="0"/>
          <w:marBottom w:val="0"/>
          <w:divBdr>
            <w:top w:val="none" w:sz="0" w:space="0" w:color="auto"/>
            <w:left w:val="none" w:sz="0" w:space="0" w:color="auto"/>
            <w:bottom w:val="none" w:sz="0" w:space="0" w:color="auto"/>
            <w:right w:val="none" w:sz="0" w:space="0" w:color="auto"/>
          </w:divBdr>
          <w:divsChild>
            <w:div w:id="303194228">
              <w:marLeft w:val="0"/>
              <w:marRight w:val="0"/>
              <w:marTop w:val="0"/>
              <w:marBottom w:val="0"/>
              <w:divBdr>
                <w:top w:val="none" w:sz="0" w:space="0" w:color="auto"/>
                <w:left w:val="none" w:sz="0" w:space="0" w:color="auto"/>
                <w:bottom w:val="none" w:sz="0" w:space="0" w:color="auto"/>
                <w:right w:val="none" w:sz="0" w:space="0" w:color="auto"/>
              </w:divBdr>
            </w:div>
          </w:divsChild>
        </w:div>
        <w:div w:id="1698122018">
          <w:marLeft w:val="0"/>
          <w:marRight w:val="0"/>
          <w:marTop w:val="0"/>
          <w:marBottom w:val="0"/>
          <w:divBdr>
            <w:top w:val="none" w:sz="0" w:space="0" w:color="auto"/>
            <w:left w:val="none" w:sz="0" w:space="0" w:color="auto"/>
            <w:bottom w:val="none" w:sz="0" w:space="0" w:color="auto"/>
            <w:right w:val="none" w:sz="0" w:space="0" w:color="auto"/>
          </w:divBdr>
          <w:divsChild>
            <w:div w:id="1925996426">
              <w:marLeft w:val="0"/>
              <w:marRight w:val="0"/>
              <w:marTop w:val="0"/>
              <w:marBottom w:val="0"/>
              <w:divBdr>
                <w:top w:val="none" w:sz="0" w:space="0" w:color="auto"/>
                <w:left w:val="none" w:sz="0" w:space="0" w:color="auto"/>
                <w:bottom w:val="none" w:sz="0" w:space="0" w:color="auto"/>
                <w:right w:val="none" w:sz="0" w:space="0" w:color="auto"/>
              </w:divBdr>
            </w:div>
          </w:divsChild>
        </w:div>
        <w:div w:id="1700275665">
          <w:marLeft w:val="0"/>
          <w:marRight w:val="0"/>
          <w:marTop w:val="0"/>
          <w:marBottom w:val="0"/>
          <w:divBdr>
            <w:top w:val="none" w:sz="0" w:space="0" w:color="auto"/>
            <w:left w:val="none" w:sz="0" w:space="0" w:color="auto"/>
            <w:bottom w:val="none" w:sz="0" w:space="0" w:color="auto"/>
            <w:right w:val="none" w:sz="0" w:space="0" w:color="auto"/>
          </w:divBdr>
          <w:divsChild>
            <w:div w:id="81417264">
              <w:marLeft w:val="0"/>
              <w:marRight w:val="0"/>
              <w:marTop w:val="0"/>
              <w:marBottom w:val="0"/>
              <w:divBdr>
                <w:top w:val="none" w:sz="0" w:space="0" w:color="auto"/>
                <w:left w:val="none" w:sz="0" w:space="0" w:color="auto"/>
                <w:bottom w:val="none" w:sz="0" w:space="0" w:color="auto"/>
                <w:right w:val="none" w:sz="0" w:space="0" w:color="auto"/>
              </w:divBdr>
            </w:div>
          </w:divsChild>
        </w:div>
        <w:div w:id="1709185445">
          <w:marLeft w:val="0"/>
          <w:marRight w:val="0"/>
          <w:marTop w:val="0"/>
          <w:marBottom w:val="0"/>
          <w:divBdr>
            <w:top w:val="none" w:sz="0" w:space="0" w:color="auto"/>
            <w:left w:val="none" w:sz="0" w:space="0" w:color="auto"/>
            <w:bottom w:val="none" w:sz="0" w:space="0" w:color="auto"/>
            <w:right w:val="none" w:sz="0" w:space="0" w:color="auto"/>
          </w:divBdr>
          <w:divsChild>
            <w:div w:id="384529335">
              <w:marLeft w:val="0"/>
              <w:marRight w:val="0"/>
              <w:marTop w:val="0"/>
              <w:marBottom w:val="0"/>
              <w:divBdr>
                <w:top w:val="none" w:sz="0" w:space="0" w:color="auto"/>
                <w:left w:val="none" w:sz="0" w:space="0" w:color="auto"/>
                <w:bottom w:val="none" w:sz="0" w:space="0" w:color="auto"/>
                <w:right w:val="none" w:sz="0" w:space="0" w:color="auto"/>
              </w:divBdr>
            </w:div>
          </w:divsChild>
        </w:div>
        <w:div w:id="1709913836">
          <w:marLeft w:val="0"/>
          <w:marRight w:val="0"/>
          <w:marTop w:val="0"/>
          <w:marBottom w:val="0"/>
          <w:divBdr>
            <w:top w:val="none" w:sz="0" w:space="0" w:color="auto"/>
            <w:left w:val="none" w:sz="0" w:space="0" w:color="auto"/>
            <w:bottom w:val="none" w:sz="0" w:space="0" w:color="auto"/>
            <w:right w:val="none" w:sz="0" w:space="0" w:color="auto"/>
          </w:divBdr>
          <w:divsChild>
            <w:div w:id="1510681445">
              <w:marLeft w:val="0"/>
              <w:marRight w:val="0"/>
              <w:marTop w:val="0"/>
              <w:marBottom w:val="0"/>
              <w:divBdr>
                <w:top w:val="none" w:sz="0" w:space="0" w:color="auto"/>
                <w:left w:val="none" w:sz="0" w:space="0" w:color="auto"/>
                <w:bottom w:val="none" w:sz="0" w:space="0" w:color="auto"/>
                <w:right w:val="none" w:sz="0" w:space="0" w:color="auto"/>
              </w:divBdr>
            </w:div>
          </w:divsChild>
        </w:div>
        <w:div w:id="1716273270">
          <w:marLeft w:val="0"/>
          <w:marRight w:val="0"/>
          <w:marTop w:val="0"/>
          <w:marBottom w:val="0"/>
          <w:divBdr>
            <w:top w:val="none" w:sz="0" w:space="0" w:color="auto"/>
            <w:left w:val="none" w:sz="0" w:space="0" w:color="auto"/>
            <w:bottom w:val="none" w:sz="0" w:space="0" w:color="auto"/>
            <w:right w:val="none" w:sz="0" w:space="0" w:color="auto"/>
          </w:divBdr>
          <w:divsChild>
            <w:div w:id="1415512130">
              <w:marLeft w:val="0"/>
              <w:marRight w:val="0"/>
              <w:marTop w:val="0"/>
              <w:marBottom w:val="0"/>
              <w:divBdr>
                <w:top w:val="none" w:sz="0" w:space="0" w:color="auto"/>
                <w:left w:val="none" w:sz="0" w:space="0" w:color="auto"/>
                <w:bottom w:val="none" w:sz="0" w:space="0" w:color="auto"/>
                <w:right w:val="none" w:sz="0" w:space="0" w:color="auto"/>
              </w:divBdr>
            </w:div>
          </w:divsChild>
        </w:div>
        <w:div w:id="1722055014">
          <w:marLeft w:val="0"/>
          <w:marRight w:val="0"/>
          <w:marTop w:val="0"/>
          <w:marBottom w:val="0"/>
          <w:divBdr>
            <w:top w:val="none" w:sz="0" w:space="0" w:color="auto"/>
            <w:left w:val="none" w:sz="0" w:space="0" w:color="auto"/>
            <w:bottom w:val="none" w:sz="0" w:space="0" w:color="auto"/>
            <w:right w:val="none" w:sz="0" w:space="0" w:color="auto"/>
          </w:divBdr>
          <w:divsChild>
            <w:div w:id="1629362611">
              <w:marLeft w:val="0"/>
              <w:marRight w:val="0"/>
              <w:marTop w:val="0"/>
              <w:marBottom w:val="0"/>
              <w:divBdr>
                <w:top w:val="none" w:sz="0" w:space="0" w:color="auto"/>
                <w:left w:val="none" w:sz="0" w:space="0" w:color="auto"/>
                <w:bottom w:val="none" w:sz="0" w:space="0" w:color="auto"/>
                <w:right w:val="none" w:sz="0" w:space="0" w:color="auto"/>
              </w:divBdr>
            </w:div>
          </w:divsChild>
        </w:div>
        <w:div w:id="1736080315">
          <w:marLeft w:val="0"/>
          <w:marRight w:val="0"/>
          <w:marTop w:val="0"/>
          <w:marBottom w:val="0"/>
          <w:divBdr>
            <w:top w:val="none" w:sz="0" w:space="0" w:color="auto"/>
            <w:left w:val="none" w:sz="0" w:space="0" w:color="auto"/>
            <w:bottom w:val="none" w:sz="0" w:space="0" w:color="auto"/>
            <w:right w:val="none" w:sz="0" w:space="0" w:color="auto"/>
          </w:divBdr>
          <w:divsChild>
            <w:div w:id="605117723">
              <w:marLeft w:val="0"/>
              <w:marRight w:val="0"/>
              <w:marTop w:val="0"/>
              <w:marBottom w:val="0"/>
              <w:divBdr>
                <w:top w:val="none" w:sz="0" w:space="0" w:color="auto"/>
                <w:left w:val="none" w:sz="0" w:space="0" w:color="auto"/>
                <w:bottom w:val="none" w:sz="0" w:space="0" w:color="auto"/>
                <w:right w:val="none" w:sz="0" w:space="0" w:color="auto"/>
              </w:divBdr>
            </w:div>
          </w:divsChild>
        </w:div>
        <w:div w:id="1748074030">
          <w:marLeft w:val="0"/>
          <w:marRight w:val="0"/>
          <w:marTop w:val="0"/>
          <w:marBottom w:val="0"/>
          <w:divBdr>
            <w:top w:val="none" w:sz="0" w:space="0" w:color="auto"/>
            <w:left w:val="none" w:sz="0" w:space="0" w:color="auto"/>
            <w:bottom w:val="none" w:sz="0" w:space="0" w:color="auto"/>
            <w:right w:val="none" w:sz="0" w:space="0" w:color="auto"/>
          </w:divBdr>
          <w:divsChild>
            <w:div w:id="1924758045">
              <w:marLeft w:val="0"/>
              <w:marRight w:val="0"/>
              <w:marTop w:val="0"/>
              <w:marBottom w:val="0"/>
              <w:divBdr>
                <w:top w:val="none" w:sz="0" w:space="0" w:color="auto"/>
                <w:left w:val="none" w:sz="0" w:space="0" w:color="auto"/>
                <w:bottom w:val="none" w:sz="0" w:space="0" w:color="auto"/>
                <w:right w:val="none" w:sz="0" w:space="0" w:color="auto"/>
              </w:divBdr>
            </w:div>
          </w:divsChild>
        </w:div>
        <w:div w:id="1762143207">
          <w:marLeft w:val="0"/>
          <w:marRight w:val="0"/>
          <w:marTop w:val="0"/>
          <w:marBottom w:val="0"/>
          <w:divBdr>
            <w:top w:val="none" w:sz="0" w:space="0" w:color="auto"/>
            <w:left w:val="none" w:sz="0" w:space="0" w:color="auto"/>
            <w:bottom w:val="none" w:sz="0" w:space="0" w:color="auto"/>
            <w:right w:val="none" w:sz="0" w:space="0" w:color="auto"/>
          </w:divBdr>
          <w:divsChild>
            <w:div w:id="1135291738">
              <w:marLeft w:val="0"/>
              <w:marRight w:val="0"/>
              <w:marTop w:val="0"/>
              <w:marBottom w:val="0"/>
              <w:divBdr>
                <w:top w:val="none" w:sz="0" w:space="0" w:color="auto"/>
                <w:left w:val="none" w:sz="0" w:space="0" w:color="auto"/>
                <w:bottom w:val="none" w:sz="0" w:space="0" w:color="auto"/>
                <w:right w:val="none" w:sz="0" w:space="0" w:color="auto"/>
              </w:divBdr>
            </w:div>
          </w:divsChild>
        </w:div>
        <w:div w:id="1785150316">
          <w:marLeft w:val="0"/>
          <w:marRight w:val="0"/>
          <w:marTop w:val="0"/>
          <w:marBottom w:val="0"/>
          <w:divBdr>
            <w:top w:val="none" w:sz="0" w:space="0" w:color="auto"/>
            <w:left w:val="none" w:sz="0" w:space="0" w:color="auto"/>
            <w:bottom w:val="none" w:sz="0" w:space="0" w:color="auto"/>
            <w:right w:val="none" w:sz="0" w:space="0" w:color="auto"/>
          </w:divBdr>
          <w:divsChild>
            <w:div w:id="1514031135">
              <w:marLeft w:val="0"/>
              <w:marRight w:val="0"/>
              <w:marTop w:val="0"/>
              <w:marBottom w:val="0"/>
              <w:divBdr>
                <w:top w:val="none" w:sz="0" w:space="0" w:color="auto"/>
                <w:left w:val="none" w:sz="0" w:space="0" w:color="auto"/>
                <w:bottom w:val="none" w:sz="0" w:space="0" w:color="auto"/>
                <w:right w:val="none" w:sz="0" w:space="0" w:color="auto"/>
              </w:divBdr>
            </w:div>
          </w:divsChild>
        </w:div>
        <w:div w:id="1792630951">
          <w:marLeft w:val="0"/>
          <w:marRight w:val="0"/>
          <w:marTop w:val="0"/>
          <w:marBottom w:val="0"/>
          <w:divBdr>
            <w:top w:val="none" w:sz="0" w:space="0" w:color="auto"/>
            <w:left w:val="none" w:sz="0" w:space="0" w:color="auto"/>
            <w:bottom w:val="none" w:sz="0" w:space="0" w:color="auto"/>
            <w:right w:val="none" w:sz="0" w:space="0" w:color="auto"/>
          </w:divBdr>
          <w:divsChild>
            <w:div w:id="1723479260">
              <w:marLeft w:val="0"/>
              <w:marRight w:val="0"/>
              <w:marTop w:val="0"/>
              <w:marBottom w:val="0"/>
              <w:divBdr>
                <w:top w:val="none" w:sz="0" w:space="0" w:color="auto"/>
                <w:left w:val="none" w:sz="0" w:space="0" w:color="auto"/>
                <w:bottom w:val="none" w:sz="0" w:space="0" w:color="auto"/>
                <w:right w:val="none" w:sz="0" w:space="0" w:color="auto"/>
              </w:divBdr>
            </w:div>
          </w:divsChild>
        </w:div>
        <w:div w:id="1793086821">
          <w:marLeft w:val="0"/>
          <w:marRight w:val="0"/>
          <w:marTop w:val="0"/>
          <w:marBottom w:val="0"/>
          <w:divBdr>
            <w:top w:val="none" w:sz="0" w:space="0" w:color="auto"/>
            <w:left w:val="none" w:sz="0" w:space="0" w:color="auto"/>
            <w:bottom w:val="none" w:sz="0" w:space="0" w:color="auto"/>
            <w:right w:val="none" w:sz="0" w:space="0" w:color="auto"/>
          </w:divBdr>
          <w:divsChild>
            <w:div w:id="1388411492">
              <w:marLeft w:val="0"/>
              <w:marRight w:val="0"/>
              <w:marTop w:val="0"/>
              <w:marBottom w:val="0"/>
              <w:divBdr>
                <w:top w:val="none" w:sz="0" w:space="0" w:color="auto"/>
                <w:left w:val="none" w:sz="0" w:space="0" w:color="auto"/>
                <w:bottom w:val="none" w:sz="0" w:space="0" w:color="auto"/>
                <w:right w:val="none" w:sz="0" w:space="0" w:color="auto"/>
              </w:divBdr>
            </w:div>
          </w:divsChild>
        </w:div>
        <w:div w:id="1793136598">
          <w:marLeft w:val="0"/>
          <w:marRight w:val="0"/>
          <w:marTop w:val="0"/>
          <w:marBottom w:val="0"/>
          <w:divBdr>
            <w:top w:val="none" w:sz="0" w:space="0" w:color="auto"/>
            <w:left w:val="none" w:sz="0" w:space="0" w:color="auto"/>
            <w:bottom w:val="none" w:sz="0" w:space="0" w:color="auto"/>
            <w:right w:val="none" w:sz="0" w:space="0" w:color="auto"/>
          </w:divBdr>
          <w:divsChild>
            <w:div w:id="1556157154">
              <w:marLeft w:val="0"/>
              <w:marRight w:val="0"/>
              <w:marTop w:val="0"/>
              <w:marBottom w:val="0"/>
              <w:divBdr>
                <w:top w:val="none" w:sz="0" w:space="0" w:color="auto"/>
                <w:left w:val="none" w:sz="0" w:space="0" w:color="auto"/>
                <w:bottom w:val="none" w:sz="0" w:space="0" w:color="auto"/>
                <w:right w:val="none" w:sz="0" w:space="0" w:color="auto"/>
              </w:divBdr>
            </w:div>
          </w:divsChild>
        </w:div>
        <w:div w:id="1796631795">
          <w:marLeft w:val="0"/>
          <w:marRight w:val="0"/>
          <w:marTop w:val="0"/>
          <w:marBottom w:val="0"/>
          <w:divBdr>
            <w:top w:val="none" w:sz="0" w:space="0" w:color="auto"/>
            <w:left w:val="none" w:sz="0" w:space="0" w:color="auto"/>
            <w:bottom w:val="none" w:sz="0" w:space="0" w:color="auto"/>
            <w:right w:val="none" w:sz="0" w:space="0" w:color="auto"/>
          </w:divBdr>
          <w:divsChild>
            <w:div w:id="277221216">
              <w:marLeft w:val="0"/>
              <w:marRight w:val="0"/>
              <w:marTop w:val="0"/>
              <w:marBottom w:val="0"/>
              <w:divBdr>
                <w:top w:val="none" w:sz="0" w:space="0" w:color="auto"/>
                <w:left w:val="none" w:sz="0" w:space="0" w:color="auto"/>
                <w:bottom w:val="none" w:sz="0" w:space="0" w:color="auto"/>
                <w:right w:val="none" w:sz="0" w:space="0" w:color="auto"/>
              </w:divBdr>
            </w:div>
          </w:divsChild>
        </w:div>
        <w:div w:id="1798180863">
          <w:marLeft w:val="0"/>
          <w:marRight w:val="0"/>
          <w:marTop w:val="0"/>
          <w:marBottom w:val="0"/>
          <w:divBdr>
            <w:top w:val="none" w:sz="0" w:space="0" w:color="auto"/>
            <w:left w:val="none" w:sz="0" w:space="0" w:color="auto"/>
            <w:bottom w:val="none" w:sz="0" w:space="0" w:color="auto"/>
            <w:right w:val="none" w:sz="0" w:space="0" w:color="auto"/>
          </w:divBdr>
          <w:divsChild>
            <w:div w:id="525678148">
              <w:marLeft w:val="0"/>
              <w:marRight w:val="0"/>
              <w:marTop w:val="0"/>
              <w:marBottom w:val="0"/>
              <w:divBdr>
                <w:top w:val="none" w:sz="0" w:space="0" w:color="auto"/>
                <w:left w:val="none" w:sz="0" w:space="0" w:color="auto"/>
                <w:bottom w:val="none" w:sz="0" w:space="0" w:color="auto"/>
                <w:right w:val="none" w:sz="0" w:space="0" w:color="auto"/>
              </w:divBdr>
            </w:div>
          </w:divsChild>
        </w:div>
        <w:div w:id="1798643804">
          <w:marLeft w:val="0"/>
          <w:marRight w:val="0"/>
          <w:marTop w:val="0"/>
          <w:marBottom w:val="0"/>
          <w:divBdr>
            <w:top w:val="none" w:sz="0" w:space="0" w:color="auto"/>
            <w:left w:val="none" w:sz="0" w:space="0" w:color="auto"/>
            <w:bottom w:val="none" w:sz="0" w:space="0" w:color="auto"/>
            <w:right w:val="none" w:sz="0" w:space="0" w:color="auto"/>
          </w:divBdr>
          <w:divsChild>
            <w:div w:id="1140920310">
              <w:marLeft w:val="0"/>
              <w:marRight w:val="0"/>
              <w:marTop w:val="0"/>
              <w:marBottom w:val="0"/>
              <w:divBdr>
                <w:top w:val="none" w:sz="0" w:space="0" w:color="auto"/>
                <w:left w:val="none" w:sz="0" w:space="0" w:color="auto"/>
                <w:bottom w:val="none" w:sz="0" w:space="0" w:color="auto"/>
                <w:right w:val="none" w:sz="0" w:space="0" w:color="auto"/>
              </w:divBdr>
            </w:div>
          </w:divsChild>
        </w:div>
        <w:div w:id="1815945015">
          <w:marLeft w:val="0"/>
          <w:marRight w:val="0"/>
          <w:marTop w:val="0"/>
          <w:marBottom w:val="0"/>
          <w:divBdr>
            <w:top w:val="none" w:sz="0" w:space="0" w:color="auto"/>
            <w:left w:val="none" w:sz="0" w:space="0" w:color="auto"/>
            <w:bottom w:val="none" w:sz="0" w:space="0" w:color="auto"/>
            <w:right w:val="none" w:sz="0" w:space="0" w:color="auto"/>
          </w:divBdr>
          <w:divsChild>
            <w:div w:id="1654990550">
              <w:marLeft w:val="0"/>
              <w:marRight w:val="0"/>
              <w:marTop w:val="0"/>
              <w:marBottom w:val="0"/>
              <w:divBdr>
                <w:top w:val="none" w:sz="0" w:space="0" w:color="auto"/>
                <w:left w:val="none" w:sz="0" w:space="0" w:color="auto"/>
                <w:bottom w:val="none" w:sz="0" w:space="0" w:color="auto"/>
                <w:right w:val="none" w:sz="0" w:space="0" w:color="auto"/>
              </w:divBdr>
            </w:div>
          </w:divsChild>
        </w:div>
        <w:div w:id="1823233099">
          <w:marLeft w:val="0"/>
          <w:marRight w:val="0"/>
          <w:marTop w:val="0"/>
          <w:marBottom w:val="0"/>
          <w:divBdr>
            <w:top w:val="none" w:sz="0" w:space="0" w:color="auto"/>
            <w:left w:val="none" w:sz="0" w:space="0" w:color="auto"/>
            <w:bottom w:val="none" w:sz="0" w:space="0" w:color="auto"/>
            <w:right w:val="none" w:sz="0" w:space="0" w:color="auto"/>
          </w:divBdr>
          <w:divsChild>
            <w:div w:id="675964631">
              <w:marLeft w:val="0"/>
              <w:marRight w:val="0"/>
              <w:marTop w:val="0"/>
              <w:marBottom w:val="0"/>
              <w:divBdr>
                <w:top w:val="none" w:sz="0" w:space="0" w:color="auto"/>
                <w:left w:val="none" w:sz="0" w:space="0" w:color="auto"/>
                <w:bottom w:val="none" w:sz="0" w:space="0" w:color="auto"/>
                <w:right w:val="none" w:sz="0" w:space="0" w:color="auto"/>
              </w:divBdr>
            </w:div>
          </w:divsChild>
        </w:div>
        <w:div w:id="1831209542">
          <w:marLeft w:val="0"/>
          <w:marRight w:val="0"/>
          <w:marTop w:val="0"/>
          <w:marBottom w:val="0"/>
          <w:divBdr>
            <w:top w:val="none" w:sz="0" w:space="0" w:color="auto"/>
            <w:left w:val="none" w:sz="0" w:space="0" w:color="auto"/>
            <w:bottom w:val="none" w:sz="0" w:space="0" w:color="auto"/>
            <w:right w:val="none" w:sz="0" w:space="0" w:color="auto"/>
          </w:divBdr>
          <w:divsChild>
            <w:div w:id="579752148">
              <w:marLeft w:val="0"/>
              <w:marRight w:val="0"/>
              <w:marTop w:val="0"/>
              <w:marBottom w:val="0"/>
              <w:divBdr>
                <w:top w:val="none" w:sz="0" w:space="0" w:color="auto"/>
                <w:left w:val="none" w:sz="0" w:space="0" w:color="auto"/>
                <w:bottom w:val="none" w:sz="0" w:space="0" w:color="auto"/>
                <w:right w:val="none" w:sz="0" w:space="0" w:color="auto"/>
              </w:divBdr>
            </w:div>
          </w:divsChild>
        </w:div>
        <w:div w:id="1832789424">
          <w:marLeft w:val="0"/>
          <w:marRight w:val="0"/>
          <w:marTop w:val="0"/>
          <w:marBottom w:val="0"/>
          <w:divBdr>
            <w:top w:val="none" w:sz="0" w:space="0" w:color="auto"/>
            <w:left w:val="none" w:sz="0" w:space="0" w:color="auto"/>
            <w:bottom w:val="none" w:sz="0" w:space="0" w:color="auto"/>
            <w:right w:val="none" w:sz="0" w:space="0" w:color="auto"/>
          </w:divBdr>
          <w:divsChild>
            <w:div w:id="629867276">
              <w:marLeft w:val="0"/>
              <w:marRight w:val="0"/>
              <w:marTop w:val="0"/>
              <w:marBottom w:val="0"/>
              <w:divBdr>
                <w:top w:val="none" w:sz="0" w:space="0" w:color="auto"/>
                <w:left w:val="none" w:sz="0" w:space="0" w:color="auto"/>
                <w:bottom w:val="none" w:sz="0" w:space="0" w:color="auto"/>
                <w:right w:val="none" w:sz="0" w:space="0" w:color="auto"/>
              </w:divBdr>
            </w:div>
          </w:divsChild>
        </w:div>
        <w:div w:id="1835073589">
          <w:marLeft w:val="0"/>
          <w:marRight w:val="0"/>
          <w:marTop w:val="0"/>
          <w:marBottom w:val="0"/>
          <w:divBdr>
            <w:top w:val="none" w:sz="0" w:space="0" w:color="auto"/>
            <w:left w:val="none" w:sz="0" w:space="0" w:color="auto"/>
            <w:bottom w:val="none" w:sz="0" w:space="0" w:color="auto"/>
            <w:right w:val="none" w:sz="0" w:space="0" w:color="auto"/>
          </w:divBdr>
          <w:divsChild>
            <w:div w:id="2118988690">
              <w:marLeft w:val="0"/>
              <w:marRight w:val="0"/>
              <w:marTop w:val="0"/>
              <w:marBottom w:val="0"/>
              <w:divBdr>
                <w:top w:val="none" w:sz="0" w:space="0" w:color="auto"/>
                <w:left w:val="none" w:sz="0" w:space="0" w:color="auto"/>
                <w:bottom w:val="none" w:sz="0" w:space="0" w:color="auto"/>
                <w:right w:val="none" w:sz="0" w:space="0" w:color="auto"/>
              </w:divBdr>
            </w:div>
          </w:divsChild>
        </w:div>
        <w:div w:id="1849785393">
          <w:marLeft w:val="0"/>
          <w:marRight w:val="0"/>
          <w:marTop w:val="0"/>
          <w:marBottom w:val="0"/>
          <w:divBdr>
            <w:top w:val="none" w:sz="0" w:space="0" w:color="auto"/>
            <w:left w:val="none" w:sz="0" w:space="0" w:color="auto"/>
            <w:bottom w:val="none" w:sz="0" w:space="0" w:color="auto"/>
            <w:right w:val="none" w:sz="0" w:space="0" w:color="auto"/>
          </w:divBdr>
          <w:divsChild>
            <w:div w:id="1091043754">
              <w:marLeft w:val="0"/>
              <w:marRight w:val="0"/>
              <w:marTop w:val="0"/>
              <w:marBottom w:val="0"/>
              <w:divBdr>
                <w:top w:val="none" w:sz="0" w:space="0" w:color="auto"/>
                <w:left w:val="none" w:sz="0" w:space="0" w:color="auto"/>
                <w:bottom w:val="none" w:sz="0" w:space="0" w:color="auto"/>
                <w:right w:val="none" w:sz="0" w:space="0" w:color="auto"/>
              </w:divBdr>
            </w:div>
          </w:divsChild>
        </w:div>
        <w:div w:id="1850754070">
          <w:marLeft w:val="0"/>
          <w:marRight w:val="0"/>
          <w:marTop w:val="0"/>
          <w:marBottom w:val="0"/>
          <w:divBdr>
            <w:top w:val="none" w:sz="0" w:space="0" w:color="auto"/>
            <w:left w:val="none" w:sz="0" w:space="0" w:color="auto"/>
            <w:bottom w:val="none" w:sz="0" w:space="0" w:color="auto"/>
            <w:right w:val="none" w:sz="0" w:space="0" w:color="auto"/>
          </w:divBdr>
          <w:divsChild>
            <w:div w:id="192155615">
              <w:marLeft w:val="0"/>
              <w:marRight w:val="0"/>
              <w:marTop w:val="0"/>
              <w:marBottom w:val="0"/>
              <w:divBdr>
                <w:top w:val="none" w:sz="0" w:space="0" w:color="auto"/>
                <w:left w:val="none" w:sz="0" w:space="0" w:color="auto"/>
                <w:bottom w:val="none" w:sz="0" w:space="0" w:color="auto"/>
                <w:right w:val="none" w:sz="0" w:space="0" w:color="auto"/>
              </w:divBdr>
            </w:div>
          </w:divsChild>
        </w:div>
        <w:div w:id="1854372366">
          <w:marLeft w:val="0"/>
          <w:marRight w:val="0"/>
          <w:marTop w:val="0"/>
          <w:marBottom w:val="0"/>
          <w:divBdr>
            <w:top w:val="none" w:sz="0" w:space="0" w:color="auto"/>
            <w:left w:val="none" w:sz="0" w:space="0" w:color="auto"/>
            <w:bottom w:val="none" w:sz="0" w:space="0" w:color="auto"/>
            <w:right w:val="none" w:sz="0" w:space="0" w:color="auto"/>
          </w:divBdr>
          <w:divsChild>
            <w:div w:id="1012343083">
              <w:marLeft w:val="0"/>
              <w:marRight w:val="0"/>
              <w:marTop w:val="0"/>
              <w:marBottom w:val="0"/>
              <w:divBdr>
                <w:top w:val="none" w:sz="0" w:space="0" w:color="auto"/>
                <w:left w:val="none" w:sz="0" w:space="0" w:color="auto"/>
                <w:bottom w:val="none" w:sz="0" w:space="0" w:color="auto"/>
                <w:right w:val="none" w:sz="0" w:space="0" w:color="auto"/>
              </w:divBdr>
            </w:div>
          </w:divsChild>
        </w:div>
        <w:div w:id="1861123121">
          <w:marLeft w:val="0"/>
          <w:marRight w:val="0"/>
          <w:marTop w:val="0"/>
          <w:marBottom w:val="0"/>
          <w:divBdr>
            <w:top w:val="none" w:sz="0" w:space="0" w:color="auto"/>
            <w:left w:val="none" w:sz="0" w:space="0" w:color="auto"/>
            <w:bottom w:val="none" w:sz="0" w:space="0" w:color="auto"/>
            <w:right w:val="none" w:sz="0" w:space="0" w:color="auto"/>
          </w:divBdr>
          <w:divsChild>
            <w:div w:id="1408458565">
              <w:marLeft w:val="0"/>
              <w:marRight w:val="0"/>
              <w:marTop w:val="0"/>
              <w:marBottom w:val="0"/>
              <w:divBdr>
                <w:top w:val="none" w:sz="0" w:space="0" w:color="auto"/>
                <w:left w:val="none" w:sz="0" w:space="0" w:color="auto"/>
                <w:bottom w:val="none" w:sz="0" w:space="0" w:color="auto"/>
                <w:right w:val="none" w:sz="0" w:space="0" w:color="auto"/>
              </w:divBdr>
            </w:div>
          </w:divsChild>
        </w:div>
        <w:div w:id="1862888525">
          <w:marLeft w:val="0"/>
          <w:marRight w:val="0"/>
          <w:marTop w:val="0"/>
          <w:marBottom w:val="0"/>
          <w:divBdr>
            <w:top w:val="none" w:sz="0" w:space="0" w:color="auto"/>
            <w:left w:val="none" w:sz="0" w:space="0" w:color="auto"/>
            <w:bottom w:val="none" w:sz="0" w:space="0" w:color="auto"/>
            <w:right w:val="none" w:sz="0" w:space="0" w:color="auto"/>
          </w:divBdr>
          <w:divsChild>
            <w:div w:id="498423003">
              <w:marLeft w:val="0"/>
              <w:marRight w:val="0"/>
              <w:marTop w:val="0"/>
              <w:marBottom w:val="0"/>
              <w:divBdr>
                <w:top w:val="none" w:sz="0" w:space="0" w:color="auto"/>
                <w:left w:val="none" w:sz="0" w:space="0" w:color="auto"/>
                <w:bottom w:val="none" w:sz="0" w:space="0" w:color="auto"/>
                <w:right w:val="none" w:sz="0" w:space="0" w:color="auto"/>
              </w:divBdr>
            </w:div>
          </w:divsChild>
        </w:div>
        <w:div w:id="1869221443">
          <w:marLeft w:val="0"/>
          <w:marRight w:val="0"/>
          <w:marTop w:val="0"/>
          <w:marBottom w:val="0"/>
          <w:divBdr>
            <w:top w:val="none" w:sz="0" w:space="0" w:color="auto"/>
            <w:left w:val="none" w:sz="0" w:space="0" w:color="auto"/>
            <w:bottom w:val="none" w:sz="0" w:space="0" w:color="auto"/>
            <w:right w:val="none" w:sz="0" w:space="0" w:color="auto"/>
          </w:divBdr>
          <w:divsChild>
            <w:div w:id="1808937493">
              <w:marLeft w:val="0"/>
              <w:marRight w:val="0"/>
              <w:marTop w:val="0"/>
              <w:marBottom w:val="0"/>
              <w:divBdr>
                <w:top w:val="none" w:sz="0" w:space="0" w:color="auto"/>
                <w:left w:val="none" w:sz="0" w:space="0" w:color="auto"/>
                <w:bottom w:val="none" w:sz="0" w:space="0" w:color="auto"/>
                <w:right w:val="none" w:sz="0" w:space="0" w:color="auto"/>
              </w:divBdr>
            </w:div>
          </w:divsChild>
        </w:div>
        <w:div w:id="1881240738">
          <w:marLeft w:val="0"/>
          <w:marRight w:val="0"/>
          <w:marTop w:val="0"/>
          <w:marBottom w:val="0"/>
          <w:divBdr>
            <w:top w:val="none" w:sz="0" w:space="0" w:color="auto"/>
            <w:left w:val="none" w:sz="0" w:space="0" w:color="auto"/>
            <w:bottom w:val="none" w:sz="0" w:space="0" w:color="auto"/>
            <w:right w:val="none" w:sz="0" w:space="0" w:color="auto"/>
          </w:divBdr>
          <w:divsChild>
            <w:div w:id="576206398">
              <w:marLeft w:val="0"/>
              <w:marRight w:val="0"/>
              <w:marTop w:val="0"/>
              <w:marBottom w:val="0"/>
              <w:divBdr>
                <w:top w:val="none" w:sz="0" w:space="0" w:color="auto"/>
                <w:left w:val="none" w:sz="0" w:space="0" w:color="auto"/>
                <w:bottom w:val="none" w:sz="0" w:space="0" w:color="auto"/>
                <w:right w:val="none" w:sz="0" w:space="0" w:color="auto"/>
              </w:divBdr>
            </w:div>
          </w:divsChild>
        </w:div>
        <w:div w:id="1883974828">
          <w:marLeft w:val="0"/>
          <w:marRight w:val="0"/>
          <w:marTop w:val="0"/>
          <w:marBottom w:val="0"/>
          <w:divBdr>
            <w:top w:val="none" w:sz="0" w:space="0" w:color="auto"/>
            <w:left w:val="none" w:sz="0" w:space="0" w:color="auto"/>
            <w:bottom w:val="none" w:sz="0" w:space="0" w:color="auto"/>
            <w:right w:val="none" w:sz="0" w:space="0" w:color="auto"/>
          </w:divBdr>
          <w:divsChild>
            <w:div w:id="1459492792">
              <w:marLeft w:val="0"/>
              <w:marRight w:val="0"/>
              <w:marTop w:val="0"/>
              <w:marBottom w:val="0"/>
              <w:divBdr>
                <w:top w:val="none" w:sz="0" w:space="0" w:color="auto"/>
                <w:left w:val="none" w:sz="0" w:space="0" w:color="auto"/>
                <w:bottom w:val="none" w:sz="0" w:space="0" w:color="auto"/>
                <w:right w:val="none" w:sz="0" w:space="0" w:color="auto"/>
              </w:divBdr>
            </w:div>
          </w:divsChild>
        </w:div>
        <w:div w:id="1893610566">
          <w:marLeft w:val="0"/>
          <w:marRight w:val="0"/>
          <w:marTop w:val="0"/>
          <w:marBottom w:val="0"/>
          <w:divBdr>
            <w:top w:val="none" w:sz="0" w:space="0" w:color="auto"/>
            <w:left w:val="none" w:sz="0" w:space="0" w:color="auto"/>
            <w:bottom w:val="none" w:sz="0" w:space="0" w:color="auto"/>
            <w:right w:val="none" w:sz="0" w:space="0" w:color="auto"/>
          </w:divBdr>
          <w:divsChild>
            <w:div w:id="818152157">
              <w:marLeft w:val="0"/>
              <w:marRight w:val="0"/>
              <w:marTop w:val="0"/>
              <w:marBottom w:val="0"/>
              <w:divBdr>
                <w:top w:val="none" w:sz="0" w:space="0" w:color="auto"/>
                <w:left w:val="none" w:sz="0" w:space="0" w:color="auto"/>
                <w:bottom w:val="none" w:sz="0" w:space="0" w:color="auto"/>
                <w:right w:val="none" w:sz="0" w:space="0" w:color="auto"/>
              </w:divBdr>
            </w:div>
          </w:divsChild>
        </w:div>
        <w:div w:id="1895391671">
          <w:marLeft w:val="0"/>
          <w:marRight w:val="0"/>
          <w:marTop w:val="0"/>
          <w:marBottom w:val="0"/>
          <w:divBdr>
            <w:top w:val="none" w:sz="0" w:space="0" w:color="auto"/>
            <w:left w:val="none" w:sz="0" w:space="0" w:color="auto"/>
            <w:bottom w:val="none" w:sz="0" w:space="0" w:color="auto"/>
            <w:right w:val="none" w:sz="0" w:space="0" w:color="auto"/>
          </w:divBdr>
          <w:divsChild>
            <w:div w:id="92673362">
              <w:marLeft w:val="0"/>
              <w:marRight w:val="0"/>
              <w:marTop w:val="0"/>
              <w:marBottom w:val="0"/>
              <w:divBdr>
                <w:top w:val="none" w:sz="0" w:space="0" w:color="auto"/>
                <w:left w:val="none" w:sz="0" w:space="0" w:color="auto"/>
                <w:bottom w:val="none" w:sz="0" w:space="0" w:color="auto"/>
                <w:right w:val="none" w:sz="0" w:space="0" w:color="auto"/>
              </w:divBdr>
            </w:div>
          </w:divsChild>
        </w:div>
        <w:div w:id="1911112046">
          <w:marLeft w:val="0"/>
          <w:marRight w:val="0"/>
          <w:marTop w:val="0"/>
          <w:marBottom w:val="0"/>
          <w:divBdr>
            <w:top w:val="none" w:sz="0" w:space="0" w:color="auto"/>
            <w:left w:val="none" w:sz="0" w:space="0" w:color="auto"/>
            <w:bottom w:val="none" w:sz="0" w:space="0" w:color="auto"/>
            <w:right w:val="none" w:sz="0" w:space="0" w:color="auto"/>
          </w:divBdr>
          <w:divsChild>
            <w:div w:id="951742818">
              <w:marLeft w:val="0"/>
              <w:marRight w:val="0"/>
              <w:marTop w:val="0"/>
              <w:marBottom w:val="0"/>
              <w:divBdr>
                <w:top w:val="none" w:sz="0" w:space="0" w:color="auto"/>
                <w:left w:val="none" w:sz="0" w:space="0" w:color="auto"/>
                <w:bottom w:val="none" w:sz="0" w:space="0" w:color="auto"/>
                <w:right w:val="none" w:sz="0" w:space="0" w:color="auto"/>
              </w:divBdr>
            </w:div>
          </w:divsChild>
        </w:div>
        <w:div w:id="1913847980">
          <w:marLeft w:val="0"/>
          <w:marRight w:val="0"/>
          <w:marTop w:val="0"/>
          <w:marBottom w:val="0"/>
          <w:divBdr>
            <w:top w:val="none" w:sz="0" w:space="0" w:color="auto"/>
            <w:left w:val="none" w:sz="0" w:space="0" w:color="auto"/>
            <w:bottom w:val="none" w:sz="0" w:space="0" w:color="auto"/>
            <w:right w:val="none" w:sz="0" w:space="0" w:color="auto"/>
          </w:divBdr>
          <w:divsChild>
            <w:div w:id="1818716477">
              <w:marLeft w:val="0"/>
              <w:marRight w:val="0"/>
              <w:marTop w:val="0"/>
              <w:marBottom w:val="0"/>
              <w:divBdr>
                <w:top w:val="none" w:sz="0" w:space="0" w:color="auto"/>
                <w:left w:val="none" w:sz="0" w:space="0" w:color="auto"/>
                <w:bottom w:val="none" w:sz="0" w:space="0" w:color="auto"/>
                <w:right w:val="none" w:sz="0" w:space="0" w:color="auto"/>
              </w:divBdr>
            </w:div>
          </w:divsChild>
        </w:div>
        <w:div w:id="1915627999">
          <w:marLeft w:val="0"/>
          <w:marRight w:val="0"/>
          <w:marTop w:val="0"/>
          <w:marBottom w:val="0"/>
          <w:divBdr>
            <w:top w:val="none" w:sz="0" w:space="0" w:color="auto"/>
            <w:left w:val="none" w:sz="0" w:space="0" w:color="auto"/>
            <w:bottom w:val="none" w:sz="0" w:space="0" w:color="auto"/>
            <w:right w:val="none" w:sz="0" w:space="0" w:color="auto"/>
          </w:divBdr>
          <w:divsChild>
            <w:div w:id="1872910455">
              <w:marLeft w:val="0"/>
              <w:marRight w:val="0"/>
              <w:marTop w:val="0"/>
              <w:marBottom w:val="0"/>
              <w:divBdr>
                <w:top w:val="none" w:sz="0" w:space="0" w:color="auto"/>
                <w:left w:val="none" w:sz="0" w:space="0" w:color="auto"/>
                <w:bottom w:val="none" w:sz="0" w:space="0" w:color="auto"/>
                <w:right w:val="none" w:sz="0" w:space="0" w:color="auto"/>
              </w:divBdr>
            </w:div>
          </w:divsChild>
        </w:div>
        <w:div w:id="1916014833">
          <w:marLeft w:val="0"/>
          <w:marRight w:val="0"/>
          <w:marTop w:val="0"/>
          <w:marBottom w:val="0"/>
          <w:divBdr>
            <w:top w:val="none" w:sz="0" w:space="0" w:color="auto"/>
            <w:left w:val="none" w:sz="0" w:space="0" w:color="auto"/>
            <w:bottom w:val="none" w:sz="0" w:space="0" w:color="auto"/>
            <w:right w:val="none" w:sz="0" w:space="0" w:color="auto"/>
          </w:divBdr>
          <w:divsChild>
            <w:div w:id="533274989">
              <w:marLeft w:val="0"/>
              <w:marRight w:val="0"/>
              <w:marTop w:val="0"/>
              <w:marBottom w:val="0"/>
              <w:divBdr>
                <w:top w:val="none" w:sz="0" w:space="0" w:color="auto"/>
                <w:left w:val="none" w:sz="0" w:space="0" w:color="auto"/>
                <w:bottom w:val="none" w:sz="0" w:space="0" w:color="auto"/>
                <w:right w:val="none" w:sz="0" w:space="0" w:color="auto"/>
              </w:divBdr>
            </w:div>
          </w:divsChild>
        </w:div>
        <w:div w:id="1917781790">
          <w:marLeft w:val="0"/>
          <w:marRight w:val="0"/>
          <w:marTop w:val="0"/>
          <w:marBottom w:val="0"/>
          <w:divBdr>
            <w:top w:val="none" w:sz="0" w:space="0" w:color="auto"/>
            <w:left w:val="none" w:sz="0" w:space="0" w:color="auto"/>
            <w:bottom w:val="none" w:sz="0" w:space="0" w:color="auto"/>
            <w:right w:val="none" w:sz="0" w:space="0" w:color="auto"/>
          </w:divBdr>
          <w:divsChild>
            <w:div w:id="1376613947">
              <w:marLeft w:val="0"/>
              <w:marRight w:val="0"/>
              <w:marTop w:val="0"/>
              <w:marBottom w:val="0"/>
              <w:divBdr>
                <w:top w:val="none" w:sz="0" w:space="0" w:color="auto"/>
                <w:left w:val="none" w:sz="0" w:space="0" w:color="auto"/>
                <w:bottom w:val="none" w:sz="0" w:space="0" w:color="auto"/>
                <w:right w:val="none" w:sz="0" w:space="0" w:color="auto"/>
              </w:divBdr>
            </w:div>
          </w:divsChild>
        </w:div>
        <w:div w:id="1918590318">
          <w:marLeft w:val="0"/>
          <w:marRight w:val="0"/>
          <w:marTop w:val="0"/>
          <w:marBottom w:val="0"/>
          <w:divBdr>
            <w:top w:val="none" w:sz="0" w:space="0" w:color="auto"/>
            <w:left w:val="none" w:sz="0" w:space="0" w:color="auto"/>
            <w:bottom w:val="none" w:sz="0" w:space="0" w:color="auto"/>
            <w:right w:val="none" w:sz="0" w:space="0" w:color="auto"/>
          </w:divBdr>
          <w:divsChild>
            <w:div w:id="42604445">
              <w:marLeft w:val="0"/>
              <w:marRight w:val="0"/>
              <w:marTop w:val="0"/>
              <w:marBottom w:val="0"/>
              <w:divBdr>
                <w:top w:val="none" w:sz="0" w:space="0" w:color="auto"/>
                <w:left w:val="none" w:sz="0" w:space="0" w:color="auto"/>
                <w:bottom w:val="none" w:sz="0" w:space="0" w:color="auto"/>
                <w:right w:val="none" w:sz="0" w:space="0" w:color="auto"/>
              </w:divBdr>
            </w:div>
          </w:divsChild>
        </w:div>
        <w:div w:id="1918709214">
          <w:marLeft w:val="0"/>
          <w:marRight w:val="0"/>
          <w:marTop w:val="0"/>
          <w:marBottom w:val="0"/>
          <w:divBdr>
            <w:top w:val="none" w:sz="0" w:space="0" w:color="auto"/>
            <w:left w:val="none" w:sz="0" w:space="0" w:color="auto"/>
            <w:bottom w:val="none" w:sz="0" w:space="0" w:color="auto"/>
            <w:right w:val="none" w:sz="0" w:space="0" w:color="auto"/>
          </w:divBdr>
          <w:divsChild>
            <w:div w:id="2004889313">
              <w:marLeft w:val="0"/>
              <w:marRight w:val="0"/>
              <w:marTop w:val="0"/>
              <w:marBottom w:val="0"/>
              <w:divBdr>
                <w:top w:val="none" w:sz="0" w:space="0" w:color="auto"/>
                <w:left w:val="none" w:sz="0" w:space="0" w:color="auto"/>
                <w:bottom w:val="none" w:sz="0" w:space="0" w:color="auto"/>
                <w:right w:val="none" w:sz="0" w:space="0" w:color="auto"/>
              </w:divBdr>
            </w:div>
          </w:divsChild>
        </w:div>
        <w:div w:id="1926721976">
          <w:marLeft w:val="0"/>
          <w:marRight w:val="0"/>
          <w:marTop w:val="0"/>
          <w:marBottom w:val="0"/>
          <w:divBdr>
            <w:top w:val="none" w:sz="0" w:space="0" w:color="auto"/>
            <w:left w:val="none" w:sz="0" w:space="0" w:color="auto"/>
            <w:bottom w:val="none" w:sz="0" w:space="0" w:color="auto"/>
            <w:right w:val="none" w:sz="0" w:space="0" w:color="auto"/>
          </w:divBdr>
          <w:divsChild>
            <w:div w:id="93093266">
              <w:marLeft w:val="0"/>
              <w:marRight w:val="0"/>
              <w:marTop w:val="0"/>
              <w:marBottom w:val="0"/>
              <w:divBdr>
                <w:top w:val="none" w:sz="0" w:space="0" w:color="auto"/>
                <w:left w:val="none" w:sz="0" w:space="0" w:color="auto"/>
                <w:bottom w:val="none" w:sz="0" w:space="0" w:color="auto"/>
                <w:right w:val="none" w:sz="0" w:space="0" w:color="auto"/>
              </w:divBdr>
            </w:div>
          </w:divsChild>
        </w:div>
        <w:div w:id="1931036017">
          <w:marLeft w:val="0"/>
          <w:marRight w:val="0"/>
          <w:marTop w:val="0"/>
          <w:marBottom w:val="0"/>
          <w:divBdr>
            <w:top w:val="none" w:sz="0" w:space="0" w:color="auto"/>
            <w:left w:val="none" w:sz="0" w:space="0" w:color="auto"/>
            <w:bottom w:val="none" w:sz="0" w:space="0" w:color="auto"/>
            <w:right w:val="none" w:sz="0" w:space="0" w:color="auto"/>
          </w:divBdr>
          <w:divsChild>
            <w:div w:id="1493133679">
              <w:marLeft w:val="0"/>
              <w:marRight w:val="0"/>
              <w:marTop w:val="0"/>
              <w:marBottom w:val="0"/>
              <w:divBdr>
                <w:top w:val="none" w:sz="0" w:space="0" w:color="auto"/>
                <w:left w:val="none" w:sz="0" w:space="0" w:color="auto"/>
                <w:bottom w:val="none" w:sz="0" w:space="0" w:color="auto"/>
                <w:right w:val="none" w:sz="0" w:space="0" w:color="auto"/>
              </w:divBdr>
            </w:div>
          </w:divsChild>
        </w:div>
        <w:div w:id="1931771351">
          <w:marLeft w:val="0"/>
          <w:marRight w:val="0"/>
          <w:marTop w:val="0"/>
          <w:marBottom w:val="0"/>
          <w:divBdr>
            <w:top w:val="none" w:sz="0" w:space="0" w:color="auto"/>
            <w:left w:val="none" w:sz="0" w:space="0" w:color="auto"/>
            <w:bottom w:val="none" w:sz="0" w:space="0" w:color="auto"/>
            <w:right w:val="none" w:sz="0" w:space="0" w:color="auto"/>
          </w:divBdr>
          <w:divsChild>
            <w:div w:id="118764527">
              <w:marLeft w:val="0"/>
              <w:marRight w:val="0"/>
              <w:marTop w:val="0"/>
              <w:marBottom w:val="0"/>
              <w:divBdr>
                <w:top w:val="none" w:sz="0" w:space="0" w:color="auto"/>
                <w:left w:val="none" w:sz="0" w:space="0" w:color="auto"/>
                <w:bottom w:val="none" w:sz="0" w:space="0" w:color="auto"/>
                <w:right w:val="none" w:sz="0" w:space="0" w:color="auto"/>
              </w:divBdr>
            </w:div>
          </w:divsChild>
        </w:div>
        <w:div w:id="1933930514">
          <w:marLeft w:val="0"/>
          <w:marRight w:val="0"/>
          <w:marTop w:val="0"/>
          <w:marBottom w:val="0"/>
          <w:divBdr>
            <w:top w:val="none" w:sz="0" w:space="0" w:color="auto"/>
            <w:left w:val="none" w:sz="0" w:space="0" w:color="auto"/>
            <w:bottom w:val="none" w:sz="0" w:space="0" w:color="auto"/>
            <w:right w:val="none" w:sz="0" w:space="0" w:color="auto"/>
          </w:divBdr>
          <w:divsChild>
            <w:div w:id="589586882">
              <w:marLeft w:val="0"/>
              <w:marRight w:val="0"/>
              <w:marTop w:val="0"/>
              <w:marBottom w:val="0"/>
              <w:divBdr>
                <w:top w:val="none" w:sz="0" w:space="0" w:color="auto"/>
                <w:left w:val="none" w:sz="0" w:space="0" w:color="auto"/>
                <w:bottom w:val="none" w:sz="0" w:space="0" w:color="auto"/>
                <w:right w:val="none" w:sz="0" w:space="0" w:color="auto"/>
              </w:divBdr>
            </w:div>
          </w:divsChild>
        </w:div>
        <w:div w:id="1939370415">
          <w:marLeft w:val="0"/>
          <w:marRight w:val="0"/>
          <w:marTop w:val="0"/>
          <w:marBottom w:val="0"/>
          <w:divBdr>
            <w:top w:val="none" w:sz="0" w:space="0" w:color="auto"/>
            <w:left w:val="none" w:sz="0" w:space="0" w:color="auto"/>
            <w:bottom w:val="none" w:sz="0" w:space="0" w:color="auto"/>
            <w:right w:val="none" w:sz="0" w:space="0" w:color="auto"/>
          </w:divBdr>
          <w:divsChild>
            <w:div w:id="2101640043">
              <w:marLeft w:val="0"/>
              <w:marRight w:val="0"/>
              <w:marTop w:val="0"/>
              <w:marBottom w:val="0"/>
              <w:divBdr>
                <w:top w:val="none" w:sz="0" w:space="0" w:color="auto"/>
                <w:left w:val="none" w:sz="0" w:space="0" w:color="auto"/>
                <w:bottom w:val="none" w:sz="0" w:space="0" w:color="auto"/>
                <w:right w:val="none" w:sz="0" w:space="0" w:color="auto"/>
              </w:divBdr>
            </w:div>
          </w:divsChild>
        </w:div>
        <w:div w:id="1943369480">
          <w:marLeft w:val="0"/>
          <w:marRight w:val="0"/>
          <w:marTop w:val="0"/>
          <w:marBottom w:val="0"/>
          <w:divBdr>
            <w:top w:val="none" w:sz="0" w:space="0" w:color="auto"/>
            <w:left w:val="none" w:sz="0" w:space="0" w:color="auto"/>
            <w:bottom w:val="none" w:sz="0" w:space="0" w:color="auto"/>
            <w:right w:val="none" w:sz="0" w:space="0" w:color="auto"/>
          </w:divBdr>
          <w:divsChild>
            <w:div w:id="65343879">
              <w:marLeft w:val="0"/>
              <w:marRight w:val="0"/>
              <w:marTop w:val="0"/>
              <w:marBottom w:val="0"/>
              <w:divBdr>
                <w:top w:val="none" w:sz="0" w:space="0" w:color="auto"/>
                <w:left w:val="none" w:sz="0" w:space="0" w:color="auto"/>
                <w:bottom w:val="none" w:sz="0" w:space="0" w:color="auto"/>
                <w:right w:val="none" w:sz="0" w:space="0" w:color="auto"/>
              </w:divBdr>
            </w:div>
          </w:divsChild>
        </w:div>
        <w:div w:id="1945383122">
          <w:marLeft w:val="0"/>
          <w:marRight w:val="0"/>
          <w:marTop w:val="0"/>
          <w:marBottom w:val="0"/>
          <w:divBdr>
            <w:top w:val="none" w:sz="0" w:space="0" w:color="auto"/>
            <w:left w:val="none" w:sz="0" w:space="0" w:color="auto"/>
            <w:bottom w:val="none" w:sz="0" w:space="0" w:color="auto"/>
            <w:right w:val="none" w:sz="0" w:space="0" w:color="auto"/>
          </w:divBdr>
          <w:divsChild>
            <w:div w:id="496460176">
              <w:marLeft w:val="0"/>
              <w:marRight w:val="0"/>
              <w:marTop w:val="0"/>
              <w:marBottom w:val="0"/>
              <w:divBdr>
                <w:top w:val="none" w:sz="0" w:space="0" w:color="auto"/>
                <w:left w:val="none" w:sz="0" w:space="0" w:color="auto"/>
                <w:bottom w:val="none" w:sz="0" w:space="0" w:color="auto"/>
                <w:right w:val="none" w:sz="0" w:space="0" w:color="auto"/>
              </w:divBdr>
            </w:div>
          </w:divsChild>
        </w:div>
        <w:div w:id="1947155759">
          <w:marLeft w:val="0"/>
          <w:marRight w:val="0"/>
          <w:marTop w:val="0"/>
          <w:marBottom w:val="0"/>
          <w:divBdr>
            <w:top w:val="none" w:sz="0" w:space="0" w:color="auto"/>
            <w:left w:val="none" w:sz="0" w:space="0" w:color="auto"/>
            <w:bottom w:val="none" w:sz="0" w:space="0" w:color="auto"/>
            <w:right w:val="none" w:sz="0" w:space="0" w:color="auto"/>
          </w:divBdr>
          <w:divsChild>
            <w:div w:id="8724292">
              <w:marLeft w:val="0"/>
              <w:marRight w:val="0"/>
              <w:marTop w:val="0"/>
              <w:marBottom w:val="0"/>
              <w:divBdr>
                <w:top w:val="none" w:sz="0" w:space="0" w:color="auto"/>
                <w:left w:val="none" w:sz="0" w:space="0" w:color="auto"/>
                <w:bottom w:val="none" w:sz="0" w:space="0" w:color="auto"/>
                <w:right w:val="none" w:sz="0" w:space="0" w:color="auto"/>
              </w:divBdr>
            </w:div>
          </w:divsChild>
        </w:div>
        <w:div w:id="1949845898">
          <w:marLeft w:val="0"/>
          <w:marRight w:val="0"/>
          <w:marTop w:val="0"/>
          <w:marBottom w:val="0"/>
          <w:divBdr>
            <w:top w:val="none" w:sz="0" w:space="0" w:color="auto"/>
            <w:left w:val="none" w:sz="0" w:space="0" w:color="auto"/>
            <w:bottom w:val="none" w:sz="0" w:space="0" w:color="auto"/>
            <w:right w:val="none" w:sz="0" w:space="0" w:color="auto"/>
          </w:divBdr>
          <w:divsChild>
            <w:div w:id="134492520">
              <w:marLeft w:val="0"/>
              <w:marRight w:val="0"/>
              <w:marTop w:val="0"/>
              <w:marBottom w:val="0"/>
              <w:divBdr>
                <w:top w:val="none" w:sz="0" w:space="0" w:color="auto"/>
                <w:left w:val="none" w:sz="0" w:space="0" w:color="auto"/>
                <w:bottom w:val="none" w:sz="0" w:space="0" w:color="auto"/>
                <w:right w:val="none" w:sz="0" w:space="0" w:color="auto"/>
              </w:divBdr>
            </w:div>
          </w:divsChild>
        </w:div>
        <w:div w:id="1953974574">
          <w:marLeft w:val="0"/>
          <w:marRight w:val="0"/>
          <w:marTop w:val="0"/>
          <w:marBottom w:val="0"/>
          <w:divBdr>
            <w:top w:val="none" w:sz="0" w:space="0" w:color="auto"/>
            <w:left w:val="none" w:sz="0" w:space="0" w:color="auto"/>
            <w:bottom w:val="none" w:sz="0" w:space="0" w:color="auto"/>
            <w:right w:val="none" w:sz="0" w:space="0" w:color="auto"/>
          </w:divBdr>
          <w:divsChild>
            <w:div w:id="233978530">
              <w:marLeft w:val="0"/>
              <w:marRight w:val="0"/>
              <w:marTop w:val="0"/>
              <w:marBottom w:val="0"/>
              <w:divBdr>
                <w:top w:val="none" w:sz="0" w:space="0" w:color="auto"/>
                <w:left w:val="none" w:sz="0" w:space="0" w:color="auto"/>
                <w:bottom w:val="none" w:sz="0" w:space="0" w:color="auto"/>
                <w:right w:val="none" w:sz="0" w:space="0" w:color="auto"/>
              </w:divBdr>
            </w:div>
          </w:divsChild>
        </w:div>
        <w:div w:id="1954288657">
          <w:marLeft w:val="0"/>
          <w:marRight w:val="0"/>
          <w:marTop w:val="0"/>
          <w:marBottom w:val="0"/>
          <w:divBdr>
            <w:top w:val="none" w:sz="0" w:space="0" w:color="auto"/>
            <w:left w:val="none" w:sz="0" w:space="0" w:color="auto"/>
            <w:bottom w:val="none" w:sz="0" w:space="0" w:color="auto"/>
            <w:right w:val="none" w:sz="0" w:space="0" w:color="auto"/>
          </w:divBdr>
          <w:divsChild>
            <w:div w:id="1239632924">
              <w:marLeft w:val="0"/>
              <w:marRight w:val="0"/>
              <w:marTop w:val="0"/>
              <w:marBottom w:val="0"/>
              <w:divBdr>
                <w:top w:val="none" w:sz="0" w:space="0" w:color="auto"/>
                <w:left w:val="none" w:sz="0" w:space="0" w:color="auto"/>
                <w:bottom w:val="none" w:sz="0" w:space="0" w:color="auto"/>
                <w:right w:val="none" w:sz="0" w:space="0" w:color="auto"/>
              </w:divBdr>
            </w:div>
          </w:divsChild>
        </w:div>
        <w:div w:id="1956710189">
          <w:marLeft w:val="0"/>
          <w:marRight w:val="0"/>
          <w:marTop w:val="0"/>
          <w:marBottom w:val="0"/>
          <w:divBdr>
            <w:top w:val="none" w:sz="0" w:space="0" w:color="auto"/>
            <w:left w:val="none" w:sz="0" w:space="0" w:color="auto"/>
            <w:bottom w:val="none" w:sz="0" w:space="0" w:color="auto"/>
            <w:right w:val="none" w:sz="0" w:space="0" w:color="auto"/>
          </w:divBdr>
          <w:divsChild>
            <w:div w:id="1006976741">
              <w:marLeft w:val="0"/>
              <w:marRight w:val="0"/>
              <w:marTop w:val="0"/>
              <w:marBottom w:val="0"/>
              <w:divBdr>
                <w:top w:val="none" w:sz="0" w:space="0" w:color="auto"/>
                <w:left w:val="none" w:sz="0" w:space="0" w:color="auto"/>
                <w:bottom w:val="none" w:sz="0" w:space="0" w:color="auto"/>
                <w:right w:val="none" w:sz="0" w:space="0" w:color="auto"/>
              </w:divBdr>
            </w:div>
          </w:divsChild>
        </w:div>
        <w:div w:id="1966344989">
          <w:marLeft w:val="0"/>
          <w:marRight w:val="0"/>
          <w:marTop w:val="0"/>
          <w:marBottom w:val="0"/>
          <w:divBdr>
            <w:top w:val="none" w:sz="0" w:space="0" w:color="auto"/>
            <w:left w:val="none" w:sz="0" w:space="0" w:color="auto"/>
            <w:bottom w:val="none" w:sz="0" w:space="0" w:color="auto"/>
            <w:right w:val="none" w:sz="0" w:space="0" w:color="auto"/>
          </w:divBdr>
          <w:divsChild>
            <w:div w:id="198126041">
              <w:marLeft w:val="0"/>
              <w:marRight w:val="0"/>
              <w:marTop w:val="0"/>
              <w:marBottom w:val="0"/>
              <w:divBdr>
                <w:top w:val="none" w:sz="0" w:space="0" w:color="auto"/>
                <w:left w:val="none" w:sz="0" w:space="0" w:color="auto"/>
                <w:bottom w:val="none" w:sz="0" w:space="0" w:color="auto"/>
                <w:right w:val="none" w:sz="0" w:space="0" w:color="auto"/>
              </w:divBdr>
            </w:div>
          </w:divsChild>
        </w:div>
        <w:div w:id="1966766332">
          <w:marLeft w:val="0"/>
          <w:marRight w:val="0"/>
          <w:marTop w:val="0"/>
          <w:marBottom w:val="0"/>
          <w:divBdr>
            <w:top w:val="none" w:sz="0" w:space="0" w:color="auto"/>
            <w:left w:val="none" w:sz="0" w:space="0" w:color="auto"/>
            <w:bottom w:val="none" w:sz="0" w:space="0" w:color="auto"/>
            <w:right w:val="none" w:sz="0" w:space="0" w:color="auto"/>
          </w:divBdr>
          <w:divsChild>
            <w:div w:id="1829133855">
              <w:marLeft w:val="0"/>
              <w:marRight w:val="0"/>
              <w:marTop w:val="0"/>
              <w:marBottom w:val="0"/>
              <w:divBdr>
                <w:top w:val="none" w:sz="0" w:space="0" w:color="auto"/>
                <w:left w:val="none" w:sz="0" w:space="0" w:color="auto"/>
                <w:bottom w:val="none" w:sz="0" w:space="0" w:color="auto"/>
                <w:right w:val="none" w:sz="0" w:space="0" w:color="auto"/>
              </w:divBdr>
            </w:div>
          </w:divsChild>
        </w:div>
        <w:div w:id="1971594316">
          <w:marLeft w:val="0"/>
          <w:marRight w:val="0"/>
          <w:marTop w:val="0"/>
          <w:marBottom w:val="0"/>
          <w:divBdr>
            <w:top w:val="none" w:sz="0" w:space="0" w:color="auto"/>
            <w:left w:val="none" w:sz="0" w:space="0" w:color="auto"/>
            <w:bottom w:val="none" w:sz="0" w:space="0" w:color="auto"/>
            <w:right w:val="none" w:sz="0" w:space="0" w:color="auto"/>
          </w:divBdr>
          <w:divsChild>
            <w:div w:id="1482384064">
              <w:marLeft w:val="0"/>
              <w:marRight w:val="0"/>
              <w:marTop w:val="0"/>
              <w:marBottom w:val="0"/>
              <w:divBdr>
                <w:top w:val="none" w:sz="0" w:space="0" w:color="auto"/>
                <w:left w:val="none" w:sz="0" w:space="0" w:color="auto"/>
                <w:bottom w:val="none" w:sz="0" w:space="0" w:color="auto"/>
                <w:right w:val="none" w:sz="0" w:space="0" w:color="auto"/>
              </w:divBdr>
            </w:div>
          </w:divsChild>
        </w:div>
        <w:div w:id="1978338385">
          <w:marLeft w:val="0"/>
          <w:marRight w:val="0"/>
          <w:marTop w:val="0"/>
          <w:marBottom w:val="0"/>
          <w:divBdr>
            <w:top w:val="none" w:sz="0" w:space="0" w:color="auto"/>
            <w:left w:val="none" w:sz="0" w:space="0" w:color="auto"/>
            <w:bottom w:val="none" w:sz="0" w:space="0" w:color="auto"/>
            <w:right w:val="none" w:sz="0" w:space="0" w:color="auto"/>
          </w:divBdr>
          <w:divsChild>
            <w:div w:id="2065908884">
              <w:marLeft w:val="0"/>
              <w:marRight w:val="0"/>
              <w:marTop w:val="0"/>
              <w:marBottom w:val="0"/>
              <w:divBdr>
                <w:top w:val="none" w:sz="0" w:space="0" w:color="auto"/>
                <w:left w:val="none" w:sz="0" w:space="0" w:color="auto"/>
                <w:bottom w:val="none" w:sz="0" w:space="0" w:color="auto"/>
                <w:right w:val="none" w:sz="0" w:space="0" w:color="auto"/>
              </w:divBdr>
            </w:div>
          </w:divsChild>
        </w:div>
        <w:div w:id="1981032966">
          <w:marLeft w:val="0"/>
          <w:marRight w:val="0"/>
          <w:marTop w:val="0"/>
          <w:marBottom w:val="0"/>
          <w:divBdr>
            <w:top w:val="none" w:sz="0" w:space="0" w:color="auto"/>
            <w:left w:val="none" w:sz="0" w:space="0" w:color="auto"/>
            <w:bottom w:val="none" w:sz="0" w:space="0" w:color="auto"/>
            <w:right w:val="none" w:sz="0" w:space="0" w:color="auto"/>
          </w:divBdr>
          <w:divsChild>
            <w:div w:id="201551736">
              <w:marLeft w:val="0"/>
              <w:marRight w:val="0"/>
              <w:marTop w:val="0"/>
              <w:marBottom w:val="0"/>
              <w:divBdr>
                <w:top w:val="none" w:sz="0" w:space="0" w:color="auto"/>
                <w:left w:val="none" w:sz="0" w:space="0" w:color="auto"/>
                <w:bottom w:val="none" w:sz="0" w:space="0" w:color="auto"/>
                <w:right w:val="none" w:sz="0" w:space="0" w:color="auto"/>
              </w:divBdr>
            </w:div>
          </w:divsChild>
        </w:div>
        <w:div w:id="1990087265">
          <w:marLeft w:val="0"/>
          <w:marRight w:val="0"/>
          <w:marTop w:val="0"/>
          <w:marBottom w:val="0"/>
          <w:divBdr>
            <w:top w:val="none" w:sz="0" w:space="0" w:color="auto"/>
            <w:left w:val="none" w:sz="0" w:space="0" w:color="auto"/>
            <w:bottom w:val="none" w:sz="0" w:space="0" w:color="auto"/>
            <w:right w:val="none" w:sz="0" w:space="0" w:color="auto"/>
          </w:divBdr>
          <w:divsChild>
            <w:div w:id="450171842">
              <w:marLeft w:val="0"/>
              <w:marRight w:val="0"/>
              <w:marTop w:val="0"/>
              <w:marBottom w:val="0"/>
              <w:divBdr>
                <w:top w:val="none" w:sz="0" w:space="0" w:color="auto"/>
                <w:left w:val="none" w:sz="0" w:space="0" w:color="auto"/>
                <w:bottom w:val="none" w:sz="0" w:space="0" w:color="auto"/>
                <w:right w:val="none" w:sz="0" w:space="0" w:color="auto"/>
              </w:divBdr>
            </w:div>
          </w:divsChild>
        </w:div>
        <w:div w:id="1995527920">
          <w:marLeft w:val="0"/>
          <w:marRight w:val="0"/>
          <w:marTop w:val="0"/>
          <w:marBottom w:val="0"/>
          <w:divBdr>
            <w:top w:val="none" w:sz="0" w:space="0" w:color="auto"/>
            <w:left w:val="none" w:sz="0" w:space="0" w:color="auto"/>
            <w:bottom w:val="none" w:sz="0" w:space="0" w:color="auto"/>
            <w:right w:val="none" w:sz="0" w:space="0" w:color="auto"/>
          </w:divBdr>
          <w:divsChild>
            <w:div w:id="1593971026">
              <w:marLeft w:val="0"/>
              <w:marRight w:val="0"/>
              <w:marTop w:val="0"/>
              <w:marBottom w:val="0"/>
              <w:divBdr>
                <w:top w:val="none" w:sz="0" w:space="0" w:color="auto"/>
                <w:left w:val="none" w:sz="0" w:space="0" w:color="auto"/>
                <w:bottom w:val="none" w:sz="0" w:space="0" w:color="auto"/>
                <w:right w:val="none" w:sz="0" w:space="0" w:color="auto"/>
              </w:divBdr>
            </w:div>
          </w:divsChild>
        </w:div>
        <w:div w:id="2002654246">
          <w:marLeft w:val="0"/>
          <w:marRight w:val="0"/>
          <w:marTop w:val="0"/>
          <w:marBottom w:val="0"/>
          <w:divBdr>
            <w:top w:val="none" w:sz="0" w:space="0" w:color="auto"/>
            <w:left w:val="none" w:sz="0" w:space="0" w:color="auto"/>
            <w:bottom w:val="none" w:sz="0" w:space="0" w:color="auto"/>
            <w:right w:val="none" w:sz="0" w:space="0" w:color="auto"/>
          </w:divBdr>
          <w:divsChild>
            <w:div w:id="371003740">
              <w:marLeft w:val="0"/>
              <w:marRight w:val="0"/>
              <w:marTop w:val="0"/>
              <w:marBottom w:val="0"/>
              <w:divBdr>
                <w:top w:val="none" w:sz="0" w:space="0" w:color="auto"/>
                <w:left w:val="none" w:sz="0" w:space="0" w:color="auto"/>
                <w:bottom w:val="none" w:sz="0" w:space="0" w:color="auto"/>
                <w:right w:val="none" w:sz="0" w:space="0" w:color="auto"/>
              </w:divBdr>
            </w:div>
          </w:divsChild>
        </w:div>
        <w:div w:id="2016299393">
          <w:marLeft w:val="0"/>
          <w:marRight w:val="0"/>
          <w:marTop w:val="0"/>
          <w:marBottom w:val="0"/>
          <w:divBdr>
            <w:top w:val="none" w:sz="0" w:space="0" w:color="auto"/>
            <w:left w:val="none" w:sz="0" w:space="0" w:color="auto"/>
            <w:bottom w:val="none" w:sz="0" w:space="0" w:color="auto"/>
            <w:right w:val="none" w:sz="0" w:space="0" w:color="auto"/>
          </w:divBdr>
          <w:divsChild>
            <w:div w:id="364990946">
              <w:marLeft w:val="0"/>
              <w:marRight w:val="0"/>
              <w:marTop w:val="0"/>
              <w:marBottom w:val="0"/>
              <w:divBdr>
                <w:top w:val="none" w:sz="0" w:space="0" w:color="auto"/>
                <w:left w:val="none" w:sz="0" w:space="0" w:color="auto"/>
                <w:bottom w:val="none" w:sz="0" w:space="0" w:color="auto"/>
                <w:right w:val="none" w:sz="0" w:space="0" w:color="auto"/>
              </w:divBdr>
            </w:div>
          </w:divsChild>
        </w:div>
        <w:div w:id="2016952318">
          <w:marLeft w:val="0"/>
          <w:marRight w:val="0"/>
          <w:marTop w:val="0"/>
          <w:marBottom w:val="0"/>
          <w:divBdr>
            <w:top w:val="none" w:sz="0" w:space="0" w:color="auto"/>
            <w:left w:val="none" w:sz="0" w:space="0" w:color="auto"/>
            <w:bottom w:val="none" w:sz="0" w:space="0" w:color="auto"/>
            <w:right w:val="none" w:sz="0" w:space="0" w:color="auto"/>
          </w:divBdr>
          <w:divsChild>
            <w:div w:id="358706393">
              <w:marLeft w:val="0"/>
              <w:marRight w:val="0"/>
              <w:marTop w:val="0"/>
              <w:marBottom w:val="0"/>
              <w:divBdr>
                <w:top w:val="none" w:sz="0" w:space="0" w:color="auto"/>
                <w:left w:val="none" w:sz="0" w:space="0" w:color="auto"/>
                <w:bottom w:val="none" w:sz="0" w:space="0" w:color="auto"/>
                <w:right w:val="none" w:sz="0" w:space="0" w:color="auto"/>
              </w:divBdr>
            </w:div>
          </w:divsChild>
        </w:div>
        <w:div w:id="2042852506">
          <w:marLeft w:val="0"/>
          <w:marRight w:val="0"/>
          <w:marTop w:val="0"/>
          <w:marBottom w:val="0"/>
          <w:divBdr>
            <w:top w:val="none" w:sz="0" w:space="0" w:color="auto"/>
            <w:left w:val="none" w:sz="0" w:space="0" w:color="auto"/>
            <w:bottom w:val="none" w:sz="0" w:space="0" w:color="auto"/>
            <w:right w:val="none" w:sz="0" w:space="0" w:color="auto"/>
          </w:divBdr>
          <w:divsChild>
            <w:div w:id="491221660">
              <w:marLeft w:val="0"/>
              <w:marRight w:val="0"/>
              <w:marTop w:val="0"/>
              <w:marBottom w:val="0"/>
              <w:divBdr>
                <w:top w:val="none" w:sz="0" w:space="0" w:color="auto"/>
                <w:left w:val="none" w:sz="0" w:space="0" w:color="auto"/>
                <w:bottom w:val="none" w:sz="0" w:space="0" w:color="auto"/>
                <w:right w:val="none" w:sz="0" w:space="0" w:color="auto"/>
              </w:divBdr>
            </w:div>
          </w:divsChild>
        </w:div>
        <w:div w:id="2044010734">
          <w:marLeft w:val="0"/>
          <w:marRight w:val="0"/>
          <w:marTop w:val="0"/>
          <w:marBottom w:val="0"/>
          <w:divBdr>
            <w:top w:val="none" w:sz="0" w:space="0" w:color="auto"/>
            <w:left w:val="none" w:sz="0" w:space="0" w:color="auto"/>
            <w:bottom w:val="none" w:sz="0" w:space="0" w:color="auto"/>
            <w:right w:val="none" w:sz="0" w:space="0" w:color="auto"/>
          </w:divBdr>
          <w:divsChild>
            <w:div w:id="1109935152">
              <w:marLeft w:val="0"/>
              <w:marRight w:val="0"/>
              <w:marTop w:val="0"/>
              <w:marBottom w:val="0"/>
              <w:divBdr>
                <w:top w:val="none" w:sz="0" w:space="0" w:color="auto"/>
                <w:left w:val="none" w:sz="0" w:space="0" w:color="auto"/>
                <w:bottom w:val="none" w:sz="0" w:space="0" w:color="auto"/>
                <w:right w:val="none" w:sz="0" w:space="0" w:color="auto"/>
              </w:divBdr>
            </w:div>
          </w:divsChild>
        </w:div>
        <w:div w:id="2045012281">
          <w:marLeft w:val="0"/>
          <w:marRight w:val="0"/>
          <w:marTop w:val="0"/>
          <w:marBottom w:val="0"/>
          <w:divBdr>
            <w:top w:val="none" w:sz="0" w:space="0" w:color="auto"/>
            <w:left w:val="none" w:sz="0" w:space="0" w:color="auto"/>
            <w:bottom w:val="none" w:sz="0" w:space="0" w:color="auto"/>
            <w:right w:val="none" w:sz="0" w:space="0" w:color="auto"/>
          </w:divBdr>
          <w:divsChild>
            <w:div w:id="1598253867">
              <w:marLeft w:val="0"/>
              <w:marRight w:val="0"/>
              <w:marTop w:val="0"/>
              <w:marBottom w:val="0"/>
              <w:divBdr>
                <w:top w:val="none" w:sz="0" w:space="0" w:color="auto"/>
                <w:left w:val="none" w:sz="0" w:space="0" w:color="auto"/>
                <w:bottom w:val="none" w:sz="0" w:space="0" w:color="auto"/>
                <w:right w:val="none" w:sz="0" w:space="0" w:color="auto"/>
              </w:divBdr>
            </w:div>
          </w:divsChild>
        </w:div>
        <w:div w:id="2047213947">
          <w:marLeft w:val="0"/>
          <w:marRight w:val="0"/>
          <w:marTop w:val="0"/>
          <w:marBottom w:val="0"/>
          <w:divBdr>
            <w:top w:val="none" w:sz="0" w:space="0" w:color="auto"/>
            <w:left w:val="none" w:sz="0" w:space="0" w:color="auto"/>
            <w:bottom w:val="none" w:sz="0" w:space="0" w:color="auto"/>
            <w:right w:val="none" w:sz="0" w:space="0" w:color="auto"/>
          </w:divBdr>
          <w:divsChild>
            <w:div w:id="1164398327">
              <w:marLeft w:val="0"/>
              <w:marRight w:val="0"/>
              <w:marTop w:val="0"/>
              <w:marBottom w:val="0"/>
              <w:divBdr>
                <w:top w:val="none" w:sz="0" w:space="0" w:color="auto"/>
                <w:left w:val="none" w:sz="0" w:space="0" w:color="auto"/>
                <w:bottom w:val="none" w:sz="0" w:space="0" w:color="auto"/>
                <w:right w:val="none" w:sz="0" w:space="0" w:color="auto"/>
              </w:divBdr>
            </w:div>
          </w:divsChild>
        </w:div>
        <w:div w:id="2051832234">
          <w:marLeft w:val="0"/>
          <w:marRight w:val="0"/>
          <w:marTop w:val="0"/>
          <w:marBottom w:val="0"/>
          <w:divBdr>
            <w:top w:val="none" w:sz="0" w:space="0" w:color="auto"/>
            <w:left w:val="none" w:sz="0" w:space="0" w:color="auto"/>
            <w:bottom w:val="none" w:sz="0" w:space="0" w:color="auto"/>
            <w:right w:val="none" w:sz="0" w:space="0" w:color="auto"/>
          </w:divBdr>
          <w:divsChild>
            <w:div w:id="2111511290">
              <w:marLeft w:val="0"/>
              <w:marRight w:val="0"/>
              <w:marTop w:val="0"/>
              <w:marBottom w:val="0"/>
              <w:divBdr>
                <w:top w:val="none" w:sz="0" w:space="0" w:color="auto"/>
                <w:left w:val="none" w:sz="0" w:space="0" w:color="auto"/>
                <w:bottom w:val="none" w:sz="0" w:space="0" w:color="auto"/>
                <w:right w:val="none" w:sz="0" w:space="0" w:color="auto"/>
              </w:divBdr>
            </w:div>
          </w:divsChild>
        </w:div>
        <w:div w:id="2052680095">
          <w:marLeft w:val="0"/>
          <w:marRight w:val="0"/>
          <w:marTop w:val="0"/>
          <w:marBottom w:val="0"/>
          <w:divBdr>
            <w:top w:val="none" w:sz="0" w:space="0" w:color="auto"/>
            <w:left w:val="none" w:sz="0" w:space="0" w:color="auto"/>
            <w:bottom w:val="none" w:sz="0" w:space="0" w:color="auto"/>
            <w:right w:val="none" w:sz="0" w:space="0" w:color="auto"/>
          </w:divBdr>
          <w:divsChild>
            <w:div w:id="604701302">
              <w:marLeft w:val="0"/>
              <w:marRight w:val="0"/>
              <w:marTop w:val="0"/>
              <w:marBottom w:val="0"/>
              <w:divBdr>
                <w:top w:val="none" w:sz="0" w:space="0" w:color="auto"/>
                <w:left w:val="none" w:sz="0" w:space="0" w:color="auto"/>
                <w:bottom w:val="none" w:sz="0" w:space="0" w:color="auto"/>
                <w:right w:val="none" w:sz="0" w:space="0" w:color="auto"/>
              </w:divBdr>
            </w:div>
          </w:divsChild>
        </w:div>
        <w:div w:id="2058552451">
          <w:marLeft w:val="0"/>
          <w:marRight w:val="0"/>
          <w:marTop w:val="0"/>
          <w:marBottom w:val="0"/>
          <w:divBdr>
            <w:top w:val="none" w:sz="0" w:space="0" w:color="auto"/>
            <w:left w:val="none" w:sz="0" w:space="0" w:color="auto"/>
            <w:bottom w:val="none" w:sz="0" w:space="0" w:color="auto"/>
            <w:right w:val="none" w:sz="0" w:space="0" w:color="auto"/>
          </w:divBdr>
          <w:divsChild>
            <w:div w:id="1662850553">
              <w:marLeft w:val="0"/>
              <w:marRight w:val="0"/>
              <w:marTop w:val="0"/>
              <w:marBottom w:val="0"/>
              <w:divBdr>
                <w:top w:val="none" w:sz="0" w:space="0" w:color="auto"/>
                <w:left w:val="none" w:sz="0" w:space="0" w:color="auto"/>
                <w:bottom w:val="none" w:sz="0" w:space="0" w:color="auto"/>
                <w:right w:val="none" w:sz="0" w:space="0" w:color="auto"/>
              </w:divBdr>
            </w:div>
          </w:divsChild>
        </w:div>
        <w:div w:id="2066368698">
          <w:marLeft w:val="0"/>
          <w:marRight w:val="0"/>
          <w:marTop w:val="0"/>
          <w:marBottom w:val="0"/>
          <w:divBdr>
            <w:top w:val="none" w:sz="0" w:space="0" w:color="auto"/>
            <w:left w:val="none" w:sz="0" w:space="0" w:color="auto"/>
            <w:bottom w:val="none" w:sz="0" w:space="0" w:color="auto"/>
            <w:right w:val="none" w:sz="0" w:space="0" w:color="auto"/>
          </w:divBdr>
          <w:divsChild>
            <w:div w:id="271519718">
              <w:marLeft w:val="0"/>
              <w:marRight w:val="0"/>
              <w:marTop w:val="0"/>
              <w:marBottom w:val="0"/>
              <w:divBdr>
                <w:top w:val="none" w:sz="0" w:space="0" w:color="auto"/>
                <w:left w:val="none" w:sz="0" w:space="0" w:color="auto"/>
                <w:bottom w:val="none" w:sz="0" w:space="0" w:color="auto"/>
                <w:right w:val="none" w:sz="0" w:space="0" w:color="auto"/>
              </w:divBdr>
            </w:div>
          </w:divsChild>
        </w:div>
        <w:div w:id="2075614250">
          <w:marLeft w:val="0"/>
          <w:marRight w:val="0"/>
          <w:marTop w:val="0"/>
          <w:marBottom w:val="0"/>
          <w:divBdr>
            <w:top w:val="none" w:sz="0" w:space="0" w:color="auto"/>
            <w:left w:val="none" w:sz="0" w:space="0" w:color="auto"/>
            <w:bottom w:val="none" w:sz="0" w:space="0" w:color="auto"/>
            <w:right w:val="none" w:sz="0" w:space="0" w:color="auto"/>
          </w:divBdr>
          <w:divsChild>
            <w:div w:id="908463568">
              <w:marLeft w:val="0"/>
              <w:marRight w:val="0"/>
              <w:marTop w:val="0"/>
              <w:marBottom w:val="0"/>
              <w:divBdr>
                <w:top w:val="none" w:sz="0" w:space="0" w:color="auto"/>
                <w:left w:val="none" w:sz="0" w:space="0" w:color="auto"/>
                <w:bottom w:val="none" w:sz="0" w:space="0" w:color="auto"/>
                <w:right w:val="none" w:sz="0" w:space="0" w:color="auto"/>
              </w:divBdr>
            </w:div>
          </w:divsChild>
        </w:div>
        <w:div w:id="2077967929">
          <w:marLeft w:val="0"/>
          <w:marRight w:val="0"/>
          <w:marTop w:val="0"/>
          <w:marBottom w:val="0"/>
          <w:divBdr>
            <w:top w:val="none" w:sz="0" w:space="0" w:color="auto"/>
            <w:left w:val="none" w:sz="0" w:space="0" w:color="auto"/>
            <w:bottom w:val="none" w:sz="0" w:space="0" w:color="auto"/>
            <w:right w:val="none" w:sz="0" w:space="0" w:color="auto"/>
          </w:divBdr>
          <w:divsChild>
            <w:div w:id="886376275">
              <w:marLeft w:val="0"/>
              <w:marRight w:val="0"/>
              <w:marTop w:val="0"/>
              <w:marBottom w:val="0"/>
              <w:divBdr>
                <w:top w:val="none" w:sz="0" w:space="0" w:color="auto"/>
                <w:left w:val="none" w:sz="0" w:space="0" w:color="auto"/>
                <w:bottom w:val="none" w:sz="0" w:space="0" w:color="auto"/>
                <w:right w:val="none" w:sz="0" w:space="0" w:color="auto"/>
              </w:divBdr>
            </w:div>
          </w:divsChild>
        </w:div>
        <w:div w:id="2083404698">
          <w:marLeft w:val="0"/>
          <w:marRight w:val="0"/>
          <w:marTop w:val="0"/>
          <w:marBottom w:val="0"/>
          <w:divBdr>
            <w:top w:val="none" w:sz="0" w:space="0" w:color="auto"/>
            <w:left w:val="none" w:sz="0" w:space="0" w:color="auto"/>
            <w:bottom w:val="none" w:sz="0" w:space="0" w:color="auto"/>
            <w:right w:val="none" w:sz="0" w:space="0" w:color="auto"/>
          </w:divBdr>
          <w:divsChild>
            <w:div w:id="1767458611">
              <w:marLeft w:val="0"/>
              <w:marRight w:val="0"/>
              <w:marTop w:val="0"/>
              <w:marBottom w:val="0"/>
              <w:divBdr>
                <w:top w:val="none" w:sz="0" w:space="0" w:color="auto"/>
                <w:left w:val="none" w:sz="0" w:space="0" w:color="auto"/>
                <w:bottom w:val="none" w:sz="0" w:space="0" w:color="auto"/>
                <w:right w:val="none" w:sz="0" w:space="0" w:color="auto"/>
              </w:divBdr>
            </w:div>
          </w:divsChild>
        </w:div>
        <w:div w:id="2089422138">
          <w:marLeft w:val="0"/>
          <w:marRight w:val="0"/>
          <w:marTop w:val="0"/>
          <w:marBottom w:val="0"/>
          <w:divBdr>
            <w:top w:val="none" w:sz="0" w:space="0" w:color="auto"/>
            <w:left w:val="none" w:sz="0" w:space="0" w:color="auto"/>
            <w:bottom w:val="none" w:sz="0" w:space="0" w:color="auto"/>
            <w:right w:val="none" w:sz="0" w:space="0" w:color="auto"/>
          </w:divBdr>
          <w:divsChild>
            <w:div w:id="1387534808">
              <w:marLeft w:val="0"/>
              <w:marRight w:val="0"/>
              <w:marTop w:val="0"/>
              <w:marBottom w:val="0"/>
              <w:divBdr>
                <w:top w:val="none" w:sz="0" w:space="0" w:color="auto"/>
                <w:left w:val="none" w:sz="0" w:space="0" w:color="auto"/>
                <w:bottom w:val="none" w:sz="0" w:space="0" w:color="auto"/>
                <w:right w:val="none" w:sz="0" w:space="0" w:color="auto"/>
              </w:divBdr>
            </w:div>
          </w:divsChild>
        </w:div>
        <w:div w:id="2096776788">
          <w:marLeft w:val="0"/>
          <w:marRight w:val="0"/>
          <w:marTop w:val="0"/>
          <w:marBottom w:val="0"/>
          <w:divBdr>
            <w:top w:val="none" w:sz="0" w:space="0" w:color="auto"/>
            <w:left w:val="none" w:sz="0" w:space="0" w:color="auto"/>
            <w:bottom w:val="none" w:sz="0" w:space="0" w:color="auto"/>
            <w:right w:val="none" w:sz="0" w:space="0" w:color="auto"/>
          </w:divBdr>
          <w:divsChild>
            <w:div w:id="1257133962">
              <w:marLeft w:val="0"/>
              <w:marRight w:val="0"/>
              <w:marTop w:val="0"/>
              <w:marBottom w:val="0"/>
              <w:divBdr>
                <w:top w:val="none" w:sz="0" w:space="0" w:color="auto"/>
                <w:left w:val="none" w:sz="0" w:space="0" w:color="auto"/>
                <w:bottom w:val="none" w:sz="0" w:space="0" w:color="auto"/>
                <w:right w:val="none" w:sz="0" w:space="0" w:color="auto"/>
              </w:divBdr>
            </w:div>
          </w:divsChild>
        </w:div>
        <w:div w:id="2108914957">
          <w:marLeft w:val="0"/>
          <w:marRight w:val="0"/>
          <w:marTop w:val="0"/>
          <w:marBottom w:val="0"/>
          <w:divBdr>
            <w:top w:val="none" w:sz="0" w:space="0" w:color="auto"/>
            <w:left w:val="none" w:sz="0" w:space="0" w:color="auto"/>
            <w:bottom w:val="none" w:sz="0" w:space="0" w:color="auto"/>
            <w:right w:val="none" w:sz="0" w:space="0" w:color="auto"/>
          </w:divBdr>
          <w:divsChild>
            <w:div w:id="1761412523">
              <w:marLeft w:val="0"/>
              <w:marRight w:val="0"/>
              <w:marTop w:val="0"/>
              <w:marBottom w:val="0"/>
              <w:divBdr>
                <w:top w:val="none" w:sz="0" w:space="0" w:color="auto"/>
                <w:left w:val="none" w:sz="0" w:space="0" w:color="auto"/>
                <w:bottom w:val="none" w:sz="0" w:space="0" w:color="auto"/>
                <w:right w:val="none" w:sz="0" w:space="0" w:color="auto"/>
              </w:divBdr>
            </w:div>
          </w:divsChild>
        </w:div>
        <w:div w:id="2112847052">
          <w:marLeft w:val="0"/>
          <w:marRight w:val="0"/>
          <w:marTop w:val="0"/>
          <w:marBottom w:val="0"/>
          <w:divBdr>
            <w:top w:val="none" w:sz="0" w:space="0" w:color="auto"/>
            <w:left w:val="none" w:sz="0" w:space="0" w:color="auto"/>
            <w:bottom w:val="none" w:sz="0" w:space="0" w:color="auto"/>
            <w:right w:val="none" w:sz="0" w:space="0" w:color="auto"/>
          </w:divBdr>
          <w:divsChild>
            <w:div w:id="1853911755">
              <w:marLeft w:val="0"/>
              <w:marRight w:val="0"/>
              <w:marTop w:val="0"/>
              <w:marBottom w:val="0"/>
              <w:divBdr>
                <w:top w:val="none" w:sz="0" w:space="0" w:color="auto"/>
                <w:left w:val="none" w:sz="0" w:space="0" w:color="auto"/>
                <w:bottom w:val="none" w:sz="0" w:space="0" w:color="auto"/>
                <w:right w:val="none" w:sz="0" w:space="0" w:color="auto"/>
              </w:divBdr>
            </w:div>
          </w:divsChild>
        </w:div>
        <w:div w:id="2112891087">
          <w:marLeft w:val="0"/>
          <w:marRight w:val="0"/>
          <w:marTop w:val="0"/>
          <w:marBottom w:val="0"/>
          <w:divBdr>
            <w:top w:val="none" w:sz="0" w:space="0" w:color="auto"/>
            <w:left w:val="none" w:sz="0" w:space="0" w:color="auto"/>
            <w:bottom w:val="none" w:sz="0" w:space="0" w:color="auto"/>
            <w:right w:val="none" w:sz="0" w:space="0" w:color="auto"/>
          </w:divBdr>
          <w:divsChild>
            <w:div w:id="686180584">
              <w:marLeft w:val="0"/>
              <w:marRight w:val="0"/>
              <w:marTop w:val="0"/>
              <w:marBottom w:val="0"/>
              <w:divBdr>
                <w:top w:val="none" w:sz="0" w:space="0" w:color="auto"/>
                <w:left w:val="none" w:sz="0" w:space="0" w:color="auto"/>
                <w:bottom w:val="none" w:sz="0" w:space="0" w:color="auto"/>
                <w:right w:val="none" w:sz="0" w:space="0" w:color="auto"/>
              </w:divBdr>
            </w:div>
          </w:divsChild>
        </w:div>
        <w:div w:id="2127036758">
          <w:marLeft w:val="0"/>
          <w:marRight w:val="0"/>
          <w:marTop w:val="0"/>
          <w:marBottom w:val="0"/>
          <w:divBdr>
            <w:top w:val="none" w:sz="0" w:space="0" w:color="auto"/>
            <w:left w:val="none" w:sz="0" w:space="0" w:color="auto"/>
            <w:bottom w:val="none" w:sz="0" w:space="0" w:color="auto"/>
            <w:right w:val="none" w:sz="0" w:space="0" w:color="auto"/>
          </w:divBdr>
          <w:divsChild>
            <w:div w:id="1851600599">
              <w:marLeft w:val="0"/>
              <w:marRight w:val="0"/>
              <w:marTop w:val="0"/>
              <w:marBottom w:val="0"/>
              <w:divBdr>
                <w:top w:val="none" w:sz="0" w:space="0" w:color="auto"/>
                <w:left w:val="none" w:sz="0" w:space="0" w:color="auto"/>
                <w:bottom w:val="none" w:sz="0" w:space="0" w:color="auto"/>
                <w:right w:val="none" w:sz="0" w:space="0" w:color="auto"/>
              </w:divBdr>
            </w:div>
          </w:divsChild>
        </w:div>
        <w:div w:id="2135950081">
          <w:marLeft w:val="0"/>
          <w:marRight w:val="0"/>
          <w:marTop w:val="0"/>
          <w:marBottom w:val="0"/>
          <w:divBdr>
            <w:top w:val="none" w:sz="0" w:space="0" w:color="auto"/>
            <w:left w:val="none" w:sz="0" w:space="0" w:color="auto"/>
            <w:bottom w:val="none" w:sz="0" w:space="0" w:color="auto"/>
            <w:right w:val="none" w:sz="0" w:space="0" w:color="auto"/>
          </w:divBdr>
          <w:divsChild>
            <w:div w:id="1599756304">
              <w:marLeft w:val="0"/>
              <w:marRight w:val="0"/>
              <w:marTop w:val="0"/>
              <w:marBottom w:val="0"/>
              <w:divBdr>
                <w:top w:val="none" w:sz="0" w:space="0" w:color="auto"/>
                <w:left w:val="none" w:sz="0" w:space="0" w:color="auto"/>
                <w:bottom w:val="none" w:sz="0" w:space="0" w:color="auto"/>
                <w:right w:val="none" w:sz="0" w:space="0" w:color="auto"/>
              </w:divBdr>
            </w:div>
          </w:divsChild>
        </w:div>
        <w:div w:id="2139763380">
          <w:marLeft w:val="0"/>
          <w:marRight w:val="0"/>
          <w:marTop w:val="0"/>
          <w:marBottom w:val="0"/>
          <w:divBdr>
            <w:top w:val="none" w:sz="0" w:space="0" w:color="auto"/>
            <w:left w:val="none" w:sz="0" w:space="0" w:color="auto"/>
            <w:bottom w:val="none" w:sz="0" w:space="0" w:color="auto"/>
            <w:right w:val="none" w:sz="0" w:space="0" w:color="auto"/>
          </w:divBdr>
          <w:divsChild>
            <w:div w:id="1418552067">
              <w:marLeft w:val="0"/>
              <w:marRight w:val="0"/>
              <w:marTop w:val="0"/>
              <w:marBottom w:val="0"/>
              <w:divBdr>
                <w:top w:val="none" w:sz="0" w:space="0" w:color="auto"/>
                <w:left w:val="none" w:sz="0" w:space="0" w:color="auto"/>
                <w:bottom w:val="none" w:sz="0" w:space="0" w:color="auto"/>
                <w:right w:val="none" w:sz="0" w:space="0" w:color="auto"/>
              </w:divBdr>
            </w:div>
          </w:divsChild>
        </w:div>
        <w:div w:id="2141415085">
          <w:marLeft w:val="0"/>
          <w:marRight w:val="0"/>
          <w:marTop w:val="0"/>
          <w:marBottom w:val="0"/>
          <w:divBdr>
            <w:top w:val="none" w:sz="0" w:space="0" w:color="auto"/>
            <w:left w:val="none" w:sz="0" w:space="0" w:color="auto"/>
            <w:bottom w:val="none" w:sz="0" w:space="0" w:color="auto"/>
            <w:right w:val="none" w:sz="0" w:space="0" w:color="auto"/>
          </w:divBdr>
          <w:divsChild>
            <w:div w:id="1581864759">
              <w:marLeft w:val="0"/>
              <w:marRight w:val="0"/>
              <w:marTop w:val="0"/>
              <w:marBottom w:val="0"/>
              <w:divBdr>
                <w:top w:val="none" w:sz="0" w:space="0" w:color="auto"/>
                <w:left w:val="none" w:sz="0" w:space="0" w:color="auto"/>
                <w:bottom w:val="none" w:sz="0" w:space="0" w:color="auto"/>
                <w:right w:val="none" w:sz="0" w:space="0" w:color="auto"/>
              </w:divBdr>
            </w:div>
          </w:divsChild>
        </w:div>
        <w:div w:id="2143574863">
          <w:marLeft w:val="0"/>
          <w:marRight w:val="0"/>
          <w:marTop w:val="0"/>
          <w:marBottom w:val="0"/>
          <w:divBdr>
            <w:top w:val="none" w:sz="0" w:space="0" w:color="auto"/>
            <w:left w:val="none" w:sz="0" w:space="0" w:color="auto"/>
            <w:bottom w:val="none" w:sz="0" w:space="0" w:color="auto"/>
            <w:right w:val="none" w:sz="0" w:space="0" w:color="auto"/>
          </w:divBdr>
          <w:divsChild>
            <w:div w:id="583882284">
              <w:marLeft w:val="0"/>
              <w:marRight w:val="0"/>
              <w:marTop w:val="0"/>
              <w:marBottom w:val="0"/>
              <w:divBdr>
                <w:top w:val="none" w:sz="0" w:space="0" w:color="auto"/>
                <w:left w:val="none" w:sz="0" w:space="0" w:color="auto"/>
                <w:bottom w:val="none" w:sz="0" w:space="0" w:color="auto"/>
                <w:right w:val="none" w:sz="0" w:space="0" w:color="auto"/>
              </w:divBdr>
            </w:div>
          </w:divsChild>
        </w:div>
        <w:div w:id="2143882776">
          <w:marLeft w:val="0"/>
          <w:marRight w:val="0"/>
          <w:marTop w:val="0"/>
          <w:marBottom w:val="0"/>
          <w:divBdr>
            <w:top w:val="none" w:sz="0" w:space="0" w:color="auto"/>
            <w:left w:val="none" w:sz="0" w:space="0" w:color="auto"/>
            <w:bottom w:val="none" w:sz="0" w:space="0" w:color="auto"/>
            <w:right w:val="none" w:sz="0" w:space="0" w:color="auto"/>
          </w:divBdr>
          <w:divsChild>
            <w:div w:id="182801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9063">
      <w:bodyDiv w:val="1"/>
      <w:marLeft w:val="0"/>
      <w:marRight w:val="0"/>
      <w:marTop w:val="0"/>
      <w:marBottom w:val="0"/>
      <w:divBdr>
        <w:top w:val="none" w:sz="0" w:space="0" w:color="auto"/>
        <w:left w:val="none" w:sz="0" w:space="0" w:color="auto"/>
        <w:bottom w:val="none" w:sz="0" w:space="0" w:color="auto"/>
        <w:right w:val="none" w:sz="0" w:space="0" w:color="auto"/>
      </w:divBdr>
    </w:div>
    <w:div w:id="1154106218">
      <w:bodyDiv w:val="1"/>
      <w:marLeft w:val="0"/>
      <w:marRight w:val="0"/>
      <w:marTop w:val="0"/>
      <w:marBottom w:val="0"/>
      <w:divBdr>
        <w:top w:val="none" w:sz="0" w:space="0" w:color="auto"/>
        <w:left w:val="none" w:sz="0" w:space="0" w:color="auto"/>
        <w:bottom w:val="none" w:sz="0" w:space="0" w:color="auto"/>
        <w:right w:val="none" w:sz="0" w:space="0" w:color="auto"/>
      </w:divBdr>
      <w:divsChild>
        <w:div w:id="148182706">
          <w:marLeft w:val="0"/>
          <w:marRight w:val="0"/>
          <w:marTop w:val="0"/>
          <w:marBottom w:val="0"/>
          <w:divBdr>
            <w:top w:val="none" w:sz="0" w:space="0" w:color="auto"/>
            <w:left w:val="none" w:sz="0" w:space="0" w:color="auto"/>
            <w:bottom w:val="none" w:sz="0" w:space="0" w:color="auto"/>
            <w:right w:val="none" w:sz="0" w:space="0" w:color="auto"/>
          </w:divBdr>
        </w:div>
        <w:div w:id="821696849">
          <w:marLeft w:val="0"/>
          <w:marRight w:val="0"/>
          <w:marTop w:val="0"/>
          <w:marBottom w:val="0"/>
          <w:divBdr>
            <w:top w:val="none" w:sz="0" w:space="0" w:color="auto"/>
            <w:left w:val="none" w:sz="0" w:space="0" w:color="auto"/>
            <w:bottom w:val="none" w:sz="0" w:space="0" w:color="auto"/>
            <w:right w:val="none" w:sz="0" w:space="0" w:color="auto"/>
          </w:divBdr>
        </w:div>
      </w:divsChild>
    </w:div>
    <w:div w:id="1457749007">
      <w:bodyDiv w:val="1"/>
      <w:marLeft w:val="0"/>
      <w:marRight w:val="0"/>
      <w:marTop w:val="0"/>
      <w:marBottom w:val="0"/>
      <w:divBdr>
        <w:top w:val="none" w:sz="0" w:space="0" w:color="auto"/>
        <w:left w:val="none" w:sz="0" w:space="0" w:color="auto"/>
        <w:bottom w:val="none" w:sz="0" w:space="0" w:color="auto"/>
        <w:right w:val="none" w:sz="0" w:space="0" w:color="auto"/>
      </w:divBdr>
      <w:divsChild>
        <w:div w:id="48500597">
          <w:marLeft w:val="0"/>
          <w:marRight w:val="0"/>
          <w:marTop w:val="0"/>
          <w:marBottom w:val="0"/>
          <w:divBdr>
            <w:top w:val="none" w:sz="0" w:space="0" w:color="auto"/>
            <w:left w:val="none" w:sz="0" w:space="0" w:color="auto"/>
            <w:bottom w:val="none" w:sz="0" w:space="0" w:color="auto"/>
            <w:right w:val="none" w:sz="0" w:space="0" w:color="auto"/>
          </w:divBdr>
        </w:div>
        <w:div w:id="75565754">
          <w:marLeft w:val="0"/>
          <w:marRight w:val="0"/>
          <w:marTop w:val="0"/>
          <w:marBottom w:val="0"/>
          <w:divBdr>
            <w:top w:val="none" w:sz="0" w:space="0" w:color="auto"/>
            <w:left w:val="none" w:sz="0" w:space="0" w:color="auto"/>
            <w:bottom w:val="none" w:sz="0" w:space="0" w:color="auto"/>
            <w:right w:val="none" w:sz="0" w:space="0" w:color="auto"/>
          </w:divBdr>
          <w:divsChild>
            <w:div w:id="284043818">
              <w:marLeft w:val="0"/>
              <w:marRight w:val="0"/>
              <w:marTop w:val="0"/>
              <w:marBottom w:val="0"/>
              <w:divBdr>
                <w:top w:val="none" w:sz="0" w:space="0" w:color="auto"/>
                <w:left w:val="none" w:sz="0" w:space="0" w:color="auto"/>
                <w:bottom w:val="none" w:sz="0" w:space="0" w:color="auto"/>
                <w:right w:val="none" w:sz="0" w:space="0" w:color="auto"/>
              </w:divBdr>
            </w:div>
            <w:div w:id="403378511">
              <w:marLeft w:val="0"/>
              <w:marRight w:val="0"/>
              <w:marTop w:val="0"/>
              <w:marBottom w:val="0"/>
              <w:divBdr>
                <w:top w:val="none" w:sz="0" w:space="0" w:color="auto"/>
                <w:left w:val="none" w:sz="0" w:space="0" w:color="auto"/>
                <w:bottom w:val="none" w:sz="0" w:space="0" w:color="auto"/>
                <w:right w:val="none" w:sz="0" w:space="0" w:color="auto"/>
              </w:divBdr>
            </w:div>
            <w:div w:id="763692035">
              <w:marLeft w:val="0"/>
              <w:marRight w:val="0"/>
              <w:marTop w:val="0"/>
              <w:marBottom w:val="0"/>
              <w:divBdr>
                <w:top w:val="none" w:sz="0" w:space="0" w:color="auto"/>
                <w:left w:val="none" w:sz="0" w:space="0" w:color="auto"/>
                <w:bottom w:val="none" w:sz="0" w:space="0" w:color="auto"/>
                <w:right w:val="none" w:sz="0" w:space="0" w:color="auto"/>
              </w:divBdr>
            </w:div>
            <w:div w:id="1218971293">
              <w:marLeft w:val="0"/>
              <w:marRight w:val="0"/>
              <w:marTop w:val="0"/>
              <w:marBottom w:val="0"/>
              <w:divBdr>
                <w:top w:val="none" w:sz="0" w:space="0" w:color="auto"/>
                <w:left w:val="none" w:sz="0" w:space="0" w:color="auto"/>
                <w:bottom w:val="none" w:sz="0" w:space="0" w:color="auto"/>
                <w:right w:val="none" w:sz="0" w:space="0" w:color="auto"/>
              </w:divBdr>
            </w:div>
            <w:div w:id="1411930685">
              <w:marLeft w:val="0"/>
              <w:marRight w:val="0"/>
              <w:marTop w:val="0"/>
              <w:marBottom w:val="0"/>
              <w:divBdr>
                <w:top w:val="none" w:sz="0" w:space="0" w:color="auto"/>
                <w:left w:val="none" w:sz="0" w:space="0" w:color="auto"/>
                <w:bottom w:val="none" w:sz="0" w:space="0" w:color="auto"/>
                <w:right w:val="none" w:sz="0" w:space="0" w:color="auto"/>
              </w:divBdr>
            </w:div>
          </w:divsChild>
        </w:div>
        <w:div w:id="149638800">
          <w:marLeft w:val="0"/>
          <w:marRight w:val="0"/>
          <w:marTop w:val="0"/>
          <w:marBottom w:val="0"/>
          <w:divBdr>
            <w:top w:val="none" w:sz="0" w:space="0" w:color="auto"/>
            <w:left w:val="none" w:sz="0" w:space="0" w:color="auto"/>
            <w:bottom w:val="none" w:sz="0" w:space="0" w:color="auto"/>
            <w:right w:val="none" w:sz="0" w:space="0" w:color="auto"/>
          </w:divBdr>
        </w:div>
        <w:div w:id="324281436">
          <w:marLeft w:val="0"/>
          <w:marRight w:val="0"/>
          <w:marTop w:val="0"/>
          <w:marBottom w:val="0"/>
          <w:divBdr>
            <w:top w:val="none" w:sz="0" w:space="0" w:color="auto"/>
            <w:left w:val="none" w:sz="0" w:space="0" w:color="auto"/>
            <w:bottom w:val="none" w:sz="0" w:space="0" w:color="auto"/>
            <w:right w:val="none" w:sz="0" w:space="0" w:color="auto"/>
          </w:divBdr>
        </w:div>
        <w:div w:id="370690349">
          <w:marLeft w:val="0"/>
          <w:marRight w:val="0"/>
          <w:marTop w:val="0"/>
          <w:marBottom w:val="0"/>
          <w:divBdr>
            <w:top w:val="none" w:sz="0" w:space="0" w:color="auto"/>
            <w:left w:val="none" w:sz="0" w:space="0" w:color="auto"/>
            <w:bottom w:val="none" w:sz="0" w:space="0" w:color="auto"/>
            <w:right w:val="none" w:sz="0" w:space="0" w:color="auto"/>
          </w:divBdr>
        </w:div>
        <w:div w:id="384068710">
          <w:marLeft w:val="0"/>
          <w:marRight w:val="0"/>
          <w:marTop w:val="0"/>
          <w:marBottom w:val="0"/>
          <w:divBdr>
            <w:top w:val="none" w:sz="0" w:space="0" w:color="auto"/>
            <w:left w:val="none" w:sz="0" w:space="0" w:color="auto"/>
            <w:bottom w:val="none" w:sz="0" w:space="0" w:color="auto"/>
            <w:right w:val="none" w:sz="0" w:space="0" w:color="auto"/>
          </w:divBdr>
        </w:div>
        <w:div w:id="424955597">
          <w:marLeft w:val="0"/>
          <w:marRight w:val="0"/>
          <w:marTop w:val="0"/>
          <w:marBottom w:val="0"/>
          <w:divBdr>
            <w:top w:val="none" w:sz="0" w:space="0" w:color="auto"/>
            <w:left w:val="none" w:sz="0" w:space="0" w:color="auto"/>
            <w:bottom w:val="none" w:sz="0" w:space="0" w:color="auto"/>
            <w:right w:val="none" w:sz="0" w:space="0" w:color="auto"/>
          </w:divBdr>
        </w:div>
        <w:div w:id="465859282">
          <w:marLeft w:val="0"/>
          <w:marRight w:val="0"/>
          <w:marTop w:val="0"/>
          <w:marBottom w:val="0"/>
          <w:divBdr>
            <w:top w:val="none" w:sz="0" w:space="0" w:color="auto"/>
            <w:left w:val="none" w:sz="0" w:space="0" w:color="auto"/>
            <w:bottom w:val="none" w:sz="0" w:space="0" w:color="auto"/>
            <w:right w:val="none" w:sz="0" w:space="0" w:color="auto"/>
          </w:divBdr>
        </w:div>
        <w:div w:id="561019784">
          <w:marLeft w:val="0"/>
          <w:marRight w:val="0"/>
          <w:marTop w:val="0"/>
          <w:marBottom w:val="0"/>
          <w:divBdr>
            <w:top w:val="none" w:sz="0" w:space="0" w:color="auto"/>
            <w:left w:val="none" w:sz="0" w:space="0" w:color="auto"/>
            <w:bottom w:val="none" w:sz="0" w:space="0" w:color="auto"/>
            <w:right w:val="none" w:sz="0" w:space="0" w:color="auto"/>
          </w:divBdr>
        </w:div>
        <w:div w:id="599686119">
          <w:marLeft w:val="0"/>
          <w:marRight w:val="0"/>
          <w:marTop w:val="0"/>
          <w:marBottom w:val="0"/>
          <w:divBdr>
            <w:top w:val="none" w:sz="0" w:space="0" w:color="auto"/>
            <w:left w:val="none" w:sz="0" w:space="0" w:color="auto"/>
            <w:bottom w:val="none" w:sz="0" w:space="0" w:color="auto"/>
            <w:right w:val="none" w:sz="0" w:space="0" w:color="auto"/>
          </w:divBdr>
        </w:div>
        <w:div w:id="891307542">
          <w:marLeft w:val="0"/>
          <w:marRight w:val="0"/>
          <w:marTop w:val="0"/>
          <w:marBottom w:val="0"/>
          <w:divBdr>
            <w:top w:val="none" w:sz="0" w:space="0" w:color="auto"/>
            <w:left w:val="none" w:sz="0" w:space="0" w:color="auto"/>
            <w:bottom w:val="none" w:sz="0" w:space="0" w:color="auto"/>
            <w:right w:val="none" w:sz="0" w:space="0" w:color="auto"/>
          </w:divBdr>
        </w:div>
        <w:div w:id="907961041">
          <w:marLeft w:val="0"/>
          <w:marRight w:val="0"/>
          <w:marTop w:val="0"/>
          <w:marBottom w:val="0"/>
          <w:divBdr>
            <w:top w:val="none" w:sz="0" w:space="0" w:color="auto"/>
            <w:left w:val="none" w:sz="0" w:space="0" w:color="auto"/>
            <w:bottom w:val="none" w:sz="0" w:space="0" w:color="auto"/>
            <w:right w:val="none" w:sz="0" w:space="0" w:color="auto"/>
          </w:divBdr>
          <w:divsChild>
            <w:div w:id="327053829">
              <w:marLeft w:val="0"/>
              <w:marRight w:val="0"/>
              <w:marTop w:val="0"/>
              <w:marBottom w:val="0"/>
              <w:divBdr>
                <w:top w:val="none" w:sz="0" w:space="0" w:color="auto"/>
                <w:left w:val="none" w:sz="0" w:space="0" w:color="auto"/>
                <w:bottom w:val="none" w:sz="0" w:space="0" w:color="auto"/>
                <w:right w:val="none" w:sz="0" w:space="0" w:color="auto"/>
              </w:divBdr>
            </w:div>
            <w:div w:id="915939083">
              <w:marLeft w:val="0"/>
              <w:marRight w:val="0"/>
              <w:marTop w:val="0"/>
              <w:marBottom w:val="0"/>
              <w:divBdr>
                <w:top w:val="none" w:sz="0" w:space="0" w:color="auto"/>
                <w:left w:val="none" w:sz="0" w:space="0" w:color="auto"/>
                <w:bottom w:val="none" w:sz="0" w:space="0" w:color="auto"/>
                <w:right w:val="none" w:sz="0" w:space="0" w:color="auto"/>
              </w:divBdr>
            </w:div>
            <w:div w:id="1410232736">
              <w:marLeft w:val="0"/>
              <w:marRight w:val="0"/>
              <w:marTop w:val="0"/>
              <w:marBottom w:val="0"/>
              <w:divBdr>
                <w:top w:val="none" w:sz="0" w:space="0" w:color="auto"/>
                <w:left w:val="none" w:sz="0" w:space="0" w:color="auto"/>
                <w:bottom w:val="none" w:sz="0" w:space="0" w:color="auto"/>
                <w:right w:val="none" w:sz="0" w:space="0" w:color="auto"/>
              </w:divBdr>
            </w:div>
            <w:div w:id="1451515734">
              <w:marLeft w:val="0"/>
              <w:marRight w:val="0"/>
              <w:marTop w:val="0"/>
              <w:marBottom w:val="0"/>
              <w:divBdr>
                <w:top w:val="none" w:sz="0" w:space="0" w:color="auto"/>
                <w:left w:val="none" w:sz="0" w:space="0" w:color="auto"/>
                <w:bottom w:val="none" w:sz="0" w:space="0" w:color="auto"/>
                <w:right w:val="none" w:sz="0" w:space="0" w:color="auto"/>
              </w:divBdr>
            </w:div>
            <w:div w:id="1730036726">
              <w:marLeft w:val="0"/>
              <w:marRight w:val="0"/>
              <w:marTop w:val="0"/>
              <w:marBottom w:val="0"/>
              <w:divBdr>
                <w:top w:val="none" w:sz="0" w:space="0" w:color="auto"/>
                <w:left w:val="none" w:sz="0" w:space="0" w:color="auto"/>
                <w:bottom w:val="none" w:sz="0" w:space="0" w:color="auto"/>
                <w:right w:val="none" w:sz="0" w:space="0" w:color="auto"/>
              </w:divBdr>
            </w:div>
          </w:divsChild>
        </w:div>
        <w:div w:id="937561876">
          <w:marLeft w:val="0"/>
          <w:marRight w:val="0"/>
          <w:marTop w:val="0"/>
          <w:marBottom w:val="0"/>
          <w:divBdr>
            <w:top w:val="none" w:sz="0" w:space="0" w:color="auto"/>
            <w:left w:val="none" w:sz="0" w:space="0" w:color="auto"/>
            <w:bottom w:val="none" w:sz="0" w:space="0" w:color="auto"/>
            <w:right w:val="none" w:sz="0" w:space="0" w:color="auto"/>
          </w:divBdr>
        </w:div>
        <w:div w:id="1032457124">
          <w:marLeft w:val="0"/>
          <w:marRight w:val="0"/>
          <w:marTop w:val="0"/>
          <w:marBottom w:val="0"/>
          <w:divBdr>
            <w:top w:val="none" w:sz="0" w:space="0" w:color="auto"/>
            <w:left w:val="none" w:sz="0" w:space="0" w:color="auto"/>
            <w:bottom w:val="none" w:sz="0" w:space="0" w:color="auto"/>
            <w:right w:val="none" w:sz="0" w:space="0" w:color="auto"/>
          </w:divBdr>
        </w:div>
        <w:div w:id="1117018257">
          <w:marLeft w:val="0"/>
          <w:marRight w:val="0"/>
          <w:marTop w:val="0"/>
          <w:marBottom w:val="0"/>
          <w:divBdr>
            <w:top w:val="none" w:sz="0" w:space="0" w:color="auto"/>
            <w:left w:val="none" w:sz="0" w:space="0" w:color="auto"/>
            <w:bottom w:val="none" w:sz="0" w:space="0" w:color="auto"/>
            <w:right w:val="none" w:sz="0" w:space="0" w:color="auto"/>
          </w:divBdr>
        </w:div>
        <w:div w:id="1210648412">
          <w:marLeft w:val="0"/>
          <w:marRight w:val="0"/>
          <w:marTop w:val="0"/>
          <w:marBottom w:val="0"/>
          <w:divBdr>
            <w:top w:val="none" w:sz="0" w:space="0" w:color="auto"/>
            <w:left w:val="none" w:sz="0" w:space="0" w:color="auto"/>
            <w:bottom w:val="none" w:sz="0" w:space="0" w:color="auto"/>
            <w:right w:val="none" w:sz="0" w:space="0" w:color="auto"/>
          </w:divBdr>
        </w:div>
        <w:div w:id="1216047837">
          <w:marLeft w:val="0"/>
          <w:marRight w:val="0"/>
          <w:marTop w:val="0"/>
          <w:marBottom w:val="0"/>
          <w:divBdr>
            <w:top w:val="none" w:sz="0" w:space="0" w:color="auto"/>
            <w:left w:val="none" w:sz="0" w:space="0" w:color="auto"/>
            <w:bottom w:val="none" w:sz="0" w:space="0" w:color="auto"/>
            <w:right w:val="none" w:sz="0" w:space="0" w:color="auto"/>
          </w:divBdr>
        </w:div>
        <w:div w:id="1229922494">
          <w:marLeft w:val="0"/>
          <w:marRight w:val="0"/>
          <w:marTop w:val="0"/>
          <w:marBottom w:val="0"/>
          <w:divBdr>
            <w:top w:val="none" w:sz="0" w:space="0" w:color="auto"/>
            <w:left w:val="none" w:sz="0" w:space="0" w:color="auto"/>
            <w:bottom w:val="none" w:sz="0" w:space="0" w:color="auto"/>
            <w:right w:val="none" w:sz="0" w:space="0" w:color="auto"/>
          </w:divBdr>
        </w:div>
        <w:div w:id="1317877351">
          <w:marLeft w:val="0"/>
          <w:marRight w:val="0"/>
          <w:marTop w:val="0"/>
          <w:marBottom w:val="0"/>
          <w:divBdr>
            <w:top w:val="none" w:sz="0" w:space="0" w:color="auto"/>
            <w:left w:val="none" w:sz="0" w:space="0" w:color="auto"/>
            <w:bottom w:val="none" w:sz="0" w:space="0" w:color="auto"/>
            <w:right w:val="none" w:sz="0" w:space="0" w:color="auto"/>
          </w:divBdr>
        </w:div>
        <w:div w:id="1517887869">
          <w:marLeft w:val="0"/>
          <w:marRight w:val="0"/>
          <w:marTop w:val="0"/>
          <w:marBottom w:val="0"/>
          <w:divBdr>
            <w:top w:val="none" w:sz="0" w:space="0" w:color="auto"/>
            <w:left w:val="none" w:sz="0" w:space="0" w:color="auto"/>
            <w:bottom w:val="none" w:sz="0" w:space="0" w:color="auto"/>
            <w:right w:val="none" w:sz="0" w:space="0" w:color="auto"/>
          </w:divBdr>
        </w:div>
        <w:div w:id="1552691759">
          <w:marLeft w:val="0"/>
          <w:marRight w:val="0"/>
          <w:marTop w:val="0"/>
          <w:marBottom w:val="0"/>
          <w:divBdr>
            <w:top w:val="none" w:sz="0" w:space="0" w:color="auto"/>
            <w:left w:val="none" w:sz="0" w:space="0" w:color="auto"/>
            <w:bottom w:val="none" w:sz="0" w:space="0" w:color="auto"/>
            <w:right w:val="none" w:sz="0" w:space="0" w:color="auto"/>
          </w:divBdr>
          <w:divsChild>
            <w:div w:id="333848048">
              <w:marLeft w:val="0"/>
              <w:marRight w:val="0"/>
              <w:marTop w:val="0"/>
              <w:marBottom w:val="0"/>
              <w:divBdr>
                <w:top w:val="none" w:sz="0" w:space="0" w:color="auto"/>
                <w:left w:val="none" w:sz="0" w:space="0" w:color="auto"/>
                <w:bottom w:val="none" w:sz="0" w:space="0" w:color="auto"/>
                <w:right w:val="none" w:sz="0" w:space="0" w:color="auto"/>
              </w:divBdr>
            </w:div>
            <w:div w:id="428619257">
              <w:marLeft w:val="0"/>
              <w:marRight w:val="0"/>
              <w:marTop w:val="0"/>
              <w:marBottom w:val="0"/>
              <w:divBdr>
                <w:top w:val="none" w:sz="0" w:space="0" w:color="auto"/>
                <w:left w:val="none" w:sz="0" w:space="0" w:color="auto"/>
                <w:bottom w:val="none" w:sz="0" w:space="0" w:color="auto"/>
                <w:right w:val="none" w:sz="0" w:space="0" w:color="auto"/>
              </w:divBdr>
            </w:div>
            <w:div w:id="437794994">
              <w:marLeft w:val="0"/>
              <w:marRight w:val="0"/>
              <w:marTop w:val="0"/>
              <w:marBottom w:val="0"/>
              <w:divBdr>
                <w:top w:val="none" w:sz="0" w:space="0" w:color="auto"/>
                <w:left w:val="none" w:sz="0" w:space="0" w:color="auto"/>
                <w:bottom w:val="none" w:sz="0" w:space="0" w:color="auto"/>
                <w:right w:val="none" w:sz="0" w:space="0" w:color="auto"/>
              </w:divBdr>
            </w:div>
            <w:div w:id="585001585">
              <w:marLeft w:val="0"/>
              <w:marRight w:val="0"/>
              <w:marTop w:val="0"/>
              <w:marBottom w:val="0"/>
              <w:divBdr>
                <w:top w:val="none" w:sz="0" w:space="0" w:color="auto"/>
                <w:left w:val="none" w:sz="0" w:space="0" w:color="auto"/>
                <w:bottom w:val="none" w:sz="0" w:space="0" w:color="auto"/>
                <w:right w:val="none" w:sz="0" w:space="0" w:color="auto"/>
              </w:divBdr>
            </w:div>
            <w:div w:id="1644770287">
              <w:marLeft w:val="0"/>
              <w:marRight w:val="0"/>
              <w:marTop w:val="0"/>
              <w:marBottom w:val="0"/>
              <w:divBdr>
                <w:top w:val="none" w:sz="0" w:space="0" w:color="auto"/>
                <w:left w:val="none" w:sz="0" w:space="0" w:color="auto"/>
                <w:bottom w:val="none" w:sz="0" w:space="0" w:color="auto"/>
                <w:right w:val="none" w:sz="0" w:space="0" w:color="auto"/>
              </w:divBdr>
            </w:div>
          </w:divsChild>
        </w:div>
        <w:div w:id="1938902430">
          <w:marLeft w:val="0"/>
          <w:marRight w:val="0"/>
          <w:marTop w:val="0"/>
          <w:marBottom w:val="0"/>
          <w:divBdr>
            <w:top w:val="none" w:sz="0" w:space="0" w:color="auto"/>
            <w:left w:val="none" w:sz="0" w:space="0" w:color="auto"/>
            <w:bottom w:val="none" w:sz="0" w:space="0" w:color="auto"/>
            <w:right w:val="none" w:sz="0" w:space="0" w:color="auto"/>
          </w:divBdr>
        </w:div>
        <w:div w:id="1941836845">
          <w:marLeft w:val="0"/>
          <w:marRight w:val="0"/>
          <w:marTop w:val="0"/>
          <w:marBottom w:val="0"/>
          <w:divBdr>
            <w:top w:val="none" w:sz="0" w:space="0" w:color="auto"/>
            <w:left w:val="none" w:sz="0" w:space="0" w:color="auto"/>
            <w:bottom w:val="none" w:sz="0" w:space="0" w:color="auto"/>
            <w:right w:val="none" w:sz="0" w:space="0" w:color="auto"/>
          </w:divBdr>
        </w:div>
        <w:div w:id="2070956523">
          <w:marLeft w:val="0"/>
          <w:marRight w:val="0"/>
          <w:marTop w:val="0"/>
          <w:marBottom w:val="0"/>
          <w:divBdr>
            <w:top w:val="none" w:sz="0" w:space="0" w:color="auto"/>
            <w:left w:val="none" w:sz="0" w:space="0" w:color="auto"/>
            <w:bottom w:val="none" w:sz="0" w:space="0" w:color="auto"/>
            <w:right w:val="none" w:sz="0" w:space="0" w:color="auto"/>
          </w:divBdr>
        </w:div>
        <w:div w:id="2072801980">
          <w:marLeft w:val="0"/>
          <w:marRight w:val="0"/>
          <w:marTop w:val="0"/>
          <w:marBottom w:val="0"/>
          <w:divBdr>
            <w:top w:val="none" w:sz="0" w:space="0" w:color="auto"/>
            <w:left w:val="none" w:sz="0" w:space="0" w:color="auto"/>
            <w:bottom w:val="none" w:sz="0" w:space="0" w:color="auto"/>
            <w:right w:val="none" w:sz="0" w:space="0" w:color="auto"/>
          </w:divBdr>
        </w:div>
        <w:div w:id="2110272813">
          <w:marLeft w:val="0"/>
          <w:marRight w:val="0"/>
          <w:marTop w:val="0"/>
          <w:marBottom w:val="0"/>
          <w:divBdr>
            <w:top w:val="none" w:sz="0" w:space="0" w:color="auto"/>
            <w:left w:val="none" w:sz="0" w:space="0" w:color="auto"/>
            <w:bottom w:val="none" w:sz="0" w:space="0" w:color="auto"/>
            <w:right w:val="none" w:sz="0" w:space="0" w:color="auto"/>
          </w:divBdr>
        </w:div>
      </w:divsChild>
    </w:div>
    <w:div w:id="1499535397">
      <w:bodyDiv w:val="1"/>
      <w:marLeft w:val="0"/>
      <w:marRight w:val="0"/>
      <w:marTop w:val="0"/>
      <w:marBottom w:val="0"/>
      <w:divBdr>
        <w:top w:val="none" w:sz="0" w:space="0" w:color="auto"/>
        <w:left w:val="none" w:sz="0" w:space="0" w:color="auto"/>
        <w:bottom w:val="none" w:sz="0" w:space="0" w:color="auto"/>
        <w:right w:val="none" w:sz="0" w:space="0" w:color="auto"/>
      </w:divBdr>
      <w:divsChild>
        <w:div w:id="1342928786">
          <w:marLeft w:val="0"/>
          <w:marRight w:val="0"/>
          <w:marTop w:val="0"/>
          <w:marBottom w:val="0"/>
          <w:divBdr>
            <w:top w:val="none" w:sz="0" w:space="0" w:color="auto"/>
            <w:left w:val="none" w:sz="0" w:space="0" w:color="auto"/>
            <w:bottom w:val="none" w:sz="0" w:space="0" w:color="auto"/>
            <w:right w:val="none" w:sz="0" w:space="0" w:color="auto"/>
          </w:divBdr>
        </w:div>
        <w:div w:id="2012904063">
          <w:marLeft w:val="0"/>
          <w:marRight w:val="0"/>
          <w:marTop w:val="0"/>
          <w:marBottom w:val="0"/>
          <w:divBdr>
            <w:top w:val="none" w:sz="0" w:space="0" w:color="auto"/>
            <w:left w:val="none" w:sz="0" w:space="0" w:color="auto"/>
            <w:bottom w:val="none" w:sz="0" w:space="0" w:color="auto"/>
            <w:right w:val="none" w:sz="0" w:space="0" w:color="auto"/>
          </w:divBdr>
        </w:div>
      </w:divsChild>
    </w:div>
    <w:div w:id="1532840704">
      <w:bodyDiv w:val="1"/>
      <w:marLeft w:val="0"/>
      <w:marRight w:val="0"/>
      <w:marTop w:val="0"/>
      <w:marBottom w:val="0"/>
      <w:divBdr>
        <w:top w:val="none" w:sz="0" w:space="0" w:color="auto"/>
        <w:left w:val="none" w:sz="0" w:space="0" w:color="auto"/>
        <w:bottom w:val="none" w:sz="0" w:space="0" w:color="auto"/>
        <w:right w:val="none" w:sz="0" w:space="0" w:color="auto"/>
      </w:divBdr>
      <w:divsChild>
        <w:div w:id="200306">
          <w:marLeft w:val="0"/>
          <w:marRight w:val="0"/>
          <w:marTop w:val="0"/>
          <w:marBottom w:val="0"/>
          <w:divBdr>
            <w:top w:val="none" w:sz="0" w:space="0" w:color="auto"/>
            <w:left w:val="none" w:sz="0" w:space="0" w:color="auto"/>
            <w:bottom w:val="none" w:sz="0" w:space="0" w:color="auto"/>
            <w:right w:val="none" w:sz="0" w:space="0" w:color="auto"/>
          </w:divBdr>
          <w:divsChild>
            <w:div w:id="1033964808">
              <w:marLeft w:val="0"/>
              <w:marRight w:val="0"/>
              <w:marTop w:val="0"/>
              <w:marBottom w:val="0"/>
              <w:divBdr>
                <w:top w:val="none" w:sz="0" w:space="0" w:color="auto"/>
                <w:left w:val="none" w:sz="0" w:space="0" w:color="auto"/>
                <w:bottom w:val="none" w:sz="0" w:space="0" w:color="auto"/>
                <w:right w:val="none" w:sz="0" w:space="0" w:color="auto"/>
              </w:divBdr>
            </w:div>
          </w:divsChild>
        </w:div>
        <w:div w:id="52968757">
          <w:marLeft w:val="0"/>
          <w:marRight w:val="0"/>
          <w:marTop w:val="0"/>
          <w:marBottom w:val="0"/>
          <w:divBdr>
            <w:top w:val="none" w:sz="0" w:space="0" w:color="auto"/>
            <w:left w:val="none" w:sz="0" w:space="0" w:color="auto"/>
            <w:bottom w:val="none" w:sz="0" w:space="0" w:color="auto"/>
            <w:right w:val="none" w:sz="0" w:space="0" w:color="auto"/>
          </w:divBdr>
          <w:divsChild>
            <w:div w:id="1403873324">
              <w:marLeft w:val="0"/>
              <w:marRight w:val="0"/>
              <w:marTop w:val="0"/>
              <w:marBottom w:val="0"/>
              <w:divBdr>
                <w:top w:val="none" w:sz="0" w:space="0" w:color="auto"/>
                <w:left w:val="none" w:sz="0" w:space="0" w:color="auto"/>
                <w:bottom w:val="none" w:sz="0" w:space="0" w:color="auto"/>
                <w:right w:val="none" w:sz="0" w:space="0" w:color="auto"/>
              </w:divBdr>
            </w:div>
          </w:divsChild>
        </w:div>
        <w:div w:id="81804101">
          <w:marLeft w:val="0"/>
          <w:marRight w:val="0"/>
          <w:marTop w:val="0"/>
          <w:marBottom w:val="0"/>
          <w:divBdr>
            <w:top w:val="none" w:sz="0" w:space="0" w:color="auto"/>
            <w:left w:val="none" w:sz="0" w:space="0" w:color="auto"/>
            <w:bottom w:val="none" w:sz="0" w:space="0" w:color="auto"/>
            <w:right w:val="none" w:sz="0" w:space="0" w:color="auto"/>
          </w:divBdr>
          <w:divsChild>
            <w:div w:id="104035229">
              <w:marLeft w:val="0"/>
              <w:marRight w:val="0"/>
              <w:marTop w:val="0"/>
              <w:marBottom w:val="0"/>
              <w:divBdr>
                <w:top w:val="none" w:sz="0" w:space="0" w:color="auto"/>
                <w:left w:val="none" w:sz="0" w:space="0" w:color="auto"/>
                <w:bottom w:val="none" w:sz="0" w:space="0" w:color="auto"/>
                <w:right w:val="none" w:sz="0" w:space="0" w:color="auto"/>
              </w:divBdr>
            </w:div>
          </w:divsChild>
        </w:div>
        <w:div w:id="86658894">
          <w:marLeft w:val="0"/>
          <w:marRight w:val="0"/>
          <w:marTop w:val="0"/>
          <w:marBottom w:val="0"/>
          <w:divBdr>
            <w:top w:val="none" w:sz="0" w:space="0" w:color="auto"/>
            <w:left w:val="none" w:sz="0" w:space="0" w:color="auto"/>
            <w:bottom w:val="none" w:sz="0" w:space="0" w:color="auto"/>
            <w:right w:val="none" w:sz="0" w:space="0" w:color="auto"/>
          </w:divBdr>
          <w:divsChild>
            <w:div w:id="747965314">
              <w:marLeft w:val="0"/>
              <w:marRight w:val="0"/>
              <w:marTop w:val="0"/>
              <w:marBottom w:val="0"/>
              <w:divBdr>
                <w:top w:val="none" w:sz="0" w:space="0" w:color="auto"/>
                <w:left w:val="none" w:sz="0" w:space="0" w:color="auto"/>
                <w:bottom w:val="none" w:sz="0" w:space="0" w:color="auto"/>
                <w:right w:val="none" w:sz="0" w:space="0" w:color="auto"/>
              </w:divBdr>
            </w:div>
          </w:divsChild>
        </w:div>
        <w:div w:id="95905315">
          <w:marLeft w:val="0"/>
          <w:marRight w:val="0"/>
          <w:marTop w:val="0"/>
          <w:marBottom w:val="0"/>
          <w:divBdr>
            <w:top w:val="none" w:sz="0" w:space="0" w:color="auto"/>
            <w:left w:val="none" w:sz="0" w:space="0" w:color="auto"/>
            <w:bottom w:val="none" w:sz="0" w:space="0" w:color="auto"/>
            <w:right w:val="none" w:sz="0" w:space="0" w:color="auto"/>
          </w:divBdr>
          <w:divsChild>
            <w:div w:id="1827089618">
              <w:marLeft w:val="0"/>
              <w:marRight w:val="0"/>
              <w:marTop w:val="0"/>
              <w:marBottom w:val="0"/>
              <w:divBdr>
                <w:top w:val="none" w:sz="0" w:space="0" w:color="auto"/>
                <w:left w:val="none" w:sz="0" w:space="0" w:color="auto"/>
                <w:bottom w:val="none" w:sz="0" w:space="0" w:color="auto"/>
                <w:right w:val="none" w:sz="0" w:space="0" w:color="auto"/>
              </w:divBdr>
            </w:div>
          </w:divsChild>
        </w:div>
        <w:div w:id="126240108">
          <w:marLeft w:val="0"/>
          <w:marRight w:val="0"/>
          <w:marTop w:val="0"/>
          <w:marBottom w:val="0"/>
          <w:divBdr>
            <w:top w:val="none" w:sz="0" w:space="0" w:color="auto"/>
            <w:left w:val="none" w:sz="0" w:space="0" w:color="auto"/>
            <w:bottom w:val="none" w:sz="0" w:space="0" w:color="auto"/>
            <w:right w:val="none" w:sz="0" w:space="0" w:color="auto"/>
          </w:divBdr>
          <w:divsChild>
            <w:div w:id="1611889936">
              <w:marLeft w:val="0"/>
              <w:marRight w:val="0"/>
              <w:marTop w:val="0"/>
              <w:marBottom w:val="0"/>
              <w:divBdr>
                <w:top w:val="none" w:sz="0" w:space="0" w:color="auto"/>
                <w:left w:val="none" w:sz="0" w:space="0" w:color="auto"/>
                <w:bottom w:val="none" w:sz="0" w:space="0" w:color="auto"/>
                <w:right w:val="none" w:sz="0" w:space="0" w:color="auto"/>
              </w:divBdr>
            </w:div>
          </w:divsChild>
        </w:div>
        <w:div w:id="177424788">
          <w:marLeft w:val="0"/>
          <w:marRight w:val="0"/>
          <w:marTop w:val="0"/>
          <w:marBottom w:val="0"/>
          <w:divBdr>
            <w:top w:val="none" w:sz="0" w:space="0" w:color="auto"/>
            <w:left w:val="none" w:sz="0" w:space="0" w:color="auto"/>
            <w:bottom w:val="none" w:sz="0" w:space="0" w:color="auto"/>
            <w:right w:val="none" w:sz="0" w:space="0" w:color="auto"/>
          </w:divBdr>
          <w:divsChild>
            <w:div w:id="687415512">
              <w:marLeft w:val="0"/>
              <w:marRight w:val="0"/>
              <w:marTop w:val="0"/>
              <w:marBottom w:val="0"/>
              <w:divBdr>
                <w:top w:val="none" w:sz="0" w:space="0" w:color="auto"/>
                <w:left w:val="none" w:sz="0" w:space="0" w:color="auto"/>
                <w:bottom w:val="none" w:sz="0" w:space="0" w:color="auto"/>
                <w:right w:val="none" w:sz="0" w:space="0" w:color="auto"/>
              </w:divBdr>
            </w:div>
          </w:divsChild>
        </w:div>
        <w:div w:id="218978559">
          <w:marLeft w:val="0"/>
          <w:marRight w:val="0"/>
          <w:marTop w:val="0"/>
          <w:marBottom w:val="0"/>
          <w:divBdr>
            <w:top w:val="none" w:sz="0" w:space="0" w:color="auto"/>
            <w:left w:val="none" w:sz="0" w:space="0" w:color="auto"/>
            <w:bottom w:val="none" w:sz="0" w:space="0" w:color="auto"/>
            <w:right w:val="none" w:sz="0" w:space="0" w:color="auto"/>
          </w:divBdr>
          <w:divsChild>
            <w:div w:id="1049495783">
              <w:marLeft w:val="0"/>
              <w:marRight w:val="0"/>
              <w:marTop w:val="0"/>
              <w:marBottom w:val="0"/>
              <w:divBdr>
                <w:top w:val="none" w:sz="0" w:space="0" w:color="auto"/>
                <w:left w:val="none" w:sz="0" w:space="0" w:color="auto"/>
                <w:bottom w:val="none" w:sz="0" w:space="0" w:color="auto"/>
                <w:right w:val="none" w:sz="0" w:space="0" w:color="auto"/>
              </w:divBdr>
            </w:div>
          </w:divsChild>
        </w:div>
        <w:div w:id="220752705">
          <w:marLeft w:val="0"/>
          <w:marRight w:val="0"/>
          <w:marTop w:val="0"/>
          <w:marBottom w:val="0"/>
          <w:divBdr>
            <w:top w:val="none" w:sz="0" w:space="0" w:color="auto"/>
            <w:left w:val="none" w:sz="0" w:space="0" w:color="auto"/>
            <w:bottom w:val="none" w:sz="0" w:space="0" w:color="auto"/>
            <w:right w:val="none" w:sz="0" w:space="0" w:color="auto"/>
          </w:divBdr>
          <w:divsChild>
            <w:div w:id="1594823231">
              <w:marLeft w:val="0"/>
              <w:marRight w:val="0"/>
              <w:marTop w:val="0"/>
              <w:marBottom w:val="0"/>
              <w:divBdr>
                <w:top w:val="none" w:sz="0" w:space="0" w:color="auto"/>
                <w:left w:val="none" w:sz="0" w:space="0" w:color="auto"/>
                <w:bottom w:val="none" w:sz="0" w:space="0" w:color="auto"/>
                <w:right w:val="none" w:sz="0" w:space="0" w:color="auto"/>
              </w:divBdr>
            </w:div>
          </w:divsChild>
        </w:div>
        <w:div w:id="242959600">
          <w:marLeft w:val="0"/>
          <w:marRight w:val="0"/>
          <w:marTop w:val="0"/>
          <w:marBottom w:val="0"/>
          <w:divBdr>
            <w:top w:val="none" w:sz="0" w:space="0" w:color="auto"/>
            <w:left w:val="none" w:sz="0" w:space="0" w:color="auto"/>
            <w:bottom w:val="none" w:sz="0" w:space="0" w:color="auto"/>
            <w:right w:val="none" w:sz="0" w:space="0" w:color="auto"/>
          </w:divBdr>
          <w:divsChild>
            <w:div w:id="1627811918">
              <w:marLeft w:val="0"/>
              <w:marRight w:val="0"/>
              <w:marTop w:val="0"/>
              <w:marBottom w:val="0"/>
              <w:divBdr>
                <w:top w:val="none" w:sz="0" w:space="0" w:color="auto"/>
                <w:left w:val="none" w:sz="0" w:space="0" w:color="auto"/>
                <w:bottom w:val="none" w:sz="0" w:space="0" w:color="auto"/>
                <w:right w:val="none" w:sz="0" w:space="0" w:color="auto"/>
              </w:divBdr>
            </w:div>
          </w:divsChild>
        </w:div>
        <w:div w:id="244730177">
          <w:marLeft w:val="0"/>
          <w:marRight w:val="0"/>
          <w:marTop w:val="0"/>
          <w:marBottom w:val="0"/>
          <w:divBdr>
            <w:top w:val="none" w:sz="0" w:space="0" w:color="auto"/>
            <w:left w:val="none" w:sz="0" w:space="0" w:color="auto"/>
            <w:bottom w:val="none" w:sz="0" w:space="0" w:color="auto"/>
            <w:right w:val="none" w:sz="0" w:space="0" w:color="auto"/>
          </w:divBdr>
          <w:divsChild>
            <w:div w:id="1927180967">
              <w:marLeft w:val="0"/>
              <w:marRight w:val="0"/>
              <w:marTop w:val="0"/>
              <w:marBottom w:val="0"/>
              <w:divBdr>
                <w:top w:val="none" w:sz="0" w:space="0" w:color="auto"/>
                <w:left w:val="none" w:sz="0" w:space="0" w:color="auto"/>
                <w:bottom w:val="none" w:sz="0" w:space="0" w:color="auto"/>
                <w:right w:val="none" w:sz="0" w:space="0" w:color="auto"/>
              </w:divBdr>
            </w:div>
          </w:divsChild>
        </w:div>
        <w:div w:id="249126087">
          <w:marLeft w:val="0"/>
          <w:marRight w:val="0"/>
          <w:marTop w:val="0"/>
          <w:marBottom w:val="0"/>
          <w:divBdr>
            <w:top w:val="none" w:sz="0" w:space="0" w:color="auto"/>
            <w:left w:val="none" w:sz="0" w:space="0" w:color="auto"/>
            <w:bottom w:val="none" w:sz="0" w:space="0" w:color="auto"/>
            <w:right w:val="none" w:sz="0" w:space="0" w:color="auto"/>
          </w:divBdr>
          <w:divsChild>
            <w:div w:id="1564028448">
              <w:marLeft w:val="0"/>
              <w:marRight w:val="0"/>
              <w:marTop w:val="0"/>
              <w:marBottom w:val="0"/>
              <w:divBdr>
                <w:top w:val="none" w:sz="0" w:space="0" w:color="auto"/>
                <w:left w:val="none" w:sz="0" w:space="0" w:color="auto"/>
                <w:bottom w:val="none" w:sz="0" w:space="0" w:color="auto"/>
                <w:right w:val="none" w:sz="0" w:space="0" w:color="auto"/>
              </w:divBdr>
            </w:div>
          </w:divsChild>
        </w:div>
        <w:div w:id="260264729">
          <w:marLeft w:val="0"/>
          <w:marRight w:val="0"/>
          <w:marTop w:val="0"/>
          <w:marBottom w:val="0"/>
          <w:divBdr>
            <w:top w:val="none" w:sz="0" w:space="0" w:color="auto"/>
            <w:left w:val="none" w:sz="0" w:space="0" w:color="auto"/>
            <w:bottom w:val="none" w:sz="0" w:space="0" w:color="auto"/>
            <w:right w:val="none" w:sz="0" w:space="0" w:color="auto"/>
          </w:divBdr>
          <w:divsChild>
            <w:div w:id="1190991006">
              <w:marLeft w:val="0"/>
              <w:marRight w:val="0"/>
              <w:marTop w:val="0"/>
              <w:marBottom w:val="0"/>
              <w:divBdr>
                <w:top w:val="none" w:sz="0" w:space="0" w:color="auto"/>
                <w:left w:val="none" w:sz="0" w:space="0" w:color="auto"/>
                <w:bottom w:val="none" w:sz="0" w:space="0" w:color="auto"/>
                <w:right w:val="none" w:sz="0" w:space="0" w:color="auto"/>
              </w:divBdr>
            </w:div>
          </w:divsChild>
        </w:div>
        <w:div w:id="281962369">
          <w:marLeft w:val="0"/>
          <w:marRight w:val="0"/>
          <w:marTop w:val="0"/>
          <w:marBottom w:val="0"/>
          <w:divBdr>
            <w:top w:val="none" w:sz="0" w:space="0" w:color="auto"/>
            <w:left w:val="none" w:sz="0" w:space="0" w:color="auto"/>
            <w:bottom w:val="none" w:sz="0" w:space="0" w:color="auto"/>
            <w:right w:val="none" w:sz="0" w:space="0" w:color="auto"/>
          </w:divBdr>
          <w:divsChild>
            <w:div w:id="1976640818">
              <w:marLeft w:val="0"/>
              <w:marRight w:val="0"/>
              <w:marTop w:val="0"/>
              <w:marBottom w:val="0"/>
              <w:divBdr>
                <w:top w:val="none" w:sz="0" w:space="0" w:color="auto"/>
                <w:left w:val="none" w:sz="0" w:space="0" w:color="auto"/>
                <w:bottom w:val="none" w:sz="0" w:space="0" w:color="auto"/>
                <w:right w:val="none" w:sz="0" w:space="0" w:color="auto"/>
              </w:divBdr>
            </w:div>
          </w:divsChild>
        </w:div>
        <w:div w:id="312835319">
          <w:marLeft w:val="0"/>
          <w:marRight w:val="0"/>
          <w:marTop w:val="0"/>
          <w:marBottom w:val="0"/>
          <w:divBdr>
            <w:top w:val="none" w:sz="0" w:space="0" w:color="auto"/>
            <w:left w:val="none" w:sz="0" w:space="0" w:color="auto"/>
            <w:bottom w:val="none" w:sz="0" w:space="0" w:color="auto"/>
            <w:right w:val="none" w:sz="0" w:space="0" w:color="auto"/>
          </w:divBdr>
          <w:divsChild>
            <w:div w:id="1720393867">
              <w:marLeft w:val="0"/>
              <w:marRight w:val="0"/>
              <w:marTop w:val="0"/>
              <w:marBottom w:val="0"/>
              <w:divBdr>
                <w:top w:val="none" w:sz="0" w:space="0" w:color="auto"/>
                <w:left w:val="none" w:sz="0" w:space="0" w:color="auto"/>
                <w:bottom w:val="none" w:sz="0" w:space="0" w:color="auto"/>
                <w:right w:val="none" w:sz="0" w:space="0" w:color="auto"/>
              </w:divBdr>
            </w:div>
          </w:divsChild>
        </w:div>
        <w:div w:id="342705609">
          <w:marLeft w:val="0"/>
          <w:marRight w:val="0"/>
          <w:marTop w:val="0"/>
          <w:marBottom w:val="0"/>
          <w:divBdr>
            <w:top w:val="none" w:sz="0" w:space="0" w:color="auto"/>
            <w:left w:val="none" w:sz="0" w:space="0" w:color="auto"/>
            <w:bottom w:val="none" w:sz="0" w:space="0" w:color="auto"/>
            <w:right w:val="none" w:sz="0" w:space="0" w:color="auto"/>
          </w:divBdr>
          <w:divsChild>
            <w:div w:id="1767264035">
              <w:marLeft w:val="0"/>
              <w:marRight w:val="0"/>
              <w:marTop w:val="0"/>
              <w:marBottom w:val="0"/>
              <w:divBdr>
                <w:top w:val="none" w:sz="0" w:space="0" w:color="auto"/>
                <w:left w:val="none" w:sz="0" w:space="0" w:color="auto"/>
                <w:bottom w:val="none" w:sz="0" w:space="0" w:color="auto"/>
                <w:right w:val="none" w:sz="0" w:space="0" w:color="auto"/>
              </w:divBdr>
            </w:div>
          </w:divsChild>
        </w:div>
        <w:div w:id="370107162">
          <w:marLeft w:val="0"/>
          <w:marRight w:val="0"/>
          <w:marTop w:val="0"/>
          <w:marBottom w:val="0"/>
          <w:divBdr>
            <w:top w:val="none" w:sz="0" w:space="0" w:color="auto"/>
            <w:left w:val="none" w:sz="0" w:space="0" w:color="auto"/>
            <w:bottom w:val="none" w:sz="0" w:space="0" w:color="auto"/>
            <w:right w:val="none" w:sz="0" w:space="0" w:color="auto"/>
          </w:divBdr>
          <w:divsChild>
            <w:div w:id="674844938">
              <w:marLeft w:val="0"/>
              <w:marRight w:val="0"/>
              <w:marTop w:val="0"/>
              <w:marBottom w:val="0"/>
              <w:divBdr>
                <w:top w:val="none" w:sz="0" w:space="0" w:color="auto"/>
                <w:left w:val="none" w:sz="0" w:space="0" w:color="auto"/>
                <w:bottom w:val="none" w:sz="0" w:space="0" w:color="auto"/>
                <w:right w:val="none" w:sz="0" w:space="0" w:color="auto"/>
              </w:divBdr>
            </w:div>
          </w:divsChild>
        </w:div>
        <w:div w:id="417288296">
          <w:marLeft w:val="0"/>
          <w:marRight w:val="0"/>
          <w:marTop w:val="0"/>
          <w:marBottom w:val="0"/>
          <w:divBdr>
            <w:top w:val="none" w:sz="0" w:space="0" w:color="auto"/>
            <w:left w:val="none" w:sz="0" w:space="0" w:color="auto"/>
            <w:bottom w:val="none" w:sz="0" w:space="0" w:color="auto"/>
            <w:right w:val="none" w:sz="0" w:space="0" w:color="auto"/>
          </w:divBdr>
          <w:divsChild>
            <w:div w:id="1504391586">
              <w:marLeft w:val="0"/>
              <w:marRight w:val="0"/>
              <w:marTop w:val="0"/>
              <w:marBottom w:val="0"/>
              <w:divBdr>
                <w:top w:val="none" w:sz="0" w:space="0" w:color="auto"/>
                <w:left w:val="none" w:sz="0" w:space="0" w:color="auto"/>
                <w:bottom w:val="none" w:sz="0" w:space="0" w:color="auto"/>
                <w:right w:val="none" w:sz="0" w:space="0" w:color="auto"/>
              </w:divBdr>
            </w:div>
          </w:divsChild>
        </w:div>
        <w:div w:id="491071677">
          <w:marLeft w:val="0"/>
          <w:marRight w:val="0"/>
          <w:marTop w:val="0"/>
          <w:marBottom w:val="0"/>
          <w:divBdr>
            <w:top w:val="none" w:sz="0" w:space="0" w:color="auto"/>
            <w:left w:val="none" w:sz="0" w:space="0" w:color="auto"/>
            <w:bottom w:val="none" w:sz="0" w:space="0" w:color="auto"/>
            <w:right w:val="none" w:sz="0" w:space="0" w:color="auto"/>
          </w:divBdr>
          <w:divsChild>
            <w:div w:id="1572808087">
              <w:marLeft w:val="0"/>
              <w:marRight w:val="0"/>
              <w:marTop w:val="0"/>
              <w:marBottom w:val="0"/>
              <w:divBdr>
                <w:top w:val="none" w:sz="0" w:space="0" w:color="auto"/>
                <w:left w:val="none" w:sz="0" w:space="0" w:color="auto"/>
                <w:bottom w:val="none" w:sz="0" w:space="0" w:color="auto"/>
                <w:right w:val="none" w:sz="0" w:space="0" w:color="auto"/>
              </w:divBdr>
            </w:div>
          </w:divsChild>
        </w:div>
        <w:div w:id="504512907">
          <w:marLeft w:val="0"/>
          <w:marRight w:val="0"/>
          <w:marTop w:val="0"/>
          <w:marBottom w:val="0"/>
          <w:divBdr>
            <w:top w:val="none" w:sz="0" w:space="0" w:color="auto"/>
            <w:left w:val="none" w:sz="0" w:space="0" w:color="auto"/>
            <w:bottom w:val="none" w:sz="0" w:space="0" w:color="auto"/>
            <w:right w:val="none" w:sz="0" w:space="0" w:color="auto"/>
          </w:divBdr>
          <w:divsChild>
            <w:div w:id="1751192037">
              <w:marLeft w:val="0"/>
              <w:marRight w:val="0"/>
              <w:marTop w:val="0"/>
              <w:marBottom w:val="0"/>
              <w:divBdr>
                <w:top w:val="none" w:sz="0" w:space="0" w:color="auto"/>
                <w:left w:val="none" w:sz="0" w:space="0" w:color="auto"/>
                <w:bottom w:val="none" w:sz="0" w:space="0" w:color="auto"/>
                <w:right w:val="none" w:sz="0" w:space="0" w:color="auto"/>
              </w:divBdr>
            </w:div>
          </w:divsChild>
        </w:div>
        <w:div w:id="524099849">
          <w:marLeft w:val="0"/>
          <w:marRight w:val="0"/>
          <w:marTop w:val="0"/>
          <w:marBottom w:val="0"/>
          <w:divBdr>
            <w:top w:val="none" w:sz="0" w:space="0" w:color="auto"/>
            <w:left w:val="none" w:sz="0" w:space="0" w:color="auto"/>
            <w:bottom w:val="none" w:sz="0" w:space="0" w:color="auto"/>
            <w:right w:val="none" w:sz="0" w:space="0" w:color="auto"/>
          </w:divBdr>
          <w:divsChild>
            <w:div w:id="1079402333">
              <w:marLeft w:val="0"/>
              <w:marRight w:val="0"/>
              <w:marTop w:val="0"/>
              <w:marBottom w:val="0"/>
              <w:divBdr>
                <w:top w:val="none" w:sz="0" w:space="0" w:color="auto"/>
                <w:left w:val="none" w:sz="0" w:space="0" w:color="auto"/>
                <w:bottom w:val="none" w:sz="0" w:space="0" w:color="auto"/>
                <w:right w:val="none" w:sz="0" w:space="0" w:color="auto"/>
              </w:divBdr>
            </w:div>
          </w:divsChild>
        </w:div>
        <w:div w:id="661276375">
          <w:marLeft w:val="0"/>
          <w:marRight w:val="0"/>
          <w:marTop w:val="0"/>
          <w:marBottom w:val="0"/>
          <w:divBdr>
            <w:top w:val="none" w:sz="0" w:space="0" w:color="auto"/>
            <w:left w:val="none" w:sz="0" w:space="0" w:color="auto"/>
            <w:bottom w:val="none" w:sz="0" w:space="0" w:color="auto"/>
            <w:right w:val="none" w:sz="0" w:space="0" w:color="auto"/>
          </w:divBdr>
          <w:divsChild>
            <w:div w:id="2136438189">
              <w:marLeft w:val="0"/>
              <w:marRight w:val="0"/>
              <w:marTop w:val="0"/>
              <w:marBottom w:val="0"/>
              <w:divBdr>
                <w:top w:val="none" w:sz="0" w:space="0" w:color="auto"/>
                <w:left w:val="none" w:sz="0" w:space="0" w:color="auto"/>
                <w:bottom w:val="none" w:sz="0" w:space="0" w:color="auto"/>
                <w:right w:val="none" w:sz="0" w:space="0" w:color="auto"/>
              </w:divBdr>
            </w:div>
          </w:divsChild>
        </w:div>
        <w:div w:id="673919621">
          <w:marLeft w:val="0"/>
          <w:marRight w:val="0"/>
          <w:marTop w:val="0"/>
          <w:marBottom w:val="0"/>
          <w:divBdr>
            <w:top w:val="none" w:sz="0" w:space="0" w:color="auto"/>
            <w:left w:val="none" w:sz="0" w:space="0" w:color="auto"/>
            <w:bottom w:val="none" w:sz="0" w:space="0" w:color="auto"/>
            <w:right w:val="none" w:sz="0" w:space="0" w:color="auto"/>
          </w:divBdr>
          <w:divsChild>
            <w:div w:id="2129347963">
              <w:marLeft w:val="0"/>
              <w:marRight w:val="0"/>
              <w:marTop w:val="0"/>
              <w:marBottom w:val="0"/>
              <w:divBdr>
                <w:top w:val="none" w:sz="0" w:space="0" w:color="auto"/>
                <w:left w:val="none" w:sz="0" w:space="0" w:color="auto"/>
                <w:bottom w:val="none" w:sz="0" w:space="0" w:color="auto"/>
                <w:right w:val="none" w:sz="0" w:space="0" w:color="auto"/>
              </w:divBdr>
            </w:div>
          </w:divsChild>
        </w:div>
        <w:div w:id="769397918">
          <w:marLeft w:val="0"/>
          <w:marRight w:val="0"/>
          <w:marTop w:val="0"/>
          <w:marBottom w:val="0"/>
          <w:divBdr>
            <w:top w:val="none" w:sz="0" w:space="0" w:color="auto"/>
            <w:left w:val="none" w:sz="0" w:space="0" w:color="auto"/>
            <w:bottom w:val="none" w:sz="0" w:space="0" w:color="auto"/>
            <w:right w:val="none" w:sz="0" w:space="0" w:color="auto"/>
          </w:divBdr>
          <w:divsChild>
            <w:div w:id="869683300">
              <w:marLeft w:val="0"/>
              <w:marRight w:val="0"/>
              <w:marTop w:val="0"/>
              <w:marBottom w:val="0"/>
              <w:divBdr>
                <w:top w:val="none" w:sz="0" w:space="0" w:color="auto"/>
                <w:left w:val="none" w:sz="0" w:space="0" w:color="auto"/>
                <w:bottom w:val="none" w:sz="0" w:space="0" w:color="auto"/>
                <w:right w:val="none" w:sz="0" w:space="0" w:color="auto"/>
              </w:divBdr>
            </w:div>
          </w:divsChild>
        </w:div>
        <w:div w:id="789933303">
          <w:marLeft w:val="0"/>
          <w:marRight w:val="0"/>
          <w:marTop w:val="0"/>
          <w:marBottom w:val="0"/>
          <w:divBdr>
            <w:top w:val="none" w:sz="0" w:space="0" w:color="auto"/>
            <w:left w:val="none" w:sz="0" w:space="0" w:color="auto"/>
            <w:bottom w:val="none" w:sz="0" w:space="0" w:color="auto"/>
            <w:right w:val="none" w:sz="0" w:space="0" w:color="auto"/>
          </w:divBdr>
          <w:divsChild>
            <w:div w:id="1548956967">
              <w:marLeft w:val="0"/>
              <w:marRight w:val="0"/>
              <w:marTop w:val="0"/>
              <w:marBottom w:val="0"/>
              <w:divBdr>
                <w:top w:val="none" w:sz="0" w:space="0" w:color="auto"/>
                <w:left w:val="none" w:sz="0" w:space="0" w:color="auto"/>
                <w:bottom w:val="none" w:sz="0" w:space="0" w:color="auto"/>
                <w:right w:val="none" w:sz="0" w:space="0" w:color="auto"/>
              </w:divBdr>
            </w:div>
          </w:divsChild>
        </w:div>
        <w:div w:id="804741980">
          <w:marLeft w:val="0"/>
          <w:marRight w:val="0"/>
          <w:marTop w:val="0"/>
          <w:marBottom w:val="0"/>
          <w:divBdr>
            <w:top w:val="none" w:sz="0" w:space="0" w:color="auto"/>
            <w:left w:val="none" w:sz="0" w:space="0" w:color="auto"/>
            <w:bottom w:val="none" w:sz="0" w:space="0" w:color="auto"/>
            <w:right w:val="none" w:sz="0" w:space="0" w:color="auto"/>
          </w:divBdr>
          <w:divsChild>
            <w:div w:id="1066800191">
              <w:marLeft w:val="0"/>
              <w:marRight w:val="0"/>
              <w:marTop w:val="0"/>
              <w:marBottom w:val="0"/>
              <w:divBdr>
                <w:top w:val="none" w:sz="0" w:space="0" w:color="auto"/>
                <w:left w:val="none" w:sz="0" w:space="0" w:color="auto"/>
                <w:bottom w:val="none" w:sz="0" w:space="0" w:color="auto"/>
                <w:right w:val="none" w:sz="0" w:space="0" w:color="auto"/>
              </w:divBdr>
            </w:div>
          </w:divsChild>
        </w:div>
        <w:div w:id="816843095">
          <w:marLeft w:val="0"/>
          <w:marRight w:val="0"/>
          <w:marTop w:val="0"/>
          <w:marBottom w:val="0"/>
          <w:divBdr>
            <w:top w:val="none" w:sz="0" w:space="0" w:color="auto"/>
            <w:left w:val="none" w:sz="0" w:space="0" w:color="auto"/>
            <w:bottom w:val="none" w:sz="0" w:space="0" w:color="auto"/>
            <w:right w:val="none" w:sz="0" w:space="0" w:color="auto"/>
          </w:divBdr>
          <w:divsChild>
            <w:div w:id="969432682">
              <w:marLeft w:val="0"/>
              <w:marRight w:val="0"/>
              <w:marTop w:val="0"/>
              <w:marBottom w:val="0"/>
              <w:divBdr>
                <w:top w:val="none" w:sz="0" w:space="0" w:color="auto"/>
                <w:left w:val="none" w:sz="0" w:space="0" w:color="auto"/>
                <w:bottom w:val="none" w:sz="0" w:space="0" w:color="auto"/>
                <w:right w:val="none" w:sz="0" w:space="0" w:color="auto"/>
              </w:divBdr>
            </w:div>
          </w:divsChild>
        </w:div>
        <w:div w:id="821434659">
          <w:marLeft w:val="0"/>
          <w:marRight w:val="0"/>
          <w:marTop w:val="0"/>
          <w:marBottom w:val="0"/>
          <w:divBdr>
            <w:top w:val="none" w:sz="0" w:space="0" w:color="auto"/>
            <w:left w:val="none" w:sz="0" w:space="0" w:color="auto"/>
            <w:bottom w:val="none" w:sz="0" w:space="0" w:color="auto"/>
            <w:right w:val="none" w:sz="0" w:space="0" w:color="auto"/>
          </w:divBdr>
          <w:divsChild>
            <w:div w:id="1812290624">
              <w:marLeft w:val="0"/>
              <w:marRight w:val="0"/>
              <w:marTop w:val="0"/>
              <w:marBottom w:val="0"/>
              <w:divBdr>
                <w:top w:val="none" w:sz="0" w:space="0" w:color="auto"/>
                <w:left w:val="none" w:sz="0" w:space="0" w:color="auto"/>
                <w:bottom w:val="none" w:sz="0" w:space="0" w:color="auto"/>
                <w:right w:val="none" w:sz="0" w:space="0" w:color="auto"/>
              </w:divBdr>
            </w:div>
          </w:divsChild>
        </w:div>
        <w:div w:id="886798317">
          <w:marLeft w:val="0"/>
          <w:marRight w:val="0"/>
          <w:marTop w:val="0"/>
          <w:marBottom w:val="0"/>
          <w:divBdr>
            <w:top w:val="none" w:sz="0" w:space="0" w:color="auto"/>
            <w:left w:val="none" w:sz="0" w:space="0" w:color="auto"/>
            <w:bottom w:val="none" w:sz="0" w:space="0" w:color="auto"/>
            <w:right w:val="none" w:sz="0" w:space="0" w:color="auto"/>
          </w:divBdr>
          <w:divsChild>
            <w:div w:id="1425833317">
              <w:marLeft w:val="0"/>
              <w:marRight w:val="0"/>
              <w:marTop w:val="0"/>
              <w:marBottom w:val="0"/>
              <w:divBdr>
                <w:top w:val="none" w:sz="0" w:space="0" w:color="auto"/>
                <w:left w:val="none" w:sz="0" w:space="0" w:color="auto"/>
                <w:bottom w:val="none" w:sz="0" w:space="0" w:color="auto"/>
                <w:right w:val="none" w:sz="0" w:space="0" w:color="auto"/>
              </w:divBdr>
            </w:div>
          </w:divsChild>
        </w:div>
        <w:div w:id="912399527">
          <w:marLeft w:val="0"/>
          <w:marRight w:val="0"/>
          <w:marTop w:val="0"/>
          <w:marBottom w:val="0"/>
          <w:divBdr>
            <w:top w:val="none" w:sz="0" w:space="0" w:color="auto"/>
            <w:left w:val="none" w:sz="0" w:space="0" w:color="auto"/>
            <w:bottom w:val="none" w:sz="0" w:space="0" w:color="auto"/>
            <w:right w:val="none" w:sz="0" w:space="0" w:color="auto"/>
          </w:divBdr>
          <w:divsChild>
            <w:div w:id="1184244219">
              <w:marLeft w:val="0"/>
              <w:marRight w:val="0"/>
              <w:marTop w:val="0"/>
              <w:marBottom w:val="0"/>
              <w:divBdr>
                <w:top w:val="none" w:sz="0" w:space="0" w:color="auto"/>
                <w:left w:val="none" w:sz="0" w:space="0" w:color="auto"/>
                <w:bottom w:val="none" w:sz="0" w:space="0" w:color="auto"/>
                <w:right w:val="none" w:sz="0" w:space="0" w:color="auto"/>
              </w:divBdr>
            </w:div>
          </w:divsChild>
        </w:div>
        <w:div w:id="935023325">
          <w:marLeft w:val="0"/>
          <w:marRight w:val="0"/>
          <w:marTop w:val="0"/>
          <w:marBottom w:val="0"/>
          <w:divBdr>
            <w:top w:val="none" w:sz="0" w:space="0" w:color="auto"/>
            <w:left w:val="none" w:sz="0" w:space="0" w:color="auto"/>
            <w:bottom w:val="none" w:sz="0" w:space="0" w:color="auto"/>
            <w:right w:val="none" w:sz="0" w:space="0" w:color="auto"/>
          </w:divBdr>
          <w:divsChild>
            <w:div w:id="1205100022">
              <w:marLeft w:val="0"/>
              <w:marRight w:val="0"/>
              <w:marTop w:val="0"/>
              <w:marBottom w:val="0"/>
              <w:divBdr>
                <w:top w:val="none" w:sz="0" w:space="0" w:color="auto"/>
                <w:left w:val="none" w:sz="0" w:space="0" w:color="auto"/>
                <w:bottom w:val="none" w:sz="0" w:space="0" w:color="auto"/>
                <w:right w:val="none" w:sz="0" w:space="0" w:color="auto"/>
              </w:divBdr>
            </w:div>
          </w:divsChild>
        </w:div>
        <w:div w:id="941112802">
          <w:marLeft w:val="0"/>
          <w:marRight w:val="0"/>
          <w:marTop w:val="0"/>
          <w:marBottom w:val="0"/>
          <w:divBdr>
            <w:top w:val="none" w:sz="0" w:space="0" w:color="auto"/>
            <w:left w:val="none" w:sz="0" w:space="0" w:color="auto"/>
            <w:bottom w:val="none" w:sz="0" w:space="0" w:color="auto"/>
            <w:right w:val="none" w:sz="0" w:space="0" w:color="auto"/>
          </w:divBdr>
          <w:divsChild>
            <w:div w:id="475922710">
              <w:marLeft w:val="0"/>
              <w:marRight w:val="0"/>
              <w:marTop w:val="0"/>
              <w:marBottom w:val="0"/>
              <w:divBdr>
                <w:top w:val="none" w:sz="0" w:space="0" w:color="auto"/>
                <w:left w:val="none" w:sz="0" w:space="0" w:color="auto"/>
                <w:bottom w:val="none" w:sz="0" w:space="0" w:color="auto"/>
                <w:right w:val="none" w:sz="0" w:space="0" w:color="auto"/>
              </w:divBdr>
            </w:div>
          </w:divsChild>
        </w:div>
        <w:div w:id="973951495">
          <w:marLeft w:val="0"/>
          <w:marRight w:val="0"/>
          <w:marTop w:val="0"/>
          <w:marBottom w:val="0"/>
          <w:divBdr>
            <w:top w:val="none" w:sz="0" w:space="0" w:color="auto"/>
            <w:left w:val="none" w:sz="0" w:space="0" w:color="auto"/>
            <w:bottom w:val="none" w:sz="0" w:space="0" w:color="auto"/>
            <w:right w:val="none" w:sz="0" w:space="0" w:color="auto"/>
          </w:divBdr>
          <w:divsChild>
            <w:div w:id="2077169093">
              <w:marLeft w:val="0"/>
              <w:marRight w:val="0"/>
              <w:marTop w:val="0"/>
              <w:marBottom w:val="0"/>
              <w:divBdr>
                <w:top w:val="none" w:sz="0" w:space="0" w:color="auto"/>
                <w:left w:val="none" w:sz="0" w:space="0" w:color="auto"/>
                <w:bottom w:val="none" w:sz="0" w:space="0" w:color="auto"/>
                <w:right w:val="none" w:sz="0" w:space="0" w:color="auto"/>
              </w:divBdr>
            </w:div>
          </w:divsChild>
        </w:div>
        <w:div w:id="1034888584">
          <w:marLeft w:val="0"/>
          <w:marRight w:val="0"/>
          <w:marTop w:val="0"/>
          <w:marBottom w:val="0"/>
          <w:divBdr>
            <w:top w:val="none" w:sz="0" w:space="0" w:color="auto"/>
            <w:left w:val="none" w:sz="0" w:space="0" w:color="auto"/>
            <w:bottom w:val="none" w:sz="0" w:space="0" w:color="auto"/>
            <w:right w:val="none" w:sz="0" w:space="0" w:color="auto"/>
          </w:divBdr>
          <w:divsChild>
            <w:div w:id="2129005230">
              <w:marLeft w:val="0"/>
              <w:marRight w:val="0"/>
              <w:marTop w:val="0"/>
              <w:marBottom w:val="0"/>
              <w:divBdr>
                <w:top w:val="none" w:sz="0" w:space="0" w:color="auto"/>
                <w:left w:val="none" w:sz="0" w:space="0" w:color="auto"/>
                <w:bottom w:val="none" w:sz="0" w:space="0" w:color="auto"/>
                <w:right w:val="none" w:sz="0" w:space="0" w:color="auto"/>
              </w:divBdr>
            </w:div>
          </w:divsChild>
        </w:div>
        <w:div w:id="1039671830">
          <w:marLeft w:val="0"/>
          <w:marRight w:val="0"/>
          <w:marTop w:val="0"/>
          <w:marBottom w:val="0"/>
          <w:divBdr>
            <w:top w:val="none" w:sz="0" w:space="0" w:color="auto"/>
            <w:left w:val="none" w:sz="0" w:space="0" w:color="auto"/>
            <w:bottom w:val="none" w:sz="0" w:space="0" w:color="auto"/>
            <w:right w:val="none" w:sz="0" w:space="0" w:color="auto"/>
          </w:divBdr>
          <w:divsChild>
            <w:div w:id="773669641">
              <w:marLeft w:val="0"/>
              <w:marRight w:val="0"/>
              <w:marTop w:val="0"/>
              <w:marBottom w:val="0"/>
              <w:divBdr>
                <w:top w:val="none" w:sz="0" w:space="0" w:color="auto"/>
                <w:left w:val="none" w:sz="0" w:space="0" w:color="auto"/>
                <w:bottom w:val="none" w:sz="0" w:space="0" w:color="auto"/>
                <w:right w:val="none" w:sz="0" w:space="0" w:color="auto"/>
              </w:divBdr>
            </w:div>
          </w:divsChild>
        </w:div>
        <w:div w:id="1065178350">
          <w:marLeft w:val="0"/>
          <w:marRight w:val="0"/>
          <w:marTop w:val="0"/>
          <w:marBottom w:val="0"/>
          <w:divBdr>
            <w:top w:val="none" w:sz="0" w:space="0" w:color="auto"/>
            <w:left w:val="none" w:sz="0" w:space="0" w:color="auto"/>
            <w:bottom w:val="none" w:sz="0" w:space="0" w:color="auto"/>
            <w:right w:val="none" w:sz="0" w:space="0" w:color="auto"/>
          </w:divBdr>
          <w:divsChild>
            <w:div w:id="831339529">
              <w:marLeft w:val="0"/>
              <w:marRight w:val="0"/>
              <w:marTop w:val="0"/>
              <w:marBottom w:val="0"/>
              <w:divBdr>
                <w:top w:val="none" w:sz="0" w:space="0" w:color="auto"/>
                <w:left w:val="none" w:sz="0" w:space="0" w:color="auto"/>
                <w:bottom w:val="none" w:sz="0" w:space="0" w:color="auto"/>
                <w:right w:val="none" w:sz="0" w:space="0" w:color="auto"/>
              </w:divBdr>
            </w:div>
          </w:divsChild>
        </w:div>
        <w:div w:id="1125193447">
          <w:marLeft w:val="0"/>
          <w:marRight w:val="0"/>
          <w:marTop w:val="0"/>
          <w:marBottom w:val="0"/>
          <w:divBdr>
            <w:top w:val="none" w:sz="0" w:space="0" w:color="auto"/>
            <w:left w:val="none" w:sz="0" w:space="0" w:color="auto"/>
            <w:bottom w:val="none" w:sz="0" w:space="0" w:color="auto"/>
            <w:right w:val="none" w:sz="0" w:space="0" w:color="auto"/>
          </w:divBdr>
          <w:divsChild>
            <w:div w:id="396905946">
              <w:marLeft w:val="0"/>
              <w:marRight w:val="0"/>
              <w:marTop w:val="0"/>
              <w:marBottom w:val="0"/>
              <w:divBdr>
                <w:top w:val="none" w:sz="0" w:space="0" w:color="auto"/>
                <w:left w:val="none" w:sz="0" w:space="0" w:color="auto"/>
                <w:bottom w:val="none" w:sz="0" w:space="0" w:color="auto"/>
                <w:right w:val="none" w:sz="0" w:space="0" w:color="auto"/>
              </w:divBdr>
            </w:div>
          </w:divsChild>
        </w:div>
        <w:div w:id="1148478545">
          <w:marLeft w:val="0"/>
          <w:marRight w:val="0"/>
          <w:marTop w:val="0"/>
          <w:marBottom w:val="0"/>
          <w:divBdr>
            <w:top w:val="none" w:sz="0" w:space="0" w:color="auto"/>
            <w:left w:val="none" w:sz="0" w:space="0" w:color="auto"/>
            <w:bottom w:val="none" w:sz="0" w:space="0" w:color="auto"/>
            <w:right w:val="none" w:sz="0" w:space="0" w:color="auto"/>
          </w:divBdr>
          <w:divsChild>
            <w:div w:id="2073581129">
              <w:marLeft w:val="0"/>
              <w:marRight w:val="0"/>
              <w:marTop w:val="0"/>
              <w:marBottom w:val="0"/>
              <w:divBdr>
                <w:top w:val="none" w:sz="0" w:space="0" w:color="auto"/>
                <w:left w:val="none" w:sz="0" w:space="0" w:color="auto"/>
                <w:bottom w:val="none" w:sz="0" w:space="0" w:color="auto"/>
                <w:right w:val="none" w:sz="0" w:space="0" w:color="auto"/>
              </w:divBdr>
            </w:div>
          </w:divsChild>
        </w:div>
        <w:div w:id="1153790352">
          <w:marLeft w:val="0"/>
          <w:marRight w:val="0"/>
          <w:marTop w:val="0"/>
          <w:marBottom w:val="0"/>
          <w:divBdr>
            <w:top w:val="none" w:sz="0" w:space="0" w:color="auto"/>
            <w:left w:val="none" w:sz="0" w:space="0" w:color="auto"/>
            <w:bottom w:val="none" w:sz="0" w:space="0" w:color="auto"/>
            <w:right w:val="none" w:sz="0" w:space="0" w:color="auto"/>
          </w:divBdr>
          <w:divsChild>
            <w:div w:id="586423930">
              <w:marLeft w:val="0"/>
              <w:marRight w:val="0"/>
              <w:marTop w:val="0"/>
              <w:marBottom w:val="0"/>
              <w:divBdr>
                <w:top w:val="none" w:sz="0" w:space="0" w:color="auto"/>
                <w:left w:val="none" w:sz="0" w:space="0" w:color="auto"/>
                <w:bottom w:val="none" w:sz="0" w:space="0" w:color="auto"/>
                <w:right w:val="none" w:sz="0" w:space="0" w:color="auto"/>
              </w:divBdr>
            </w:div>
          </w:divsChild>
        </w:div>
        <w:div w:id="1206135484">
          <w:marLeft w:val="0"/>
          <w:marRight w:val="0"/>
          <w:marTop w:val="0"/>
          <w:marBottom w:val="0"/>
          <w:divBdr>
            <w:top w:val="none" w:sz="0" w:space="0" w:color="auto"/>
            <w:left w:val="none" w:sz="0" w:space="0" w:color="auto"/>
            <w:bottom w:val="none" w:sz="0" w:space="0" w:color="auto"/>
            <w:right w:val="none" w:sz="0" w:space="0" w:color="auto"/>
          </w:divBdr>
          <w:divsChild>
            <w:div w:id="1863863577">
              <w:marLeft w:val="0"/>
              <w:marRight w:val="0"/>
              <w:marTop w:val="0"/>
              <w:marBottom w:val="0"/>
              <w:divBdr>
                <w:top w:val="none" w:sz="0" w:space="0" w:color="auto"/>
                <w:left w:val="none" w:sz="0" w:space="0" w:color="auto"/>
                <w:bottom w:val="none" w:sz="0" w:space="0" w:color="auto"/>
                <w:right w:val="none" w:sz="0" w:space="0" w:color="auto"/>
              </w:divBdr>
            </w:div>
          </w:divsChild>
        </w:div>
        <w:div w:id="1240601204">
          <w:marLeft w:val="0"/>
          <w:marRight w:val="0"/>
          <w:marTop w:val="0"/>
          <w:marBottom w:val="0"/>
          <w:divBdr>
            <w:top w:val="none" w:sz="0" w:space="0" w:color="auto"/>
            <w:left w:val="none" w:sz="0" w:space="0" w:color="auto"/>
            <w:bottom w:val="none" w:sz="0" w:space="0" w:color="auto"/>
            <w:right w:val="none" w:sz="0" w:space="0" w:color="auto"/>
          </w:divBdr>
          <w:divsChild>
            <w:div w:id="71397129">
              <w:marLeft w:val="0"/>
              <w:marRight w:val="0"/>
              <w:marTop w:val="0"/>
              <w:marBottom w:val="0"/>
              <w:divBdr>
                <w:top w:val="none" w:sz="0" w:space="0" w:color="auto"/>
                <w:left w:val="none" w:sz="0" w:space="0" w:color="auto"/>
                <w:bottom w:val="none" w:sz="0" w:space="0" w:color="auto"/>
                <w:right w:val="none" w:sz="0" w:space="0" w:color="auto"/>
              </w:divBdr>
            </w:div>
          </w:divsChild>
        </w:div>
        <w:div w:id="1287354059">
          <w:marLeft w:val="0"/>
          <w:marRight w:val="0"/>
          <w:marTop w:val="0"/>
          <w:marBottom w:val="0"/>
          <w:divBdr>
            <w:top w:val="none" w:sz="0" w:space="0" w:color="auto"/>
            <w:left w:val="none" w:sz="0" w:space="0" w:color="auto"/>
            <w:bottom w:val="none" w:sz="0" w:space="0" w:color="auto"/>
            <w:right w:val="none" w:sz="0" w:space="0" w:color="auto"/>
          </w:divBdr>
          <w:divsChild>
            <w:div w:id="638924185">
              <w:marLeft w:val="0"/>
              <w:marRight w:val="0"/>
              <w:marTop w:val="0"/>
              <w:marBottom w:val="0"/>
              <w:divBdr>
                <w:top w:val="none" w:sz="0" w:space="0" w:color="auto"/>
                <w:left w:val="none" w:sz="0" w:space="0" w:color="auto"/>
                <w:bottom w:val="none" w:sz="0" w:space="0" w:color="auto"/>
                <w:right w:val="none" w:sz="0" w:space="0" w:color="auto"/>
              </w:divBdr>
            </w:div>
          </w:divsChild>
        </w:div>
        <w:div w:id="1288973705">
          <w:marLeft w:val="0"/>
          <w:marRight w:val="0"/>
          <w:marTop w:val="0"/>
          <w:marBottom w:val="0"/>
          <w:divBdr>
            <w:top w:val="none" w:sz="0" w:space="0" w:color="auto"/>
            <w:left w:val="none" w:sz="0" w:space="0" w:color="auto"/>
            <w:bottom w:val="none" w:sz="0" w:space="0" w:color="auto"/>
            <w:right w:val="none" w:sz="0" w:space="0" w:color="auto"/>
          </w:divBdr>
          <w:divsChild>
            <w:div w:id="1436175107">
              <w:marLeft w:val="0"/>
              <w:marRight w:val="0"/>
              <w:marTop w:val="0"/>
              <w:marBottom w:val="0"/>
              <w:divBdr>
                <w:top w:val="none" w:sz="0" w:space="0" w:color="auto"/>
                <w:left w:val="none" w:sz="0" w:space="0" w:color="auto"/>
                <w:bottom w:val="none" w:sz="0" w:space="0" w:color="auto"/>
                <w:right w:val="none" w:sz="0" w:space="0" w:color="auto"/>
              </w:divBdr>
            </w:div>
          </w:divsChild>
        </w:div>
        <w:div w:id="1308048918">
          <w:marLeft w:val="0"/>
          <w:marRight w:val="0"/>
          <w:marTop w:val="0"/>
          <w:marBottom w:val="0"/>
          <w:divBdr>
            <w:top w:val="none" w:sz="0" w:space="0" w:color="auto"/>
            <w:left w:val="none" w:sz="0" w:space="0" w:color="auto"/>
            <w:bottom w:val="none" w:sz="0" w:space="0" w:color="auto"/>
            <w:right w:val="none" w:sz="0" w:space="0" w:color="auto"/>
          </w:divBdr>
          <w:divsChild>
            <w:div w:id="948582302">
              <w:marLeft w:val="0"/>
              <w:marRight w:val="0"/>
              <w:marTop w:val="0"/>
              <w:marBottom w:val="0"/>
              <w:divBdr>
                <w:top w:val="none" w:sz="0" w:space="0" w:color="auto"/>
                <w:left w:val="none" w:sz="0" w:space="0" w:color="auto"/>
                <w:bottom w:val="none" w:sz="0" w:space="0" w:color="auto"/>
                <w:right w:val="none" w:sz="0" w:space="0" w:color="auto"/>
              </w:divBdr>
            </w:div>
          </w:divsChild>
        </w:div>
        <w:div w:id="1368024055">
          <w:marLeft w:val="0"/>
          <w:marRight w:val="0"/>
          <w:marTop w:val="0"/>
          <w:marBottom w:val="0"/>
          <w:divBdr>
            <w:top w:val="none" w:sz="0" w:space="0" w:color="auto"/>
            <w:left w:val="none" w:sz="0" w:space="0" w:color="auto"/>
            <w:bottom w:val="none" w:sz="0" w:space="0" w:color="auto"/>
            <w:right w:val="none" w:sz="0" w:space="0" w:color="auto"/>
          </w:divBdr>
          <w:divsChild>
            <w:div w:id="2043478919">
              <w:marLeft w:val="0"/>
              <w:marRight w:val="0"/>
              <w:marTop w:val="0"/>
              <w:marBottom w:val="0"/>
              <w:divBdr>
                <w:top w:val="none" w:sz="0" w:space="0" w:color="auto"/>
                <w:left w:val="none" w:sz="0" w:space="0" w:color="auto"/>
                <w:bottom w:val="none" w:sz="0" w:space="0" w:color="auto"/>
                <w:right w:val="none" w:sz="0" w:space="0" w:color="auto"/>
              </w:divBdr>
            </w:div>
          </w:divsChild>
        </w:div>
        <w:div w:id="1379470971">
          <w:marLeft w:val="0"/>
          <w:marRight w:val="0"/>
          <w:marTop w:val="0"/>
          <w:marBottom w:val="0"/>
          <w:divBdr>
            <w:top w:val="none" w:sz="0" w:space="0" w:color="auto"/>
            <w:left w:val="none" w:sz="0" w:space="0" w:color="auto"/>
            <w:bottom w:val="none" w:sz="0" w:space="0" w:color="auto"/>
            <w:right w:val="none" w:sz="0" w:space="0" w:color="auto"/>
          </w:divBdr>
          <w:divsChild>
            <w:div w:id="1436248203">
              <w:marLeft w:val="0"/>
              <w:marRight w:val="0"/>
              <w:marTop w:val="0"/>
              <w:marBottom w:val="0"/>
              <w:divBdr>
                <w:top w:val="none" w:sz="0" w:space="0" w:color="auto"/>
                <w:left w:val="none" w:sz="0" w:space="0" w:color="auto"/>
                <w:bottom w:val="none" w:sz="0" w:space="0" w:color="auto"/>
                <w:right w:val="none" w:sz="0" w:space="0" w:color="auto"/>
              </w:divBdr>
            </w:div>
          </w:divsChild>
        </w:div>
        <w:div w:id="1424572329">
          <w:marLeft w:val="0"/>
          <w:marRight w:val="0"/>
          <w:marTop w:val="0"/>
          <w:marBottom w:val="0"/>
          <w:divBdr>
            <w:top w:val="none" w:sz="0" w:space="0" w:color="auto"/>
            <w:left w:val="none" w:sz="0" w:space="0" w:color="auto"/>
            <w:bottom w:val="none" w:sz="0" w:space="0" w:color="auto"/>
            <w:right w:val="none" w:sz="0" w:space="0" w:color="auto"/>
          </w:divBdr>
          <w:divsChild>
            <w:div w:id="1606960705">
              <w:marLeft w:val="0"/>
              <w:marRight w:val="0"/>
              <w:marTop w:val="0"/>
              <w:marBottom w:val="0"/>
              <w:divBdr>
                <w:top w:val="none" w:sz="0" w:space="0" w:color="auto"/>
                <w:left w:val="none" w:sz="0" w:space="0" w:color="auto"/>
                <w:bottom w:val="none" w:sz="0" w:space="0" w:color="auto"/>
                <w:right w:val="none" w:sz="0" w:space="0" w:color="auto"/>
              </w:divBdr>
            </w:div>
          </w:divsChild>
        </w:div>
        <w:div w:id="1458135325">
          <w:marLeft w:val="0"/>
          <w:marRight w:val="0"/>
          <w:marTop w:val="0"/>
          <w:marBottom w:val="0"/>
          <w:divBdr>
            <w:top w:val="none" w:sz="0" w:space="0" w:color="auto"/>
            <w:left w:val="none" w:sz="0" w:space="0" w:color="auto"/>
            <w:bottom w:val="none" w:sz="0" w:space="0" w:color="auto"/>
            <w:right w:val="none" w:sz="0" w:space="0" w:color="auto"/>
          </w:divBdr>
          <w:divsChild>
            <w:div w:id="1895044140">
              <w:marLeft w:val="0"/>
              <w:marRight w:val="0"/>
              <w:marTop w:val="0"/>
              <w:marBottom w:val="0"/>
              <w:divBdr>
                <w:top w:val="none" w:sz="0" w:space="0" w:color="auto"/>
                <w:left w:val="none" w:sz="0" w:space="0" w:color="auto"/>
                <w:bottom w:val="none" w:sz="0" w:space="0" w:color="auto"/>
                <w:right w:val="none" w:sz="0" w:space="0" w:color="auto"/>
              </w:divBdr>
            </w:div>
          </w:divsChild>
        </w:div>
        <w:div w:id="1459912670">
          <w:marLeft w:val="0"/>
          <w:marRight w:val="0"/>
          <w:marTop w:val="0"/>
          <w:marBottom w:val="0"/>
          <w:divBdr>
            <w:top w:val="none" w:sz="0" w:space="0" w:color="auto"/>
            <w:left w:val="none" w:sz="0" w:space="0" w:color="auto"/>
            <w:bottom w:val="none" w:sz="0" w:space="0" w:color="auto"/>
            <w:right w:val="none" w:sz="0" w:space="0" w:color="auto"/>
          </w:divBdr>
          <w:divsChild>
            <w:div w:id="1087919412">
              <w:marLeft w:val="0"/>
              <w:marRight w:val="0"/>
              <w:marTop w:val="0"/>
              <w:marBottom w:val="0"/>
              <w:divBdr>
                <w:top w:val="none" w:sz="0" w:space="0" w:color="auto"/>
                <w:left w:val="none" w:sz="0" w:space="0" w:color="auto"/>
                <w:bottom w:val="none" w:sz="0" w:space="0" w:color="auto"/>
                <w:right w:val="none" w:sz="0" w:space="0" w:color="auto"/>
              </w:divBdr>
            </w:div>
          </w:divsChild>
        </w:div>
        <w:div w:id="1477452510">
          <w:marLeft w:val="0"/>
          <w:marRight w:val="0"/>
          <w:marTop w:val="0"/>
          <w:marBottom w:val="0"/>
          <w:divBdr>
            <w:top w:val="none" w:sz="0" w:space="0" w:color="auto"/>
            <w:left w:val="none" w:sz="0" w:space="0" w:color="auto"/>
            <w:bottom w:val="none" w:sz="0" w:space="0" w:color="auto"/>
            <w:right w:val="none" w:sz="0" w:space="0" w:color="auto"/>
          </w:divBdr>
          <w:divsChild>
            <w:div w:id="1756169609">
              <w:marLeft w:val="0"/>
              <w:marRight w:val="0"/>
              <w:marTop w:val="0"/>
              <w:marBottom w:val="0"/>
              <w:divBdr>
                <w:top w:val="none" w:sz="0" w:space="0" w:color="auto"/>
                <w:left w:val="none" w:sz="0" w:space="0" w:color="auto"/>
                <w:bottom w:val="none" w:sz="0" w:space="0" w:color="auto"/>
                <w:right w:val="none" w:sz="0" w:space="0" w:color="auto"/>
              </w:divBdr>
            </w:div>
          </w:divsChild>
        </w:div>
        <w:div w:id="1482844039">
          <w:marLeft w:val="0"/>
          <w:marRight w:val="0"/>
          <w:marTop w:val="0"/>
          <w:marBottom w:val="0"/>
          <w:divBdr>
            <w:top w:val="none" w:sz="0" w:space="0" w:color="auto"/>
            <w:left w:val="none" w:sz="0" w:space="0" w:color="auto"/>
            <w:bottom w:val="none" w:sz="0" w:space="0" w:color="auto"/>
            <w:right w:val="none" w:sz="0" w:space="0" w:color="auto"/>
          </w:divBdr>
          <w:divsChild>
            <w:div w:id="740063253">
              <w:marLeft w:val="0"/>
              <w:marRight w:val="0"/>
              <w:marTop w:val="0"/>
              <w:marBottom w:val="0"/>
              <w:divBdr>
                <w:top w:val="none" w:sz="0" w:space="0" w:color="auto"/>
                <w:left w:val="none" w:sz="0" w:space="0" w:color="auto"/>
                <w:bottom w:val="none" w:sz="0" w:space="0" w:color="auto"/>
                <w:right w:val="none" w:sz="0" w:space="0" w:color="auto"/>
              </w:divBdr>
            </w:div>
          </w:divsChild>
        </w:div>
        <w:div w:id="1491170055">
          <w:marLeft w:val="0"/>
          <w:marRight w:val="0"/>
          <w:marTop w:val="0"/>
          <w:marBottom w:val="0"/>
          <w:divBdr>
            <w:top w:val="none" w:sz="0" w:space="0" w:color="auto"/>
            <w:left w:val="none" w:sz="0" w:space="0" w:color="auto"/>
            <w:bottom w:val="none" w:sz="0" w:space="0" w:color="auto"/>
            <w:right w:val="none" w:sz="0" w:space="0" w:color="auto"/>
          </w:divBdr>
          <w:divsChild>
            <w:div w:id="1947151819">
              <w:marLeft w:val="0"/>
              <w:marRight w:val="0"/>
              <w:marTop w:val="0"/>
              <w:marBottom w:val="0"/>
              <w:divBdr>
                <w:top w:val="none" w:sz="0" w:space="0" w:color="auto"/>
                <w:left w:val="none" w:sz="0" w:space="0" w:color="auto"/>
                <w:bottom w:val="none" w:sz="0" w:space="0" w:color="auto"/>
                <w:right w:val="none" w:sz="0" w:space="0" w:color="auto"/>
              </w:divBdr>
            </w:div>
          </w:divsChild>
        </w:div>
        <w:div w:id="1524054731">
          <w:marLeft w:val="0"/>
          <w:marRight w:val="0"/>
          <w:marTop w:val="0"/>
          <w:marBottom w:val="0"/>
          <w:divBdr>
            <w:top w:val="none" w:sz="0" w:space="0" w:color="auto"/>
            <w:left w:val="none" w:sz="0" w:space="0" w:color="auto"/>
            <w:bottom w:val="none" w:sz="0" w:space="0" w:color="auto"/>
            <w:right w:val="none" w:sz="0" w:space="0" w:color="auto"/>
          </w:divBdr>
          <w:divsChild>
            <w:div w:id="734550124">
              <w:marLeft w:val="0"/>
              <w:marRight w:val="0"/>
              <w:marTop w:val="0"/>
              <w:marBottom w:val="0"/>
              <w:divBdr>
                <w:top w:val="none" w:sz="0" w:space="0" w:color="auto"/>
                <w:left w:val="none" w:sz="0" w:space="0" w:color="auto"/>
                <w:bottom w:val="none" w:sz="0" w:space="0" w:color="auto"/>
                <w:right w:val="none" w:sz="0" w:space="0" w:color="auto"/>
              </w:divBdr>
            </w:div>
          </w:divsChild>
        </w:div>
        <w:div w:id="1544319246">
          <w:marLeft w:val="0"/>
          <w:marRight w:val="0"/>
          <w:marTop w:val="0"/>
          <w:marBottom w:val="0"/>
          <w:divBdr>
            <w:top w:val="none" w:sz="0" w:space="0" w:color="auto"/>
            <w:left w:val="none" w:sz="0" w:space="0" w:color="auto"/>
            <w:bottom w:val="none" w:sz="0" w:space="0" w:color="auto"/>
            <w:right w:val="none" w:sz="0" w:space="0" w:color="auto"/>
          </w:divBdr>
          <w:divsChild>
            <w:div w:id="1152139548">
              <w:marLeft w:val="0"/>
              <w:marRight w:val="0"/>
              <w:marTop w:val="0"/>
              <w:marBottom w:val="0"/>
              <w:divBdr>
                <w:top w:val="none" w:sz="0" w:space="0" w:color="auto"/>
                <w:left w:val="none" w:sz="0" w:space="0" w:color="auto"/>
                <w:bottom w:val="none" w:sz="0" w:space="0" w:color="auto"/>
                <w:right w:val="none" w:sz="0" w:space="0" w:color="auto"/>
              </w:divBdr>
            </w:div>
          </w:divsChild>
        </w:div>
        <w:div w:id="1579745977">
          <w:marLeft w:val="0"/>
          <w:marRight w:val="0"/>
          <w:marTop w:val="0"/>
          <w:marBottom w:val="0"/>
          <w:divBdr>
            <w:top w:val="none" w:sz="0" w:space="0" w:color="auto"/>
            <w:left w:val="none" w:sz="0" w:space="0" w:color="auto"/>
            <w:bottom w:val="none" w:sz="0" w:space="0" w:color="auto"/>
            <w:right w:val="none" w:sz="0" w:space="0" w:color="auto"/>
          </w:divBdr>
          <w:divsChild>
            <w:div w:id="1087003080">
              <w:marLeft w:val="0"/>
              <w:marRight w:val="0"/>
              <w:marTop w:val="0"/>
              <w:marBottom w:val="0"/>
              <w:divBdr>
                <w:top w:val="none" w:sz="0" w:space="0" w:color="auto"/>
                <w:left w:val="none" w:sz="0" w:space="0" w:color="auto"/>
                <w:bottom w:val="none" w:sz="0" w:space="0" w:color="auto"/>
                <w:right w:val="none" w:sz="0" w:space="0" w:color="auto"/>
              </w:divBdr>
            </w:div>
          </w:divsChild>
        </w:div>
        <w:div w:id="1611358250">
          <w:marLeft w:val="0"/>
          <w:marRight w:val="0"/>
          <w:marTop w:val="0"/>
          <w:marBottom w:val="0"/>
          <w:divBdr>
            <w:top w:val="none" w:sz="0" w:space="0" w:color="auto"/>
            <w:left w:val="none" w:sz="0" w:space="0" w:color="auto"/>
            <w:bottom w:val="none" w:sz="0" w:space="0" w:color="auto"/>
            <w:right w:val="none" w:sz="0" w:space="0" w:color="auto"/>
          </w:divBdr>
          <w:divsChild>
            <w:div w:id="224142054">
              <w:marLeft w:val="0"/>
              <w:marRight w:val="0"/>
              <w:marTop w:val="0"/>
              <w:marBottom w:val="0"/>
              <w:divBdr>
                <w:top w:val="none" w:sz="0" w:space="0" w:color="auto"/>
                <w:left w:val="none" w:sz="0" w:space="0" w:color="auto"/>
                <w:bottom w:val="none" w:sz="0" w:space="0" w:color="auto"/>
                <w:right w:val="none" w:sz="0" w:space="0" w:color="auto"/>
              </w:divBdr>
            </w:div>
          </w:divsChild>
        </w:div>
        <w:div w:id="1612201142">
          <w:marLeft w:val="0"/>
          <w:marRight w:val="0"/>
          <w:marTop w:val="0"/>
          <w:marBottom w:val="0"/>
          <w:divBdr>
            <w:top w:val="none" w:sz="0" w:space="0" w:color="auto"/>
            <w:left w:val="none" w:sz="0" w:space="0" w:color="auto"/>
            <w:bottom w:val="none" w:sz="0" w:space="0" w:color="auto"/>
            <w:right w:val="none" w:sz="0" w:space="0" w:color="auto"/>
          </w:divBdr>
          <w:divsChild>
            <w:div w:id="1714116119">
              <w:marLeft w:val="0"/>
              <w:marRight w:val="0"/>
              <w:marTop w:val="0"/>
              <w:marBottom w:val="0"/>
              <w:divBdr>
                <w:top w:val="none" w:sz="0" w:space="0" w:color="auto"/>
                <w:left w:val="none" w:sz="0" w:space="0" w:color="auto"/>
                <w:bottom w:val="none" w:sz="0" w:space="0" w:color="auto"/>
                <w:right w:val="none" w:sz="0" w:space="0" w:color="auto"/>
              </w:divBdr>
            </w:div>
          </w:divsChild>
        </w:div>
        <w:div w:id="1640575498">
          <w:marLeft w:val="0"/>
          <w:marRight w:val="0"/>
          <w:marTop w:val="0"/>
          <w:marBottom w:val="0"/>
          <w:divBdr>
            <w:top w:val="none" w:sz="0" w:space="0" w:color="auto"/>
            <w:left w:val="none" w:sz="0" w:space="0" w:color="auto"/>
            <w:bottom w:val="none" w:sz="0" w:space="0" w:color="auto"/>
            <w:right w:val="none" w:sz="0" w:space="0" w:color="auto"/>
          </w:divBdr>
          <w:divsChild>
            <w:div w:id="943615123">
              <w:marLeft w:val="0"/>
              <w:marRight w:val="0"/>
              <w:marTop w:val="0"/>
              <w:marBottom w:val="0"/>
              <w:divBdr>
                <w:top w:val="none" w:sz="0" w:space="0" w:color="auto"/>
                <w:left w:val="none" w:sz="0" w:space="0" w:color="auto"/>
                <w:bottom w:val="none" w:sz="0" w:space="0" w:color="auto"/>
                <w:right w:val="none" w:sz="0" w:space="0" w:color="auto"/>
              </w:divBdr>
            </w:div>
          </w:divsChild>
        </w:div>
        <w:div w:id="1670523442">
          <w:marLeft w:val="0"/>
          <w:marRight w:val="0"/>
          <w:marTop w:val="0"/>
          <w:marBottom w:val="0"/>
          <w:divBdr>
            <w:top w:val="none" w:sz="0" w:space="0" w:color="auto"/>
            <w:left w:val="none" w:sz="0" w:space="0" w:color="auto"/>
            <w:bottom w:val="none" w:sz="0" w:space="0" w:color="auto"/>
            <w:right w:val="none" w:sz="0" w:space="0" w:color="auto"/>
          </w:divBdr>
          <w:divsChild>
            <w:div w:id="952445951">
              <w:marLeft w:val="0"/>
              <w:marRight w:val="0"/>
              <w:marTop w:val="0"/>
              <w:marBottom w:val="0"/>
              <w:divBdr>
                <w:top w:val="none" w:sz="0" w:space="0" w:color="auto"/>
                <w:left w:val="none" w:sz="0" w:space="0" w:color="auto"/>
                <w:bottom w:val="none" w:sz="0" w:space="0" w:color="auto"/>
                <w:right w:val="none" w:sz="0" w:space="0" w:color="auto"/>
              </w:divBdr>
            </w:div>
          </w:divsChild>
        </w:div>
        <w:div w:id="1691443279">
          <w:marLeft w:val="0"/>
          <w:marRight w:val="0"/>
          <w:marTop w:val="0"/>
          <w:marBottom w:val="0"/>
          <w:divBdr>
            <w:top w:val="none" w:sz="0" w:space="0" w:color="auto"/>
            <w:left w:val="none" w:sz="0" w:space="0" w:color="auto"/>
            <w:bottom w:val="none" w:sz="0" w:space="0" w:color="auto"/>
            <w:right w:val="none" w:sz="0" w:space="0" w:color="auto"/>
          </w:divBdr>
          <w:divsChild>
            <w:div w:id="242224161">
              <w:marLeft w:val="0"/>
              <w:marRight w:val="0"/>
              <w:marTop w:val="0"/>
              <w:marBottom w:val="0"/>
              <w:divBdr>
                <w:top w:val="none" w:sz="0" w:space="0" w:color="auto"/>
                <w:left w:val="none" w:sz="0" w:space="0" w:color="auto"/>
                <w:bottom w:val="none" w:sz="0" w:space="0" w:color="auto"/>
                <w:right w:val="none" w:sz="0" w:space="0" w:color="auto"/>
              </w:divBdr>
            </w:div>
          </w:divsChild>
        </w:div>
        <w:div w:id="1718359781">
          <w:marLeft w:val="0"/>
          <w:marRight w:val="0"/>
          <w:marTop w:val="0"/>
          <w:marBottom w:val="0"/>
          <w:divBdr>
            <w:top w:val="none" w:sz="0" w:space="0" w:color="auto"/>
            <w:left w:val="none" w:sz="0" w:space="0" w:color="auto"/>
            <w:bottom w:val="none" w:sz="0" w:space="0" w:color="auto"/>
            <w:right w:val="none" w:sz="0" w:space="0" w:color="auto"/>
          </w:divBdr>
          <w:divsChild>
            <w:div w:id="216477125">
              <w:marLeft w:val="0"/>
              <w:marRight w:val="0"/>
              <w:marTop w:val="0"/>
              <w:marBottom w:val="0"/>
              <w:divBdr>
                <w:top w:val="none" w:sz="0" w:space="0" w:color="auto"/>
                <w:left w:val="none" w:sz="0" w:space="0" w:color="auto"/>
                <w:bottom w:val="none" w:sz="0" w:space="0" w:color="auto"/>
                <w:right w:val="none" w:sz="0" w:space="0" w:color="auto"/>
              </w:divBdr>
            </w:div>
          </w:divsChild>
        </w:div>
        <w:div w:id="1797025831">
          <w:marLeft w:val="0"/>
          <w:marRight w:val="0"/>
          <w:marTop w:val="0"/>
          <w:marBottom w:val="0"/>
          <w:divBdr>
            <w:top w:val="none" w:sz="0" w:space="0" w:color="auto"/>
            <w:left w:val="none" w:sz="0" w:space="0" w:color="auto"/>
            <w:bottom w:val="none" w:sz="0" w:space="0" w:color="auto"/>
            <w:right w:val="none" w:sz="0" w:space="0" w:color="auto"/>
          </w:divBdr>
          <w:divsChild>
            <w:div w:id="1713921483">
              <w:marLeft w:val="0"/>
              <w:marRight w:val="0"/>
              <w:marTop w:val="0"/>
              <w:marBottom w:val="0"/>
              <w:divBdr>
                <w:top w:val="none" w:sz="0" w:space="0" w:color="auto"/>
                <w:left w:val="none" w:sz="0" w:space="0" w:color="auto"/>
                <w:bottom w:val="none" w:sz="0" w:space="0" w:color="auto"/>
                <w:right w:val="none" w:sz="0" w:space="0" w:color="auto"/>
              </w:divBdr>
            </w:div>
          </w:divsChild>
        </w:div>
        <w:div w:id="1797604135">
          <w:marLeft w:val="0"/>
          <w:marRight w:val="0"/>
          <w:marTop w:val="0"/>
          <w:marBottom w:val="0"/>
          <w:divBdr>
            <w:top w:val="none" w:sz="0" w:space="0" w:color="auto"/>
            <w:left w:val="none" w:sz="0" w:space="0" w:color="auto"/>
            <w:bottom w:val="none" w:sz="0" w:space="0" w:color="auto"/>
            <w:right w:val="none" w:sz="0" w:space="0" w:color="auto"/>
          </w:divBdr>
          <w:divsChild>
            <w:div w:id="1466507009">
              <w:marLeft w:val="0"/>
              <w:marRight w:val="0"/>
              <w:marTop w:val="0"/>
              <w:marBottom w:val="0"/>
              <w:divBdr>
                <w:top w:val="none" w:sz="0" w:space="0" w:color="auto"/>
                <w:left w:val="none" w:sz="0" w:space="0" w:color="auto"/>
                <w:bottom w:val="none" w:sz="0" w:space="0" w:color="auto"/>
                <w:right w:val="none" w:sz="0" w:space="0" w:color="auto"/>
              </w:divBdr>
            </w:div>
          </w:divsChild>
        </w:div>
        <w:div w:id="1815752556">
          <w:marLeft w:val="0"/>
          <w:marRight w:val="0"/>
          <w:marTop w:val="0"/>
          <w:marBottom w:val="0"/>
          <w:divBdr>
            <w:top w:val="none" w:sz="0" w:space="0" w:color="auto"/>
            <w:left w:val="none" w:sz="0" w:space="0" w:color="auto"/>
            <w:bottom w:val="none" w:sz="0" w:space="0" w:color="auto"/>
            <w:right w:val="none" w:sz="0" w:space="0" w:color="auto"/>
          </w:divBdr>
          <w:divsChild>
            <w:div w:id="1497304141">
              <w:marLeft w:val="0"/>
              <w:marRight w:val="0"/>
              <w:marTop w:val="0"/>
              <w:marBottom w:val="0"/>
              <w:divBdr>
                <w:top w:val="none" w:sz="0" w:space="0" w:color="auto"/>
                <w:left w:val="none" w:sz="0" w:space="0" w:color="auto"/>
                <w:bottom w:val="none" w:sz="0" w:space="0" w:color="auto"/>
                <w:right w:val="none" w:sz="0" w:space="0" w:color="auto"/>
              </w:divBdr>
            </w:div>
          </w:divsChild>
        </w:div>
        <w:div w:id="1829398340">
          <w:marLeft w:val="0"/>
          <w:marRight w:val="0"/>
          <w:marTop w:val="0"/>
          <w:marBottom w:val="0"/>
          <w:divBdr>
            <w:top w:val="none" w:sz="0" w:space="0" w:color="auto"/>
            <w:left w:val="none" w:sz="0" w:space="0" w:color="auto"/>
            <w:bottom w:val="none" w:sz="0" w:space="0" w:color="auto"/>
            <w:right w:val="none" w:sz="0" w:space="0" w:color="auto"/>
          </w:divBdr>
          <w:divsChild>
            <w:div w:id="1441023874">
              <w:marLeft w:val="0"/>
              <w:marRight w:val="0"/>
              <w:marTop w:val="0"/>
              <w:marBottom w:val="0"/>
              <w:divBdr>
                <w:top w:val="none" w:sz="0" w:space="0" w:color="auto"/>
                <w:left w:val="none" w:sz="0" w:space="0" w:color="auto"/>
                <w:bottom w:val="none" w:sz="0" w:space="0" w:color="auto"/>
                <w:right w:val="none" w:sz="0" w:space="0" w:color="auto"/>
              </w:divBdr>
            </w:div>
          </w:divsChild>
        </w:div>
        <w:div w:id="1858618854">
          <w:marLeft w:val="0"/>
          <w:marRight w:val="0"/>
          <w:marTop w:val="0"/>
          <w:marBottom w:val="0"/>
          <w:divBdr>
            <w:top w:val="none" w:sz="0" w:space="0" w:color="auto"/>
            <w:left w:val="none" w:sz="0" w:space="0" w:color="auto"/>
            <w:bottom w:val="none" w:sz="0" w:space="0" w:color="auto"/>
            <w:right w:val="none" w:sz="0" w:space="0" w:color="auto"/>
          </w:divBdr>
          <w:divsChild>
            <w:div w:id="1037582977">
              <w:marLeft w:val="0"/>
              <w:marRight w:val="0"/>
              <w:marTop w:val="0"/>
              <w:marBottom w:val="0"/>
              <w:divBdr>
                <w:top w:val="none" w:sz="0" w:space="0" w:color="auto"/>
                <w:left w:val="none" w:sz="0" w:space="0" w:color="auto"/>
                <w:bottom w:val="none" w:sz="0" w:space="0" w:color="auto"/>
                <w:right w:val="none" w:sz="0" w:space="0" w:color="auto"/>
              </w:divBdr>
            </w:div>
          </w:divsChild>
        </w:div>
        <w:div w:id="1861428706">
          <w:marLeft w:val="0"/>
          <w:marRight w:val="0"/>
          <w:marTop w:val="0"/>
          <w:marBottom w:val="0"/>
          <w:divBdr>
            <w:top w:val="none" w:sz="0" w:space="0" w:color="auto"/>
            <w:left w:val="none" w:sz="0" w:space="0" w:color="auto"/>
            <w:bottom w:val="none" w:sz="0" w:space="0" w:color="auto"/>
            <w:right w:val="none" w:sz="0" w:space="0" w:color="auto"/>
          </w:divBdr>
          <w:divsChild>
            <w:div w:id="879362825">
              <w:marLeft w:val="0"/>
              <w:marRight w:val="0"/>
              <w:marTop w:val="0"/>
              <w:marBottom w:val="0"/>
              <w:divBdr>
                <w:top w:val="none" w:sz="0" w:space="0" w:color="auto"/>
                <w:left w:val="none" w:sz="0" w:space="0" w:color="auto"/>
                <w:bottom w:val="none" w:sz="0" w:space="0" w:color="auto"/>
                <w:right w:val="none" w:sz="0" w:space="0" w:color="auto"/>
              </w:divBdr>
            </w:div>
          </w:divsChild>
        </w:div>
        <w:div w:id="1900314548">
          <w:marLeft w:val="0"/>
          <w:marRight w:val="0"/>
          <w:marTop w:val="0"/>
          <w:marBottom w:val="0"/>
          <w:divBdr>
            <w:top w:val="none" w:sz="0" w:space="0" w:color="auto"/>
            <w:left w:val="none" w:sz="0" w:space="0" w:color="auto"/>
            <w:bottom w:val="none" w:sz="0" w:space="0" w:color="auto"/>
            <w:right w:val="none" w:sz="0" w:space="0" w:color="auto"/>
          </w:divBdr>
          <w:divsChild>
            <w:div w:id="1822385786">
              <w:marLeft w:val="0"/>
              <w:marRight w:val="0"/>
              <w:marTop w:val="0"/>
              <w:marBottom w:val="0"/>
              <w:divBdr>
                <w:top w:val="none" w:sz="0" w:space="0" w:color="auto"/>
                <w:left w:val="none" w:sz="0" w:space="0" w:color="auto"/>
                <w:bottom w:val="none" w:sz="0" w:space="0" w:color="auto"/>
                <w:right w:val="none" w:sz="0" w:space="0" w:color="auto"/>
              </w:divBdr>
            </w:div>
          </w:divsChild>
        </w:div>
        <w:div w:id="1941057956">
          <w:marLeft w:val="0"/>
          <w:marRight w:val="0"/>
          <w:marTop w:val="0"/>
          <w:marBottom w:val="0"/>
          <w:divBdr>
            <w:top w:val="none" w:sz="0" w:space="0" w:color="auto"/>
            <w:left w:val="none" w:sz="0" w:space="0" w:color="auto"/>
            <w:bottom w:val="none" w:sz="0" w:space="0" w:color="auto"/>
            <w:right w:val="none" w:sz="0" w:space="0" w:color="auto"/>
          </w:divBdr>
          <w:divsChild>
            <w:div w:id="128137987">
              <w:marLeft w:val="0"/>
              <w:marRight w:val="0"/>
              <w:marTop w:val="0"/>
              <w:marBottom w:val="0"/>
              <w:divBdr>
                <w:top w:val="none" w:sz="0" w:space="0" w:color="auto"/>
                <w:left w:val="none" w:sz="0" w:space="0" w:color="auto"/>
                <w:bottom w:val="none" w:sz="0" w:space="0" w:color="auto"/>
                <w:right w:val="none" w:sz="0" w:space="0" w:color="auto"/>
              </w:divBdr>
            </w:div>
          </w:divsChild>
        </w:div>
        <w:div w:id="1942450963">
          <w:marLeft w:val="0"/>
          <w:marRight w:val="0"/>
          <w:marTop w:val="0"/>
          <w:marBottom w:val="0"/>
          <w:divBdr>
            <w:top w:val="none" w:sz="0" w:space="0" w:color="auto"/>
            <w:left w:val="none" w:sz="0" w:space="0" w:color="auto"/>
            <w:bottom w:val="none" w:sz="0" w:space="0" w:color="auto"/>
            <w:right w:val="none" w:sz="0" w:space="0" w:color="auto"/>
          </w:divBdr>
          <w:divsChild>
            <w:div w:id="1776361674">
              <w:marLeft w:val="0"/>
              <w:marRight w:val="0"/>
              <w:marTop w:val="0"/>
              <w:marBottom w:val="0"/>
              <w:divBdr>
                <w:top w:val="none" w:sz="0" w:space="0" w:color="auto"/>
                <w:left w:val="none" w:sz="0" w:space="0" w:color="auto"/>
                <w:bottom w:val="none" w:sz="0" w:space="0" w:color="auto"/>
                <w:right w:val="none" w:sz="0" w:space="0" w:color="auto"/>
              </w:divBdr>
            </w:div>
          </w:divsChild>
        </w:div>
        <w:div w:id="2066099378">
          <w:marLeft w:val="0"/>
          <w:marRight w:val="0"/>
          <w:marTop w:val="0"/>
          <w:marBottom w:val="0"/>
          <w:divBdr>
            <w:top w:val="none" w:sz="0" w:space="0" w:color="auto"/>
            <w:left w:val="none" w:sz="0" w:space="0" w:color="auto"/>
            <w:bottom w:val="none" w:sz="0" w:space="0" w:color="auto"/>
            <w:right w:val="none" w:sz="0" w:space="0" w:color="auto"/>
          </w:divBdr>
          <w:divsChild>
            <w:div w:id="37051655">
              <w:marLeft w:val="0"/>
              <w:marRight w:val="0"/>
              <w:marTop w:val="0"/>
              <w:marBottom w:val="0"/>
              <w:divBdr>
                <w:top w:val="none" w:sz="0" w:space="0" w:color="auto"/>
                <w:left w:val="none" w:sz="0" w:space="0" w:color="auto"/>
                <w:bottom w:val="none" w:sz="0" w:space="0" w:color="auto"/>
                <w:right w:val="none" w:sz="0" w:space="0" w:color="auto"/>
              </w:divBdr>
            </w:div>
          </w:divsChild>
        </w:div>
        <w:div w:id="2130664114">
          <w:marLeft w:val="0"/>
          <w:marRight w:val="0"/>
          <w:marTop w:val="0"/>
          <w:marBottom w:val="0"/>
          <w:divBdr>
            <w:top w:val="none" w:sz="0" w:space="0" w:color="auto"/>
            <w:left w:val="none" w:sz="0" w:space="0" w:color="auto"/>
            <w:bottom w:val="none" w:sz="0" w:space="0" w:color="auto"/>
            <w:right w:val="none" w:sz="0" w:space="0" w:color="auto"/>
          </w:divBdr>
          <w:divsChild>
            <w:div w:id="1492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8914">
      <w:bodyDiv w:val="1"/>
      <w:marLeft w:val="0"/>
      <w:marRight w:val="0"/>
      <w:marTop w:val="0"/>
      <w:marBottom w:val="0"/>
      <w:divBdr>
        <w:top w:val="none" w:sz="0" w:space="0" w:color="auto"/>
        <w:left w:val="none" w:sz="0" w:space="0" w:color="auto"/>
        <w:bottom w:val="none" w:sz="0" w:space="0" w:color="auto"/>
        <w:right w:val="none" w:sz="0" w:space="0" w:color="auto"/>
      </w:divBdr>
      <w:divsChild>
        <w:div w:id="11491639">
          <w:marLeft w:val="0"/>
          <w:marRight w:val="0"/>
          <w:marTop w:val="0"/>
          <w:marBottom w:val="0"/>
          <w:divBdr>
            <w:top w:val="none" w:sz="0" w:space="0" w:color="auto"/>
            <w:left w:val="none" w:sz="0" w:space="0" w:color="auto"/>
            <w:bottom w:val="none" w:sz="0" w:space="0" w:color="auto"/>
            <w:right w:val="none" w:sz="0" w:space="0" w:color="auto"/>
          </w:divBdr>
          <w:divsChild>
            <w:div w:id="1362319723">
              <w:marLeft w:val="0"/>
              <w:marRight w:val="0"/>
              <w:marTop w:val="0"/>
              <w:marBottom w:val="0"/>
              <w:divBdr>
                <w:top w:val="none" w:sz="0" w:space="0" w:color="auto"/>
                <w:left w:val="none" w:sz="0" w:space="0" w:color="auto"/>
                <w:bottom w:val="none" w:sz="0" w:space="0" w:color="auto"/>
                <w:right w:val="none" w:sz="0" w:space="0" w:color="auto"/>
              </w:divBdr>
            </w:div>
          </w:divsChild>
        </w:div>
        <w:div w:id="30309164">
          <w:marLeft w:val="0"/>
          <w:marRight w:val="0"/>
          <w:marTop w:val="0"/>
          <w:marBottom w:val="0"/>
          <w:divBdr>
            <w:top w:val="none" w:sz="0" w:space="0" w:color="auto"/>
            <w:left w:val="none" w:sz="0" w:space="0" w:color="auto"/>
            <w:bottom w:val="none" w:sz="0" w:space="0" w:color="auto"/>
            <w:right w:val="none" w:sz="0" w:space="0" w:color="auto"/>
          </w:divBdr>
          <w:divsChild>
            <w:div w:id="2032411250">
              <w:marLeft w:val="0"/>
              <w:marRight w:val="0"/>
              <w:marTop w:val="0"/>
              <w:marBottom w:val="0"/>
              <w:divBdr>
                <w:top w:val="none" w:sz="0" w:space="0" w:color="auto"/>
                <w:left w:val="none" w:sz="0" w:space="0" w:color="auto"/>
                <w:bottom w:val="none" w:sz="0" w:space="0" w:color="auto"/>
                <w:right w:val="none" w:sz="0" w:space="0" w:color="auto"/>
              </w:divBdr>
            </w:div>
          </w:divsChild>
        </w:div>
        <w:div w:id="35198801">
          <w:marLeft w:val="0"/>
          <w:marRight w:val="0"/>
          <w:marTop w:val="0"/>
          <w:marBottom w:val="0"/>
          <w:divBdr>
            <w:top w:val="none" w:sz="0" w:space="0" w:color="auto"/>
            <w:left w:val="none" w:sz="0" w:space="0" w:color="auto"/>
            <w:bottom w:val="none" w:sz="0" w:space="0" w:color="auto"/>
            <w:right w:val="none" w:sz="0" w:space="0" w:color="auto"/>
          </w:divBdr>
          <w:divsChild>
            <w:div w:id="1930774843">
              <w:marLeft w:val="0"/>
              <w:marRight w:val="0"/>
              <w:marTop w:val="0"/>
              <w:marBottom w:val="0"/>
              <w:divBdr>
                <w:top w:val="none" w:sz="0" w:space="0" w:color="auto"/>
                <w:left w:val="none" w:sz="0" w:space="0" w:color="auto"/>
                <w:bottom w:val="none" w:sz="0" w:space="0" w:color="auto"/>
                <w:right w:val="none" w:sz="0" w:space="0" w:color="auto"/>
              </w:divBdr>
            </w:div>
          </w:divsChild>
        </w:div>
        <w:div w:id="35400944">
          <w:marLeft w:val="0"/>
          <w:marRight w:val="0"/>
          <w:marTop w:val="0"/>
          <w:marBottom w:val="0"/>
          <w:divBdr>
            <w:top w:val="none" w:sz="0" w:space="0" w:color="auto"/>
            <w:left w:val="none" w:sz="0" w:space="0" w:color="auto"/>
            <w:bottom w:val="none" w:sz="0" w:space="0" w:color="auto"/>
            <w:right w:val="none" w:sz="0" w:space="0" w:color="auto"/>
          </w:divBdr>
          <w:divsChild>
            <w:div w:id="705184069">
              <w:marLeft w:val="0"/>
              <w:marRight w:val="0"/>
              <w:marTop w:val="0"/>
              <w:marBottom w:val="0"/>
              <w:divBdr>
                <w:top w:val="none" w:sz="0" w:space="0" w:color="auto"/>
                <w:left w:val="none" w:sz="0" w:space="0" w:color="auto"/>
                <w:bottom w:val="none" w:sz="0" w:space="0" w:color="auto"/>
                <w:right w:val="none" w:sz="0" w:space="0" w:color="auto"/>
              </w:divBdr>
            </w:div>
          </w:divsChild>
        </w:div>
        <w:div w:id="44257287">
          <w:marLeft w:val="0"/>
          <w:marRight w:val="0"/>
          <w:marTop w:val="0"/>
          <w:marBottom w:val="0"/>
          <w:divBdr>
            <w:top w:val="none" w:sz="0" w:space="0" w:color="auto"/>
            <w:left w:val="none" w:sz="0" w:space="0" w:color="auto"/>
            <w:bottom w:val="none" w:sz="0" w:space="0" w:color="auto"/>
            <w:right w:val="none" w:sz="0" w:space="0" w:color="auto"/>
          </w:divBdr>
          <w:divsChild>
            <w:div w:id="271283842">
              <w:marLeft w:val="0"/>
              <w:marRight w:val="0"/>
              <w:marTop w:val="0"/>
              <w:marBottom w:val="0"/>
              <w:divBdr>
                <w:top w:val="none" w:sz="0" w:space="0" w:color="auto"/>
                <w:left w:val="none" w:sz="0" w:space="0" w:color="auto"/>
                <w:bottom w:val="none" w:sz="0" w:space="0" w:color="auto"/>
                <w:right w:val="none" w:sz="0" w:space="0" w:color="auto"/>
              </w:divBdr>
            </w:div>
          </w:divsChild>
        </w:div>
        <w:div w:id="55469776">
          <w:marLeft w:val="0"/>
          <w:marRight w:val="0"/>
          <w:marTop w:val="0"/>
          <w:marBottom w:val="0"/>
          <w:divBdr>
            <w:top w:val="none" w:sz="0" w:space="0" w:color="auto"/>
            <w:left w:val="none" w:sz="0" w:space="0" w:color="auto"/>
            <w:bottom w:val="none" w:sz="0" w:space="0" w:color="auto"/>
            <w:right w:val="none" w:sz="0" w:space="0" w:color="auto"/>
          </w:divBdr>
          <w:divsChild>
            <w:div w:id="227422201">
              <w:marLeft w:val="0"/>
              <w:marRight w:val="0"/>
              <w:marTop w:val="0"/>
              <w:marBottom w:val="0"/>
              <w:divBdr>
                <w:top w:val="none" w:sz="0" w:space="0" w:color="auto"/>
                <w:left w:val="none" w:sz="0" w:space="0" w:color="auto"/>
                <w:bottom w:val="none" w:sz="0" w:space="0" w:color="auto"/>
                <w:right w:val="none" w:sz="0" w:space="0" w:color="auto"/>
              </w:divBdr>
            </w:div>
          </w:divsChild>
        </w:div>
        <w:div w:id="83769533">
          <w:marLeft w:val="0"/>
          <w:marRight w:val="0"/>
          <w:marTop w:val="0"/>
          <w:marBottom w:val="0"/>
          <w:divBdr>
            <w:top w:val="none" w:sz="0" w:space="0" w:color="auto"/>
            <w:left w:val="none" w:sz="0" w:space="0" w:color="auto"/>
            <w:bottom w:val="none" w:sz="0" w:space="0" w:color="auto"/>
            <w:right w:val="none" w:sz="0" w:space="0" w:color="auto"/>
          </w:divBdr>
          <w:divsChild>
            <w:div w:id="1520464947">
              <w:marLeft w:val="0"/>
              <w:marRight w:val="0"/>
              <w:marTop w:val="0"/>
              <w:marBottom w:val="0"/>
              <w:divBdr>
                <w:top w:val="none" w:sz="0" w:space="0" w:color="auto"/>
                <w:left w:val="none" w:sz="0" w:space="0" w:color="auto"/>
                <w:bottom w:val="none" w:sz="0" w:space="0" w:color="auto"/>
                <w:right w:val="none" w:sz="0" w:space="0" w:color="auto"/>
              </w:divBdr>
            </w:div>
          </w:divsChild>
        </w:div>
        <w:div w:id="110051084">
          <w:marLeft w:val="0"/>
          <w:marRight w:val="0"/>
          <w:marTop w:val="0"/>
          <w:marBottom w:val="0"/>
          <w:divBdr>
            <w:top w:val="none" w:sz="0" w:space="0" w:color="auto"/>
            <w:left w:val="none" w:sz="0" w:space="0" w:color="auto"/>
            <w:bottom w:val="none" w:sz="0" w:space="0" w:color="auto"/>
            <w:right w:val="none" w:sz="0" w:space="0" w:color="auto"/>
          </w:divBdr>
          <w:divsChild>
            <w:div w:id="177239622">
              <w:marLeft w:val="0"/>
              <w:marRight w:val="0"/>
              <w:marTop w:val="0"/>
              <w:marBottom w:val="0"/>
              <w:divBdr>
                <w:top w:val="none" w:sz="0" w:space="0" w:color="auto"/>
                <w:left w:val="none" w:sz="0" w:space="0" w:color="auto"/>
                <w:bottom w:val="none" w:sz="0" w:space="0" w:color="auto"/>
                <w:right w:val="none" w:sz="0" w:space="0" w:color="auto"/>
              </w:divBdr>
            </w:div>
          </w:divsChild>
        </w:div>
        <w:div w:id="115564677">
          <w:marLeft w:val="0"/>
          <w:marRight w:val="0"/>
          <w:marTop w:val="0"/>
          <w:marBottom w:val="0"/>
          <w:divBdr>
            <w:top w:val="none" w:sz="0" w:space="0" w:color="auto"/>
            <w:left w:val="none" w:sz="0" w:space="0" w:color="auto"/>
            <w:bottom w:val="none" w:sz="0" w:space="0" w:color="auto"/>
            <w:right w:val="none" w:sz="0" w:space="0" w:color="auto"/>
          </w:divBdr>
          <w:divsChild>
            <w:div w:id="1261991831">
              <w:marLeft w:val="0"/>
              <w:marRight w:val="0"/>
              <w:marTop w:val="0"/>
              <w:marBottom w:val="0"/>
              <w:divBdr>
                <w:top w:val="none" w:sz="0" w:space="0" w:color="auto"/>
                <w:left w:val="none" w:sz="0" w:space="0" w:color="auto"/>
                <w:bottom w:val="none" w:sz="0" w:space="0" w:color="auto"/>
                <w:right w:val="none" w:sz="0" w:space="0" w:color="auto"/>
              </w:divBdr>
            </w:div>
          </w:divsChild>
        </w:div>
        <w:div w:id="117456584">
          <w:marLeft w:val="0"/>
          <w:marRight w:val="0"/>
          <w:marTop w:val="0"/>
          <w:marBottom w:val="0"/>
          <w:divBdr>
            <w:top w:val="none" w:sz="0" w:space="0" w:color="auto"/>
            <w:left w:val="none" w:sz="0" w:space="0" w:color="auto"/>
            <w:bottom w:val="none" w:sz="0" w:space="0" w:color="auto"/>
            <w:right w:val="none" w:sz="0" w:space="0" w:color="auto"/>
          </w:divBdr>
          <w:divsChild>
            <w:div w:id="1599410494">
              <w:marLeft w:val="0"/>
              <w:marRight w:val="0"/>
              <w:marTop w:val="0"/>
              <w:marBottom w:val="0"/>
              <w:divBdr>
                <w:top w:val="none" w:sz="0" w:space="0" w:color="auto"/>
                <w:left w:val="none" w:sz="0" w:space="0" w:color="auto"/>
                <w:bottom w:val="none" w:sz="0" w:space="0" w:color="auto"/>
                <w:right w:val="none" w:sz="0" w:space="0" w:color="auto"/>
              </w:divBdr>
            </w:div>
          </w:divsChild>
        </w:div>
        <w:div w:id="121505486">
          <w:marLeft w:val="0"/>
          <w:marRight w:val="0"/>
          <w:marTop w:val="0"/>
          <w:marBottom w:val="0"/>
          <w:divBdr>
            <w:top w:val="none" w:sz="0" w:space="0" w:color="auto"/>
            <w:left w:val="none" w:sz="0" w:space="0" w:color="auto"/>
            <w:bottom w:val="none" w:sz="0" w:space="0" w:color="auto"/>
            <w:right w:val="none" w:sz="0" w:space="0" w:color="auto"/>
          </w:divBdr>
          <w:divsChild>
            <w:div w:id="1330518475">
              <w:marLeft w:val="0"/>
              <w:marRight w:val="0"/>
              <w:marTop w:val="0"/>
              <w:marBottom w:val="0"/>
              <w:divBdr>
                <w:top w:val="none" w:sz="0" w:space="0" w:color="auto"/>
                <w:left w:val="none" w:sz="0" w:space="0" w:color="auto"/>
                <w:bottom w:val="none" w:sz="0" w:space="0" w:color="auto"/>
                <w:right w:val="none" w:sz="0" w:space="0" w:color="auto"/>
              </w:divBdr>
            </w:div>
          </w:divsChild>
        </w:div>
        <w:div w:id="128978782">
          <w:marLeft w:val="0"/>
          <w:marRight w:val="0"/>
          <w:marTop w:val="0"/>
          <w:marBottom w:val="0"/>
          <w:divBdr>
            <w:top w:val="none" w:sz="0" w:space="0" w:color="auto"/>
            <w:left w:val="none" w:sz="0" w:space="0" w:color="auto"/>
            <w:bottom w:val="none" w:sz="0" w:space="0" w:color="auto"/>
            <w:right w:val="none" w:sz="0" w:space="0" w:color="auto"/>
          </w:divBdr>
          <w:divsChild>
            <w:div w:id="36974669">
              <w:marLeft w:val="0"/>
              <w:marRight w:val="0"/>
              <w:marTop w:val="0"/>
              <w:marBottom w:val="0"/>
              <w:divBdr>
                <w:top w:val="none" w:sz="0" w:space="0" w:color="auto"/>
                <w:left w:val="none" w:sz="0" w:space="0" w:color="auto"/>
                <w:bottom w:val="none" w:sz="0" w:space="0" w:color="auto"/>
                <w:right w:val="none" w:sz="0" w:space="0" w:color="auto"/>
              </w:divBdr>
            </w:div>
          </w:divsChild>
        </w:div>
        <w:div w:id="138697560">
          <w:marLeft w:val="0"/>
          <w:marRight w:val="0"/>
          <w:marTop w:val="0"/>
          <w:marBottom w:val="0"/>
          <w:divBdr>
            <w:top w:val="none" w:sz="0" w:space="0" w:color="auto"/>
            <w:left w:val="none" w:sz="0" w:space="0" w:color="auto"/>
            <w:bottom w:val="none" w:sz="0" w:space="0" w:color="auto"/>
            <w:right w:val="none" w:sz="0" w:space="0" w:color="auto"/>
          </w:divBdr>
          <w:divsChild>
            <w:div w:id="1313287421">
              <w:marLeft w:val="0"/>
              <w:marRight w:val="0"/>
              <w:marTop w:val="0"/>
              <w:marBottom w:val="0"/>
              <w:divBdr>
                <w:top w:val="none" w:sz="0" w:space="0" w:color="auto"/>
                <w:left w:val="none" w:sz="0" w:space="0" w:color="auto"/>
                <w:bottom w:val="none" w:sz="0" w:space="0" w:color="auto"/>
                <w:right w:val="none" w:sz="0" w:space="0" w:color="auto"/>
              </w:divBdr>
            </w:div>
          </w:divsChild>
        </w:div>
        <w:div w:id="143358113">
          <w:marLeft w:val="0"/>
          <w:marRight w:val="0"/>
          <w:marTop w:val="0"/>
          <w:marBottom w:val="0"/>
          <w:divBdr>
            <w:top w:val="none" w:sz="0" w:space="0" w:color="auto"/>
            <w:left w:val="none" w:sz="0" w:space="0" w:color="auto"/>
            <w:bottom w:val="none" w:sz="0" w:space="0" w:color="auto"/>
            <w:right w:val="none" w:sz="0" w:space="0" w:color="auto"/>
          </w:divBdr>
          <w:divsChild>
            <w:div w:id="591662471">
              <w:marLeft w:val="0"/>
              <w:marRight w:val="0"/>
              <w:marTop w:val="0"/>
              <w:marBottom w:val="0"/>
              <w:divBdr>
                <w:top w:val="none" w:sz="0" w:space="0" w:color="auto"/>
                <w:left w:val="none" w:sz="0" w:space="0" w:color="auto"/>
                <w:bottom w:val="none" w:sz="0" w:space="0" w:color="auto"/>
                <w:right w:val="none" w:sz="0" w:space="0" w:color="auto"/>
              </w:divBdr>
            </w:div>
          </w:divsChild>
        </w:div>
        <w:div w:id="148402350">
          <w:marLeft w:val="0"/>
          <w:marRight w:val="0"/>
          <w:marTop w:val="0"/>
          <w:marBottom w:val="0"/>
          <w:divBdr>
            <w:top w:val="none" w:sz="0" w:space="0" w:color="auto"/>
            <w:left w:val="none" w:sz="0" w:space="0" w:color="auto"/>
            <w:bottom w:val="none" w:sz="0" w:space="0" w:color="auto"/>
            <w:right w:val="none" w:sz="0" w:space="0" w:color="auto"/>
          </w:divBdr>
          <w:divsChild>
            <w:div w:id="179666449">
              <w:marLeft w:val="0"/>
              <w:marRight w:val="0"/>
              <w:marTop w:val="0"/>
              <w:marBottom w:val="0"/>
              <w:divBdr>
                <w:top w:val="none" w:sz="0" w:space="0" w:color="auto"/>
                <w:left w:val="none" w:sz="0" w:space="0" w:color="auto"/>
                <w:bottom w:val="none" w:sz="0" w:space="0" w:color="auto"/>
                <w:right w:val="none" w:sz="0" w:space="0" w:color="auto"/>
              </w:divBdr>
            </w:div>
          </w:divsChild>
        </w:div>
        <w:div w:id="152064134">
          <w:marLeft w:val="0"/>
          <w:marRight w:val="0"/>
          <w:marTop w:val="0"/>
          <w:marBottom w:val="0"/>
          <w:divBdr>
            <w:top w:val="none" w:sz="0" w:space="0" w:color="auto"/>
            <w:left w:val="none" w:sz="0" w:space="0" w:color="auto"/>
            <w:bottom w:val="none" w:sz="0" w:space="0" w:color="auto"/>
            <w:right w:val="none" w:sz="0" w:space="0" w:color="auto"/>
          </w:divBdr>
          <w:divsChild>
            <w:div w:id="1674184805">
              <w:marLeft w:val="0"/>
              <w:marRight w:val="0"/>
              <w:marTop w:val="0"/>
              <w:marBottom w:val="0"/>
              <w:divBdr>
                <w:top w:val="none" w:sz="0" w:space="0" w:color="auto"/>
                <w:left w:val="none" w:sz="0" w:space="0" w:color="auto"/>
                <w:bottom w:val="none" w:sz="0" w:space="0" w:color="auto"/>
                <w:right w:val="none" w:sz="0" w:space="0" w:color="auto"/>
              </w:divBdr>
            </w:div>
          </w:divsChild>
        </w:div>
        <w:div w:id="171990426">
          <w:marLeft w:val="0"/>
          <w:marRight w:val="0"/>
          <w:marTop w:val="0"/>
          <w:marBottom w:val="0"/>
          <w:divBdr>
            <w:top w:val="none" w:sz="0" w:space="0" w:color="auto"/>
            <w:left w:val="none" w:sz="0" w:space="0" w:color="auto"/>
            <w:bottom w:val="none" w:sz="0" w:space="0" w:color="auto"/>
            <w:right w:val="none" w:sz="0" w:space="0" w:color="auto"/>
          </w:divBdr>
          <w:divsChild>
            <w:div w:id="670907637">
              <w:marLeft w:val="0"/>
              <w:marRight w:val="0"/>
              <w:marTop w:val="0"/>
              <w:marBottom w:val="0"/>
              <w:divBdr>
                <w:top w:val="none" w:sz="0" w:space="0" w:color="auto"/>
                <w:left w:val="none" w:sz="0" w:space="0" w:color="auto"/>
                <w:bottom w:val="none" w:sz="0" w:space="0" w:color="auto"/>
                <w:right w:val="none" w:sz="0" w:space="0" w:color="auto"/>
              </w:divBdr>
            </w:div>
          </w:divsChild>
        </w:div>
        <w:div w:id="186718301">
          <w:marLeft w:val="0"/>
          <w:marRight w:val="0"/>
          <w:marTop w:val="0"/>
          <w:marBottom w:val="0"/>
          <w:divBdr>
            <w:top w:val="none" w:sz="0" w:space="0" w:color="auto"/>
            <w:left w:val="none" w:sz="0" w:space="0" w:color="auto"/>
            <w:bottom w:val="none" w:sz="0" w:space="0" w:color="auto"/>
            <w:right w:val="none" w:sz="0" w:space="0" w:color="auto"/>
          </w:divBdr>
          <w:divsChild>
            <w:div w:id="1860193265">
              <w:marLeft w:val="0"/>
              <w:marRight w:val="0"/>
              <w:marTop w:val="0"/>
              <w:marBottom w:val="0"/>
              <w:divBdr>
                <w:top w:val="none" w:sz="0" w:space="0" w:color="auto"/>
                <w:left w:val="none" w:sz="0" w:space="0" w:color="auto"/>
                <w:bottom w:val="none" w:sz="0" w:space="0" w:color="auto"/>
                <w:right w:val="none" w:sz="0" w:space="0" w:color="auto"/>
              </w:divBdr>
            </w:div>
          </w:divsChild>
        </w:div>
        <w:div w:id="196238481">
          <w:marLeft w:val="0"/>
          <w:marRight w:val="0"/>
          <w:marTop w:val="0"/>
          <w:marBottom w:val="0"/>
          <w:divBdr>
            <w:top w:val="none" w:sz="0" w:space="0" w:color="auto"/>
            <w:left w:val="none" w:sz="0" w:space="0" w:color="auto"/>
            <w:bottom w:val="none" w:sz="0" w:space="0" w:color="auto"/>
            <w:right w:val="none" w:sz="0" w:space="0" w:color="auto"/>
          </w:divBdr>
          <w:divsChild>
            <w:div w:id="588926705">
              <w:marLeft w:val="0"/>
              <w:marRight w:val="0"/>
              <w:marTop w:val="0"/>
              <w:marBottom w:val="0"/>
              <w:divBdr>
                <w:top w:val="none" w:sz="0" w:space="0" w:color="auto"/>
                <w:left w:val="none" w:sz="0" w:space="0" w:color="auto"/>
                <w:bottom w:val="none" w:sz="0" w:space="0" w:color="auto"/>
                <w:right w:val="none" w:sz="0" w:space="0" w:color="auto"/>
              </w:divBdr>
            </w:div>
          </w:divsChild>
        </w:div>
        <w:div w:id="196552660">
          <w:marLeft w:val="0"/>
          <w:marRight w:val="0"/>
          <w:marTop w:val="0"/>
          <w:marBottom w:val="0"/>
          <w:divBdr>
            <w:top w:val="none" w:sz="0" w:space="0" w:color="auto"/>
            <w:left w:val="none" w:sz="0" w:space="0" w:color="auto"/>
            <w:bottom w:val="none" w:sz="0" w:space="0" w:color="auto"/>
            <w:right w:val="none" w:sz="0" w:space="0" w:color="auto"/>
          </w:divBdr>
          <w:divsChild>
            <w:div w:id="843865021">
              <w:marLeft w:val="0"/>
              <w:marRight w:val="0"/>
              <w:marTop w:val="0"/>
              <w:marBottom w:val="0"/>
              <w:divBdr>
                <w:top w:val="none" w:sz="0" w:space="0" w:color="auto"/>
                <w:left w:val="none" w:sz="0" w:space="0" w:color="auto"/>
                <w:bottom w:val="none" w:sz="0" w:space="0" w:color="auto"/>
                <w:right w:val="none" w:sz="0" w:space="0" w:color="auto"/>
              </w:divBdr>
            </w:div>
          </w:divsChild>
        </w:div>
        <w:div w:id="201483672">
          <w:marLeft w:val="0"/>
          <w:marRight w:val="0"/>
          <w:marTop w:val="0"/>
          <w:marBottom w:val="0"/>
          <w:divBdr>
            <w:top w:val="none" w:sz="0" w:space="0" w:color="auto"/>
            <w:left w:val="none" w:sz="0" w:space="0" w:color="auto"/>
            <w:bottom w:val="none" w:sz="0" w:space="0" w:color="auto"/>
            <w:right w:val="none" w:sz="0" w:space="0" w:color="auto"/>
          </w:divBdr>
          <w:divsChild>
            <w:div w:id="381639036">
              <w:marLeft w:val="0"/>
              <w:marRight w:val="0"/>
              <w:marTop w:val="0"/>
              <w:marBottom w:val="0"/>
              <w:divBdr>
                <w:top w:val="none" w:sz="0" w:space="0" w:color="auto"/>
                <w:left w:val="none" w:sz="0" w:space="0" w:color="auto"/>
                <w:bottom w:val="none" w:sz="0" w:space="0" w:color="auto"/>
                <w:right w:val="none" w:sz="0" w:space="0" w:color="auto"/>
              </w:divBdr>
            </w:div>
          </w:divsChild>
        </w:div>
        <w:div w:id="208419582">
          <w:marLeft w:val="0"/>
          <w:marRight w:val="0"/>
          <w:marTop w:val="0"/>
          <w:marBottom w:val="0"/>
          <w:divBdr>
            <w:top w:val="none" w:sz="0" w:space="0" w:color="auto"/>
            <w:left w:val="none" w:sz="0" w:space="0" w:color="auto"/>
            <w:bottom w:val="none" w:sz="0" w:space="0" w:color="auto"/>
            <w:right w:val="none" w:sz="0" w:space="0" w:color="auto"/>
          </w:divBdr>
          <w:divsChild>
            <w:div w:id="217207290">
              <w:marLeft w:val="0"/>
              <w:marRight w:val="0"/>
              <w:marTop w:val="0"/>
              <w:marBottom w:val="0"/>
              <w:divBdr>
                <w:top w:val="none" w:sz="0" w:space="0" w:color="auto"/>
                <w:left w:val="none" w:sz="0" w:space="0" w:color="auto"/>
                <w:bottom w:val="none" w:sz="0" w:space="0" w:color="auto"/>
                <w:right w:val="none" w:sz="0" w:space="0" w:color="auto"/>
              </w:divBdr>
            </w:div>
          </w:divsChild>
        </w:div>
        <w:div w:id="220020791">
          <w:marLeft w:val="0"/>
          <w:marRight w:val="0"/>
          <w:marTop w:val="0"/>
          <w:marBottom w:val="0"/>
          <w:divBdr>
            <w:top w:val="none" w:sz="0" w:space="0" w:color="auto"/>
            <w:left w:val="none" w:sz="0" w:space="0" w:color="auto"/>
            <w:bottom w:val="none" w:sz="0" w:space="0" w:color="auto"/>
            <w:right w:val="none" w:sz="0" w:space="0" w:color="auto"/>
          </w:divBdr>
          <w:divsChild>
            <w:div w:id="231500444">
              <w:marLeft w:val="0"/>
              <w:marRight w:val="0"/>
              <w:marTop w:val="0"/>
              <w:marBottom w:val="0"/>
              <w:divBdr>
                <w:top w:val="none" w:sz="0" w:space="0" w:color="auto"/>
                <w:left w:val="none" w:sz="0" w:space="0" w:color="auto"/>
                <w:bottom w:val="none" w:sz="0" w:space="0" w:color="auto"/>
                <w:right w:val="none" w:sz="0" w:space="0" w:color="auto"/>
              </w:divBdr>
            </w:div>
          </w:divsChild>
        </w:div>
        <w:div w:id="224950471">
          <w:marLeft w:val="0"/>
          <w:marRight w:val="0"/>
          <w:marTop w:val="0"/>
          <w:marBottom w:val="0"/>
          <w:divBdr>
            <w:top w:val="none" w:sz="0" w:space="0" w:color="auto"/>
            <w:left w:val="none" w:sz="0" w:space="0" w:color="auto"/>
            <w:bottom w:val="none" w:sz="0" w:space="0" w:color="auto"/>
            <w:right w:val="none" w:sz="0" w:space="0" w:color="auto"/>
          </w:divBdr>
          <w:divsChild>
            <w:div w:id="425658365">
              <w:marLeft w:val="0"/>
              <w:marRight w:val="0"/>
              <w:marTop w:val="0"/>
              <w:marBottom w:val="0"/>
              <w:divBdr>
                <w:top w:val="none" w:sz="0" w:space="0" w:color="auto"/>
                <w:left w:val="none" w:sz="0" w:space="0" w:color="auto"/>
                <w:bottom w:val="none" w:sz="0" w:space="0" w:color="auto"/>
                <w:right w:val="none" w:sz="0" w:space="0" w:color="auto"/>
              </w:divBdr>
            </w:div>
          </w:divsChild>
        </w:div>
        <w:div w:id="232592115">
          <w:marLeft w:val="0"/>
          <w:marRight w:val="0"/>
          <w:marTop w:val="0"/>
          <w:marBottom w:val="0"/>
          <w:divBdr>
            <w:top w:val="none" w:sz="0" w:space="0" w:color="auto"/>
            <w:left w:val="none" w:sz="0" w:space="0" w:color="auto"/>
            <w:bottom w:val="none" w:sz="0" w:space="0" w:color="auto"/>
            <w:right w:val="none" w:sz="0" w:space="0" w:color="auto"/>
          </w:divBdr>
          <w:divsChild>
            <w:div w:id="59207678">
              <w:marLeft w:val="0"/>
              <w:marRight w:val="0"/>
              <w:marTop w:val="0"/>
              <w:marBottom w:val="0"/>
              <w:divBdr>
                <w:top w:val="none" w:sz="0" w:space="0" w:color="auto"/>
                <w:left w:val="none" w:sz="0" w:space="0" w:color="auto"/>
                <w:bottom w:val="none" w:sz="0" w:space="0" w:color="auto"/>
                <w:right w:val="none" w:sz="0" w:space="0" w:color="auto"/>
              </w:divBdr>
            </w:div>
          </w:divsChild>
        </w:div>
        <w:div w:id="242489628">
          <w:marLeft w:val="0"/>
          <w:marRight w:val="0"/>
          <w:marTop w:val="0"/>
          <w:marBottom w:val="0"/>
          <w:divBdr>
            <w:top w:val="none" w:sz="0" w:space="0" w:color="auto"/>
            <w:left w:val="none" w:sz="0" w:space="0" w:color="auto"/>
            <w:bottom w:val="none" w:sz="0" w:space="0" w:color="auto"/>
            <w:right w:val="none" w:sz="0" w:space="0" w:color="auto"/>
          </w:divBdr>
          <w:divsChild>
            <w:div w:id="1042443936">
              <w:marLeft w:val="0"/>
              <w:marRight w:val="0"/>
              <w:marTop w:val="0"/>
              <w:marBottom w:val="0"/>
              <w:divBdr>
                <w:top w:val="none" w:sz="0" w:space="0" w:color="auto"/>
                <w:left w:val="none" w:sz="0" w:space="0" w:color="auto"/>
                <w:bottom w:val="none" w:sz="0" w:space="0" w:color="auto"/>
                <w:right w:val="none" w:sz="0" w:space="0" w:color="auto"/>
              </w:divBdr>
            </w:div>
          </w:divsChild>
        </w:div>
        <w:div w:id="243997726">
          <w:marLeft w:val="0"/>
          <w:marRight w:val="0"/>
          <w:marTop w:val="0"/>
          <w:marBottom w:val="0"/>
          <w:divBdr>
            <w:top w:val="none" w:sz="0" w:space="0" w:color="auto"/>
            <w:left w:val="none" w:sz="0" w:space="0" w:color="auto"/>
            <w:bottom w:val="none" w:sz="0" w:space="0" w:color="auto"/>
            <w:right w:val="none" w:sz="0" w:space="0" w:color="auto"/>
          </w:divBdr>
          <w:divsChild>
            <w:div w:id="1244753664">
              <w:marLeft w:val="0"/>
              <w:marRight w:val="0"/>
              <w:marTop w:val="0"/>
              <w:marBottom w:val="0"/>
              <w:divBdr>
                <w:top w:val="none" w:sz="0" w:space="0" w:color="auto"/>
                <w:left w:val="none" w:sz="0" w:space="0" w:color="auto"/>
                <w:bottom w:val="none" w:sz="0" w:space="0" w:color="auto"/>
                <w:right w:val="none" w:sz="0" w:space="0" w:color="auto"/>
              </w:divBdr>
            </w:div>
          </w:divsChild>
        </w:div>
        <w:div w:id="253249563">
          <w:marLeft w:val="0"/>
          <w:marRight w:val="0"/>
          <w:marTop w:val="0"/>
          <w:marBottom w:val="0"/>
          <w:divBdr>
            <w:top w:val="none" w:sz="0" w:space="0" w:color="auto"/>
            <w:left w:val="none" w:sz="0" w:space="0" w:color="auto"/>
            <w:bottom w:val="none" w:sz="0" w:space="0" w:color="auto"/>
            <w:right w:val="none" w:sz="0" w:space="0" w:color="auto"/>
          </w:divBdr>
          <w:divsChild>
            <w:div w:id="566762555">
              <w:marLeft w:val="0"/>
              <w:marRight w:val="0"/>
              <w:marTop w:val="0"/>
              <w:marBottom w:val="0"/>
              <w:divBdr>
                <w:top w:val="none" w:sz="0" w:space="0" w:color="auto"/>
                <w:left w:val="none" w:sz="0" w:space="0" w:color="auto"/>
                <w:bottom w:val="none" w:sz="0" w:space="0" w:color="auto"/>
                <w:right w:val="none" w:sz="0" w:space="0" w:color="auto"/>
              </w:divBdr>
            </w:div>
          </w:divsChild>
        </w:div>
        <w:div w:id="256444778">
          <w:marLeft w:val="0"/>
          <w:marRight w:val="0"/>
          <w:marTop w:val="0"/>
          <w:marBottom w:val="0"/>
          <w:divBdr>
            <w:top w:val="none" w:sz="0" w:space="0" w:color="auto"/>
            <w:left w:val="none" w:sz="0" w:space="0" w:color="auto"/>
            <w:bottom w:val="none" w:sz="0" w:space="0" w:color="auto"/>
            <w:right w:val="none" w:sz="0" w:space="0" w:color="auto"/>
          </w:divBdr>
          <w:divsChild>
            <w:div w:id="601765208">
              <w:marLeft w:val="0"/>
              <w:marRight w:val="0"/>
              <w:marTop w:val="0"/>
              <w:marBottom w:val="0"/>
              <w:divBdr>
                <w:top w:val="none" w:sz="0" w:space="0" w:color="auto"/>
                <w:left w:val="none" w:sz="0" w:space="0" w:color="auto"/>
                <w:bottom w:val="none" w:sz="0" w:space="0" w:color="auto"/>
                <w:right w:val="none" w:sz="0" w:space="0" w:color="auto"/>
              </w:divBdr>
            </w:div>
          </w:divsChild>
        </w:div>
        <w:div w:id="259073646">
          <w:marLeft w:val="0"/>
          <w:marRight w:val="0"/>
          <w:marTop w:val="0"/>
          <w:marBottom w:val="0"/>
          <w:divBdr>
            <w:top w:val="none" w:sz="0" w:space="0" w:color="auto"/>
            <w:left w:val="none" w:sz="0" w:space="0" w:color="auto"/>
            <w:bottom w:val="none" w:sz="0" w:space="0" w:color="auto"/>
            <w:right w:val="none" w:sz="0" w:space="0" w:color="auto"/>
          </w:divBdr>
          <w:divsChild>
            <w:div w:id="2086343608">
              <w:marLeft w:val="0"/>
              <w:marRight w:val="0"/>
              <w:marTop w:val="0"/>
              <w:marBottom w:val="0"/>
              <w:divBdr>
                <w:top w:val="none" w:sz="0" w:space="0" w:color="auto"/>
                <w:left w:val="none" w:sz="0" w:space="0" w:color="auto"/>
                <w:bottom w:val="none" w:sz="0" w:space="0" w:color="auto"/>
                <w:right w:val="none" w:sz="0" w:space="0" w:color="auto"/>
              </w:divBdr>
            </w:div>
          </w:divsChild>
        </w:div>
        <w:div w:id="276328836">
          <w:marLeft w:val="0"/>
          <w:marRight w:val="0"/>
          <w:marTop w:val="0"/>
          <w:marBottom w:val="0"/>
          <w:divBdr>
            <w:top w:val="none" w:sz="0" w:space="0" w:color="auto"/>
            <w:left w:val="none" w:sz="0" w:space="0" w:color="auto"/>
            <w:bottom w:val="none" w:sz="0" w:space="0" w:color="auto"/>
            <w:right w:val="none" w:sz="0" w:space="0" w:color="auto"/>
          </w:divBdr>
          <w:divsChild>
            <w:div w:id="2081318773">
              <w:marLeft w:val="0"/>
              <w:marRight w:val="0"/>
              <w:marTop w:val="0"/>
              <w:marBottom w:val="0"/>
              <w:divBdr>
                <w:top w:val="none" w:sz="0" w:space="0" w:color="auto"/>
                <w:left w:val="none" w:sz="0" w:space="0" w:color="auto"/>
                <w:bottom w:val="none" w:sz="0" w:space="0" w:color="auto"/>
                <w:right w:val="none" w:sz="0" w:space="0" w:color="auto"/>
              </w:divBdr>
            </w:div>
          </w:divsChild>
        </w:div>
        <w:div w:id="288509152">
          <w:marLeft w:val="0"/>
          <w:marRight w:val="0"/>
          <w:marTop w:val="0"/>
          <w:marBottom w:val="0"/>
          <w:divBdr>
            <w:top w:val="none" w:sz="0" w:space="0" w:color="auto"/>
            <w:left w:val="none" w:sz="0" w:space="0" w:color="auto"/>
            <w:bottom w:val="none" w:sz="0" w:space="0" w:color="auto"/>
            <w:right w:val="none" w:sz="0" w:space="0" w:color="auto"/>
          </w:divBdr>
          <w:divsChild>
            <w:div w:id="1812944956">
              <w:marLeft w:val="0"/>
              <w:marRight w:val="0"/>
              <w:marTop w:val="0"/>
              <w:marBottom w:val="0"/>
              <w:divBdr>
                <w:top w:val="none" w:sz="0" w:space="0" w:color="auto"/>
                <w:left w:val="none" w:sz="0" w:space="0" w:color="auto"/>
                <w:bottom w:val="none" w:sz="0" w:space="0" w:color="auto"/>
                <w:right w:val="none" w:sz="0" w:space="0" w:color="auto"/>
              </w:divBdr>
            </w:div>
          </w:divsChild>
        </w:div>
        <w:div w:id="312947097">
          <w:marLeft w:val="0"/>
          <w:marRight w:val="0"/>
          <w:marTop w:val="0"/>
          <w:marBottom w:val="0"/>
          <w:divBdr>
            <w:top w:val="none" w:sz="0" w:space="0" w:color="auto"/>
            <w:left w:val="none" w:sz="0" w:space="0" w:color="auto"/>
            <w:bottom w:val="none" w:sz="0" w:space="0" w:color="auto"/>
            <w:right w:val="none" w:sz="0" w:space="0" w:color="auto"/>
          </w:divBdr>
          <w:divsChild>
            <w:div w:id="1308246895">
              <w:marLeft w:val="0"/>
              <w:marRight w:val="0"/>
              <w:marTop w:val="0"/>
              <w:marBottom w:val="0"/>
              <w:divBdr>
                <w:top w:val="none" w:sz="0" w:space="0" w:color="auto"/>
                <w:left w:val="none" w:sz="0" w:space="0" w:color="auto"/>
                <w:bottom w:val="none" w:sz="0" w:space="0" w:color="auto"/>
                <w:right w:val="none" w:sz="0" w:space="0" w:color="auto"/>
              </w:divBdr>
            </w:div>
          </w:divsChild>
        </w:div>
        <w:div w:id="313531398">
          <w:marLeft w:val="0"/>
          <w:marRight w:val="0"/>
          <w:marTop w:val="0"/>
          <w:marBottom w:val="0"/>
          <w:divBdr>
            <w:top w:val="none" w:sz="0" w:space="0" w:color="auto"/>
            <w:left w:val="none" w:sz="0" w:space="0" w:color="auto"/>
            <w:bottom w:val="none" w:sz="0" w:space="0" w:color="auto"/>
            <w:right w:val="none" w:sz="0" w:space="0" w:color="auto"/>
          </w:divBdr>
          <w:divsChild>
            <w:div w:id="278688680">
              <w:marLeft w:val="0"/>
              <w:marRight w:val="0"/>
              <w:marTop w:val="0"/>
              <w:marBottom w:val="0"/>
              <w:divBdr>
                <w:top w:val="none" w:sz="0" w:space="0" w:color="auto"/>
                <w:left w:val="none" w:sz="0" w:space="0" w:color="auto"/>
                <w:bottom w:val="none" w:sz="0" w:space="0" w:color="auto"/>
                <w:right w:val="none" w:sz="0" w:space="0" w:color="auto"/>
              </w:divBdr>
            </w:div>
          </w:divsChild>
        </w:div>
        <w:div w:id="321392925">
          <w:marLeft w:val="0"/>
          <w:marRight w:val="0"/>
          <w:marTop w:val="0"/>
          <w:marBottom w:val="0"/>
          <w:divBdr>
            <w:top w:val="none" w:sz="0" w:space="0" w:color="auto"/>
            <w:left w:val="none" w:sz="0" w:space="0" w:color="auto"/>
            <w:bottom w:val="none" w:sz="0" w:space="0" w:color="auto"/>
            <w:right w:val="none" w:sz="0" w:space="0" w:color="auto"/>
          </w:divBdr>
          <w:divsChild>
            <w:div w:id="976957527">
              <w:marLeft w:val="0"/>
              <w:marRight w:val="0"/>
              <w:marTop w:val="0"/>
              <w:marBottom w:val="0"/>
              <w:divBdr>
                <w:top w:val="none" w:sz="0" w:space="0" w:color="auto"/>
                <w:left w:val="none" w:sz="0" w:space="0" w:color="auto"/>
                <w:bottom w:val="none" w:sz="0" w:space="0" w:color="auto"/>
                <w:right w:val="none" w:sz="0" w:space="0" w:color="auto"/>
              </w:divBdr>
            </w:div>
          </w:divsChild>
        </w:div>
        <w:div w:id="321737876">
          <w:marLeft w:val="0"/>
          <w:marRight w:val="0"/>
          <w:marTop w:val="0"/>
          <w:marBottom w:val="0"/>
          <w:divBdr>
            <w:top w:val="none" w:sz="0" w:space="0" w:color="auto"/>
            <w:left w:val="none" w:sz="0" w:space="0" w:color="auto"/>
            <w:bottom w:val="none" w:sz="0" w:space="0" w:color="auto"/>
            <w:right w:val="none" w:sz="0" w:space="0" w:color="auto"/>
          </w:divBdr>
          <w:divsChild>
            <w:div w:id="637537788">
              <w:marLeft w:val="0"/>
              <w:marRight w:val="0"/>
              <w:marTop w:val="0"/>
              <w:marBottom w:val="0"/>
              <w:divBdr>
                <w:top w:val="none" w:sz="0" w:space="0" w:color="auto"/>
                <w:left w:val="none" w:sz="0" w:space="0" w:color="auto"/>
                <w:bottom w:val="none" w:sz="0" w:space="0" w:color="auto"/>
                <w:right w:val="none" w:sz="0" w:space="0" w:color="auto"/>
              </w:divBdr>
            </w:div>
          </w:divsChild>
        </w:div>
        <w:div w:id="324014543">
          <w:marLeft w:val="0"/>
          <w:marRight w:val="0"/>
          <w:marTop w:val="0"/>
          <w:marBottom w:val="0"/>
          <w:divBdr>
            <w:top w:val="none" w:sz="0" w:space="0" w:color="auto"/>
            <w:left w:val="none" w:sz="0" w:space="0" w:color="auto"/>
            <w:bottom w:val="none" w:sz="0" w:space="0" w:color="auto"/>
            <w:right w:val="none" w:sz="0" w:space="0" w:color="auto"/>
          </w:divBdr>
          <w:divsChild>
            <w:div w:id="624702228">
              <w:marLeft w:val="0"/>
              <w:marRight w:val="0"/>
              <w:marTop w:val="0"/>
              <w:marBottom w:val="0"/>
              <w:divBdr>
                <w:top w:val="none" w:sz="0" w:space="0" w:color="auto"/>
                <w:left w:val="none" w:sz="0" w:space="0" w:color="auto"/>
                <w:bottom w:val="none" w:sz="0" w:space="0" w:color="auto"/>
                <w:right w:val="none" w:sz="0" w:space="0" w:color="auto"/>
              </w:divBdr>
            </w:div>
          </w:divsChild>
        </w:div>
        <w:div w:id="327947400">
          <w:marLeft w:val="0"/>
          <w:marRight w:val="0"/>
          <w:marTop w:val="0"/>
          <w:marBottom w:val="0"/>
          <w:divBdr>
            <w:top w:val="none" w:sz="0" w:space="0" w:color="auto"/>
            <w:left w:val="none" w:sz="0" w:space="0" w:color="auto"/>
            <w:bottom w:val="none" w:sz="0" w:space="0" w:color="auto"/>
            <w:right w:val="none" w:sz="0" w:space="0" w:color="auto"/>
          </w:divBdr>
          <w:divsChild>
            <w:div w:id="1752698564">
              <w:marLeft w:val="0"/>
              <w:marRight w:val="0"/>
              <w:marTop w:val="0"/>
              <w:marBottom w:val="0"/>
              <w:divBdr>
                <w:top w:val="none" w:sz="0" w:space="0" w:color="auto"/>
                <w:left w:val="none" w:sz="0" w:space="0" w:color="auto"/>
                <w:bottom w:val="none" w:sz="0" w:space="0" w:color="auto"/>
                <w:right w:val="none" w:sz="0" w:space="0" w:color="auto"/>
              </w:divBdr>
            </w:div>
          </w:divsChild>
        </w:div>
        <w:div w:id="330835575">
          <w:marLeft w:val="0"/>
          <w:marRight w:val="0"/>
          <w:marTop w:val="0"/>
          <w:marBottom w:val="0"/>
          <w:divBdr>
            <w:top w:val="none" w:sz="0" w:space="0" w:color="auto"/>
            <w:left w:val="none" w:sz="0" w:space="0" w:color="auto"/>
            <w:bottom w:val="none" w:sz="0" w:space="0" w:color="auto"/>
            <w:right w:val="none" w:sz="0" w:space="0" w:color="auto"/>
          </w:divBdr>
          <w:divsChild>
            <w:div w:id="927662721">
              <w:marLeft w:val="0"/>
              <w:marRight w:val="0"/>
              <w:marTop w:val="0"/>
              <w:marBottom w:val="0"/>
              <w:divBdr>
                <w:top w:val="none" w:sz="0" w:space="0" w:color="auto"/>
                <w:left w:val="none" w:sz="0" w:space="0" w:color="auto"/>
                <w:bottom w:val="none" w:sz="0" w:space="0" w:color="auto"/>
                <w:right w:val="none" w:sz="0" w:space="0" w:color="auto"/>
              </w:divBdr>
            </w:div>
          </w:divsChild>
        </w:div>
        <w:div w:id="332034033">
          <w:marLeft w:val="0"/>
          <w:marRight w:val="0"/>
          <w:marTop w:val="0"/>
          <w:marBottom w:val="0"/>
          <w:divBdr>
            <w:top w:val="none" w:sz="0" w:space="0" w:color="auto"/>
            <w:left w:val="none" w:sz="0" w:space="0" w:color="auto"/>
            <w:bottom w:val="none" w:sz="0" w:space="0" w:color="auto"/>
            <w:right w:val="none" w:sz="0" w:space="0" w:color="auto"/>
          </w:divBdr>
          <w:divsChild>
            <w:div w:id="1343514265">
              <w:marLeft w:val="0"/>
              <w:marRight w:val="0"/>
              <w:marTop w:val="0"/>
              <w:marBottom w:val="0"/>
              <w:divBdr>
                <w:top w:val="none" w:sz="0" w:space="0" w:color="auto"/>
                <w:left w:val="none" w:sz="0" w:space="0" w:color="auto"/>
                <w:bottom w:val="none" w:sz="0" w:space="0" w:color="auto"/>
                <w:right w:val="none" w:sz="0" w:space="0" w:color="auto"/>
              </w:divBdr>
            </w:div>
          </w:divsChild>
        </w:div>
        <w:div w:id="346518023">
          <w:marLeft w:val="0"/>
          <w:marRight w:val="0"/>
          <w:marTop w:val="0"/>
          <w:marBottom w:val="0"/>
          <w:divBdr>
            <w:top w:val="none" w:sz="0" w:space="0" w:color="auto"/>
            <w:left w:val="none" w:sz="0" w:space="0" w:color="auto"/>
            <w:bottom w:val="none" w:sz="0" w:space="0" w:color="auto"/>
            <w:right w:val="none" w:sz="0" w:space="0" w:color="auto"/>
          </w:divBdr>
          <w:divsChild>
            <w:div w:id="421533234">
              <w:marLeft w:val="0"/>
              <w:marRight w:val="0"/>
              <w:marTop w:val="0"/>
              <w:marBottom w:val="0"/>
              <w:divBdr>
                <w:top w:val="none" w:sz="0" w:space="0" w:color="auto"/>
                <w:left w:val="none" w:sz="0" w:space="0" w:color="auto"/>
                <w:bottom w:val="none" w:sz="0" w:space="0" w:color="auto"/>
                <w:right w:val="none" w:sz="0" w:space="0" w:color="auto"/>
              </w:divBdr>
            </w:div>
          </w:divsChild>
        </w:div>
        <w:div w:id="354580604">
          <w:marLeft w:val="0"/>
          <w:marRight w:val="0"/>
          <w:marTop w:val="0"/>
          <w:marBottom w:val="0"/>
          <w:divBdr>
            <w:top w:val="none" w:sz="0" w:space="0" w:color="auto"/>
            <w:left w:val="none" w:sz="0" w:space="0" w:color="auto"/>
            <w:bottom w:val="none" w:sz="0" w:space="0" w:color="auto"/>
            <w:right w:val="none" w:sz="0" w:space="0" w:color="auto"/>
          </w:divBdr>
          <w:divsChild>
            <w:div w:id="767579653">
              <w:marLeft w:val="0"/>
              <w:marRight w:val="0"/>
              <w:marTop w:val="0"/>
              <w:marBottom w:val="0"/>
              <w:divBdr>
                <w:top w:val="none" w:sz="0" w:space="0" w:color="auto"/>
                <w:left w:val="none" w:sz="0" w:space="0" w:color="auto"/>
                <w:bottom w:val="none" w:sz="0" w:space="0" w:color="auto"/>
                <w:right w:val="none" w:sz="0" w:space="0" w:color="auto"/>
              </w:divBdr>
            </w:div>
          </w:divsChild>
        </w:div>
        <w:div w:id="363601145">
          <w:marLeft w:val="0"/>
          <w:marRight w:val="0"/>
          <w:marTop w:val="0"/>
          <w:marBottom w:val="0"/>
          <w:divBdr>
            <w:top w:val="none" w:sz="0" w:space="0" w:color="auto"/>
            <w:left w:val="none" w:sz="0" w:space="0" w:color="auto"/>
            <w:bottom w:val="none" w:sz="0" w:space="0" w:color="auto"/>
            <w:right w:val="none" w:sz="0" w:space="0" w:color="auto"/>
          </w:divBdr>
          <w:divsChild>
            <w:div w:id="871112400">
              <w:marLeft w:val="0"/>
              <w:marRight w:val="0"/>
              <w:marTop w:val="0"/>
              <w:marBottom w:val="0"/>
              <w:divBdr>
                <w:top w:val="none" w:sz="0" w:space="0" w:color="auto"/>
                <w:left w:val="none" w:sz="0" w:space="0" w:color="auto"/>
                <w:bottom w:val="none" w:sz="0" w:space="0" w:color="auto"/>
                <w:right w:val="none" w:sz="0" w:space="0" w:color="auto"/>
              </w:divBdr>
            </w:div>
          </w:divsChild>
        </w:div>
        <w:div w:id="370766439">
          <w:marLeft w:val="0"/>
          <w:marRight w:val="0"/>
          <w:marTop w:val="0"/>
          <w:marBottom w:val="0"/>
          <w:divBdr>
            <w:top w:val="none" w:sz="0" w:space="0" w:color="auto"/>
            <w:left w:val="none" w:sz="0" w:space="0" w:color="auto"/>
            <w:bottom w:val="none" w:sz="0" w:space="0" w:color="auto"/>
            <w:right w:val="none" w:sz="0" w:space="0" w:color="auto"/>
          </w:divBdr>
          <w:divsChild>
            <w:div w:id="1036807803">
              <w:marLeft w:val="0"/>
              <w:marRight w:val="0"/>
              <w:marTop w:val="0"/>
              <w:marBottom w:val="0"/>
              <w:divBdr>
                <w:top w:val="none" w:sz="0" w:space="0" w:color="auto"/>
                <w:left w:val="none" w:sz="0" w:space="0" w:color="auto"/>
                <w:bottom w:val="none" w:sz="0" w:space="0" w:color="auto"/>
                <w:right w:val="none" w:sz="0" w:space="0" w:color="auto"/>
              </w:divBdr>
            </w:div>
          </w:divsChild>
        </w:div>
        <w:div w:id="371345327">
          <w:marLeft w:val="0"/>
          <w:marRight w:val="0"/>
          <w:marTop w:val="0"/>
          <w:marBottom w:val="0"/>
          <w:divBdr>
            <w:top w:val="none" w:sz="0" w:space="0" w:color="auto"/>
            <w:left w:val="none" w:sz="0" w:space="0" w:color="auto"/>
            <w:bottom w:val="none" w:sz="0" w:space="0" w:color="auto"/>
            <w:right w:val="none" w:sz="0" w:space="0" w:color="auto"/>
          </w:divBdr>
          <w:divsChild>
            <w:div w:id="1078794299">
              <w:marLeft w:val="0"/>
              <w:marRight w:val="0"/>
              <w:marTop w:val="0"/>
              <w:marBottom w:val="0"/>
              <w:divBdr>
                <w:top w:val="none" w:sz="0" w:space="0" w:color="auto"/>
                <w:left w:val="none" w:sz="0" w:space="0" w:color="auto"/>
                <w:bottom w:val="none" w:sz="0" w:space="0" w:color="auto"/>
                <w:right w:val="none" w:sz="0" w:space="0" w:color="auto"/>
              </w:divBdr>
            </w:div>
          </w:divsChild>
        </w:div>
        <w:div w:id="372966615">
          <w:marLeft w:val="0"/>
          <w:marRight w:val="0"/>
          <w:marTop w:val="0"/>
          <w:marBottom w:val="0"/>
          <w:divBdr>
            <w:top w:val="none" w:sz="0" w:space="0" w:color="auto"/>
            <w:left w:val="none" w:sz="0" w:space="0" w:color="auto"/>
            <w:bottom w:val="none" w:sz="0" w:space="0" w:color="auto"/>
            <w:right w:val="none" w:sz="0" w:space="0" w:color="auto"/>
          </w:divBdr>
          <w:divsChild>
            <w:div w:id="18163742">
              <w:marLeft w:val="0"/>
              <w:marRight w:val="0"/>
              <w:marTop w:val="0"/>
              <w:marBottom w:val="0"/>
              <w:divBdr>
                <w:top w:val="none" w:sz="0" w:space="0" w:color="auto"/>
                <w:left w:val="none" w:sz="0" w:space="0" w:color="auto"/>
                <w:bottom w:val="none" w:sz="0" w:space="0" w:color="auto"/>
                <w:right w:val="none" w:sz="0" w:space="0" w:color="auto"/>
              </w:divBdr>
            </w:div>
          </w:divsChild>
        </w:div>
        <w:div w:id="373776283">
          <w:marLeft w:val="0"/>
          <w:marRight w:val="0"/>
          <w:marTop w:val="0"/>
          <w:marBottom w:val="0"/>
          <w:divBdr>
            <w:top w:val="none" w:sz="0" w:space="0" w:color="auto"/>
            <w:left w:val="none" w:sz="0" w:space="0" w:color="auto"/>
            <w:bottom w:val="none" w:sz="0" w:space="0" w:color="auto"/>
            <w:right w:val="none" w:sz="0" w:space="0" w:color="auto"/>
          </w:divBdr>
          <w:divsChild>
            <w:div w:id="421611282">
              <w:marLeft w:val="0"/>
              <w:marRight w:val="0"/>
              <w:marTop w:val="0"/>
              <w:marBottom w:val="0"/>
              <w:divBdr>
                <w:top w:val="none" w:sz="0" w:space="0" w:color="auto"/>
                <w:left w:val="none" w:sz="0" w:space="0" w:color="auto"/>
                <w:bottom w:val="none" w:sz="0" w:space="0" w:color="auto"/>
                <w:right w:val="none" w:sz="0" w:space="0" w:color="auto"/>
              </w:divBdr>
            </w:div>
          </w:divsChild>
        </w:div>
        <w:div w:id="376053648">
          <w:marLeft w:val="0"/>
          <w:marRight w:val="0"/>
          <w:marTop w:val="0"/>
          <w:marBottom w:val="0"/>
          <w:divBdr>
            <w:top w:val="none" w:sz="0" w:space="0" w:color="auto"/>
            <w:left w:val="none" w:sz="0" w:space="0" w:color="auto"/>
            <w:bottom w:val="none" w:sz="0" w:space="0" w:color="auto"/>
            <w:right w:val="none" w:sz="0" w:space="0" w:color="auto"/>
          </w:divBdr>
          <w:divsChild>
            <w:div w:id="818838804">
              <w:marLeft w:val="0"/>
              <w:marRight w:val="0"/>
              <w:marTop w:val="0"/>
              <w:marBottom w:val="0"/>
              <w:divBdr>
                <w:top w:val="none" w:sz="0" w:space="0" w:color="auto"/>
                <w:left w:val="none" w:sz="0" w:space="0" w:color="auto"/>
                <w:bottom w:val="none" w:sz="0" w:space="0" w:color="auto"/>
                <w:right w:val="none" w:sz="0" w:space="0" w:color="auto"/>
              </w:divBdr>
            </w:div>
          </w:divsChild>
        </w:div>
        <w:div w:id="384570997">
          <w:marLeft w:val="0"/>
          <w:marRight w:val="0"/>
          <w:marTop w:val="0"/>
          <w:marBottom w:val="0"/>
          <w:divBdr>
            <w:top w:val="none" w:sz="0" w:space="0" w:color="auto"/>
            <w:left w:val="none" w:sz="0" w:space="0" w:color="auto"/>
            <w:bottom w:val="none" w:sz="0" w:space="0" w:color="auto"/>
            <w:right w:val="none" w:sz="0" w:space="0" w:color="auto"/>
          </w:divBdr>
          <w:divsChild>
            <w:div w:id="989094736">
              <w:marLeft w:val="0"/>
              <w:marRight w:val="0"/>
              <w:marTop w:val="0"/>
              <w:marBottom w:val="0"/>
              <w:divBdr>
                <w:top w:val="none" w:sz="0" w:space="0" w:color="auto"/>
                <w:left w:val="none" w:sz="0" w:space="0" w:color="auto"/>
                <w:bottom w:val="none" w:sz="0" w:space="0" w:color="auto"/>
                <w:right w:val="none" w:sz="0" w:space="0" w:color="auto"/>
              </w:divBdr>
            </w:div>
          </w:divsChild>
        </w:div>
        <w:div w:id="385953329">
          <w:marLeft w:val="0"/>
          <w:marRight w:val="0"/>
          <w:marTop w:val="0"/>
          <w:marBottom w:val="0"/>
          <w:divBdr>
            <w:top w:val="none" w:sz="0" w:space="0" w:color="auto"/>
            <w:left w:val="none" w:sz="0" w:space="0" w:color="auto"/>
            <w:bottom w:val="none" w:sz="0" w:space="0" w:color="auto"/>
            <w:right w:val="none" w:sz="0" w:space="0" w:color="auto"/>
          </w:divBdr>
          <w:divsChild>
            <w:div w:id="396589699">
              <w:marLeft w:val="0"/>
              <w:marRight w:val="0"/>
              <w:marTop w:val="0"/>
              <w:marBottom w:val="0"/>
              <w:divBdr>
                <w:top w:val="none" w:sz="0" w:space="0" w:color="auto"/>
                <w:left w:val="none" w:sz="0" w:space="0" w:color="auto"/>
                <w:bottom w:val="none" w:sz="0" w:space="0" w:color="auto"/>
                <w:right w:val="none" w:sz="0" w:space="0" w:color="auto"/>
              </w:divBdr>
            </w:div>
          </w:divsChild>
        </w:div>
        <w:div w:id="395318211">
          <w:marLeft w:val="0"/>
          <w:marRight w:val="0"/>
          <w:marTop w:val="0"/>
          <w:marBottom w:val="0"/>
          <w:divBdr>
            <w:top w:val="none" w:sz="0" w:space="0" w:color="auto"/>
            <w:left w:val="none" w:sz="0" w:space="0" w:color="auto"/>
            <w:bottom w:val="none" w:sz="0" w:space="0" w:color="auto"/>
            <w:right w:val="none" w:sz="0" w:space="0" w:color="auto"/>
          </w:divBdr>
          <w:divsChild>
            <w:div w:id="259023699">
              <w:marLeft w:val="0"/>
              <w:marRight w:val="0"/>
              <w:marTop w:val="0"/>
              <w:marBottom w:val="0"/>
              <w:divBdr>
                <w:top w:val="none" w:sz="0" w:space="0" w:color="auto"/>
                <w:left w:val="none" w:sz="0" w:space="0" w:color="auto"/>
                <w:bottom w:val="none" w:sz="0" w:space="0" w:color="auto"/>
                <w:right w:val="none" w:sz="0" w:space="0" w:color="auto"/>
              </w:divBdr>
            </w:div>
          </w:divsChild>
        </w:div>
        <w:div w:id="395474947">
          <w:marLeft w:val="0"/>
          <w:marRight w:val="0"/>
          <w:marTop w:val="0"/>
          <w:marBottom w:val="0"/>
          <w:divBdr>
            <w:top w:val="none" w:sz="0" w:space="0" w:color="auto"/>
            <w:left w:val="none" w:sz="0" w:space="0" w:color="auto"/>
            <w:bottom w:val="none" w:sz="0" w:space="0" w:color="auto"/>
            <w:right w:val="none" w:sz="0" w:space="0" w:color="auto"/>
          </w:divBdr>
          <w:divsChild>
            <w:div w:id="951204115">
              <w:marLeft w:val="0"/>
              <w:marRight w:val="0"/>
              <w:marTop w:val="0"/>
              <w:marBottom w:val="0"/>
              <w:divBdr>
                <w:top w:val="none" w:sz="0" w:space="0" w:color="auto"/>
                <w:left w:val="none" w:sz="0" w:space="0" w:color="auto"/>
                <w:bottom w:val="none" w:sz="0" w:space="0" w:color="auto"/>
                <w:right w:val="none" w:sz="0" w:space="0" w:color="auto"/>
              </w:divBdr>
            </w:div>
          </w:divsChild>
        </w:div>
        <w:div w:id="419448961">
          <w:marLeft w:val="0"/>
          <w:marRight w:val="0"/>
          <w:marTop w:val="0"/>
          <w:marBottom w:val="0"/>
          <w:divBdr>
            <w:top w:val="none" w:sz="0" w:space="0" w:color="auto"/>
            <w:left w:val="none" w:sz="0" w:space="0" w:color="auto"/>
            <w:bottom w:val="none" w:sz="0" w:space="0" w:color="auto"/>
            <w:right w:val="none" w:sz="0" w:space="0" w:color="auto"/>
          </w:divBdr>
          <w:divsChild>
            <w:div w:id="2093815957">
              <w:marLeft w:val="0"/>
              <w:marRight w:val="0"/>
              <w:marTop w:val="0"/>
              <w:marBottom w:val="0"/>
              <w:divBdr>
                <w:top w:val="none" w:sz="0" w:space="0" w:color="auto"/>
                <w:left w:val="none" w:sz="0" w:space="0" w:color="auto"/>
                <w:bottom w:val="none" w:sz="0" w:space="0" w:color="auto"/>
                <w:right w:val="none" w:sz="0" w:space="0" w:color="auto"/>
              </w:divBdr>
            </w:div>
          </w:divsChild>
        </w:div>
        <w:div w:id="423233303">
          <w:marLeft w:val="0"/>
          <w:marRight w:val="0"/>
          <w:marTop w:val="0"/>
          <w:marBottom w:val="0"/>
          <w:divBdr>
            <w:top w:val="none" w:sz="0" w:space="0" w:color="auto"/>
            <w:left w:val="none" w:sz="0" w:space="0" w:color="auto"/>
            <w:bottom w:val="none" w:sz="0" w:space="0" w:color="auto"/>
            <w:right w:val="none" w:sz="0" w:space="0" w:color="auto"/>
          </w:divBdr>
          <w:divsChild>
            <w:div w:id="184101191">
              <w:marLeft w:val="0"/>
              <w:marRight w:val="0"/>
              <w:marTop w:val="0"/>
              <w:marBottom w:val="0"/>
              <w:divBdr>
                <w:top w:val="none" w:sz="0" w:space="0" w:color="auto"/>
                <w:left w:val="none" w:sz="0" w:space="0" w:color="auto"/>
                <w:bottom w:val="none" w:sz="0" w:space="0" w:color="auto"/>
                <w:right w:val="none" w:sz="0" w:space="0" w:color="auto"/>
              </w:divBdr>
            </w:div>
          </w:divsChild>
        </w:div>
        <w:div w:id="432167156">
          <w:marLeft w:val="0"/>
          <w:marRight w:val="0"/>
          <w:marTop w:val="0"/>
          <w:marBottom w:val="0"/>
          <w:divBdr>
            <w:top w:val="none" w:sz="0" w:space="0" w:color="auto"/>
            <w:left w:val="none" w:sz="0" w:space="0" w:color="auto"/>
            <w:bottom w:val="none" w:sz="0" w:space="0" w:color="auto"/>
            <w:right w:val="none" w:sz="0" w:space="0" w:color="auto"/>
          </w:divBdr>
          <w:divsChild>
            <w:div w:id="836307095">
              <w:marLeft w:val="0"/>
              <w:marRight w:val="0"/>
              <w:marTop w:val="0"/>
              <w:marBottom w:val="0"/>
              <w:divBdr>
                <w:top w:val="none" w:sz="0" w:space="0" w:color="auto"/>
                <w:left w:val="none" w:sz="0" w:space="0" w:color="auto"/>
                <w:bottom w:val="none" w:sz="0" w:space="0" w:color="auto"/>
                <w:right w:val="none" w:sz="0" w:space="0" w:color="auto"/>
              </w:divBdr>
            </w:div>
          </w:divsChild>
        </w:div>
        <w:div w:id="433288508">
          <w:marLeft w:val="0"/>
          <w:marRight w:val="0"/>
          <w:marTop w:val="0"/>
          <w:marBottom w:val="0"/>
          <w:divBdr>
            <w:top w:val="none" w:sz="0" w:space="0" w:color="auto"/>
            <w:left w:val="none" w:sz="0" w:space="0" w:color="auto"/>
            <w:bottom w:val="none" w:sz="0" w:space="0" w:color="auto"/>
            <w:right w:val="none" w:sz="0" w:space="0" w:color="auto"/>
          </w:divBdr>
          <w:divsChild>
            <w:div w:id="1685865497">
              <w:marLeft w:val="0"/>
              <w:marRight w:val="0"/>
              <w:marTop w:val="0"/>
              <w:marBottom w:val="0"/>
              <w:divBdr>
                <w:top w:val="none" w:sz="0" w:space="0" w:color="auto"/>
                <w:left w:val="none" w:sz="0" w:space="0" w:color="auto"/>
                <w:bottom w:val="none" w:sz="0" w:space="0" w:color="auto"/>
                <w:right w:val="none" w:sz="0" w:space="0" w:color="auto"/>
              </w:divBdr>
            </w:div>
          </w:divsChild>
        </w:div>
        <w:div w:id="438911539">
          <w:marLeft w:val="0"/>
          <w:marRight w:val="0"/>
          <w:marTop w:val="0"/>
          <w:marBottom w:val="0"/>
          <w:divBdr>
            <w:top w:val="none" w:sz="0" w:space="0" w:color="auto"/>
            <w:left w:val="none" w:sz="0" w:space="0" w:color="auto"/>
            <w:bottom w:val="none" w:sz="0" w:space="0" w:color="auto"/>
            <w:right w:val="none" w:sz="0" w:space="0" w:color="auto"/>
          </w:divBdr>
          <w:divsChild>
            <w:div w:id="184755286">
              <w:marLeft w:val="0"/>
              <w:marRight w:val="0"/>
              <w:marTop w:val="0"/>
              <w:marBottom w:val="0"/>
              <w:divBdr>
                <w:top w:val="none" w:sz="0" w:space="0" w:color="auto"/>
                <w:left w:val="none" w:sz="0" w:space="0" w:color="auto"/>
                <w:bottom w:val="none" w:sz="0" w:space="0" w:color="auto"/>
                <w:right w:val="none" w:sz="0" w:space="0" w:color="auto"/>
              </w:divBdr>
            </w:div>
          </w:divsChild>
        </w:div>
        <w:div w:id="443614556">
          <w:marLeft w:val="0"/>
          <w:marRight w:val="0"/>
          <w:marTop w:val="0"/>
          <w:marBottom w:val="0"/>
          <w:divBdr>
            <w:top w:val="none" w:sz="0" w:space="0" w:color="auto"/>
            <w:left w:val="none" w:sz="0" w:space="0" w:color="auto"/>
            <w:bottom w:val="none" w:sz="0" w:space="0" w:color="auto"/>
            <w:right w:val="none" w:sz="0" w:space="0" w:color="auto"/>
          </w:divBdr>
          <w:divsChild>
            <w:div w:id="1387483736">
              <w:marLeft w:val="0"/>
              <w:marRight w:val="0"/>
              <w:marTop w:val="0"/>
              <w:marBottom w:val="0"/>
              <w:divBdr>
                <w:top w:val="none" w:sz="0" w:space="0" w:color="auto"/>
                <w:left w:val="none" w:sz="0" w:space="0" w:color="auto"/>
                <w:bottom w:val="none" w:sz="0" w:space="0" w:color="auto"/>
                <w:right w:val="none" w:sz="0" w:space="0" w:color="auto"/>
              </w:divBdr>
            </w:div>
          </w:divsChild>
        </w:div>
        <w:div w:id="446895660">
          <w:marLeft w:val="0"/>
          <w:marRight w:val="0"/>
          <w:marTop w:val="0"/>
          <w:marBottom w:val="0"/>
          <w:divBdr>
            <w:top w:val="none" w:sz="0" w:space="0" w:color="auto"/>
            <w:left w:val="none" w:sz="0" w:space="0" w:color="auto"/>
            <w:bottom w:val="none" w:sz="0" w:space="0" w:color="auto"/>
            <w:right w:val="none" w:sz="0" w:space="0" w:color="auto"/>
          </w:divBdr>
          <w:divsChild>
            <w:div w:id="360087488">
              <w:marLeft w:val="0"/>
              <w:marRight w:val="0"/>
              <w:marTop w:val="0"/>
              <w:marBottom w:val="0"/>
              <w:divBdr>
                <w:top w:val="none" w:sz="0" w:space="0" w:color="auto"/>
                <w:left w:val="none" w:sz="0" w:space="0" w:color="auto"/>
                <w:bottom w:val="none" w:sz="0" w:space="0" w:color="auto"/>
                <w:right w:val="none" w:sz="0" w:space="0" w:color="auto"/>
              </w:divBdr>
            </w:div>
          </w:divsChild>
        </w:div>
        <w:div w:id="448207355">
          <w:marLeft w:val="0"/>
          <w:marRight w:val="0"/>
          <w:marTop w:val="0"/>
          <w:marBottom w:val="0"/>
          <w:divBdr>
            <w:top w:val="none" w:sz="0" w:space="0" w:color="auto"/>
            <w:left w:val="none" w:sz="0" w:space="0" w:color="auto"/>
            <w:bottom w:val="none" w:sz="0" w:space="0" w:color="auto"/>
            <w:right w:val="none" w:sz="0" w:space="0" w:color="auto"/>
          </w:divBdr>
          <w:divsChild>
            <w:div w:id="831486111">
              <w:marLeft w:val="0"/>
              <w:marRight w:val="0"/>
              <w:marTop w:val="0"/>
              <w:marBottom w:val="0"/>
              <w:divBdr>
                <w:top w:val="none" w:sz="0" w:space="0" w:color="auto"/>
                <w:left w:val="none" w:sz="0" w:space="0" w:color="auto"/>
                <w:bottom w:val="none" w:sz="0" w:space="0" w:color="auto"/>
                <w:right w:val="none" w:sz="0" w:space="0" w:color="auto"/>
              </w:divBdr>
            </w:div>
            <w:div w:id="2067875643">
              <w:marLeft w:val="0"/>
              <w:marRight w:val="0"/>
              <w:marTop w:val="0"/>
              <w:marBottom w:val="0"/>
              <w:divBdr>
                <w:top w:val="none" w:sz="0" w:space="0" w:color="auto"/>
                <w:left w:val="none" w:sz="0" w:space="0" w:color="auto"/>
                <w:bottom w:val="none" w:sz="0" w:space="0" w:color="auto"/>
                <w:right w:val="none" w:sz="0" w:space="0" w:color="auto"/>
              </w:divBdr>
            </w:div>
          </w:divsChild>
        </w:div>
        <w:div w:id="455683652">
          <w:marLeft w:val="0"/>
          <w:marRight w:val="0"/>
          <w:marTop w:val="0"/>
          <w:marBottom w:val="0"/>
          <w:divBdr>
            <w:top w:val="none" w:sz="0" w:space="0" w:color="auto"/>
            <w:left w:val="none" w:sz="0" w:space="0" w:color="auto"/>
            <w:bottom w:val="none" w:sz="0" w:space="0" w:color="auto"/>
            <w:right w:val="none" w:sz="0" w:space="0" w:color="auto"/>
          </w:divBdr>
          <w:divsChild>
            <w:div w:id="919365680">
              <w:marLeft w:val="0"/>
              <w:marRight w:val="0"/>
              <w:marTop w:val="0"/>
              <w:marBottom w:val="0"/>
              <w:divBdr>
                <w:top w:val="none" w:sz="0" w:space="0" w:color="auto"/>
                <w:left w:val="none" w:sz="0" w:space="0" w:color="auto"/>
                <w:bottom w:val="none" w:sz="0" w:space="0" w:color="auto"/>
                <w:right w:val="none" w:sz="0" w:space="0" w:color="auto"/>
              </w:divBdr>
            </w:div>
          </w:divsChild>
        </w:div>
        <w:div w:id="459613439">
          <w:marLeft w:val="0"/>
          <w:marRight w:val="0"/>
          <w:marTop w:val="0"/>
          <w:marBottom w:val="0"/>
          <w:divBdr>
            <w:top w:val="none" w:sz="0" w:space="0" w:color="auto"/>
            <w:left w:val="none" w:sz="0" w:space="0" w:color="auto"/>
            <w:bottom w:val="none" w:sz="0" w:space="0" w:color="auto"/>
            <w:right w:val="none" w:sz="0" w:space="0" w:color="auto"/>
          </w:divBdr>
          <w:divsChild>
            <w:div w:id="1038970508">
              <w:marLeft w:val="0"/>
              <w:marRight w:val="0"/>
              <w:marTop w:val="0"/>
              <w:marBottom w:val="0"/>
              <w:divBdr>
                <w:top w:val="none" w:sz="0" w:space="0" w:color="auto"/>
                <w:left w:val="none" w:sz="0" w:space="0" w:color="auto"/>
                <w:bottom w:val="none" w:sz="0" w:space="0" w:color="auto"/>
                <w:right w:val="none" w:sz="0" w:space="0" w:color="auto"/>
              </w:divBdr>
            </w:div>
          </w:divsChild>
        </w:div>
        <w:div w:id="464391892">
          <w:marLeft w:val="0"/>
          <w:marRight w:val="0"/>
          <w:marTop w:val="0"/>
          <w:marBottom w:val="0"/>
          <w:divBdr>
            <w:top w:val="none" w:sz="0" w:space="0" w:color="auto"/>
            <w:left w:val="none" w:sz="0" w:space="0" w:color="auto"/>
            <w:bottom w:val="none" w:sz="0" w:space="0" w:color="auto"/>
            <w:right w:val="none" w:sz="0" w:space="0" w:color="auto"/>
          </w:divBdr>
          <w:divsChild>
            <w:div w:id="762068410">
              <w:marLeft w:val="0"/>
              <w:marRight w:val="0"/>
              <w:marTop w:val="0"/>
              <w:marBottom w:val="0"/>
              <w:divBdr>
                <w:top w:val="none" w:sz="0" w:space="0" w:color="auto"/>
                <w:left w:val="none" w:sz="0" w:space="0" w:color="auto"/>
                <w:bottom w:val="none" w:sz="0" w:space="0" w:color="auto"/>
                <w:right w:val="none" w:sz="0" w:space="0" w:color="auto"/>
              </w:divBdr>
            </w:div>
          </w:divsChild>
        </w:div>
        <w:div w:id="464665133">
          <w:marLeft w:val="0"/>
          <w:marRight w:val="0"/>
          <w:marTop w:val="0"/>
          <w:marBottom w:val="0"/>
          <w:divBdr>
            <w:top w:val="none" w:sz="0" w:space="0" w:color="auto"/>
            <w:left w:val="none" w:sz="0" w:space="0" w:color="auto"/>
            <w:bottom w:val="none" w:sz="0" w:space="0" w:color="auto"/>
            <w:right w:val="none" w:sz="0" w:space="0" w:color="auto"/>
          </w:divBdr>
          <w:divsChild>
            <w:div w:id="269819476">
              <w:marLeft w:val="0"/>
              <w:marRight w:val="0"/>
              <w:marTop w:val="0"/>
              <w:marBottom w:val="0"/>
              <w:divBdr>
                <w:top w:val="none" w:sz="0" w:space="0" w:color="auto"/>
                <w:left w:val="none" w:sz="0" w:space="0" w:color="auto"/>
                <w:bottom w:val="none" w:sz="0" w:space="0" w:color="auto"/>
                <w:right w:val="none" w:sz="0" w:space="0" w:color="auto"/>
              </w:divBdr>
            </w:div>
          </w:divsChild>
        </w:div>
        <w:div w:id="466440009">
          <w:marLeft w:val="0"/>
          <w:marRight w:val="0"/>
          <w:marTop w:val="0"/>
          <w:marBottom w:val="0"/>
          <w:divBdr>
            <w:top w:val="none" w:sz="0" w:space="0" w:color="auto"/>
            <w:left w:val="none" w:sz="0" w:space="0" w:color="auto"/>
            <w:bottom w:val="none" w:sz="0" w:space="0" w:color="auto"/>
            <w:right w:val="none" w:sz="0" w:space="0" w:color="auto"/>
          </w:divBdr>
          <w:divsChild>
            <w:div w:id="1506944637">
              <w:marLeft w:val="0"/>
              <w:marRight w:val="0"/>
              <w:marTop w:val="0"/>
              <w:marBottom w:val="0"/>
              <w:divBdr>
                <w:top w:val="none" w:sz="0" w:space="0" w:color="auto"/>
                <w:left w:val="none" w:sz="0" w:space="0" w:color="auto"/>
                <w:bottom w:val="none" w:sz="0" w:space="0" w:color="auto"/>
                <w:right w:val="none" w:sz="0" w:space="0" w:color="auto"/>
              </w:divBdr>
            </w:div>
          </w:divsChild>
        </w:div>
        <w:div w:id="480004874">
          <w:marLeft w:val="0"/>
          <w:marRight w:val="0"/>
          <w:marTop w:val="0"/>
          <w:marBottom w:val="0"/>
          <w:divBdr>
            <w:top w:val="none" w:sz="0" w:space="0" w:color="auto"/>
            <w:left w:val="none" w:sz="0" w:space="0" w:color="auto"/>
            <w:bottom w:val="none" w:sz="0" w:space="0" w:color="auto"/>
            <w:right w:val="none" w:sz="0" w:space="0" w:color="auto"/>
          </w:divBdr>
          <w:divsChild>
            <w:div w:id="352725299">
              <w:marLeft w:val="0"/>
              <w:marRight w:val="0"/>
              <w:marTop w:val="0"/>
              <w:marBottom w:val="0"/>
              <w:divBdr>
                <w:top w:val="none" w:sz="0" w:space="0" w:color="auto"/>
                <w:left w:val="none" w:sz="0" w:space="0" w:color="auto"/>
                <w:bottom w:val="none" w:sz="0" w:space="0" w:color="auto"/>
                <w:right w:val="none" w:sz="0" w:space="0" w:color="auto"/>
              </w:divBdr>
            </w:div>
          </w:divsChild>
        </w:div>
        <w:div w:id="490102386">
          <w:marLeft w:val="0"/>
          <w:marRight w:val="0"/>
          <w:marTop w:val="0"/>
          <w:marBottom w:val="0"/>
          <w:divBdr>
            <w:top w:val="none" w:sz="0" w:space="0" w:color="auto"/>
            <w:left w:val="none" w:sz="0" w:space="0" w:color="auto"/>
            <w:bottom w:val="none" w:sz="0" w:space="0" w:color="auto"/>
            <w:right w:val="none" w:sz="0" w:space="0" w:color="auto"/>
          </w:divBdr>
          <w:divsChild>
            <w:div w:id="57290903">
              <w:marLeft w:val="0"/>
              <w:marRight w:val="0"/>
              <w:marTop w:val="0"/>
              <w:marBottom w:val="0"/>
              <w:divBdr>
                <w:top w:val="none" w:sz="0" w:space="0" w:color="auto"/>
                <w:left w:val="none" w:sz="0" w:space="0" w:color="auto"/>
                <w:bottom w:val="none" w:sz="0" w:space="0" w:color="auto"/>
                <w:right w:val="none" w:sz="0" w:space="0" w:color="auto"/>
              </w:divBdr>
            </w:div>
          </w:divsChild>
        </w:div>
        <w:div w:id="506948127">
          <w:marLeft w:val="0"/>
          <w:marRight w:val="0"/>
          <w:marTop w:val="0"/>
          <w:marBottom w:val="0"/>
          <w:divBdr>
            <w:top w:val="none" w:sz="0" w:space="0" w:color="auto"/>
            <w:left w:val="none" w:sz="0" w:space="0" w:color="auto"/>
            <w:bottom w:val="none" w:sz="0" w:space="0" w:color="auto"/>
            <w:right w:val="none" w:sz="0" w:space="0" w:color="auto"/>
          </w:divBdr>
          <w:divsChild>
            <w:div w:id="900403215">
              <w:marLeft w:val="0"/>
              <w:marRight w:val="0"/>
              <w:marTop w:val="0"/>
              <w:marBottom w:val="0"/>
              <w:divBdr>
                <w:top w:val="none" w:sz="0" w:space="0" w:color="auto"/>
                <w:left w:val="none" w:sz="0" w:space="0" w:color="auto"/>
                <w:bottom w:val="none" w:sz="0" w:space="0" w:color="auto"/>
                <w:right w:val="none" w:sz="0" w:space="0" w:color="auto"/>
              </w:divBdr>
            </w:div>
          </w:divsChild>
        </w:div>
        <w:div w:id="516967578">
          <w:marLeft w:val="0"/>
          <w:marRight w:val="0"/>
          <w:marTop w:val="0"/>
          <w:marBottom w:val="0"/>
          <w:divBdr>
            <w:top w:val="none" w:sz="0" w:space="0" w:color="auto"/>
            <w:left w:val="none" w:sz="0" w:space="0" w:color="auto"/>
            <w:bottom w:val="none" w:sz="0" w:space="0" w:color="auto"/>
            <w:right w:val="none" w:sz="0" w:space="0" w:color="auto"/>
          </w:divBdr>
          <w:divsChild>
            <w:div w:id="85656076">
              <w:marLeft w:val="0"/>
              <w:marRight w:val="0"/>
              <w:marTop w:val="0"/>
              <w:marBottom w:val="0"/>
              <w:divBdr>
                <w:top w:val="none" w:sz="0" w:space="0" w:color="auto"/>
                <w:left w:val="none" w:sz="0" w:space="0" w:color="auto"/>
                <w:bottom w:val="none" w:sz="0" w:space="0" w:color="auto"/>
                <w:right w:val="none" w:sz="0" w:space="0" w:color="auto"/>
              </w:divBdr>
            </w:div>
          </w:divsChild>
        </w:div>
        <w:div w:id="517237445">
          <w:marLeft w:val="0"/>
          <w:marRight w:val="0"/>
          <w:marTop w:val="0"/>
          <w:marBottom w:val="0"/>
          <w:divBdr>
            <w:top w:val="none" w:sz="0" w:space="0" w:color="auto"/>
            <w:left w:val="none" w:sz="0" w:space="0" w:color="auto"/>
            <w:bottom w:val="none" w:sz="0" w:space="0" w:color="auto"/>
            <w:right w:val="none" w:sz="0" w:space="0" w:color="auto"/>
          </w:divBdr>
          <w:divsChild>
            <w:div w:id="589394502">
              <w:marLeft w:val="0"/>
              <w:marRight w:val="0"/>
              <w:marTop w:val="0"/>
              <w:marBottom w:val="0"/>
              <w:divBdr>
                <w:top w:val="none" w:sz="0" w:space="0" w:color="auto"/>
                <w:left w:val="none" w:sz="0" w:space="0" w:color="auto"/>
                <w:bottom w:val="none" w:sz="0" w:space="0" w:color="auto"/>
                <w:right w:val="none" w:sz="0" w:space="0" w:color="auto"/>
              </w:divBdr>
            </w:div>
          </w:divsChild>
        </w:div>
        <w:div w:id="518473290">
          <w:marLeft w:val="0"/>
          <w:marRight w:val="0"/>
          <w:marTop w:val="0"/>
          <w:marBottom w:val="0"/>
          <w:divBdr>
            <w:top w:val="none" w:sz="0" w:space="0" w:color="auto"/>
            <w:left w:val="none" w:sz="0" w:space="0" w:color="auto"/>
            <w:bottom w:val="none" w:sz="0" w:space="0" w:color="auto"/>
            <w:right w:val="none" w:sz="0" w:space="0" w:color="auto"/>
          </w:divBdr>
          <w:divsChild>
            <w:div w:id="228463651">
              <w:marLeft w:val="0"/>
              <w:marRight w:val="0"/>
              <w:marTop w:val="0"/>
              <w:marBottom w:val="0"/>
              <w:divBdr>
                <w:top w:val="none" w:sz="0" w:space="0" w:color="auto"/>
                <w:left w:val="none" w:sz="0" w:space="0" w:color="auto"/>
                <w:bottom w:val="none" w:sz="0" w:space="0" w:color="auto"/>
                <w:right w:val="none" w:sz="0" w:space="0" w:color="auto"/>
              </w:divBdr>
            </w:div>
          </w:divsChild>
        </w:div>
        <w:div w:id="524752081">
          <w:marLeft w:val="0"/>
          <w:marRight w:val="0"/>
          <w:marTop w:val="0"/>
          <w:marBottom w:val="0"/>
          <w:divBdr>
            <w:top w:val="none" w:sz="0" w:space="0" w:color="auto"/>
            <w:left w:val="none" w:sz="0" w:space="0" w:color="auto"/>
            <w:bottom w:val="none" w:sz="0" w:space="0" w:color="auto"/>
            <w:right w:val="none" w:sz="0" w:space="0" w:color="auto"/>
          </w:divBdr>
          <w:divsChild>
            <w:div w:id="952905905">
              <w:marLeft w:val="0"/>
              <w:marRight w:val="0"/>
              <w:marTop w:val="0"/>
              <w:marBottom w:val="0"/>
              <w:divBdr>
                <w:top w:val="none" w:sz="0" w:space="0" w:color="auto"/>
                <w:left w:val="none" w:sz="0" w:space="0" w:color="auto"/>
                <w:bottom w:val="none" w:sz="0" w:space="0" w:color="auto"/>
                <w:right w:val="none" w:sz="0" w:space="0" w:color="auto"/>
              </w:divBdr>
            </w:div>
          </w:divsChild>
        </w:div>
        <w:div w:id="524952209">
          <w:marLeft w:val="0"/>
          <w:marRight w:val="0"/>
          <w:marTop w:val="0"/>
          <w:marBottom w:val="0"/>
          <w:divBdr>
            <w:top w:val="none" w:sz="0" w:space="0" w:color="auto"/>
            <w:left w:val="none" w:sz="0" w:space="0" w:color="auto"/>
            <w:bottom w:val="none" w:sz="0" w:space="0" w:color="auto"/>
            <w:right w:val="none" w:sz="0" w:space="0" w:color="auto"/>
          </w:divBdr>
          <w:divsChild>
            <w:div w:id="1972322663">
              <w:marLeft w:val="0"/>
              <w:marRight w:val="0"/>
              <w:marTop w:val="0"/>
              <w:marBottom w:val="0"/>
              <w:divBdr>
                <w:top w:val="none" w:sz="0" w:space="0" w:color="auto"/>
                <w:left w:val="none" w:sz="0" w:space="0" w:color="auto"/>
                <w:bottom w:val="none" w:sz="0" w:space="0" w:color="auto"/>
                <w:right w:val="none" w:sz="0" w:space="0" w:color="auto"/>
              </w:divBdr>
            </w:div>
          </w:divsChild>
        </w:div>
        <w:div w:id="525675929">
          <w:marLeft w:val="0"/>
          <w:marRight w:val="0"/>
          <w:marTop w:val="0"/>
          <w:marBottom w:val="0"/>
          <w:divBdr>
            <w:top w:val="none" w:sz="0" w:space="0" w:color="auto"/>
            <w:left w:val="none" w:sz="0" w:space="0" w:color="auto"/>
            <w:bottom w:val="none" w:sz="0" w:space="0" w:color="auto"/>
            <w:right w:val="none" w:sz="0" w:space="0" w:color="auto"/>
          </w:divBdr>
          <w:divsChild>
            <w:div w:id="1112557190">
              <w:marLeft w:val="0"/>
              <w:marRight w:val="0"/>
              <w:marTop w:val="0"/>
              <w:marBottom w:val="0"/>
              <w:divBdr>
                <w:top w:val="none" w:sz="0" w:space="0" w:color="auto"/>
                <w:left w:val="none" w:sz="0" w:space="0" w:color="auto"/>
                <w:bottom w:val="none" w:sz="0" w:space="0" w:color="auto"/>
                <w:right w:val="none" w:sz="0" w:space="0" w:color="auto"/>
              </w:divBdr>
            </w:div>
          </w:divsChild>
        </w:div>
        <w:div w:id="536164374">
          <w:marLeft w:val="0"/>
          <w:marRight w:val="0"/>
          <w:marTop w:val="0"/>
          <w:marBottom w:val="0"/>
          <w:divBdr>
            <w:top w:val="none" w:sz="0" w:space="0" w:color="auto"/>
            <w:left w:val="none" w:sz="0" w:space="0" w:color="auto"/>
            <w:bottom w:val="none" w:sz="0" w:space="0" w:color="auto"/>
            <w:right w:val="none" w:sz="0" w:space="0" w:color="auto"/>
          </w:divBdr>
          <w:divsChild>
            <w:div w:id="623192738">
              <w:marLeft w:val="0"/>
              <w:marRight w:val="0"/>
              <w:marTop w:val="0"/>
              <w:marBottom w:val="0"/>
              <w:divBdr>
                <w:top w:val="none" w:sz="0" w:space="0" w:color="auto"/>
                <w:left w:val="none" w:sz="0" w:space="0" w:color="auto"/>
                <w:bottom w:val="none" w:sz="0" w:space="0" w:color="auto"/>
                <w:right w:val="none" w:sz="0" w:space="0" w:color="auto"/>
              </w:divBdr>
            </w:div>
          </w:divsChild>
        </w:div>
        <w:div w:id="542324308">
          <w:marLeft w:val="0"/>
          <w:marRight w:val="0"/>
          <w:marTop w:val="0"/>
          <w:marBottom w:val="0"/>
          <w:divBdr>
            <w:top w:val="none" w:sz="0" w:space="0" w:color="auto"/>
            <w:left w:val="none" w:sz="0" w:space="0" w:color="auto"/>
            <w:bottom w:val="none" w:sz="0" w:space="0" w:color="auto"/>
            <w:right w:val="none" w:sz="0" w:space="0" w:color="auto"/>
          </w:divBdr>
          <w:divsChild>
            <w:div w:id="699672740">
              <w:marLeft w:val="0"/>
              <w:marRight w:val="0"/>
              <w:marTop w:val="0"/>
              <w:marBottom w:val="0"/>
              <w:divBdr>
                <w:top w:val="none" w:sz="0" w:space="0" w:color="auto"/>
                <w:left w:val="none" w:sz="0" w:space="0" w:color="auto"/>
                <w:bottom w:val="none" w:sz="0" w:space="0" w:color="auto"/>
                <w:right w:val="none" w:sz="0" w:space="0" w:color="auto"/>
              </w:divBdr>
            </w:div>
          </w:divsChild>
        </w:div>
        <w:div w:id="545140236">
          <w:marLeft w:val="0"/>
          <w:marRight w:val="0"/>
          <w:marTop w:val="0"/>
          <w:marBottom w:val="0"/>
          <w:divBdr>
            <w:top w:val="none" w:sz="0" w:space="0" w:color="auto"/>
            <w:left w:val="none" w:sz="0" w:space="0" w:color="auto"/>
            <w:bottom w:val="none" w:sz="0" w:space="0" w:color="auto"/>
            <w:right w:val="none" w:sz="0" w:space="0" w:color="auto"/>
          </w:divBdr>
          <w:divsChild>
            <w:div w:id="1712803022">
              <w:marLeft w:val="0"/>
              <w:marRight w:val="0"/>
              <w:marTop w:val="0"/>
              <w:marBottom w:val="0"/>
              <w:divBdr>
                <w:top w:val="none" w:sz="0" w:space="0" w:color="auto"/>
                <w:left w:val="none" w:sz="0" w:space="0" w:color="auto"/>
                <w:bottom w:val="none" w:sz="0" w:space="0" w:color="auto"/>
                <w:right w:val="none" w:sz="0" w:space="0" w:color="auto"/>
              </w:divBdr>
            </w:div>
          </w:divsChild>
        </w:div>
        <w:div w:id="549414773">
          <w:marLeft w:val="0"/>
          <w:marRight w:val="0"/>
          <w:marTop w:val="0"/>
          <w:marBottom w:val="0"/>
          <w:divBdr>
            <w:top w:val="none" w:sz="0" w:space="0" w:color="auto"/>
            <w:left w:val="none" w:sz="0" w:space="0" w:color="auto"/>
            <w:bottom w:val="none" w:sz="0" w:space="0" w:color="auto"/>
            <w:right w:val="none" w:sz="0" w:space="0" w:color="auto"/>
          </w:divBdr>
          <w:divsChild>
            <w:div w:id="760443983">
              <w:marLeft w:val="0"/>
              <w:marRight w:val="0"/>
              <w:marTop w:val="0"/>
              <w:marBottom w:val="0"/>
              <w:divBdr>
                <w:top w:val="none" w:sz="0" w:space="0" w:color="auto"/>
                <w:left w:val="none" w:sz="0" w:space="0" w:color="auto"/>
                <w:bottom w:val="none" w:sz="0" w:space="0" w:color="auto"/>
                <w:right w:val="none" w:sz="0" w:space="0" w:color="auto"/>
              </w:divBdr>
            </w:div>
          </w:divsChild>
        </w:div>
        <w:div w:id="560479313">
          <w:marLeft w:val="0"/>
          <w:marRight w:val="0"/>
          <w:marTop w:val="0"/>
          <w:marBottom w:val="0"/>
          <w:divBdr>
            <w:top w:val="none" w:sz="0" w:space="0" w:color="auto"/>
            <w:left w:val="none" w:sz="0" w:space="0" w:color="auto"/>
            <w:bottom w:val="none" w:sz="0" w:space="0" w:color="auto"/>
            <w:right w:val="none" w:sz="0" w:space="0" w:color="auto"/>
          </w:divBdr>
          <w:divsChild>
            <w:div w:id="934554631">
              <w:marLeft w:val="0"/>
              <w:marRight w:val="0"/>
              <w:marTop w:val="0"/>
              <w:marBottom w:val="0"/>
              <w:divBdr>
                <w:top w:val="none" w:sz="0" w:space="0" w:color="auto"/>
                <w:left w:val="none" w:sz="0" w:space="0" w:color="auto"/>
                <w:bottom w:val="none" w:sz="0" w:space="0" w:color="auto"/>
                <w:right w:val="none" w:sz="0" w:space="0" w:color="auto"/>
              </w:divBdr>
            </w:div>
          </w:divsChild>
        </w:div>
        <w:div w:id="560944105">
          <w:marLeft w:val="0"/>
          <w:marRight w:val="0"/>
          <w:marTop w:val="0"/>
          <w:marBottom w:val="0"/>
          <w:divBdr>
            <w:top w:val="none" w:sz="0" w:space="0" w:color="auto"/>
            <w:left w:val="none" w:sz="0" w:space="0" w:color="auto"/>
            <w:bottom w:val="none" w:sz="0" w:space="0" w:color="auto"/>
            <w:right w:val="none" w:sz="0" w:space="0" w:color="auto"/>
          </w:divBdr>
          <w:divsChild>
            <w:div w:id="817723785">
              <w:marLeft w:val="0"/>
              <w:marRight w:val="0"/>
              <w:marTop w:val="0"/>
              <w:marBottom w:val="0"/>
              <w:divBdr>
                <w:top w:val="none" w:sz="0" w:space="0" w:color="auto"/>
                <w:left w:val="none" w:sz="0" w:space="0" w:color="auto"/>
                <w:bottom w:val="none" w:sz="0" w:space="0" w:color="auto"/>
                <w:right w:val="none" w:sz="0" w:space="0" w:color="auto"/>
              </w:divBdr>
            </w:div>
          </w:divsChild>
        </w:div>
        <w:div w:id="565192096">
          <w:marLeft w:val="0"/>
          <w:marRight w:val="0"/>
          <w:marTop w:val="0"/>
          <w:marBottom w:val="0"/>
          <w:divBdr>
            <w:top w:val="none" w:sz="0" w:space="0" w:color="auto"/>
            <w:left w:val="none" w:sz="0" w:space="0" w:color="auto"/>
            <w:bottom w:val="none" w:sz="0" w:space="0" w:color="auto"/>
            <w:right w:val="none" w:sz="0" w:space="0" w:color="auto"/>
          </w:divBdr>
          <w:divsChild>
            <w:div w:id="1090345674">
              <w:marLeft w:val="0"/>
              <w:marRight w:val="0"/>
              <w:marTop w:val="0"/>
              <w:marBottom w:val="0"/>
              <w:divBdr>
                <w:top w:val="none" w:sz="0" w:space="0" w:color="auto"/>
                <w:left w:val="none" w:sz="0" w:space="0" w:color="auto"/>
                <w:bottom w:val="none" w:sz="0" w:space="0" w:color="auto"/>
                <w:right w:val="none" w:sz="0" w:space="0" w:color="auto"/>
              </w:divBdr>
            </w:div>
            <w:div w:id="1928733366">
              <w:marLeft w:val="0"/>
              <w:marRight w:val="0"/>
              <w:marTop w:val="0"/>
              <w:marBottom w:val="0"/>
              <w:divBdr>
                <w:top w:val="none" w:sz="0" w:space="0" w:color="auto"/>
                <w:left w:val="none" w:sz="0" w:space="0" w:color="auto"/>
                <w:bottom w:val="none" w:sz="0" w:space="0" w:color="auto"/>
                <w:right w:val="none" w:sz="0" w:space="0" w:color="auto"/>
              </w:divBdr>
            </w:div>
          </w:divsChild>
        </w:div>
        <w:div w:id="578171435">
          <w:marLeft w:val="0"/>
          <w:marRight w:val="0"/>
          <w:marTop w:val="0"/>
          <w:marBottom w:val="0"/>
          <w:divBdr>
            <w:top w:val="none" w:sz="0" w:space="0" w:color="auto"/>
            <w:left w:val="none" w:sz="0" w:space="0" w:color="auto"/>
            <w:bottom w:val="none" w:sz="0" w:space="0" w:color="auto"/>
            <w:right w:val="none" w:sz="0" w:space="0" w:color="auto"/>
          </w:divBdr>
          <w:divsChild>
            <w:div w:id="1592012444">
              <w:marLeft w:val="0"/>
              <w:marRight w:val="0"/>
              <w:marTop w:val="0"/>
              <w:marBottom w:val="0"/>
              <w:divBdr>
                <w:top w:val="none" w:sz="0" w:space="0" w:color="auto"/>
                <w:left w:val="none" w:sz="0" w:space="0" w:color="auto"/>
                <w:bottom w:val="none" w:sz="0" w:space="0" w:color="auto"/>
                <w:right w:val="none" w:sz="0" w:space="0" w:color="auto"/>
              </w:divBdr>
            </w:div>
          </w:divsChild>
        </w:div>
        <w:div w:id="578752507">
          <w:marLeft w:val="0"/>
          <w:marRight w:val="0"/>
          <w:marTop w:val="0"/>
          <w:marBottom w:val="0"/>
          <w:divBdr>
            <w:top w:val="none" w:sz="0" w:space="0" w:color="auto"/>
            <w:left w:val="none" w:sz="0" w:space="0" w:color="auto"/>
            <w:bottom w:val="none" w:sz="0" w:space="0" w:color="auto"/>
            <w:right w:val="none" w:sz="0" w:space="0" w:color="auto"/>
          </w:divBdr>
          <w:divsChild>
            <w:div w:id="761880527">
              <w:marLeft w:val="0"/>
              <w:marRight w:val="0"/>
              <w:marTop w:val="0"/>
              <w:marBottom w:val="0"/>
              <w:divBdr>
                <w:top w:val="none" w:sz="0" w:space="0" w:color="auto"/>
                <w:left w:val="none" w:sz="0" w:space="0" w:color="auto"/>
                <w:bottom w:val="none" w:sz="0" w:space="0" w:color="auto"/>
                <w:right w:val="none" w:sz="0" w:space="0" w:color="auto"/>
              </w:divBdr>
            </w:div>
          </w:divsChild>
        </w:div>
        <w:div w:id="580912257">
          <w:marLeft w:val="0"/>
          <w:marRight w:val="0"/>
          <w:marTop w:val="0"/>
          <w:marBottom w:val="0"/>
          <w:divBdr>
            <w:top w:val="none" w:sz="0" w:space="0" w:color="auto"/>
            <w:left w:val="none" w:sz="0" w:space="0" w:color="auto"/>
            <w:bottom w:val="none" w:sz="0" w:space="0" w:color="auto"/>
            <w:right w:val="none" w:sz="0" w:space="0" w:color="auto"/>
          </w:divBdr>
          <w:divsChild>
            <w:div w:id="347679501">
              <w:marLeft w:val="0"/>
              <w:marRight w:val="0"/>
              <w:marTop w:val="0"/>
              <w:marBottom w:val="0"/>
              <w:divBdr>
                <w:top w:val="none" w:sz="0" w:space="0" w:color="auto"/>
                <w:left w:val="none" w:sz="0" w:space="0" w:color="auto"/>
                <w:bottom w:val="none" w:sz="0" w:space="0" w:color="auto"/>
                <w:right w:val="none" w:sz="0" w:space="0" w:color="auto"/>
              </w:divBdr>
            </w:div>
          </w:divsChild>
        </w:div>
        <w:div w:id="581989372">
          <w:marLeft w:val="0"/>
          <w:marRight w:val="0"/>
          <w:marTop w:val="0"/>
          <w:marBottom w:val="0"/>
          <w:divBdr>
            <w:top w:val="none" w:sz="0" w:space="0" w:color="auto"/>
            <w:left w:val="none" w:sz="0" w:space="0" w:color="auto"/>
            <w:bottom w:val="none" w:sz="0" w:space="0" w:color="auto"/>
            <w:right w:val="none" w:sz="0" w:space="0" w:color="auto"/>
          </w:divBdr>
          <w:divsChild>
            <w:div w:id="483618965">
              <w:marLeft w:val="0"/>
              <w:marRight w:val="0"/>
              <w:marTop w:val="0"/>
              <w:marBottom w:val="0"/>
              <w:divBdr>
                <w:top w:val="none" w:sz="0" w:space="0" w:color="auto"/>
                <w:left w:val="none" w:sz="0" w:space="0" w:color="auto"/>
                <w:bottom w:val="none" w:sz="0" w:space="0" w:color="auto"/>
                <w:right w:val="none" w:sz="0" w:space="0" w:color="auto"/>
              </w:divBdr>
            </w:div>
          </w:divsChild>
        </w:div>
        <w:div w:id="584530268">
          <w:marLeft w:val="0"/>
          <w:marRight w:val="0"/>
          <w:marTop w:val="0"/>
          <w:marBottom w:val="0"/>
          <w:divBdr>
            <w:top w:val="none" w:sz="0" w:space="0" w:color="auto"/>
            <w:left w:val="none" w:sz="0" w:space="0" w:color="auto"/>
            <w:bottom w:val="none" w:sz="0" w:space="0" w:color="auto"/>
            <w:right w:val="none" w:sz="0" w:space="0" w:color="auto"/>
          </w:divBdr>
          <w:divsChild>
            <w:div w:id="1499996894">
              <w:marLeft w:val="0"/>
              <w:marRight w:val="0"/>
              <w:marTop w:val="0"/>
              <w:marBottom w:val="0"/>
              <w:divBdr>
                <w:top w:val="none" w:sz="0" w:space="0" w:color="auto"/>
                <w:left w:val="none" w:sz="0" w:space="0" w:color="auto"/>
                <w:bottom w:val="none" w:sz="0" w:space="0" w:color="auto"/>
                <w:right w:val="none" w:sz="0" w:space="0" w:color="auto"/>
              </w:divBdr>
            </w:div>
          </w:divsChild>
        </w:div>
        <w:div w:id="600652248">
          <w:marLeft w:val="0"/>
          <w:marRight w:val="0"/>
          <w:marTop w:val="0"/>
          <w:marBottom w:val="0"/>
          <w:divBdr>
            <w:top w:val="none" w:sz="0" w:space="0" w:color="auto"/>
            <w:left w:val="none" w:sz="0" w:space="0" w:color="auto"/>
            <w:bottom w:val="none" w:sz="0" w:space="0" w:color="auto"/>
            <w:right w:val="none" w:sz="0" w:space="0" w:color="auto"/>
          </w:divBdr>
          <w:divsChild>
            <w:div w:id="726994242">
              <w:marLeft w:val="0"/>
              <w:marRight w:val="0"/>
              <w:marTop w:val="0"/>
              <w:marBottom w:val="0"/>
              <w:divBdr>
                <w:top w:val="none" w:sz="0" w:space="0" w:color="auto"/>
                <w:left w:val="none" w:sz="0" w:space="0" w:color="auto"/>
                <w:bottom w:val="none" w:sz="0" w:space="0" w:color="auto"/>
                <w:right w:val="none" w:sz="0" w:space="0" w:color="auto"/>
              </w:divBdr>
            </w:div>
          </w:divsChild>
        </w:div>
        <w:div w:id="602417936">
          <w:marLeft w:val="0"/>
          <w:marRight w:val="0"/>
          <w:marTop w:val="0"/>
          <w:marBottom w:val="0"/>
          <w:divBdr>
            <w:top w:val="none" w:sz="0" w:space="0" w:color="auto"/>
            <w:left w:val="none" w:sz="0" w:space="0" w:color="auto"/>
            <w:bottom w:val="none" w:sz="0" w:space="0" w:color="auto"/>
            <w:right w:val="none" w:sz="0" w:space="0" w:color="auto"/>
          </w:divBdr>
          <w:divsChild>
            <w:div w:id="1532185343">
              <w:marLeft w:val="0"/>
              <w:marRight w:val="0"/>
              <w:marTop w:val="0"/>
              <w:marBottom w:val="0"/>
              <w:divBdr>
                <w:top w:val="none" w:sz="0" w:space="0" w:color="auto"/>
                <w:left w:val="none" w:sz="0" w:space="0" w:color="auto"/>
                <w:bottom w:val="none" w:sz="0" w:space="0" w:color="auto"/>
                <w:right w:val="none" w:sz="0" w:space="0" w:color="auto"/>
              </w:divBdr>
            </w:div>
          </w:divsChild>
        </w:div>
        <w:div w:id="607740920">
          <w:marLeft w:val="0"/>
          <w:marRight w:val="0"/>
          <w:marTop w:val="0"/>
          <w:marBottom w:val="0"/>
          <w:divBdr>
            <w:top w:val="none" w:sz="0" w:space="0" w:color="auto"/>
            <w:left w:val="none" w:sz="0" w:space="0" w:color="auto"/>
            <w:bottom w:val="none" w:sz="0" w:space="0" w:color="auto"/>
            <w:right w:val="none" w:sz="0" w:space="0" w:color="auto"/>
          </w:divBdr>
          <w:divsChild>
            <w:div w:id="740836941">
              <w:marLeft w:val="0"/>
              <w:marRight w:val="0"/>
              <w:marTop w:val="0"/>
              <w:marBottom w:val="0"/>
              <w:divBdr>
                <w:top w:val="none" w:sz="0" w:space="0" w:color="auto"/>
                <w:left w:val="none" w:sz="0" w:space="0" w:color="auto"/>
                <w:bottom w:val="none" w:sz="0" w:space="0" w:color="auto"/>
                <w:right w:val="none" w:sz="0" w:space="0" w:color="auto"/>
              </w:divBdr>
            </w:div>
          </w:divsChild>
        </w:div>
        <w:div w:id="622926387">
          <w:marLeft w:val="0"/>
          <w:marRight w:val="0"/>
          <w:marTop w:val="0"/>
          <w:marBottom w:val="0"/>
          <w:divBdr>
            <w:top w:val="none" w:sz="0" w:space="0" w:color="auto"/>
            <w:left w:val="none" w:sz="0" w:space="0" w:color="auto"/>
            <w:bottom w:val="none" w:sz="0" w:space="0" w:color="auto"/>
            <w:right w:val="none" w:sz="0" w:space="0" w:color="auto"/>
          </w:divBdr>
          <w:divsChild>
            <w:div w:id="1275674833">
              <w:marLeft w:val="0"/>
              <w:marRight w:val="0"/>
              <w:marTop w:val="0"/>
              <w:marBottom w:val="0"/>
              <w:divBdr>
                <w:top w:val="none" w:sz="0" w:space="0" w:color="auto"/>
                <w:left w:val="none" w:sz="0" w:space="0" w:color="auto"/>
                <w:bottom w:val="none" w:sz="0" w:space="0" w:color="auto"/>
                <w:right w:val="none" w:sz="0" w:space="0" w:color="auto"/>
              </w:divBdr>
            </w:div>
          </w:divsChild>
        </w:div>
        <w:div w:id="625744613">
          <w:marLeft w:val="0"/>
          <w:marRight w:val="0"/>
          <w:marTop w:val="0"/>
          <w:marBottom w:val="0"/>
          <w:divBdr>
            <w:top w:val="none" w:sz="0" w:space="0" w:color="auto"/>
            <w:left w:val="none" w:sz="0" w:space="0" w:color="auto"/>
            <w:bottom w:val="none" w:sz="0" w:space="0" w:color="auto"/>
            <w:right w:val="none" w:sz="0" w:space="0" w:color="auto"/>
          </w:divBdr>
          <w:divsChild>
            <w:div w:id="1634561783">
              <w:marLeft w:val="0"/>
              <w:marRight w:val="0"/>
              <w:marTop w:val="0"/>
              <w:marBottom w:val="0"/>
              <w:divBdr>
                <w:top w:val="none" w:sz="0" w:space="0" w:color="auto"/>
                <w:left w:val="none" w:sz="0" w:space="0" w:color="auto"/>
                <w:bottom w:val="none" w:sz="0" w:space="0" w:color="auto"/>
                <w:right w:val="none" w:sz="0" w:space="0" w:color="auto"/>
              </w:divBdr>
            </w:div>
          </w:divsChild>
        </w:div>
        <w:div w:id="631792628">
          <w:marLeft w:val="0"/>
          <w:marRight w:val="0"/>
          <w:marTop w:val="0"/>
          <w:marBottom w:val="0"/>
          <w:divBdr>
            <w:top w:val="none" w:sz="0" w:space="0" w:color="auto"/>
            <w:left w:val="none" w:sz="0" w:space="0" w:color="auto"/>
            <w:bottom w:val="none" w:sz="0" w:space="0" w:color="auto"/>
            <w:right w:val="none" w:sz="0" w:space="0" w:color="auto"/>
          </w:divBdr>
          <w:divsChild>
            <w:div w:id="42679988">
              <w:marLeft w:val="0"/>
              <w:marRight w:val="0"/>
              <w:marTop w:val="0"/>
              <w:marBottom w:val="0"/>
              <w:divBdr>
                <w:top w:val="none" w:sz="0" w:space="0" w:color="auto"/>
                <w:left w:val="none" w:sz="0" w:space="0" w:color="auto"/>
                <w:bottom w:val="none" w:sz="0" w:space="0" w:color="auto"/>
                <w:right w:val="none" w:sz="0" w:space="0" w:color="auto"/>
              </w:divBdr>
            </w:div>
          </w:divsChild>
        </w:div>
        <w:div w:id="638606122">
          <w:marLeft w:val="0"/>
          <w:marRight w:val="0"/>
          <w:marTop w:val="0"/>
          <w:marBottom w:val="0"/>
          <w:divBdr>
            <w:top w:val="none" w:sz="0" w:space="0" w:color="auto"/>
            <w:left w:val="none" w:sz="0" w:space="0" w:color="auto"/>
            <w:bottom w:val="none" w:sz="0" w:space="0" w:color="auto"/>
            <w:right w:val="none" w:sz="0" w:space="0" w:color="auto"/>
          </w:divBdr>
          <w:divsChild>
            <w:div w:id="2119980853">
              <w:marLeft w:val="0"/>
              <w:marRight w:val="0"/>
              <w:marTop w:val="0"/>
              <w:marBottom w:val="0"/>
              <w:divBdr>
                <w:top w:val="none" w:sz="0" w:space="0" w:color="auto"/>
                <w:left w:val="none" w:sz="0" w:space="0" w:color="auto"/>
                <w:bottom w:val="none" w:sz="0" w:space="0" w:color="auto"/>
                <w:right w:val="none" w:sz="0" w:space="0" w:color="auto"/>
              </w:divBdr>
            </w:div>
          </w:divsChild>
        </w:div>
        <w:div w:id="647324654">
          <w:marLeft w:val="0"/>
          <w:marRight w:val="0"/>
          <w:marTop w:val="0"/>
          <w:marBottom w:val="0"/>
          <w:divBdr>
            <w:top w:val="none" w:sz="0" w:space="0" w:color="auto"/>
            <w:left w:val="none" w:sz="0" w:space="0" w:color="auto"/>
            <w:bottom w:val="none" w:sz="0" w:space="0" w:color="auto"/>
            <w:right w:val="none" w:sz="0" w:space="0" w:color="auto"/>
          </w:divBdr>
          <w:divsChild>
            <w:div w:id="828594707">
              <w:marLeft w:val="0"/>
              <w:marRight w:val="0"/>
              <w:marTop w:val="0"/>
              <w:marBottom w:val="0"/>
              <w:divBdr>
                <w:top w:val="none" w:sz="0" w:space="0" w:color="auto"/>
                <w:left w:val="none" w:sz="0" w:space="0" w:color="auto"/>
                <w:bottom w:val="none" w:sz="0" w:space="0" w:color="auto"/>
                <w:right w:val="none" w:sz="0" w:space="0" w:color="auto"/>
              </w:divBdr>
            </w:div>
          </w:divsChild>
        </w:div>
        <w:div w:id="650211982">
          <w:marLeft w:val="0"/>
          <w:marRight w:val="0"/>
          <w:marTop w:val="0"/>
          <w:marBottom w:val="0"/>
          <w:divBdr>
            <w:top w:val="none" w:sz="0" w:space="0" w:color="auto"/>
            <w:left w:val="none" w:sz="0" w:space="0" w:color="auto"/>
            <w:bottom w:val="none" w:sz="0" w:space="0" w:color="auto"/>
            <w:right w:val="none" w:sz="0" w:space="0" w:color="auto"/>
          </w:divBdr>
          <w:divsChild>
            <w:div w:id="500120938">
              <w:marLeft w:val="0"/>
              <w:marRight w:val="0"/>
              <w:marTop w:val="0"/>
              <w:marBottom w:val="0"/>
              <w:divBdr>
                <w:top w:val="none" w:sz="0" w:space="0" w:color="auto"/>
                <w:left w:val="none" w:sz="0" w:space="0" w:color="auto"/>
                <w:bottom w:val="none" w:sz="0" w:space="0" w:color="auto"/>
                <w:right w:val="none" w:sz="0" w:space="0" w:color="auto"/>
              </w:divBdr>
            </w:div>
          </w:divsChild>
        </w:div>
        <w:div w:id="652107272">
          <w:marLeft w:val="0"/>
          <w:marRight w:val="0"/>
          <w:marTop w:val="0"/>
          <w:marBottom w:val="0"/>
          <w:divBdr>
            <w:top w:val="none" w:sz="0" w:space="0" w:color="auto"/>
            <w:left w:val="none" w:sz="0" w:space="0" w:color="auto"/>
            <w:bottom w:val="none" w:sz="0" w:space="0" w:color="auto"/>
            <w:right w:val="none" w:sz="0" w:space="0" w:color="auto"/>
          </w:divBdr>
          <w:divsChild>
            <w:div w:id="698703853">
              <w:marLeft w:val="0"/>
              <w:marRight w:val="0"/>
              <w:marTop w:val="0"/>
              <w:marBottom w:val="0"/>
              <w:divBdr>
                <w:top w:val="none" w:sz="0" w:space="0" w:color="auto"/>
                <w:left w:val="none" w:sz="0" w:space="0" w:color="auto"/>
                <w:bottom w:val="none" w:sz="0" w:space="0" w:color="auto"/>
                <w:right w:val="none" w:sz="0" w:space="0" w:color="auto"/>
              </w:divBdr>
            </w:div>
          </w:divsChild>
        </w:div>
        <w:div w:id="664747415">
          <w:marLeft w:val="0"/>
          <w:marRight w:val="0"/>
          <w:marTop w:val="0"/>
          <w:marBottom w:val="0"/>
          <w:divBdr>
            <w:top w:val="none" w:sz="0" w:space="0" w:color="auto"/>
            <w:left w:val="none" w:sz="0" w:space="0" w:color="auto"/>
            <w:bottom w:val="none" w:sz="0" w:space="0" w:color="auto"/>
            <w:right w:val="none" w:sz="0" w:space="0" w:color="auto"/>
          </w:divBdr>
          <w:divsChild>
            <w:div w:id="1602835249">
              <w:marLeft w:val="0"/>
              <w:marRight w:val="0"/>
              <w:marTop w:val="0"/>
              <w:marBottom w:val="0"/>
              <w:divBdr>
                <w:top w:val="none" w:sz="0" w:space="0" w:color="auto"/>
                <w:left w:val="none" w:sz="0" w:space="0" w:color="auto"/>
                <w:bottom w:val="none" w:sz="0" w:space="0" w:color="auto"/>
                <w:right w:val="none" w:sz="0" w:space="0" w:color="auto"/>
              </w:divBdr>
            </w:div>
          </w:divsChild>
        </w:div>
        <w:div w:id="672684133">
          <w:marLeft w:val="0"/>
          <w:marRight w:val="0"/>
          <w:marTop w:val="0"/>
          <w:marBottom w:val="0"/>
          <w:divBdr>
            <w:top w:val="none" w:sz="0" w:space="0" w:color="auto"/>
            <w:left w:val="none" w:sz="0" w:space="0" w:color="auto"/>
            <w:bottom w:val="none" w:sz="0" w:space="0" w:color="auto"/>
            <w:right w:val="none" w:sz="0" w:space="0" w:color="auto"/>
          </w:divBdr>
          <w:divsChild>
            <w:div w:id="996346675">
              <w:marLeft w:val="0"/>
              <w:marRight w:val="0"/>
              <w:marTop w:val="0"/>
              <w:marBottom w:val="0"/>
              <w:divBdr>
                <w:top w:val="none" w:sz="0" w:space="0" w:color="auto"/>
                <w:left w:val="none" w:sz="0" w:space="0" w:color="auto"/>
                <w:bottom w:val="none" w:sz="0" w:space="0" w:color="auto"/>
                <w:right w:val="none" w:sz="0" w:space="0" w:color="auto"/>
              </w:divBdr>
            </w:div>
          </w:divsChild>
        </w:div>
        <w:div w:id="681975525">
          <w:marLeft w:val="0"/>
          <w:marRight w:val="0"/>
          <w:marTop w:val="0"/>
          <w:marBottom w:val="0"/>
          <w:divBdr>
            <w:top w:val="none" w:sz="0" w:space="0" w:color="auto"/>
            <w:left w:val="none" w:sz="0" w:space="0" w:color="auto"/>
            <w:bottom w:val="none" w:sz="0" w:space="0" w:color="auto"/>
            <w:right w:val="none" w:sz="0" w:space="0" w:color="auto"/>
          </w:divBdr>
          <w:divsChild>
            <w:div w:id="2013991178">
              <w:marLeft w:val="0"/>
              <w:marRight w:val="0"/>
              <w:marTop w:val="0"/>
              <w:marBottom w:val="0"/>
              <w:divBdr>
                <w:top w:val="none" w:sz="0" w:space="0" w:color="auto"/>
                <w:left w:val="none" w:sz="0" w:space="0" w:color="auto"/>
                <w:bottom w:val="none" w:sz="0" w:space="0" w:color="auto"/>
                <w:right w:val="none" w:sz="0" w:space="0" w:color="auto"/>
              </w:divBdr>
            </w:div>
          </w:divsChild>
        </w:div>
        <w:div w:id="682047589">
          <w:marLeft w:val="0"/>
          <w:marRight w:val="0"/>
          <w:marTop w:val="0"/>
          <w:marBottom w:val="0"/>
          <w:divBdr>
            <w:top w:val="none" w:sz="0" w:space="0" w:color="auto"/>
            <w:left w:val="none" w:sz="0" w:space="0" w:color="auto"/>
            <w:bottom w:val="none" w:sz="0" w:space="0" w:color="auto"/>
            <w:right w:val="none" w:sz="0" w:space="0" w:color="auto"/>
          </w:divBdr>
          <w:divsChild>
            <w:div w:id="885219105">
              <w:marLeft w:val="0"/>
              <w:marRight w:val="0"/>
              <w:marTop w:val="0"/>
              <w:marBottom w:val="0"/>
              <w:divBdr>
                <w:top w:val="none" w:sz="0" w:space="0" w:color="auto"/>
                <w:left w:val="none" w:sz="0" w:space="0" w:color="auto"/>
                <w:bottom w:val="none" w:sz="0" w:space="0" w:color="auto"/>
                <w:right w:val="none" w:sz="0" w:space="0" w:color="auto"/>
              </w:divBdr>
            </w:div>
            <w:div w:id="1268153984">
              <w:marLeft w:val="0"/>
              <w:marRight w:val="0"/>
              <w:marTop w:val="0"/>
              <w:marBottom w:val="0"/>
              <w:divBdr>
                <w:top w:val="none" w:sz="0" w:space="0" w:color="auto"/>
                <w:left w:val="none" w:sz="0" w:space="0" w:color="auto"/>
                <w:bottom w:val="none" w:sz="0" w:space="0" w:color="auto"/>
                <w:right w:val="none" w:sz="0" w:space="0" w:color="auto"/>
              </w:divBdr>
            </w:div>
          </w:divsChild>
        </w:div>
        <w:div w:id="693308002">
          <w:marLeft w:val="0"/>
          <w:marRight w:val="0"/>
          <w:marTop w:val="0"/>
          <w:marBottom w:val="0"/>
          <w:divBdr>
            <w:top w:val="none" w:sz="0" w:space="0" w:color="auto"/>
            <w:left w:val="none" w:sz="0" w:space="0" w:color="auto"/>
            <w:bottom w:val="none" w:sz="0" w:space="0" w:color="auto"/>
            <w:right w:val="none" w:sz="0" w:space="0" w:color="auto"/>
          </w:divBdr>
          <w:divsChild>
            <w:div w:id="507135636">
              <w:marLeft w:val="0"/>
              <w:marRight w:val="0"/>
              <w:marTop w:val="0"/>
              <w:marBottom w:val="0"/>
              <w:divBdr>
                <w:top w:val="none" w:sz="0" w:space="0" w:color="auto"/>
                <w:left w:val="none" w:sz="0" w:space="0" w:color="auto"/>
                <w:bottom w:val="none" w:sz="0" w:space="0" w:color="auto"/>
                <w:right w:val="none" w:sz="0" w:space="0" w:color="auto"/>
              </w:divBdr>
            </w:div>
          </w:divsChild>
        </w:div>
        <w:div w:id="696126888">
          <w:marLeft w:val="0"/>
          <w:marRight w:val="0"/>
          <w:marTop w:val="0"/>
          <w:marBottom w:val="0"/>
          <w:divBdr>
            <w:top w:val="none" w:sz="0" w:space="0" w:color="auto"/>
            <w:left w:val="none" w:sz="0" w:space="0" w:color="auto"/>
            <w:bottom w:val="none" w:sz="0" w:space="0" w:color="auto"/>
            <w:right w:val="none" w:sz="0" w:space="0" w:color="auto"/>
          </w:divBdr>
          <w:divsChild>
            <w:div w:id="20593522">
              <w:marLeft w:val="0"/>
              <w:marRight w:val="0"/>
              <w:marTop w:val="0"/>
              <w:marBottom w:val="0"/>
              <w:divBdr>
                <w:top w:val="none" w:sz="0" w:space="0" w:color="auto"/>
                <w:left w:val="none" w:sz="0" w:space="0" w:color="auto"/>
                <w:bottom w:val="none" w:sz="0" w:space="0" w:color="auto"/>
                <w:right w:val="none" w:sz="0" w:space="0" w:color="auto"/>
              </w:divBdr>
            </w:div>
          </w:divsChild>
        </w:div>
        <w:div w:id="701905450">
          <w:marLeft w:val="0"/>
          <w:marRight w:val="0"/>
          <w:marTop w:val="0"/>
          <w:marBottom w:val="0"/>
          <w:divBdr>
            <w:top w:val="none" w:sz="0" w:space="0" w:color="auto"/>
            <w:left w:val="none" w:sz="0" w:space="0" w:color="auto"/>
            <w:bottom w:val="none" w:sz="0" w:space="0" w:color="auto"/>
            <w:right w:val="none" w:sz="0" w:space="0" w:color="auto"/>
          </w:divBdr>
          <w:divsChild>
            <w:div w:id="981080003">
              <w:marLeft w:val="0"/>
              <w:marRight w:val="0"/>
              <w:marTop w:val="0"/>
              <w:marBottom w:val="0"/>
              <w:divBdr>
                <w:top w:val="none" w:sz="0" w:space="0" w:color="auto"/>
                <w:left w:val="none" w:sz="0" w:space="0" w:color="auto"/>
                <w:bottom w:val="none" w:sz="0" w:space="0" w:color="auto"/>
                <w:right w:val="none" w:sz="0" w:space="0" w:color="auto"/>
              </w:divBdr>
            </w:div>
          </w:divsChild>
        </w:div>
        <w:div w:id="716318610">
          <w:marLeft w:val="0"/>
          <w:marRight w:val="0"/>
          <w:marTop w:val="0"/>
          <w:marBottom w:val="0"/>
          <w:divBdr>
            <w:top w:val="none" w:sz="0" w:space="0" w:color="auto"/>
            <w:left w:val="none" w:sz="0" w:space="0" w:color="auto"/>
            <w:bottom w:val="none" w:sz="0" w:space="0" w:color="auto"/>
            <w:right w:val="none" w:sz="0" w:space="0" w:color="auto"/>
          </w:divBdr>
          <w:divsChild>
            <w:div w:id="1459256500">
              <w:marLeft w:val="0"/>
              <w:marRight w:val="0"/>
              <w:marTop w:val="0"/>
              <w:marBottom w:val="0"/>
              <w:divBdr>
                <w:top w:val="none" w:sz="0" w:space="0" w:color="auto"/>
                <w:left w:val="none" w:sz="0" w:space="0" w:color="auto"/>
                <w:bottom w:val="none" w:sz="0" w:space="0" w:color="auto"/>
                <w:right w:val="none" w:sz="0" w:space="0" w:color="auto"/>
              </w:divBdr>
            </w:div>
          </w:divsChild>
        </w:div>
        <w:div w:id="734543842">
          <w:marLeft w:val="0"/>
          <w:marRight w:val="0"/>
          <w:marTop w:val="0"/>
          <w:marBottom w:val="0"/>
          <w:divBdr>
            <w:top w:val="none" w:sz="0" w:space="0" w:color="auto"/>
            <w:left w:val="none" w:sz="0" w:space="0" w:color="auto"/>
            <w:bottom w:val="none" w:sz="0" w:space="0" w:color="auto"/>
            <w:right w:val="none" w:sz="0" w:space="0" w:color="auto"/>
          </w:divBdr>
          <w:divsChild>
            <w:div w:id="568613035">
              <w:marLeft w:val="0"/>
              <w:marRight w:val="0"/>
              <w:marTop w:val="0"/>
              <w:marBottom w:val="0"/>
              <w:divBdr>
                <w:top w:val="none" w:sz="0" w:space="0" w:color="auto"/>
                <w:left w:val="none" w:sz="0" w:space="0" w:color="auto"/>
                <w:bottom w:val="none" w:sz="0" w:space="0" w:color="auto"/>
                <w:right w:val="none" w:sz="0" w:space="0" w:color="auto"/>
              </w:divBdr>
            </w:div>
          </w:divsChild>
        </w:div>
        <w:div w:id="738943833">
          <w:marLeft w:val="0"/>
          <w:marRight w:val="0"/>
          <w:marTop w:val="0"/>
          <w:marBottom w:val="0"/>
          <w:divBdr>
            <w:top w:val="none" w:sz="0" w:space="0" w:color="auto"/>
            <w:left w:val="none" w:sz="0" w:space="0" w:color="auto"/>
            <w:bottom w:val="none" w:sz="0" w:space="0" w:color="auto"/>
            <w:right w:val="none" w:sz="0" w:space="0" w:color="auto"/>
          </w:divBdr>
          <w:divsChild>
            <w:div w:id="1244948562">
              <w:marLeft w:val="0"/>
              <w:marRight w:val="0"/>
              <w:marTop w:val="0"/>
              <w:marBottom w:val="0"/>
              <w:divBdr>
                <w:top w:val="none" w:sz="0" w:space="0" w:color="auto"/>
                <w:left w:val="none" w:sz="0" w:space="0" w:color="auto"/>
                <w:bottom w:val="none" w:sz="0" w:space="0" w:color="auto"/>
                <w:right w:val="none" w:sz="0" w:space="0" w:color="auto"/>
              </w:divBdr>
            </w:div>
          </w:divsChild>
        </w:div>
        <w:div w:id="756364020">
          <w:marLeft w:val="0"/>
          <w:marRight w:val="0"/>
          <w:marTop w:val="0"/>
          <w:marBottom w:val="0"/>
          <w:divBdr>
            <w:top w:val="none" w:sz="0" w:space="0" w:color="auto"/>
            <w:left w:val="none" w:sz="0" w:space="0" w:color="auto"/>
            <w:bottom w:val="none" w:sz="0" w:space="0" w:color="auto"/>
            <w:right w:val="none" w:sz="0" w:space="0" w:color="auto"/>
          </w:divBdr>
          <w:divsChild>
            <w:div w:id="1986009071">
              <w:marLeft w:val="0"/>
              <w:marRight w:val="0"/>
              <w:marTop w:val="0"/>
              <w:marBottom w:val="0"/>
              <w:divBdr>
                <w:top w:val="none" w:sz="0" w:space="0" w:color="auto"/>
                <w:left w:val="none" w:sz="0" w:space="0" w:color="auto"/>
                <w:bottom w:val="none" w:sz="0" w:space="0" w:color="auto"/>
                <w:right w:val="none" w:sz="0" w:space="0" w:color="auto"/>
              </w:divBdr>
            </w:div>
          </w:divsChild>
        </w:div>
        <w:div w:id="771625778">
          <w:marLeft w:val="0"/>
          <w:marRight w:val="0"/>
          <w:marTop w:val="0"/>
          <w:marBottom w:val="0"/>
          <w:divBdr>
            <w:top w:val="none" w:sz="0" w:space="0" w:color="auto"/>
            <w:left w:val="none" w:sz="0" w:space="0" w:color="auto"/>
            <w:bottom w:val="none" w:sz="0" w:space="0" w:color="auto"/>
            <w:right w:val="none" w:sz="0" w:space="0" w:color="auto"/>
          </w:divBdr>
          <w:divsChild>
            <w:div w:id="21830602">
              <w:marLeft w:val="0"/>
              <w:marRight w:val="0"/>
              <w:marTop w:val="0"/>
              <w:marBottom w:val="0"/>
              <w:divBdr>
                <w:top w:val="none" w:sz="0" w:space="0" w:color="auto"/>
                <w:left w:val="none" w:sz="0" w:space="0" w:color="auto"/>
                <w:bottom w:val="none" w:sz="0" w:space="0" w:color="auto"/>
                <w:right w:val="none" w:sz="0" w:space="0" w:color="auto"/>
              </w:divBdr>
            </w:div>
          </w:divsChild>
        </w:div>
        <w:div w:id="789204427">
          <w:marLeft w:val="0"/>
          <w:marRight w:val="0"/>
          <w:marTop w:val="0"/>
          <w:marBottom w:val="0"/>
          <w:divBdr>
            <w:top w:val="none" w:sz="0" w:space="0" w:color="auto"/>
            <w:left w:val="none" w:sz="0" w:space="0" w:color="auto"/>
            <w:bottom w:val="none" w:sz="0" w:space="0" w:color="auto"/>
            <w:right w:val="none" w:sz="0" w:space="0" w:color="auto"/>
          </w:divBdr>
          <w:divsChild>
            <w:div w:id="1063337796">
              <w:marLeft w:val="0"/>
              <w:marRight w:val="0"/>
              <w:marTop w:val="0"/>
              <w:marBottom w:val="0"/>
              <w:divBdr>
                <w:top w:val="none" w:sz="0" w:space="0" w:color="auto"/>
                <w:left w:val="none" w:sz="0" w:space="0" w:color="auto"/>
                <w:bottom w:val="none" w:sz="0" w:space="0" w:color="auto"/>
                <w:right w:val="none" w:sz="0" w:space="0" w:color="auto"/>
              </w:divBdr>
            </w:div>
          </w:divsChild>
        </w:div>
        <w:div w:id="796795070">
          <w:marLeft w:val="0"/>
          <w:marRight w:val="0"/>
          <w:marTop w:val="0"/>
          <w:marBottom w:val="0"/>
          <w:divBdr>
            <w:top w:val="none" w:sz="0" w:space="0" w:color="auto"/>
            <w:left w:val="none" w:sz="0" w:space="0" w:color="auto"/>
            <w:bottom w:val="none" w:sz="0" w:space="0" w:color="auto"/>
            <w:right w:val="none" w:sz="0" w:space="0" w:color="auto"/>
          </w:divBdr>
          <w:divsChild>
            <w:div w:id="1895920155">
              <w:marLeft w:val="0"/>
              <w:marRight w:val="0"/>
              <w:marTop w:val="0"/>
              <w:marBottom w:val="0"/>
              <w:divBdr>
                <w:top w:val="none" w:sz="0" w:space="0" w:color="auto"/>
                <w:left w:val="none" w:sz="0" w:space="0" w:color="auto"/>
                <w:bottom w:val="none" w:sz="0" w:space="0" w:color="auto"/>
                <w:right w:val="none" w:sz="0" w:space="0" w:color="auto"/>
              </w:divBdr>
            </w:div>
          </w:divsChild>
        </w:div>
        <w:div w:id="804008891">
          <w:marLeft w:val="0"/>
          <w:marRight w:val="0"/>
          <w:marTop w:val="0"/>
          <w:marBottom w:val="0"/>
          <w:divBdr>
            <w:top w:val="none" w:sz="0" w:space="0" w:color="auto"/>
            <w:left w:val="none" w:sz="0" w:space="0" w:color="auto"/>
            <w:bottom w:val="none" w:sz="0" w:space="0" w:color="auto"/>
            <w:right w:val="none" w:sz="0" w:space="0" w:color="auto"/>
          </w:divBdr>
          <w:divsChild>
            <w:div w:id="1414930055">
              <w:marLeft w:val="0"/>
              <w:marRight w:val="0"/>
              <w:marTop w:val="0"/>
              <w:marBottom w:val="0"/>
              <w:divBdr>
                <w:top w:val="none" w:sz="0" w:space="0" w:color="auto"/>
                <w:left w:val="none" w:sz="0" w:space="0" w:color="auto"/>
                <w:bottom w:val="none" w:sz="0" w:space="0" w:color="auto"/>
                <w:right w:val="none" w:sz="0" w:space="0" w:color="auto"/>
              </w:divBdr>
            </w:div>
          </w:divsChild>
        </w:div>
        <w:div w:id="805968994">
          <w:marLeft w:val="0"/>
          <w:marRight w:val="0"/>
          <w:marTop w:val="0"/>
          <w:marBottom w:val="0"/>
          <w:divBdr>
            <w:top w:val="none" w:sz="0" w:space="0" w:color="auto"/>
            <w:left w:val="none" w:sz="0" w:space="0" w:color="auto"/>
            <w:bottom w:val="none" w:sz="0" w:space="0" w:color="auto"/>
            <w:right w:val="none" w:sz="0" w:space="0" w:color="auto"/>
          </w:divBdr>
          <w:divsChild>
            <w:div w:id="391853368">
              <w:marLeft w:val="0"/>
              <w:marRight w:val="0"/>
              <w:marTop w:val="0"/>
              <w:marBottom w:val="0"/>
              <w:divBdr>
                <w:top w:val="none" w:sz="0" w:space="0" w:color="auto"/>
                <w:left w:val="none" w:sz="0" w:space="0" w:color="auto"/>
                <w:bottom w:val="none" w:sz="0" w:space="0" w:color="auto"/>
                <w:right w:val="none" w:sz="0" w:space="0" w:color="auto"/>
              </w:divBdr>
            </w:div>
          </w:divsChild>
        </w:div>
        <w:div w:id="814025321">
          <w:marLeft w:val="0"/>
          <w:marRight w:val="0"/>
          <w:marTop w:val="0"/>
          <w:marBottom w:val="0"/>
          <w:divBdr>
            <w:top w:val="none" w:sz="0" w:space="0" w:color="auto"/>
            <w:left w:val="none" w:sz="0" w:space="0" w:color="auto"/>
            <w:bottom w:val="none" w:sz="0" w:space="0" w:color="auto"/>
            <w:right w:val="none" w:sz="0" w:space="0" w:color="auto"/>
          </w:divBdr>
          <w:divsChild>
            <w:div w:id="1755935493">
              <w:marLeft w:val="0"/>
              <w:marRight w:val="0"/>
              <w:marTop w:val="0"/>
              <w:marBottom w:val="0"/>
              <w:divBdr>
                <w:top w:val="none" w:sz="0" w:space="0" w:color="auto"/>
                <w:left w:val="none" w:sz="0" w:space="0" w:color="auto"/>
                <w:bottom w:val="none" w:sz="0" w:space="0" w:color="auto"/>
                <w:right w:val="none" w:sz="0" w:space="0" w:color="auto"/>
              </w:divBdr>
            </w:div>
          </w:divsChild>
        </w:div>
        <w:div w:id="817496814">
          <w:marLeft w:val="0"/>
          <w:marRight w:val="0"/>
          <w:marTop w:val="0"/>
          <w:marBottom w:val="0"/>
          <w:divBdr>
            <w:top w:val="none" w:sz="0" w:space="0" w:color="auto"/>
            <w:left w:val="none" w:sz="0" w:space="0" w:color="auto"/>
            <w:bottom w:val="none" w:sz="0" w:space="0" w:color="auto"/>
            <w:right w:val="none" w:sz="0" w:space="0" w:color="auto"/>
          </w:divBdr>
          <w:divsChild>
            <w:div w:id="203031260">
              <w:marLeft w:val="0"/>
              <w:marRight w:val="0"/>
              <w:marTop w:val="0"/>
              <w:marBottom w:val="0"/>
              <w:divBdr>
                <w:top w:val="none" w:sz="0" w:space="0" w:color="auto"/>
                <w:left w:val="none" w:sz="0" w:space="0" w:color="auto"/>
                <w:bottom w:val="none" w:sz="0" w:space="0" w:color="auto"/>
                <w:right w:val="none" w:sz="0" w:space="0" w:color="auto"/>
              </w:divBdr>
            </w:div>
          </w:divsChild>
        </w:div>
        <w:div w:id="818032097">
          <w:marLeft w:val="0"/>
          <w:marRight w:val="0"/>
          <w:marTop w:val="0"/>
          <w:marBottom w:val="0"/>
          <w:divBdr>
            <w:top w:val="none" w:sz="0" w:space="0" w:color="auto"/>
            <w:left w:val="none" w:sz="0" w:space="0" w:color="auto"/>
            <w:bottom w:val="none" w:sz="0" w:space="0" w:color="auto"/>
            <w:right w:val="none" w:sz="0" w:space="0" w:color="auto"/>
          </w:divBdr>
          <w:divsChild>
            <w:div w:id="1580208000">
              <w:marLeft w:val="0"/>
              <w:marRight w:val="0"/>
              <w:marTop w:val="0"/>
              <w:marBottom w:val="0"/>
              <w:divBdr>
                <w:top w:val="none" w:sz="0" w:space="0" w:color="auto"/>
                <w:left w:val="none" w:sz="0" w:space="0" w:color="auto"/>
                <w:bottom w:val="none" w:sz="0" w:space="0" w:color="auto"/>
                <w:right w:val="none" w:sz="0" w:space="0" w:color="auto"/>
              </w:divBdr>
            </w:div>
          </w:divsChild>
        </w:div>
        <w:div w:id="827406701">
          <w:marLeft w:val="0"/>
          <w:marRight w:val="0"/>
          <w:marTop w:val="0"/>
          <w:marBottom w:val="0"/>
          <w:divBdr>
            <w:top w:val="none" w:sz="0" w:space="0" w:color="auto"/>
            <w:left w:val="none" w:sz="0" w:space="0" w:color="auto"/>
            <w:bottom w:val="none" w:sz="0" w:space="0" w:color="auto"/>
            <w:right w:val="none" w:sz="0" w:space="0" w:color="auto"/>
          </w:divBdr>
          <w:divsChild>
            <w:div w:id="150602136">
              <w:marLeft w:val="0"/>
              <w:marRight w:val="0"/>
              <w:marTop w:val="0"/>
              <w:marBottom w:val="0"/>
              <w:divBdr>
                <w:top w:val="none" w:sz="0" w:space="0" w:color="auto"/>
                <w:left w:val="none" w:sz="0" w:space="0" w:color="auto"/>
                <w:bottom w:val="none" w:sz="0" w:space="0" w:color="auto"/>
                <w:right w:val="none" w:sz="0" w:space="0" w:color="auto"/>
              </w:divBdr>
            </w:div>
          </w:divsChild>
        </w:div>
        <w:div w:id="827945474">
          <w:marLeft w:val="0"/>
          <w:marRight w:val="0"/>
          <w:marTop w:val="0"/>
          <w:marBottom w:val="0"/>
          <w:divBdr>
            <w:top w:val="none" w:sz="0" w:space="0" w:color="auto"/>
            <w:left w:val="none" w:sz="0" w:space="0" w:color="auto"/>
            <w:bottom w:val="none" w:sz="0" w:space="0" w:color="auto"/>
            <w:right w:val="none" w:sz="0" w:space="0" w:color="auto"/>
          </w:divBdr>
          <w:divsChild>
            <w:div w:id="863254563">
              <w:marLeft w:val="0"/>
              <w:marRight w:val="0"/>
              <w:marTop w:val="0"/>
              <w:marBottom w:val="0"/>
              <w:divBdr>
                <w:top w:val="none" w:sz="0" w:space="0" w:color="auto"/>
                <w:left w:val="none" w:sz="0" w:space="0" w:color="auto"/>
                <w:bottom w:val="none" w:sz="0" w:space="0" w:color="auto"/>
                <w:right w:val="none" w:sz="0" w:space="0" w:color="auto"/>
              </w:divBdr>
            </w:div>
          </w:divsChild>
        </w:div>
        <w:div w:id="866866331">
          <w:marLeft w:val="0"/>
          <w:marRight w:val="0"/>
          <w:marTop w:val="0"/>
          <w:marBottom w:val="0"/>
          <w:divBdr>
            <w:top w:val="none" w:sz="0" w:space="0" w:color="auto"/>
            <w:left w:val="none" w:sz="0" w:space="0" w:color="auto"/>
            <w:bottom w:val="none" w:sz="0" w:space="0" w:color="auto"/>
            <w:right w:val="none" w:sz="0" w:space="0" w:color="auto"/>
          </w:divBdr>
          <w:divsChild>
            <w:div w:id="1279726902">
              <w:marLeft w:val="0"/>
              <w:marRight w:val="0"/>
              <w:marTop w:val="0"/>
              <w:marBottom w:val="0"/>
              <w:divBdr>
                <w:top w:val="none" w:sz="0" w:space="0" w:color="auto"/>
                <w:left w:val="none" w:sz="0" w:space="0" w:color="auto"/>
                <w:bottom w:val="none" w:sz="0" w:space="0" w:color="auto"/>
                <w:right w:val="none" w:sz="0" w:space="0" w:color="auto"/>
              </w:divBdr>
            </w:div>
          </w:divsChild>
        </w:div>
        <w:div w:id="867445971">
          <w:marLeft w:val="0"/>
          <w:marRight w:val="0"/>
          <w:marTop w:val="0"/>
          <w:marBottom w:val="0"/>
          <w:divBdr>
            <w:top w:val="none" w:sz="0" w:space="0" w:color="auto"/>
            <w:left w:val="none" w:sz="0" w:space="0" w:color="auto"/>
            <w:bottom w:val="none" w:sz="0" w:space="0" w:color="auto"/>
            <w:right w:val="none" w:sz="0" w:space="0" w:color="auto"/>
          </w:divBdr>
          <w:divsChild>
            <w:div w:id="1860851069">
              <w:marLeft w:val="0"/>
              <w:marRight w:val="0"/>
              <w:marTop w:val="0"/>
              <w:marBottom w:val="0"/>
              <w:divBdr>
                <w:top w:val="none" w:sz="0" w:space="0" w:color="auto"/>
                <w:left w:val="none" w:sz="0" w:space="0" w:color="auto"/>
                <w:bottom w:val="none" w:sz="0" w:space="0" w:color="auto"/>
                <w:right w:val="none" w:sz="0" w:space="0" w:color="auto"/>
              </w:divBdr>
            </w:div>
          </w:divsChild>
        </w:div>
        <w:div w:id="873926393">
          <w:marLeft w:val="0"/>
          <w:marRight w:val="0"/>
          <w:marTop w:val="0"/>
          <w:marBottom w:val="0"/>
          <w:divBdr>
            <w:top w:val="none" w:sz="0" w:space="0" w:color="auto"/>
            <w:left w:val="none" w:sz="0" w:space="0" w:color="auto"/>
            <w:bottom w:val="none" w:sz="0" w:space="0" w:color="auto"/>
            <w:right w:val="none" w:sz="0" w:space="0" w:color="auto"/>
          </w:divBdr>
          <w:divsChild>
            <w:div w:id="873232500">
              <w:marLeft w:val="0"/>
              <w:marRight w:val="0"/>
              <w:marTop w:val="0"/>
              <w:marBottom w:val="0"/>
              <w:divBdr>
                <w:top w:val="none" w:sz="0" w:space="0" w:color="auto"/>
                <w:left w:val="none" w:sz="0" w:space="0" w:color="auto"/>
                <w:bottom w:val="none" w:sz="0" w:space="0" w:color="auto"/>
                <w:right w:val="none" w:sz="0" w:space="0" w:color="auto"/>
              </w:divBdr>
            </w:div>
          </w:divsChild>
        </w:div>
        <w:div w:id="876897023">
          <w:marLeft w:val="0"/>
          <w:marRight w:val="0"/>
          <w:marTop w:val="0"/>
          <w:marBottom w:val="0"/>
          <w:divBdr>
            <w:top w:val="none" w:sz="0" w:space="0" w:color="auto"/>
            <w:left w:val="none" w:sz="0" w:space="0" w:color="auto"/>
            <w:bottom w:val="none" w:sz="0" w:space="0" w:color="auto"/>
            <w:right w:val="none" w:sz="0" w:space="0" w:color="auto"/>
          </w:divBdr>
          <w:divsChild>
            <w:div w:id="1477801733">
              <w:marLeft w:val="0"/>
              <w:marRight w:val="0"/>
              <w:marTop w:val="0"/>
              <w:marBottom w:val="0"/>
              <w:divBdr>
                <w:top w:val="none" w:sz="0" w:space="0" w:color="auto"/>
                <w:left w:val="none" w:sz="0" w:space="0" w:color="auto"/>
                <w:bottom w:val="none" w:sz="0" w:space="0" w:color="auto"/>
                <w:right w:val="none" w:sz="0" w:space="0" w:color="auto"/>
              </w:divBdr>
            </w:div>
          </w:divsChild>
        </w:div>
        <w:div w:id="887838103">
          <w:marLeft w:val="0"/>
          <w:marRight w:val="0"/>
          <w:marTop w:val="0"/>
          <w:marBottom w:val="0"/>
          <w:divBdr>
            <w:top w:val="none" w:sz="0" w:space="0" w:color="auto"/>
            <w:left w:val="none" w:sz="0" w:space="0" w:color="auto"/>
            <w:bottom w:val="none" w:sz="0" w:space="0" w:color="auto"/>
            <w:right w:val="none" w:sz="0" w:space="0" w:color="auto"/>
          </w:divBdr>
          <w:divsChild>
            <w:div w:id="960503101">
              <w:marLeft w:val="0"/>
              <w:marRight w:val="0"/>
              <w:marTop w:val="0"/>
              <w:marBottom w:val="0"/>
              <w:divBdr>
                <w:top w:val="none" w:sz="0" w:space="0" w:color="auto"/>
                <w:left w:val="none" w:sz="0" w:space="0" w:color="auto"/>
                <w:bottom w:val="none" w:sz="0" w:space="0" w:color="auto"/>
                <w:right w:val="none" w:sz="0" w:space="0" w:color="auto"/>
              </w:divBdr>
            </w:div>
          </w:divsChild>
        </w:div>
        <w:div w:id="891043516">
          <w:marLeft w:val="0"/>
          <w:marRight w:val="0"/>
          <w:marTop w:val="0"/>
          <w:marBottom w:val="0"/>
          <w:divBdr>
            <w:top w:val="none" w:sz="0" w:space="0" w:color="auto"/>
            <w:left w:val="none" w:sz="0" w:space="0" w:color="auto"/>
            <w:bottom w:val="none" w:sz="0" w:space="0" w:color="auto"/>
            <w:right w:val="none" w:sz="0" w:space="0" w:color="auto"/>
          </w:divBdr>
          <w:divsChild>
            <w:div w:id="1054278958">
              <w:marLeft w:val="0"/>
              <w:marRight w:val="0"/>
              <w:marTop w:val="0"/>
              <w:marBottom w:val="0"/>
              <w:divBdr>
                <w:top w:val="none" w:sz="0" w:space="0" w:color="auto"/>
                <w:left w:val="none" w:sz="0" w:space="0" w:color="auto"/>
                <w:bottom w:val="none" w:sz="0" w:space="0" w:color="auto"/>
                <w:right w:val="none" w:sz="0" w:space="0" w:color="auto"/>
              </w:divBdr>
            </w:div>
          </w:divsChild>
        </w:div>
        <w:div w:id="895973524">
          <w:marLeft w:val="0"/>
          <w:marRight w:val="0"/>
          <w:marTop w:val="0"/>
          <w:marBottom w:val="0"/>
          <w:divBdr>
            <w:top w:val="none" w:sz="0" w:space="0" w:color="auto"/>
            <w:left w:val="none" w:sz="0" w:space="0" w:color="auto"/>
            <w:bottom w:val="none" w:sz="0" w:space="0" w:color="auto"/>
            <w:right w:val="none" w:sz="0" w:space="0" w:color="auto"/>
          </w:divBdr>
          <w:divsChild>
            <w:div w:id="886645200">
              <w:marLeft w:val="0"/>
              <w:marRight w:val="0"/>
              <w:marTop w:val="0"/>
              <w:marBottom w:val="0"/>
              <w:divBdr>
                <w:top w:val="none" w:sz="0" w:space="0" w:color="auto"/>
                <w:left w:val="none" w:sz="0" w:space="0" w:color="auto"/>
                <w:bottom w:val="none" w:sz="0" w:space="0" w:color="auto"/>
                <w:right w:val="none" w:sz="0" w:space="0" w:color="auto"/>
              </w:divBdr>
            </w:div>
          </w:divsChild>
        </w:div>
        <w:div w:id="896168108">
          <w:marLeft w:val="0"/>
          <w:marRight w:val="0"/>
          <w:marTop w:val="0"/>
          <w:marBottom w:val="0"/>
          <w:divBdr>
            <w:top w:val="none" w:sz="0" w:space="0" w:color="auto"/>
            <w:left w:val="none" w:sz="0" w:space="0" w:color="auto"/>
            <w:bottom w:val="none" w:sz="0" w:space="0" w:color="auto"/>
            <w:right w:val="none" w:sz="0" w:space="0" w:color="auto"/>
          </w:divBdr>
          <w:divsChild>
            <w:div w:id="698968553">
              <w:marLeft w:val="0"/>
              <w:marRight w:val="0"/>
              <w:marTop w:val="0"/>
              <w:marBottom w:val="0"/>
              <w:divBdr>
                <w:top w:val="none" w:sz="0" w:space="0" w:color="auto"/>
                <w:left w:val="none" w:sz="0" w:space="0" w:color="auto"/>
                <w:bottom w:val="none" w:sz="0" w:space="0" w:color="auto"/>
                <w:right w:val="none" w:sz="0" w:space="0" w:color="auto"/>
              </w:divBdr>
            </w:div>
          </w:divsChild>
        </w:div>
        <w:div w:id="917639291">
          <w:marLeft w:val="0"/>
          <w:marRight w:val="0"/>
          <w:marTop w:val="0"/>
          <w:marBottom w:val="0"/>
          <w:divBdr>
            <w:top w:val="none" w:sz="0" w:space="0" w:color="auto"/>
            <w:left w:val="none" w:sz="0" w:space="0" w:color="auto"/>
            <w:bottom w:val="none" w:sz="0" w:space="0" w:color="auto"/>
            <w:right w:val="none" w:sz="0" w:space="0" w:color="auto"/>
          </w:divBdr>
          <w:divsChild>
            <w:div w:id="1683623138">
              <w:marLeft w:val="0"/>
              <w:marRight w:val="0"/>
              <w:marTop w:val="0"/>
              <w:marBottom w:val="0"/>
              <w:divBdr>
                <w:top w:val="none" w:sz="0" w:space="0" w:color="auto"/>
                <w:left w:val="none" w:sz="0" w:space="0" w:color="auto"/>
                <w:bottom w:val="none" w:sz="0" w:space="0" w:color="auto"/>
                <w:right w:val="none" w:sz="0" w:space="0" w:color="auto"/>
              </w:divBdr>
            </w:div>
          </w:divsChild>
        </w:div>
        <w:div w:id="932203376">
          <w:marLeft w:val="0"/>
          <w:marRight w:val="0"/>
          <w:marTop w:val="0"/>
          <w:marBottom w:val="0"/>
          <w:divBdr>
            <w:top w:val="none" w:sz="0" w:space="0" w:color="auto"/>
            <w:left w:val="none" w:sz="0" w:space="0" w:color="auto"/>
            <w:bottom w:val="none" w:sz="0" w:space="0" w:color="auto"/>
            <w:right w:val="none" w:sz="0" w:space="0" w:color="auto"/>
          </w:divBdr>
          <w:divsChild>
            <w:div w:id="423066330">
              <w:marLeft w:val="0"/>
              <w:marRight w:val="0"/>
              <w:marTop w:val="0"/>
              <w:marBottom w:val="0"/>
              <w:divBdr>
                <w:top w:val="none" w:sz="0" w:space="0" w:color="auto"/>
                <w:left w:val="none" w:sz="0" w:space="0" w:color="auto"/>
                <w:bottom w:val="none" w:sz="0" w:space="0" w:color="auto"/>
                <w:right w:val="none" w:sz="0" w:space="0" w:color="auto"/>
              </w:divBdr>
            </w:div>
          </w:divsChild>
        </w:div>
        <w:div w:id="936138402">
          <w:marLeft w:val="0"/>
          <w:marRight w:val="0"/>
          <w:marTop w:val="0"/>
          <w:marBottom w:val="0"/>
          <w:divBdr>
            <w:top w:val="none" w:sz="0" w:space="0" w:color="auto"/>
            <w:left w:val="none" w:sz="0" w:space="0" w:color="auto"/>
            <w:bottom w:val="none" w:sz="0" w:space="0" w:color="auto"/>
            <w:right w:val="none" w:sz="0" w:space="0" w:color="auto"/>
          </w:divBdr>
          <w:divsChild>
            <w:div w:id="911740927">
              <w:marLeft w:val="0"/>
              <w:marRight w:val="0"/>
              <w:marTop w:val="0"/>
              <w:marBottom w:val="0"/>
              <w:divBdr>
                <w:top w:val="none" w:sz="0" w:space="0" w:color="auto"/>
                <w:left w:val="none" w:sz="0" w:space="0" w:color="auto"/>
                <w:bottom w:val="none" w:sz="0" w:space="0" w:color="auto"/>
                <w:right w:val="none" w:sz="0" w:space="0" w:color="auto"/>
              </w:divBdr>
            </w:div>
          </w:divsChild>
        </w:div>
        <w:div w:id="948006959">
          <w:marLeft w:val="0"/>
          <w:marRight w:val="0"/>
          <w:marTop w:val="0"/>
          <w:marBottom w:val="0"/>
          <w:divBdr>
            <w:top w:val="none" w:sz="0" w:space="0" w:color="auto"/>
            <w:left w:val="none" w:sz="0" w:space="0" w:color="auto"/>
            <w:bottom w:val="none" w:sz="0" w:space="0" w:color="auto"/>
            <w:right w:val="none" w:sz="0" w:space="0" w:color="auto"/>
          </w:divBdr>
          <w:divsChild>
            <w:div w:id="620645950">
              <w:marLeft w:val="0"/>
              <w:marRight w:val="0"/>
              <w:marTop w:val="0"/>
              <w:marBottom w:val="0"/>
              <w:divBdr>
                <w:top w:val="none" w:sz="0" w:space="0" w:color="auto"/>
                <w:left w:val="none" w:sz="0" w:space="0" w:color="auto"/>
                <w:bottom w:val="none" w:sz="0" w:space="0" w:color="auto"/>
                <w:right w:val="none" w:sz="0" w:space="0" w:color="auto"/>
              </w:divBdr>
            </w:div>
          </w:divsChild>
        </w:div>
        <w:div w:id="951863609">
          <w:marLeft w:val="0"/>
          <w:marRight w:val="0"/>
          <w:marTop w:val="0"/>
          <w:marBottom w:val="0"/>
          <w:divBdr>
            <w:top w:val="none" w:sz="0" w:space="0" w:color="auto"/>
            <w:left w:val="none" w:sz="0" w:space="0" w:color="auto"/>
            <w:bottom w:val="none" w:sz="0" w:space="0" w:color="auto"/>
            <w:right w:val="none" w:sz="0" w:space="0" w:color="auto"/>
          </w:divBdr>
          <w:divsChild>
            <w:div w:id="855731886">
              <w:marLeft w:val="0"/>
              <w:marRight w:val="0"/>
              <w:marTop w:val="0"/>
              <w:marBottom w:val="0"/>
              <w:divBdr>
                <w:top w:val="none" w:sz="0" w:space="0" w:color="auto"/>
                <w:left w:val="none" w:sz="0" w:space="0" w:color="auto"/>
                <w:bottom w:val="none" w:sz="0" w:space="0" w:color="auto"/>
                <w:right w:val="none" w:sz="0" w:space="0" w:color="auto"/>
              </w:divBdr>
            </w:div>
          </w:divsChild>
        </w:div>
        <w:div w:id="954754119">
          <w:marLeft w:val="0"/>
          <w:marRight w:val="0"/>
          <w:marTop w:val="0"/>
          <w:marBottom w:val="0"/>
          <w:divBdr>
            <w:top w:val="none" w:sz="0" w:space="0" w:color="auto"/>
            <w:left w:val="none" w:sz="0" w:space="0" w:color="auto"/>
            <w:bottom w:val="none" w:sz="0" w:space="0" w:color="auto"/>
            <w:right w:val="none" w:sz="0" w:space="0" w:color="auto"/>
          </w:divBdr>
          <w:divsChild>
            <w:div w:id="1863475325">
              <w:marLeft w:val="0"/>
              <w:marRight w:val="0"/>
              <w:marTop w:val="0"/>
              <w:marBottom w:val="0"/>
              <w:divBdr>
                <w:top w:val="none" w:sz="0" w:space="0" w:color="auto"/>
                <w:left w:val="none" w:sz="0" w:space="0" w:color="auto"/>
                <w:bottom w:val="none" w:sz="0" w:space="0" w:color="auto"/>
                <w:right w:val="none" w:sz="0" w:space="0" w:color="auto"/>
              </w:divBdr>
            </w:div>
          </w:divsChild>
        </w:div>
        <w:div w:id="983851102">
          <w:marLeft w:val="0"/>
          <w:marRight w:val="0"/>
          <w:marTop w:val="0"/>
          <w:marBottom w:val="0"/>
          <w:divBdr>
            <w:top w:val="none" w:sz="0" w:space="0" w:color="auto"/>
            <w:left w:val="none" w:sz="0" w:space="0" w:color="auto"/>
            <w:bottom w:val="none" w:sz="0" w:space="0" w:color="auto"/>
            <w:right w:val="none" w:sz="0" w:space="0" w:color="auto"/>
          </w:divBdr>
          <w:divsChild>
            <w:div w:id="1389501120">
              <w:marLeft w:val="0"/>
              <w:marRight w:val="0"/>
              <w:marTop w:val="0"/>
              <w:marBottom w:val="0"/>
              <w:divBdr>
                <w:top w:val="none" w:sz="0" w:space="0" w:color="auto"/>
                <w:left w:val="none" w:sz="0" w:space="0" w:color="auto"/>
                <w:bottom w:val="none" w:sz="0" w:space="0" w:color="auto"/>
                <w:right w:val="none" w:sz="0" w:space="0" w:color="auto"/>
              </w:divBdr>
            </w:div>
          </w:divsChild>
        </w:div>
        <w:div w:id="988174460">
          <w:marLeft w:val="0"/>
          <w:marRight w:val="0"/>
          <w:marTop w:val="0"/>
          <w:marBottom w:val="0"/>
          <w:divBdr>
            <w:top w:val="none" w:sz="0" w:space="0" w:color="auto"/>
            <w:left w:val="none" w:sz="0" w:space="0" w:color="auto"/>
            <w:bottom w:val="none" w:sz="0" w:space="0" w:color="auto"/>
            <w:right w:val="none" w:sz="0" w:space="0" w:color="auto"/>
          </w:divBdr>
          <w:divsChild>
            <w:div w:id="1533151494">
              <w:marLeft w:val="0"/>
              <w:marRight w:val="0"/>
              <w:marTop w:val="0"/>
              <w:marBottom w:val="0"/>
              <w:divBdr>
                <w:top w:val="none" w:sz="0" w:space="0" w:color="auto"/>
                <w:left w:val="none" w:sz="0" w:space="0" w:color="auto"/>
                <w:bottom w:val="none" w:sz="0" w:space="0" w:color="auto"/>
                <w:right w:val="none" w:sz="0" w:space="0" w:color="auto"/>
              </w:divBdr>
            </w:div>
          </w:divsChild>
        </w:div>
        <w:div w:id="989552403">
          <w:marLeft w:val="0"/>
          <w:marRight w:val="0"/>
          <w:marTop w:val="0"/>
          <w:marBottom w:val="0"/>
          <w:divBdr>
            <w:top w:val="none" w:sz="0" w:space="0" w:color="auto"/>
            <w:left w:val="none" w:sz="0" w:space="0" w:color="auto"/>
            <w:bottom w:val="none" w:sz="0" w:space="0" w:color="auto"/>
            <w:right w:val="none" w:sz="0" w:space="0" w:color="auto"/>
          </w:divBdr>
          <w:divsChild>
            <w:div w:id="564685536">
              <w:marLeft w:val="0"/>
              <w:marRight w:val="0"/>
              <w:marTop w:val="0"/>
              <w:marBottom w:val="0"/>
              <w:divBdr>
                <w:top w:val="none" w:sz="0" w:space="0" w:color="auto"/>
                <w:left w:val="none" w:sz="0" w:space="0" w:color="auto"/>
                <w:bottom w:val="none" w:sz="0" w:space="0" w:color="auto"/>
                <w:right w:val="none" w:sz="0" w:space="0" w:color="auto"/>
              </w:divBdr>
            </w:div>
          </w:divsChild>
        </w:div>
        <w:div w:id="992833028">
          <w:marLeft w:val="0"/>
          <w:marRight w:val="0"/>
          <w:marTop w:val="0"/>
          <w:marBottom w:val="0"/>
          <w:divBdr>
            <w:top w:val="none" w:sz="0" w:space="0" w:color="auto"/>
            <w:left w:val="none" w:sz="0" w:space="0" w:color="auto"/>
            <w:bottom w:val="none" w:sz="0" w:space="0" w:color="auto"/>
            <w:right w:val="none" w:sz="0" w:space="0" w:color="auto"/>
          </w:divBdr>
          <w:divsChild>
            <w:div w:id="1044595525">
              <w:marLeft w:val="0"/>
              <w:marRight w:val="0"/>
              <w:marTop w:val="0"/>
              <w:marBottom w:val="0"/>
              <w:divBdr>
                <w:top w:val="none" w:sz="0" w:space="0" w:color="auto"/>
                <w:left w:val="none" w:sz="0" w:space="0" w:color="auto"/>
                <w:bottom w:val="none" w:sz="0" w:space="0" w:color="auto"/>
                <w:right w:val="none" w:sz="0" w:space="0" w:color="auto"/>
              </w:divBdr>
            </w:div>
          </w:divsChild>
        </w:div>
        <w:div w:id="1005936469">
          <w:marLeft w:val="0"/>
          <w:marRight w:val="0"/>
          <w:marTop w:val="0"/>
          <w:marBottom w:val="0"/>
          <w:divBdr>
            <w:top w:val="none" w:sz="0" w:space="0" w:color="auto"/>
            <w:left w:val="none" w:sz="0" w:space="0" w:color="auto"/>
            <w:bottom w:val="none" w:sz="0" w:space="0" w:color="auto"/>
            <w:right w:val="none" w:sz="0" w:space="0" w:color="auto"/>
          </w:divBdr>
          <w:divsChild>
            <w:div w:id="1700230921">
              <w:marLeft w:val="0"/>
              <w:marRight w:val="0"/>
              <w:marTop w:val="0"/>
              <w:marBottom w:val="0"/>
              <w:divBdr>
                <w:top w:val="none" w:sz="0" w:space="0" w:color="auto"/>
                <w:left w:val="none" w:sz="0" w:space="0" w:color="auto"/>
                <w:bottom w:val="none" w:sz="0" w:space="0" w:color="auto"/>
                <w:right w:val="none" w:sz="0" w:space="0" w:color="auto"/>
              </w:divBdr>
            </w:div>
          </w:divsChild>
        </w:div>
        <w:div w:id="1006861574">
          <w:marLeft w:val="0"/>
          <w:marRight w:val="0"/>
          <w:marTop w:val="0"/>
          <w:marBottom w:val="0"/>
          <w:divBdr>
            <w:top w:val="none" w:sz="0" w:space="0" w:color="auto"/>
            <w:left w:val="none" w:sz="0" w:space="0" w:color="auto"/>
            <w:bottom w:val="none" w:sz="0" w:space="0" w:color="auto"/>
            <w:right w:val="none" w:sz="0" w:space="0" w:color="auto"/>
          </w:divBdr>
          <w:divsChild>
            <w:div w:id="1078020156">
              <w:marLeft w:val="0"/>
              <w:marRight w:val="0"/>
              <w:marTop w:val="0"/>
              <w:marBottom w:val="0"/>
              <w:divBdr>
                <w:top w:val="none" w:sz="0" w:space="0" w:color="auto"/>
                <w:left w:val="none" w:sz="0" w:space="0" w:color="auto"/>
                <w:bottom w:val="none" w:sz="0" w:space="0" w:color="auto"/>
                <w:right w:val="none" w:sz="0" w:space="0" w:color="auto"/>
              </w:divBdr>
            </w:div>
          </w:divsChild>
        </w:div>
        <w:div w:id="1009063115">
          <w:marLeft w:val="0"/>
          <w:marRight w:val="0"/>
          <w:marTop w:val="0"/>
          <w:marBottom w:val="0"/>
          <w:divBdr>
            <w:top w:val="none" w:sz="0" w:space="0" w:color="auto"/>
            <w:left w:val="none" w:sz="0" w:space="0" w:color="auto"/>
            <w:bottom w:val="none" w:sz="0" w:space="0" w:color="auto"/>
            <w:right w:val="none" w:sz="0" w:space="0" w:color="auto"/>
          </w:divBdr>
          <w:divsChild>
            <w:div w:id="685061158">
              <w:marLeft w:val="0"/>
              <w:marRight w:val="0"/>
              <w:marTop w:val="0"/>
              <w:marBottom w:val="0"/>
              <w:divBdr>
                <w:top w:val="none" w:sz="0" w:space="0" w:color="auto"/>
                <w:left w:val="none" w:sz="0" w:space="0" w:color="auto"/>
                <w:bottom w:val="none" w:sz="0" w:space="0" w:color="auto"/>
                <w:right w:val="none" w:sz="0" w:space="0" w:color="auto"/>
              </w:divBdr>
            </w:div>
          </w:divsChild>
        </w:div>
        <w:div w:id="1017270965">
          <w:marLeft w:val="0"/>
          <w:marRight w:val="0"/>
          <w:marTop w:val="0"/>
          <w:marBottom w:val="0"/>
          <w:divBdr>
            <w:top w:val="none" w:sz="0" w:space="0" w:color="auto"/>
            <w:left w:val="none" w:sz="0" w:space="0" w:color="auto"/>
            <w:bottom w:val="none" w:sz="0" w:space="0" w:color="auto"/>
            <w:right w:val="none" w:sz="0" w:space="0" w:color="auto"/>
          </w:divBdr>
          <w:divsChild>
            <w:div w:id="1487208533">
              <w:marLeft w:val="0"/>
              <w:marRight w:val="0"/>
              <w:marTop w:val="0"/>
              <w:marBottom w:val="0"/>
              <w:divBdr>
                <w:top w:val="none" w:sz="0" w:space="0" w:color="auto"/>
                <w:left w:val="none" w:sz="0" w:space="0" w:color="auto"/>
                <w:bottom w:val="none" w:sz="0" w:space="0" w:color="auto"/>
                <w:right w:val="none" w:sz="0" w:space="0" w:color="auto"/>
              </w:divBdr>
            </w:div>
          </w:divsChild>
        </w:div>
        <w:div w:id="1022895441">
          <w:marLeft w:val="0"/>
          <w:marRight w:val="0"/>
          <w:marTop w:val="0"/>
          <w:marBottom w:val="0"/>
          <w:divBdr>
            <w:top w:val="none" w:sz="0" w:space="0" w:color="auto"/>
            <w:left w:val="none" w:sz="0" w:space="0" w:color="auto"/>
            <w:bottom w:val="none" w:sz="0" w:space="0" w:color="auto"/>
            <w:right w:val="none" w:sz="0" w:space="0" w:color="auto"/>
          </w:divBdr>
          <w:divsChild>
            <w:div w:id="1326013872">
              <w:marLeft w:val="0"/>
              <w:marRight w:val="0"/>
              <w:marTop w:val="0"/>
              <w:marBottom w:val="0"/>
              <w:divBdr>
                <w:top w:val="none" w:sz="0" w:space="0" w:color="auto"/>
                <w:left w:val="none" w:sz="0" w:space="0" w:color="auto"/>
                <w:bottom w:val="none" w:sz="0" w:space="0" w:color="auto"/>
                <w:right w:val="none" w:sz="0" w:space="0" w:color="auto"/>
              </w:divBdr>
            </w:div>
          </w:divsChild>
        </w:div>
        <w:div w:id="1027289753">
          <w:marLeft w:val="0"/>
          <w:marRight w:val="0"/>
          <w:marTop w:val="0"/>
          <w:marBottom w:val="0"/>
          <w:divBdr>
            <w:top w:val="none" w:sz="0" w:space="0" w:color="auto"/>
            <w:left w:val="none" w:sz="0" w:space="0" w:color="auto"/>
            <w:bottom w:val="none" w:sz="0" w:space="0" w:color="auto"/>
            <w:right w:val="none" w:sz="0" w:space="0" w:color="auto"/>
          </w:divBdr>
          <w:divsChild>
            <w:div w:id="873882856">
              <w:marLeft w:val="0"/>
              <w:marRight w:val="0"/>
              <w:marTop w:val="0"/>
              <w:marBottom w:val="0"/>
              <w:divBdr>
                <w:top w:val="none" w:sz="0" w:space="0" w:color="auto"/>
                <w:left w:val="none" w:sz="0" w:space="0" w:color="auto"/>
                <w:bottom w:val="none" w:sz="0" w:space="0" w:color="auto"/>
                <w:right w:val="none" w:sz="0" w:space="0" w:color="auto"/>
              </w:divBdr>
            </w:div>
          </w:divsChild>
        </w:div>
        <w:div w:id="1034620242">
          <w:marLeft w:val="0"/>
          <w:marRight w:val="0"/>
          <w:marTop w:val="0"/>
          <w:marBottom w:val="0"/>
          <w:divBdr>
            <w:top w:val="none" w:sz="0" w:space="0" w:color="auto"/>
            <w:left w:val="none" w:sz="0" w:space="0" w:color="auto"/>
            <w:bottom w:val="none" w:sz="0" w:space="0" w:color="auto"/>
            <w:right w:val="none" w:sz="0" w:space="0" w:color="auto"/>
          </w:divBdr>
          <w:divsChild>
            <w:div w:id="1625962578">
              <w:marLeft w:val="0"/>
              <w:marRight w:val="0"/>
              <w:marTop w:val="0"/>
              <w:marBottom w:val="0"/>
              <w:divBdr>
                <w:top w:val="none" w:sz="0" w:space="0" w:color="auto"/>
                <w:left w:val="none" w:sz="0" w:space="0" w:color="auto"/>
                <w:bottom w:val="none" w:sz="0" w:space="0" w:color="auto"/>
                <w:right w:val="none" w:sz="0" w:space="0" w:color="auto"/>
              </w:divBdr>
            </w:div>
          </w:divsChild>
        </w:div>
        <w:div w:id="1048646008">
          <w:marLeft w:val="0"/>
          <w:marRight w:val="0"/>
          <w:marTop w:val="0"/>
          <w:marBottom w:val="0"/>
          <w:divBdr>
            <w:top w:val="none" w:sz="0" w:space="0" w:color="auto"/>
            <w:left w:val="none" w:sz="0" w:space="0" w:color="auto"/>
            <w:bottom w:val="none" w:sz="0" w:space="0" w:color="auto"/>
            <w:right w:val="none" w:sz="0" w:space="0" w:color="auto"/>
          </w:divBdr>
          <w:divsChild>
            <w:div w:id="1122773674">
              <w:marLeft w:val="0"/>
              <w:marRight w:val="0"/>
              <w:marTop w:val="0"/>
              <w:marBottom w:val="0"/>
              <w:divBdr>
                <w:top w:val="none" w:sz="0" w:space="0" w:color="auto"/>
                <w:left w:val="none" w:sz="0" w:space="0" w:color="auto"/>
                <w:bottom w:val="none" w:sz="0" w:space="0" w:color="auto"/>
                <w:right w:val="none" w:sz="0" w:space="0" w:color="auto"/>
              </w:divBdr>
            </w:div>
          </w:divsChild>
        </w:div>
        <w:div w:id="1051228369">
          <w:marLeft w:val="0"/>
          <w:marRight w:val="0"/>
          <w:marTop w:val="0"/>
          <w:marBottom w:val="0"/>
          <w:divBdr>
            <w:top w:val="none" w:sz="0" w:space="0" w:color="auto"/>
            <w:left w:val="none" w:sz="0" w:space="0" w:color="auto"/>
            <w:bottom w:val="none" w:sz="0" w:space="0" w:color="auto"/>
            <w:right w:val="none" w:sz="0" w:space="0" w:color="auto"/>
          </w:divBdr>
          <w:divsChild>
            <w:div w:id="789131232">
              <w:marLeft w:val="0"/>
              <w:marRight w:val="0"/>
              <w:marTop w:val="0"/>
              <w:marBottom w:val="0"/>
              <w:divBdr>
                <w:top w:val="none" w:sz="0" w:space="0" w:color="auto"/>
                <w:left w:val="none" w:sz="0" w:space="0" w:color="auto"/>
                <w:bottom w:val="none" w:sz="0" w:space="0" w:color="auto"/>
                <w:right w:val="none" w:sz="0" w:space="0" w:color="auto"/>
              </w:divBdr>
            </w:div>
          </w:divsChild>
        </w:div>
        <w:div w:id="1053508538">
          <w:marLeft w:val="0"/>
          <w:marRight w:val="0"/>
          <w:marTop w:val="0"/>
          <w:marBottom w:val="0"/>
          <w:divBdr>
            <w:top w:val="none" w:sz="0" w:space="0" w:color="auto"/>
            <w:left w:val="none" w:sz="0" w:space="0" w:color="auto"/>
            <w:bottom w:val="none" w:sz="0" w:space="0" w:color="auto"/>
            <w:right w:val="none" w:sz="0" w:space="0" w:color="auto"/>
          </w:divBdr>
          <w:divsChild>
            <w:div w:id="1282178872">
              <w:marLeft w:val="0"/>
              <w:marRight w:val="0"/>
              <w:marTop w:val="0"/>
              <w:marBottom w:val="0"/>
              <w:divBdr>
                <w:top w:val="none" w:sz="0" w:space="0" w:color="auto"/>
                <w:left w:val="none" w:sz="0" w:space="0" w:color="auto"/>
                <w:bottom w:val="none" w:sz="0" w:space="0" w:color="auto"/>
                <w:right w:val="none" w:sz="0" w:space="0" w:color="auto"/>
              </w:divBdr>
            </w:div>
          </w:divsChild>
        </w:div>
        <w:div w:id="1068570780">
          <w:marLeft w:val="0"/>
          <w:marRight w:val="0"/>
          <w:marTop w:val="0"/>
          <w:marBottom w:val="0"/>
          <w:divBdr>
            <w:top w:val="none" w:sz="0" w:space="0" w:color="auto"/>
            <w:left w:val="none" w:sz="0" w:space="0" w:color="auto"/>
            <w:bottom w:val="none" w:sz="0" w:space="0" w:color="auto"/>
            <w:right w:val="none" w:sz="0" w:space="0" w:color="auto"/>
          </w:divBdr>
          <w:divsChild>
            <w:div w:id="1457874873">
              <w:marLeft w:val="0"/>
              <w:marRight w:val="0"/>
              <w:marTop w:val="0"/>
              <w:marBottom w:val="0"/>
              <w:divBdr>
                <w:top w:val="none" w:sz="0" w:space="0" w:color="auto"/>
                <w:left w:val="none" w:sz="0" w:space="0" w:color="auto"/>
                <w:bottom w:val="none" w:sz="0" w:space="0" w:color="auto"/>
                <w:right w:val="none" w:sz="0" w:space="0" w:color="auto"/>
              </w:divBdr>
            </w:div>
          </w:divsChild>
        </w:div>
        <w:div w:id="1074862006">
          <w:marLeft w:val="0"/>
          <w:marRight w:val="0"/>
          <w:marTop w:val="0"/>
          <w:marBottom w:val="0"/>
          <w:divBdr>
            <w:top w:val="none" w:sz="0" w:space="0" w:color="auto"/>
            <w:left w:val="none" w:sz="0" w:space="0" w:color="auto"/>
            <w:bottom w:val="none" w:sz="0" w:space="0" w:color="auto"/>
            <w:right w:val="none" w:sz="0" w:space="0" w:color="auto"/>
          </w:divBdr>
          <w:divsChild>
            <w:div w:id="896550505">
              <w:marLeft w:val="0"/>
              <w:marRight w:val="0"/>
              <w:marTop w:val="0"/>
              <w:marBottom w:val="0"/>
              <w:divBdr>
                <w:top w:val="none" w:sz="0" w:space="0" w:color="auto"/>
                <w:left w:val="none" w:sz="0" w:space="0" w:color="auto"/>
                <w:bottom w:val="none" w:sz="0" w:space="0" w:color="auto"/>
                <w:right w:val="none" w:sz="0" w:space="0" w:color="auto"/>
              </w:divBdr>
            </w:div>
          </w:divsChild>
        </w:div>
        <w:div w:id="1092622443">
          <w:marLeft w:val="0"/>
          <w:marRight w:val="0"/>
          <w:marTop w:val="0"/>
          <w:marBottom w:val="0"/>
          <w:divBdr>
            <w:top w:val="none" w:sz="0" w:space="0" w:color="auto"/>
            <w:left w:val="none" w:sz="0" w:space="0" w:color="auto"/>
            <w:bottom w:val="none" w:sz="0" w:space="0" w:color="auto"/>
            <w:right w:val="none" w:sz="0" w:space="0" w:color="auto"/>
          </w:divBdr>
          <w:divsChild>
            <w:div w:id="1558471118">
              <w:marLeft w:val="0"/>
              <w:marRight w:val="0"/>
              <w:marTop w:val="0"/>
              <w:marBottom w:val="0"/>
              <w:divBdr>
                <w:top w:val="none" w:sz="0" w:space="0" w:color="auto"/>
                <w:left w:val="none" w:sz="0" w:space="0" w:color="auto"/>
                <w:bottom w:val="none" w:sz="0" w:space="0" w:color="auto"/>
                <w:right w:val="none" w:sz="0" w:space="0" w:color="auto"/>
              </w:divBdr>
            </w:div>
          </w:divsChild>
        </w:div>
        <w:div w:id="1094546830">
          <w:marLeft w:val="0"/>
          <w:marRight w:val="0"/>
          <w:marTop w:val="0"/>
          <w:marBottom w:val="0"/>
          <w:divBdr>
            <w:top w:val="none" w:sz="0" w:space="0" w:color="auto"/>
            <w:left w:val="none" w:sz="0" w:space="0" w:color="auto"/>
            <w:bottom w:val="none" w:sz="0" w:space="0" w:color="auto"/>
            <w:right w:val="none" w:sz="0" w:space="0" w:color="auto"/>
          </w:divBdr>
          <w:divsChild>
            <w:div w:id="2040230248">
              <w:marLeft w:val="0"/>
              <w:marRight w:val="0"/>
              <w:marTop w:val="0"/>
              <w:marBottom w:val="0"/>
              <w:divBdr>
                <w:top w:val="none" w:sz="0" w:space="0" w:color="auto"/>
                <w:left w:val="none" w:sz="0" w:space="0" w:color="auto"/>
                <w:bottom w:val="none" w:sz="0" w:space="0" w:color="auto"/>
                <w:right w:val="none" w:sz="0" w:space="0" w:color="auto"/>
              </w:divBdr>
            </w:div>
          </w:divsChild>
        </w:div>
        <w:div w:id="1102187254">
          <w:marLeft w:val="0"/>
          <w:marRight w:val="0"/>
          <w:marTop w:val="0"/>
          <w:marBottom w:val="0"/>
          <w:divBdr>
            <w:top w:val="none" w:sz="0" w:space="0" w:color="auto"/>
            <w:left w:val="none" w:sz="0" w:space="0" w:color="auto"/>
            <w:bottom w:val="none" w:sz="0" w:space="0" w:color="auto"/>
            <w:right w:val="none" w:sz="0" w:space="0" w:color="auto"/>
          </w:divBdr>
          <w:divsChild>
            <w:div w:id="602690931">
              <w:marLeft w:val="0"/>
              <w:marRight w:val="0"/>
              <w:marTop w:val="0"/>
              <w:marBottom w:val="0"/>
              <w:divBdr>
                <w:top w:val="none" w:sz="0" w:space="0" w:color="auto"/>
                <w:left w:val="none" w:sz="0" w:space="0" w:color="auto"/>
                <w:bottom w:val="none" w:sz="0" w:space="0" w:color="auto"/>
                <w:right w:val="none" w:sz="0" w:space="0" w:color="auto"/>
              </w:divBdr>
            </w:div>
          </w:divsChild>
        </w:div>
        <w:div w:id="1107041011">
          <w:marLeft w:val="0"/>
          <w:marRight w:val="0"/>
          <w:marTop w:val="0"/>
          <w:marBottom w:val="0"/>
          <w:divBdr>
            <w:top w:val="none" w:sz="0" w:space="0" w:color="auto"/>
            <w:left w:val="none" w:sz="0" w:space="0" w:color="auto"/>
            <w:bottom w:val="none" w:sz="0" w:space="0" w:color="auto"/>
            <w:right w:val="none" w:sz="0" w:space="0" w:color="auto"/>
          </w:divBdr>
          <w:divsChild>
            <w:div w:id="747575843">
              <w:marLeft w:val="0"/>
              <w:marRight w:val="0"/>
              <w:marTop w:val="0"/>
              <w:marBottom w:val="0"/>
              <w:divBdr>
                <w:top w:val="none" w:sz="0" w:space="0" w:color="auto"/>
                <w:left w:val="none" w:sz="0" w:space="0" w:color="auto"/>
                <w:bottom w:val="none" w:sz="0" w:space="0" w:color="auto"/>
                <w:right w:val="none" w:sz="0" w:space="0" w:color="auto"/>
              </w:divBdr>
            </w:div>
          </w:divsChild>
        </w:div>
        <w:div w:id="1109811835">
          <w:marLeft w:val="0"/>
          <w:marRight w:val="0"/>
          <w:marTop w:val="0"/>
          <w:marBottom w:val="0"/>
          <w:divBdr>
            <w:top w:val="none" w:sz="0" w:space="0" w:color="auto"/>
            <w:left w:val="none" w:sz="0" w:space="0" w:color="auto"/>
            <w:bottom w:val="none" w:sz="0" w:space="0" w:color="auto"/>
            <w:right w:val="none" w:sz="0" w:space="0" w:color="auto"/>
          </w:divBdr>
          <w:divsChild>
            <w:div w:id="2096630339">
              <w:marLeft w:val="0"/>
              <w:marRight w:val="0"/>
              <w:marTop w:val="0"/>
              <w:marBottom w:val="0"/>
              <w:divBdr>
                <w:top w:val="none" w:sz="0" w:space="0" w:color="auto"/>
                <w:left w:val="none" w:sz="0" w:space="0" w:color="auto"/>
                <w:bottom w:val="none" w:sz="0" w:space="0" w:color="auto"/>
                <w:right w:val="none" w:sz="0" w:space="0" w:color="auto"/>
              </w:divBdr>
            </w:div>
          </w:divsChild>
        </w:div>
        <w:div w:id="1125585322">
          <w:marLeft w:val="0"/>
          <w:marRight w:val="0"/>
          <w:marTop w:val="0"/>
          <w:marBottom w:val="0"/>
          <w:divBdr>
            <w:top w:val="none" w:sz="0" w:space="0" w:color="auto"/>
            <w:left w:val="none" w:sz="0" w:space="0" w:color="auto"/>
            <w:bottom w:val="none" w:sz="0" w:space="0" w:color="auto"/>
            <w:right w:val="none" w:sz="0" w:space="0" w:color="auto"/>
          </w:divBdr>
          <w:divsChild>
            <w:div w:id="430859109">
              <w:marLeft w:val="0"/>
              <w:marRight w:val="0"/>
              <w:marTop w:val="0"/>
              <w:marBottom w:val="0"/>
              <w:divBdr>
                <w:top w:val="none" w:sz="0" w:space="0" w:color="auto"/>
                <w:left w:val="none" w:sz="0" w:space="0" w:color="auto"/>
                <w:bottom w:val="none" w:sz="0" w:space="0" w:color="auto"/>
                <w:right w:val="none" w:sz="0" w:space="0" w:color="auto"/>
              </w:divBdr>
            </w:div>
          </w:divsChild>
        </w:div>
        <w:div w:id="1126586046">
          <w:marLeft w:val="0"/>
          <w:marRight w:val="0"/>
          <w:marTop w:val="0"/>
          <w:marBottom w:val="0"/>
          <w:divBdr>
            <w:top w:val="none" w:sz="0" w:space="0" w:color="auto"/>
            <w:left w:val="none" w:sz="0" w:space="0" w:color="auto"/>
            <w:bottom w:val="none" w:sz="0" w:space="0" w:color="auto"/>
            <w:right w:val="none" w:sz="0" w:space="0" w:color="auto"/>
          </w:divBdr>
          <w:divsChild>
            <w:div w:id="2140225999">
              <w:marLeft w:val="0"/>
              <w:marRight w:val="0"/>
              <w:marTop w:val="0"/>
              <w:marBottom w:val="0"/>
              <w:divBdr>
                <w:top w:val="none" w:sz="0" w:space="0" w:color="auto"/>
                <w:left w:val="none" w:sz="0" w:space="0" w:color="auto"/>
                <w:bottom w:val="none" w:sz="0" w:space="0" w:color="auto"/>
                <w:right w:val="none" w:sz="0" w:space="0" w:color="auto"/>
              </w:divBdr>
            </w:div>
          </w:divsChild>
        </w:div>
        <w:div w:id="1133475026">
          <w:marLeft w:val="0"/>
          <w:marRight w:val="0"/>
          <w:marTop w:val="0"/>
          <w:marBottom w:val="0"/>
          <w:divBdr>
            <w:top w:val="none" w:sz="0" w:space="0" w:color="auto"/>
            <w:left w:val="none" w:sz="0" w:space="0" w:color="auto"/>
            <w:bottom w:val="none" w:sz="0" w:space="0" w:color="auto"/>
            <w:right w:val="none" w:sz="0" w:space="0" w:color="auto"/>
          </w:divBdr>
          <w:divsChild>
            <w:div w:id="556280903">
              <w:marLeft w:val="0"/>
              <w:marRight w:val="0"/>
              <w:marTop w:val="0"/>
              <w:marBottom w:val="0"/>
              <w:divBdr>
                <w:top w:val="none" w:sz="0" w:space="0" w:color="auto"/>
                <w:left w:val="none" w:sz="0" w:space="0" w:color="auto"/>
                <w:bottom w:val="none" w:sz="0" w:space="0" w:color="auto"/>
                <w:right w:val="none" w:sz="0" w:space="0" w:color="auto"/>
              </w:divBdr>
            </w:div>
          </w:divsChild>
        </w:div>
        <w:div w:id="1135610270">
          <w:marLeft w:val="0"/>
          <w:marRight w:val="0"/>
          <w:marTop w:val="0"/>
          <w:marBottom w:val="0"/>
          <w:divBdr>
            <w:top w:val="none" w:sz="0" w:space="0" w:color="auto"/>
            <w:left w:val="none" w:sz="0" w:space="0" w:color="auto"/>
            <w:bottom w:val="none" w:sz="0" w:space="0" w:color="auto"/>
            <w:right w:val="none" w:sz="0" w:space="0" w:color="auto"/>
          </w:divBdr>
          <w:divsChild>
            <w:div w:id="1943222358">
              <w:marLeft w:val="0"/>
              <w:marRight w:val="0"/>
              <w:marTop w:val="0"/>
              <w:marBottom w:val="0"/>
              <w:divBdr>
                <w:top w:val="none" w:sz="0" w:space="0" w:color="auto"/>
                <w:left w:val="none" w:sz="0" w:space="0" w:color="auto"/>
                <w:bottom w:val="none" w:sz="0" w:space="0" w:color="auto"/>
                <w:right w:val="none" w:sz="0" w:space="0" w:color="auto"/>
              </w:divBdr>
            </w:div>
          </w:divsChild>
        </w:div>
        <w:div w:id="1136490104">
          <w:marLeft w:val="0"/>
          <w:marRight w:val="0"/>
          <w:marTop w:val="0"/>
          <w:marBottom w:val="0"/>
          <w:divBdr>
            <w:top w:val="none" w:sz="0" w:space="0" w:color="auto"/>
            <w:left w:val="none" w:sz="0" w:space="0" w:color="auto"/>
            <w:bottom w:val="none" w:sz="0" w:space="0" w:color="auto"/>
            <w:right w:val="none" w:sz="0" w:space="0" w:color="auto"/>
          </w:divBdr>
          <w:divsChild>
            <w:div w:id="207885929">
              <w:marLeft w:val="0"/>
              <w:marRight w:val="0"/>
              <w:marTop w:val="0"/>
              <w:marBottom w:val="0"/>
              <w:divBdr>
                <w:top w:val="none" w:sz="0" w:space="0" w:color="auto"/>
                <w:left w:val="none" w:sz="0" w:space="0" w:color="auto"/>
                <w:bottom w:val="none" w:sz="0" w:space="0" w:color="auto"/>
                <w:right w:val="none" w:sz="0" w:space="0" w:color="auto"/>
              </w:divBdr>
            </w:div>
          </w:divsChild>
        </w:div>
        <w:div w:id="1140148200">
          <w:marLeft w:val="0"/>
          <w:marRight w:val="0"/>
          <w:marTop w:val="0"/>
          <w:marBottom w:val="0"/>
          <w:divBdr>
            <w:top w:val="none" w:sz="0" w:space="0" w:color="auto"/>
            <w:left w:val="none" w:sz="0" w:space="0" w:color="auto"/>
            <w:bottom w:val="none" w:sz="0" w:space="0" w:color="auto"/>
            <w:right w:val="none" w:sz="0" w:space="0" w:color="auto"/>
          </w:divBdr>
          <w:divsChild>
            <w:div w:id="142084809">
              <w:marLeft w:val="0"/>
              <w:marRight w:val="0"/>
              <w:marTop w:val="0"/>
              <w:marBottom w:val="0"/>
              <w:divBdr>
                <w:top w:val="none" w:sz="0" w:space="0" w:color="auto"/>
                <w:left w:val="none" w:sz="0" w:space="0" w:color="auto"/>
                <w:bottom w:val="none" w:sz="0" w:space="0" w:color="auto"/>
                <w:right w:val="none" w:sz="0" w:space="0" w:color="auto"/>
              </w:divBdr>
            </w:div>
          </w:divsChild>
        </w:div>
        <w:div w:id="1155413454">
          <w:marLeft w:val="0"/>
          <w:marRight w:val="0"/>
          <w:marTop w:val="0"/>
          <w:marBottom w:val="0"/>
          <w:divBdr>
            <w:top w:val="none" w:sz="0" w:space="0" w:color="auto"/>
            <w:left w:val="none" w:sz="0" w:space="0" w:color="auto"/>
            <w:bottom w:val="none" w:sz="0" w:space="0" w:color="auto"/>
            <w:right w:val="none" w:sz="0" w:space="0" w:color="auto"/>
          </w:divBdr>
          <w:divsChild>
            <w:div w:id="1550409650">
              <w:marLeft w:val="0"/>
              <w:marRight w:val="0"/>
              <w:marTop w:val="0"/>
              <w:marBottom w:val="0"/>
              <w:divBdr>
                <w:top w:val="none" w:sz="0" w:space="0" w:color="auto"/>
                <w:left w:val="none" w:sz="0" w:space="0" w:color="auto"/>
                <w:bottom w:val="none" w:sz="0" w:space="0" w:color="auto"/>
                <w:right w:val="none" w:sz="0" w:space="0" w:color="auto"/>
              </w:divBdr>
            </w:div>
          </w:divsChild>
        </w:div>
        <w:div w:id="1165628149">
          <w:marLeft w:val="0"/>
          <w:marRight w:val="0"/>
          <w:marTop w:val="0"/>
          <w:marBottom w:val="0"/>
          <w:divBdr>
            <w:top w:val="none" w:sz="0" w:space="0" w:color="auto"/>
            <w:left w:val="none" w:sz="0" w:space="0" w:color="auto"/>
            <w:bottom w:val="none" w:sz="0" w:space="0" w:color="auto"/>
            <w:right w:val="none" w:sz="0" w:space="0" w:color="auto"/>
          </w:divBdr>
          <w:divsChild>
            <w:div w:id="2075082204">
              <w:marLeft w:val="0"/>
              <w:marRight w:val="0"/>
              <w:marTop w:val="0"/>
              <w:marBottom w:val="0"/>
              <w:divBdr>
                <w:top w:val="none" w:sz="0" w:space="0" w:color="auto"/>
                <w:left w:val="none" w:sz="0" w:space="0" w:color="auto"/>
                <w:bottom w:val="none" w:sz="0" w:space="0" w:color="auto"/>
                <w:right w:val="none" w:sz="0" w:space="0" w:color="auto"/>
              </w:divBdr>
            </w:div>
          </w:divsChild>
        </w:div>
        <w:div w:id="1172334325">
          <w:marLeft w:val="0"/>
          <w:marRight w:val="0"/>
          <w:marTop w:val="0"/>
          <w:marBottom w:val="0"/>
          <w:divBdr>
            <w:top w:val="none" w:sz="0" w:space="0" w:color="auto"/>
            <w:left w:val="none" w:sz="0" w:space="0" w:color="auto"/>
            <w:bottom w:val="none" w:sz="0" w:space="0" w:color="auto"/>
            <w:right w:val="none" w:sz="0" w:space="0" w:color="auto"/>
          </w:divBdr>
          <w:divsChild>
            <w:div w:id="271018974">
              <w:marLeft w:val="0"/>
              <w:marRight w:val="0"/>
              <w:marTop w:val="0"/>
              <w:marBottom w:val="0"/>
              <w:divBdr>
                <w:top w:val="none" w:sz="0" w:space="0" w:color="auto"/>
                <w:left w:val="none" w:sz="0" w:space="0" w:color="auto"/>
                <w:bottom w:val="none" w:sz="0" w:space="0" w:color="auto"/>
                <w:right w:val="none" w:sz="0" w:space="0" w:color="auto"/>
              </w:divBdr>
            </w:div>
          </w:divsChild>
        </w:div>
        <w:div w:id="1184442250">
          <w:marLeft w:val="0"/>
          <w:marRight w:val="0"/>
          <w:marTop w:val="0"/>
          <w:marBottom w:val="0"/>
          <w:divBdr>
            <w:top w:val="none" w:sz="0" w:space="0" w:color="auto"/>
            <w:left w:val="none" w:sz="0" w:space="0" w:color="auto"/>
            <w:bottom w:val="none" w:sz="0" w:space="0" w:color="auto"/>
            <w:right w:val="none" w:sz="0" w:space="0" w:color="auto"/>
          </w:divBdr>
          <w:divsChild>
            <w:div w:id="1435400472">
              <w:marLeft w:val="0"/>
              <w:marRight w:val="0"/>
              <w:marTop w:val="0"/>
              <w:marBottom w:val="0"/>
              <w:divBdr>
                <w:top w:val="none" w:sz="0" w:space="0" w:color="auto"/>
                <w:left w:val="none" w:sz="0" w:space="0" w:color="auto"/>
                <w:bottom w:val="none" w:sz="0" w:space="0" w:color="auto"/>
                <w:right w:val="none" w:sz="0" w:space="0" w:color="auto"/>
              </w:divBdr>
            </w:div>
          </w:divsChild>
        </w:div>
        <w:div w:id="1184514326">
          <w:marLeft w:val="0"/>
          <w:marRight w:val="0"/>
          <w:marTop w:val="0"/>
          <w:marBottom w:val="0"/>
          <w:divBdr>
            <w:top w:val="none" w:sz="0" w:space="0" w:color="auto"/>
            <w:left w:val="none" w:sz="0" w:space="0" w:color="auto"/>
            <w:bottom w:val="none" w:sz="0" w:space="0" w:color="auto"/>
            <w:right w:val="none" w:sz="0" w:space="0" w:color="auto"/>
          </w:divBdr>
          <w:divsChild>
            <w:div w:id="1723823778">
              <w:marLeft w:val="0"/>
              <w:marRight w:val="0"/>
              <w:marTop w:val="0"/>
              <w:marBottom w:val="0"/>
              <w:divBdr>
                <w:top w:val="none" w:sz="0" w:space="0" w:color="auto"/>
                <w:left w:val="none" w:sz="0" w:space="0" w:color="auto"/>
                <w:bottom w:val="none" w:sz="0" w:space="0" w:color="auto"/>
                <w:right w:val="none" w:sz="0" w:space="0" w:color="auto"/>
              </w:divBdr>
            </w:div>
          </w:divsChild>
        </w:div>
        <w:div w:id="1185361147">
          <w:marLeft w:val="0"/>
          <w:marRight w:val="0"/>
          <w:marTop w:val="0"/>
          <w:marBottom w:val="0"/>
          <w:divBdr>
            <w:top w:val="none" w:sz="0" w:space="0" w:color="auto"/>
            <w:left w:val="none" w:sz="0" w:space="0" w:color="auto"/>
            <w:bottom w:val="none" w:sz="0" w:space="0" w:color="auto"/>
            <w:right w:val="none" w:sz="0" w:space="0" w:color="auto"/>
          </w:divBdr>
          <w:divsChild>
            <w:div w:id="139004323">
              <w:marLeft w:val="0"/>
              <w:marRight w:val="0"/>
              <w:marTop w:val="0"/>
              <w:marBottom w:val="0"/>
              <w:divBdr>
                <w:top w:val="none" w:sz="0" w:space="0" w:color="auto"/>
                <w:left w:val="none" w:sz="0" w:space="0" w:color="auto"/>
                <w:bottom w:val="none" w:sz="0" w:space="0" w:color="auto"/>
                <w:right w:val="none" w:sz="0" w:space="0" w:color="auto"/>
              </w:divBdr>
            </w:div>
          </w:divsChild>
        </w:div>
        <w:div w:id="1187212557">
          <w:marLeft w:val="0"/>
          <w:marRight w:val="0"/>
          <w:marTop w:val="0"/>
          <w:marBottom w:val="0"/>
          <w:divBdr>
            <w:top w:val="none" w:sz="0" w:space="0" w:color="auto"/>
            <w:left w:val="none" w:sz="0" w:space="0" w:color="auto"/>
            <w:bottom w:val="none" w:sz="0" w:space="0" w:color="auto"/>
            <w:right w:val="none" w:sz="0" w:space="0" w:color="auto"/>
          </w:divBdr>
          <w:divsChild>
            <w:div w:id="1750810113">
              <w:marLeft w:val="0"/>
              <w:marRight w:val="0"/>
              <w:marTop w:val="0"/>
              <w:marBottom w:val="0"/>
              <w:divBdr>
                <w:top w:val="none" w:sz="0" w:space="0" w:color="auto"/>
                <w:left w:val="none" w:sz="0" w:space="0" w:color="auto"/>
                <w:bottom w:val="none" w:sz="0" w:space="0" w:color="auto"/>
                <w:right w:val="none" w:sz="0" w:space="0" w:color="auto"/>
              </w:divBdr>
            </w:div>
          </w:divsChild>
        </w:div>
        <w:div w:id="1193957993">
          <w:marLeft w:val="0"/>
          <w:marRight w:val="0"/>
          <w:marTop w:val="0"/>
          <w:marBottom w:val="0"/>
          <w:divBdr>
            <w:top w:val="none" w:sz="0" w:space="0" w:color="auto"/>
            <w:left w:val="none" w:sz="0" w:space="0" w:color="auto"/>
            <w:bottom w:val="none" w:sz="0" w:space="0" w:color="auto"/>
            <w:right w:val="none" w:sz="0" w:space="0" w:color="auto"/>
          </w:divBdr>
          <w:divsChild>
            <w:div w:id="313917659">
              <w:marLeft w:val="0"/>
              <w:marRight w:val="0"/>
              <w:marTop w:val="0"/>
              <w:marBottom w:val="0"/>
              <w:divBdr>
                <w:top w:val="none" w:sz="0" w:space="0" w:color="auto"/>
                <w:left w:val="none" w:sz="0" w:space="0" w:color="auto"/>
                <w:bottom w:val="none" w:sz="0" w:space="0" w:color="auto"/>
                <w:right w:val="none" w:sz="0" w:space="0" w:color="auto"/>
              </w:divBdr>
            </w:div>
          </w:divsChild>
        </w:div>
        <w:div w:id="1206914124">
          <w:marLeft w:val="0"/>
          <w:marRight w:val="0"/>
          <w:marTop w:val="0"/>
          <w:marBottom w:val="0"/>
          <w:divBdr>
            <w:top w:val="none" w:sz="0" w:space="0" w:color="auto"/>
            <w:left w:val="none" w:sz="0" w:space="0" w:color="auto"/>
            <w:bottom w:val="none" w:sz="0" w:space="0" w:color="auto"/>
            <w:right w:val="none" w:sz="0" w:space="0" w:color="auto"/>
          </w:divBdr>
          <w:divsChild>
            <w:div w:id="2028554717">
              <w:marLeft w:val="0"/>
              <w:marRight w:val="0"/>
              <w:marTop w:val="0"/>
              <w:marBottom w:val="0"/>
              <w:divBdr>
                <w:top w:val="none" w:sz="0" w:space="0" w:color="auto"/>
                <w:left w:val="none" w:sz="0" w:space="0" w:color="auto"/>
                <w:bottom w:val="none" w:sz="0" w:space="0" w:color="auto"/>
                <w:right w:val="none" w:sz="0" w:space="0" w:color="auto"/>
              </w:divBdr>
            </w:div>
          </w:divsChild>
        </w:div>
        <w:div w:id="1211302336">
          <w:marLeft w:val="0"/>
          <w:marRight w:val="0"/>
          <w:marTop w:val="0"/>
          <w:marBottom w:val="0"/>
          <w:divBdr>
            <w:top w:val="none" w:sz="0" w:space="0" w:color="auto"/>
            <w:left w:val="none" w:sz="0" w:space="0" w:color="auto"/>
            <w:bottom w:val="none" w:sz="0" w:space="0" w:color="auto"/>
            <w:right w:val="none" w:sz="0" w:space="0" w:color="auto"/>
          </w:divBdr>
          <w:divsChild>
            <w:div w:id="1183739400">
              <w:marLeft w:val="0"/>
              <w:marRight w:val="0"/>
              <w:marTop w:val="0"/>
              <w:marBottom w:val="0"/>
              <w:divBdr>
                <w:top w:val="none" w:sz="0" w:space="0" w:color="auto"/>
                <w:left w:val="none" w:sz="0" w:space="0" w:color="auto"/>
                <w:bottom w:val="none" w:sz="0" w:space="0" w:color="auto"/>
                <w:right w:val="none" w:sz="0" w:space="0" w:color="auto"/>
              </w:divBdr>
            </w:div>
          </w:divsChild>
        </w:div>
        <w:div w:id="1216505508">
          <w:marLeft w:val="0"/>
          <w:marRight w:val="0"/>
          <w:marTop w:val="0"/>
          <w:marBottom w:val="0"/>
          <w:divBdr>
            <w:top w:val="none" w:sz="0" w:space="0" w:color="auto"/>
            <w:left w:val="none" w:sz="0" w:space="0" w:color="auto"/>
            <w:bottom w:val="none" w:sz="0" w:space="0" w:color="auto"/>
            <w:right w:val="none" w:sz="0" w:space="0" w:color="auto"/>
          </w:divBdr>
          <w:divsChild>
            <w:div w:id="367684931">
              <w:marLeft w:val="0"/>
              <w:marRight w:val="0"/>
              <w:marTop w:val="0"/>
              <w:marBottom w:val="0"/>
              <w:divBdr>
                <w:top w:val="none" w:sz="0" w:space="0" w:color="auto"/>
                <w:left w:val="none" w:sz="0" w:space="0" w:color="auto"/>
                <w:bottom w:val="none" w:sz="0" w:space="0" w:color="auto"/>
                <w:right w:val="none" w:sz="0" w:space="0" w:color="auto"/>
              </w:divBdr>
            </w:div>
          </w:divsChild>
        </w:div>
        <w:div w:id="1224412153">
          <w:marLeft w:val="0"/>
          <w:marRight w:val="0"/>
          <w:marTop w:val="0"/>
          <w:marBottom w:val="0"/>
          <w:divBdr>
            <w:top w:val="none" w:sz="0" w:space="0" w:color="auto"/>
            <w:left w:val="none" w:sz="0" w:space="0" w:color="auto"/>
            <w:bottom w:val="none" w:sz="0" w:space="0" w:color="auto"/>
            <w:right w:val="none" w:sz="0" w:space="0" w:color="auto"/>
          </w:divBdr>
          <w:divsChild>
            <w:div w:id="108204375">
              <w:marLeft w:val="0"/>
              <w:marRight w:val="0"/>
              <w:marTop w:val="0"/>
              <w:marBottom w:val="0"/>
              <w:divBdr>
                <w:top w:val="none" w:sz="0" w:space="0" w:color="auto"/>
                <w:left w:val="none" w:sz="0" w:space="0" w:color="auto"/>
                <w:bottom w:val="none" w:sz="0" w:space="0" w:color="auto"/>
                <w:right w:val="none" w:sz="0" w:space="0" w:color="auto"/>
              </w:divBdr>
            </w:div>
          </w:divsChild>
        </w:div>
        <w:div w:id="1226844118">
          <w:marLeft w:val="0"/>
          <w:marRight w:val="0"/>
          <w:marTop w:val="0"/>
          <w:marBottom w:val="0"/>
          <w:divBdr>
            <w:top w:val="none" w:sz="0" w:space="0" w:color="auto"/>
            <w:left w:val="none" w:sz="0" w:space="0" w:color="auto"/>
            <w:bottom w:val="none" w:sz="0" w:space="0" w:color="auto"/>
            <w:right w:val="none" w:sz="0" w:space="0" w:color="auto"/>
          </w:divBdr>
          <w:divsChild>
            <w:div w:id="1417239343">
              <w:marLeft w:val="0"/>
              <w:marRight w:val="0"/>
              <w:marTop w:val="0"/>
              <w:marBottom w:val="0"/>
              <w:divBdr>
                <w:top w:val="none" w:sz="0" w:space="0" w:color="auto"/>
                <w:left w:val="none" w:sz="0" w:space="0" w:color="auto"/>
                <w:bottom w:val="none" w:sz="0" w:space="0" w:color="auto"/>
                <w:right w:val="none" w:sz="0" w:space="0" w:color="auto"/>
              </w:divBdr>
            </w:div>
          </w:divsChild>
        </w:div>
        <w:div w:id="1235435947">
          <w:marLeft w:val="0"/>
          <w:marRight w:val="0"/>
          <w:marTop w:val="0"/>
          <w:marBottom w:val="0"/>
          <w:divBdr>
            <w:top w:val="none" w:sz="0" w:space="0" w:color="auto"/>
            <w:left w:val="none" w:sz="0" w:space="0" w:color="auto"/>
            <w:bottom w:val="none" w:sz="0" w:space="0" w:color="auto"/>
            <w:right w:val="none" w:sz="0" w:space="0" w:color="auto"/>
          </w:divBdr>
          <w:divsChild>
            <w:div w:id="1687171351">
              <w:marLeft w:val="0"/>
              <w:marRight w:val="0"/>
              <w:marTop w:val="0"/>
              <w:marBottom w:val="0"/>
              <w:divBdr>
                <w:top w:val="none" w:sz="0" w:space="0" w:color="auto"/>
                <w:left w:val="none" w:sz="0" w:space="0" w:color="auto"/>
                <w:bottom w:val="none" w:sz="0" w:space="0" w:color="auto"/>
                <w:right w:val="none" w:sz="0" w:space="0" w:color="auto"/>
              </w:divBdr>
            </w:div>
          </w:divsChild>
        </w:div>
        <w:div w:id="1237741226">
          <w:marLeft w:val="0"/>
          <w:marRight w:val="0"/>
          <w:marTop w:val="0"/>
          <w:marBottom w:val="0"/>
          <w:divBdr>
            <w:top w:val="none" w:sz="0" w:space="0" w:color="auto"/>
            <w:left w:val="none" w:sz="0" w:space="0" w:color="auto"/>
            <w:bottom w:val="none" w:sz="0" w:space="0" w:color="auto"/>
            <w:right w:val="none" w:sz="0" w:space="0" w:color="auto"/>
          </w:divBdr>
          <w:divsChild>
            <w:div w:id="160778507">
              <w:marLeft w:val="0"/>
              <w:marRight w:val="0"/>
              <w:marTop w:val="0"/>
              <w:marBottom w:val="0"/>
              <w:divBdr>
                <w:top w:val="none" w:sz="0" w:space="0" w:color="auto"/>
                <w:left w:val="none" w:sz="0" w:space="0" w:color="auto"/>
                <w:bottom w:val="none" w:sz="0" w:space="0" w:color="auto"/>
                <w:right w:val="none" w:sz="0" w:space="0" w:color="auto"/>
              </w:divBdr>
            </w:div>
          </w:divsChild>
        </w:div>
        <w:div w:id="1252204084">
          <w:marLeft w:val="0"/>
          <w:marRight w:val="0"/>
          <w:marTop w:val="0"/>
          <w:marBottom w:val="0"/>
          <w:divBdr>
            <w:top w:val="none" w:sz="0" w:space="0" w:color="auto"/>
            <w:left w:val="none" w:sz="0" w:space="0" w:color="auto"/>
            <w:bottom w:val="none" w:sz="0" w:space="0" w:color="auto"/>
            <w:right w:val="none" w:sz="0" w:space="0" w:color="auto"/>
          </w:divBdr>
          <w:divsChild>
            <w:div w:id="2064593839">
              <w:marLeft w:val="0"/>
              <w:marRight w:val="0"/>
              <w:marTop w:val="0"/>
              <w:marBottom w:val="0"/>
              <w:divBdr>
                <w:top w:val="none" w:sz="0" w:space="0" w:color="auto"/>
                <w:left w:val="none" w:sz="0" w:space="0" w:color="auto"/>
                <w:bottom w:val="none" w:sz="0" w:space="0" w:color="auto"/>
                <w:right w:val="none" w:sz="0" w:space="0" w:color="auto"/>
              </w:divBdr>
            </w:div>
          </w:divsChild>
        </w:div>
        <w:div w:id="1264147175">
          <w:marLeft w:val="0"/>
          <w:marRight w:val="0"/>
          <w:marTop w:val="0"/>
          <w:marBottom w:val="0"/>
          <w:divBdr>
            <w:top w:val="none" w:sz="0" w:space="0" w:color="auto"/>
            <w:left w:val="none" w:sz="0" w:space="0" w:color="auto"/>
            <w:bottom w:val="none" w:sz="0" w:space="0" w:color="auto"/>
            <w:right w:val="none" w:sz="0" w:space="0" w:color="auto"/>
          </w:divBdr>
          <w:divsChild>
            <w:div w:id="658003015">
              <w:marLeft w:val="0"/>
              <w:marRight w:val="0"/>
              <w:marTop w:val="0"/>
              <w:marBottom w:val="0"/>
              <w:divBdr>
                <w:top w:val="none" w:sz="0" w:space="0" w:color="auto"/>
                <w:left w:val="none" w:sz="0" w:space="0" w:color="auto"/>
                <w:bottom w:val="none" w:sz="0" w:space="0" w:color="auto"/>
                <w:right w:val="none" w:sz="0" w:space="0" w:color="auto"/>
              </w:divBdr>
            </w:div>
          </w:divsChild>
        </w:div>
        <w:div w:id="1273367643">
          <w:marLeft w:val="0"/>
          <w:marRight w:val="0"/>
          <w:marTop w:val="0"/>
          <w:marBottom w:val="0"/>
          <w:divBdr>
            <w:top w:val="none" w:sz="0" w:space="0" w:color="auto"/>
            <w:left w:val="none" w:sz="0" w:space="0" w:color="auto"/>
            <w:bottom w:val="none" w:sz="0" w:space="0" w:color="auto"/>
            <w:right w:val="none" w:sz="0" w:space="0" w:color="auto"/>
          </w:divBdr>
          <w:divsChild>
            <w:div w:id="1907378336">
              <w:marLeft w:val="0"/>
              <w:marRight w:val="0"/>
              <w:marTop w:val="0"/>
              <w:marBottom w:val="0"/>
              <w:divBdr>
                <w:top w:val="none" w:sz="0" w:space="0" w:color="auto"/>
                <w:left w:val="none" w:sz="0" w:space="0" w:color="auto"/>
                <w:bottom w:val="none" w:sz="0" w:space="0" w:color="auto"/>
                <w:right w:val="none" w:sz="0" w:space="0" w:color="auto"/>
              </w:divBdr>
            </w:div>
          </w:divsChild>
        </w:div>
        <w:div w:id="1276867989">
          <w:marLeft w:val="0"/>
          <w:marRight w:val="0"/>
          <w:marTop w:val="0"/>
          <w:marBottom w:val="0"/>
          <w:divBdr>
            <w:top w:val="none" w:sz="0" w:space="0" w:color="auto"/>
            <w:left w:val="none" w:sz="0" w:space="0" w:color="auto"/>
            <w:bottom w:val="none" w:sz="0" w:space="0" w:color="auto"/>
            <w:right w:val="none" w:sz="0" w:space="0" w:color="auto"/>
          </w:divBdr>
          <w:divsChild>
            <w:div w:id="1630479608">
              <w:marLeft w:val="0"/>
              <w:marRight w:val="0"/>
              <w:marTop w:val="0"/>
              <w:marBottom w:val="0"/>
              <w:divBdr>
                <w:top w:val="none" w:sz="0" w:space="0" w:color="auto"/>
                <w:left w:val="none" w:sz="0" w:space="0" w:color="auto"/>
                <w:bottom w:val="none" w:sz="0" w:space="0" w:color="auto"/>
                <w:right w:val="none" w:sz="0" w:space="0" w:color="auto"/>
              </w:divBdr>
            </w:div>
          </w:divsChild>
        </w:div>
        <w:div w:id="1288312543">
          <w:marLeft w:val="0"/>
          <w:marRight w:val="0"/>
          <w:marTop w:val="0"/>
          <w:marBottom w:val="0"/>
          <w:divBdr>
            <w:top w:val="none" w:sz="0" w:space="0" w:color="auto"/>
            <w:left w:val="none" w:sz="0" w:space="0" w:color="auto"/>
            <w:bottom w:val="none" w:sz="0" w:space="0" w:color="auto"/>
            <w:right w:val="none" w:sz="0" w:space="0" w:color="auto"/>
          </w:divBdr>
          <w:divsChild>
            <w:div w:id="758525050">
              <w:marLeft w:val="0"/>
              <w:marRight w:val="0"/>
              <w:marTop w:val="0"/>
              <w:marBottom w:val="0"/>
              <w:divBdr>
                <w:top w:val="none" w:sz="0" w:space="0" w:color="auto"/>
                <w:left w:val="none" w:sz="0" w:space="0" w:color="auto"/>
                <w:bottom w:val="none" w:sz="0" w:space="0" w:color="auto"/>
                <w:right w:val="none" w:sz="0" w:space="0" w:color="auto"/>
              </w:divBdr>
            </w:div>
          </w:divsChild>
        </w:div>
        <w:div w:id="1290939489">
          <w:marLeft w:val="0"/>
          <w:marRight w:val="0"/>
          <w:marTop w:val="0"/>
          <w:marBottom w:val="0"/>
          <w:divBdr>
            <w:top w:val="none" w:sz="0" w:space="0" w:color="auto"/>
            <w:left w:val="none" w:sz="0" w:space="0" w:color="auto"/>
            <w:bottom w:val="none" w:sz="0" w:space="0" w:color="auto"/>
            <w:right w:val="none" w:sz="0" w:space="0" w:color="auto"/>
          </w:divBdr>
          <w:divsChild>
            <w:div w:id="1244797539">
              <w:marLeft w:val="0"/>
              <w:marRight w:val="0"/>
              <w:marTop w:val="0"/>
              <w:marBottom w:val="0"/>
              <w:divBdr>
                <w:top w:val="none" w:sz="0" w:space="0" w:color="auto"/>
                <w:left w:val="none" w:sz="0" w:space="0" w:color="auto"/>
                <w:bottom w:val="none" w:sz="0" w:space="0" w:color="auto"/>
                <w:right w:val="none" w:sz="0" w:space="0" w:color="auto"/>
              </w:divBdr>
            </w:div>
          </w:divsChild>
        </w:div>
        <w:div w:id="1293710915">
          <w:marLeft w:val="0"/>
          <w:marRight w:val="0"/>
          <w:marTop w:val="0"/>
          <w:marBottom w:val="0"/>
          <w:divBdr>
            <w:top w:val="none" w:sz="0" w:space="0" w:color="auto"/>
            <w:left w:val="none" w:sz="0" w:space="0" w:color="auto"/>
            <w:bottom w:val="none" w:sz="0" w:space="0" w:color="auto"/>
            <w:right w:val="none" w:sz="0" w:space="0" w:color="auto"/>
          </w:divBdr>
          <w:divsChild>
            <w:div w:id="1517887532">
              <w:marLeft w:val="0"/>
              <w:marRight w:val="0"/>
              <w:marTop w:val="0"/>
              <w:marBottom w:val="0"/>
              <w:divBdr>
                <w:top w:val="none" w:sz="0" w:space="0" w:color="auto"/>
                <w:left w:val="none" w:sz="0" w:space="0" w:color="auto"/>
                <w:bottom w:val="none" w:sz="0" w:space="0" w:color="auto"/>
                <w:right w:val="none" w:sz="0" w:space="0" w:color="auto"/>
              </w:divBdr>
            </w:div>
          </w:divsChild>
        </w:div>
        <w:div w:id="1295451102">
          <w:marLeft w:val="0"/>
          <w:marRight w:val="0"/>
          <w:marTop w:val="0"/>
          <w:marBottom w:val="0"/>
          <w:divBdr>
            <w:top w:val="none" w:sz="0" w:space="0" w:color="auto"/>
            <w:left w:val="none" w:sz="0" w:space="0" w:color="auto"/>
            <w:bottom w:val="none" w:sz="0" w:space="0" w:color="auto"/>
            <w:right w:val="none" w:sz="0" w:space="0" w:color="auto"/>
          </w:divBdr>
          <w:divsChild>
            <w:div w:id="44449175">
              <w:marLeft w:val="0"/>
              <w:marRight w:val="0"/>
              <w:marTop w:val="0"/>
              <w:marBottom w:val="0"/>
              <w:divBdr>
                <w:top w:val="none" w:sz="0" w:space="0" w:color="auto"/>
                <w:left w:val="none" w:sz="0" w:space="0" w:color="auto"/>
                <w:bottom w:val="none" w:sz="0" w:space="0" w:color="auto"/>
                <w:right w:val="none" w:sz="0" w:space="0" w:color="auto"/>
              </w:divBdr>
            </w:div>
            <w:div w:id="1363241733">
              <w:marLeft w:val="0"/>
              <w:marRight w:val="0"/>
              <w:marTop w:val="0"/>
              <w:marBottom w:val="0"/>
              <w:divBdr>
                <w:top w:val="none" w:sz="0" w:space="0" w:color="auto"/>
                <w:left w:val="none" w:sz="0" w:space="0" w:color="auto"/>
                <w:bottom w:val="none" w:sz="0" w:space="0" w:color="auto"/>
                <w:right w:val="none" w:sz="0" w:space="0" w:color="auto"/>
              </w:divBdr>
            </w:div>
          </w:divsChild>
        </w:div>
        <w:div w:id="1296327665">
          <w:marLeft w:val="0"/>
          <w:marRight w:val="0"/>
          <w:marTop w:val="0"/>
          <w:marBottom w:val="0"/>
          <w:divBdr>
            <w:top w:val="none" w:sz="0" w:space="0" w:color="auto"/>
            <w:left w:val="none" w:sz="0" w:space="0" w:color="auto"/>
            <w:bottom w:val="none" w:sz="0" w:space="0" w:color="auto"/>
            <w:right w:val="none" w:sz="0" w:space="0" w:color="auto"/>
          </w:divBdr>
          <w:divsChild>
            <w:div w:id="1529491171">
              <w:marLeft w:val="0"/>
              <w:marRight w:val="0"/>
              <w:marTop w:val="0"/>
              <w:marBottom w:val="0"/>
              <w:divBdr>
                <w:top w:val="none" w:sz="0" w:space="0" w:color="auto"/>
                <w:left w:val="none" w:sz="0" w:space="0" w:color="auto"/>
                <w:bottom w:val="none" w:sz="0" w:space="0" w:color="auto"/>
                <w:right w:val="none" w:sz="0" w:space="0" w:color="auto"/>
              </w:divBdr>
            </w:div>
          </w:divsChild>
        </w:div>
        <w:div w:id="1299913506">
          <w:marLeft w:val="0"/>
          <w:marRight w:val="0"/>
          <w:marTop w:val="0"/>
          <w:marBottom w:val="0"/>
          <w:divBdr>
            <w:top w:val="none" w:sz="0" w:space="0" w:color="auto"/>
            <w:left w:val="none" w:sz="0" w:space="0" w:color="auto"/>
            <w:bottom w:val="none" w:sz="0" w:space="0" w:color="auto"/>
            <w:right w:val="none" w:sz="0" w:space="0" w:color="auto"/>
          </w:divBdr>
          <w:divsChild>
            <w:div w:id="140342879">
              <w:marLeft w:val="0"/>
              <w:marRight w:val="0"/>
              <w:marTop w:val="0"/>
              <w:marBottom w:val="0"/>
              <w:divBdr>
                <w:top w:val="none" w:sz="0" w:space="0" w:color="auto"/>
                <w:left w:val="none" w:sz="0" w:space="0" w:color="auto"/>
                <w:bottom w:val="none" w:sz="0" w:space="0" w:color="auto"/>
                <w:right w:val="none" w:sz="0" w:space="0" w:color="auto"/>
              </w:divBdr>
            </w:div>
          </w:divsChild>
        </w:div>
        <w:div w:id="1300962848">
          <w:marLeft w:val="0"/>
          <w:marRight w:val="0"/>
          <w:marTop w:val="0"/>
          <w:marBottom w:val="0"/>
          <w:divBdr>
            <w:top w:val="none" w:sz="0" w:space="0" w:color="auto"/>
            <w:left w:val="none" w:sz="0" w:space="0" w:color="auto"/>
            <w:bottom w:val="none" w:sz="0" w:space="0" w:color="auto"/>
            <w:right w:val="none" w:sz="0" w:space="0" w:color="auto"/>
          </w:divBdr>
          <w:divsChild>
            <w:div w:id="409693447">
              <w:marLeft w:val="0"/>
              <w:marRight w:val="0"/>
              <w:marTop w:val="0"/>
              <w:marBottom w:val="0"/>
              <w:divBdr>
                <w:top w:val="none" w:sz="0" w:space="0" w:color="auto"/>
                <w:left w:val="none" w:sz="0" w:space="0" w:color="auto"/>
                <w:bottom w:val="none" w:sz="0" w:space="0" w:color="auto"/>
                <w:right w:val="none" w:sz="0" w:space="0" w:color="auto"/>
              </w:divBdr>
            </w:div>
          </w:divsChild>
        </w:div>
        <w:div w:id="1333990333">
          <w:marLeft w:val="0"/>
          <w:marRight w:val="0"/>
          <w:marTop w:val="0"/>
          <w:marBottom w:val="0"/>
          <w:divBdr>
            <w:top w:val="none" w:sz="0" w:space="0" w:color="auto"/>
            <w:left w:val="none" w:sz="0" w:space="0" w:color="auto"/>
            <w:bottom w:val="none" w:sz="0" w:space="0" w:color="auto"/>
            <w:right w:val="none" w:sz="0" w:space="0" w:color="auto"/>
          </w:divBdr>
          <w:divsChild>
            <w:div w:id="378238883">
              <w:marLeft w:val="0"/>
              <w:marRight w:val="0"/>
              <w:marTop w:val="0"/>
              <w:marBottom w:val="0"/>
              <w:divBdr>
                <w:top w:val="none" w:sz="0" w:space="0" w:color="auto"/>
                <w:left w:val="none" w:sz="0" w:space="0" w:color="auto"/>
                <w:bottom w:val="none" w:sz="0" w:space="0" w:color="auto"/>
                <w:right w:val="none" w:sz="0" w:space="0" w:color="auto"/>
              </w:divBdr>
            </w:div>
          </w:divsChild>
        </w:div>
        <w:div w:id="1341784479">
          <w:marLeft w:val="0"/>
          <w:marRight w:val="0"/>
          <w:marTop w:val="0"/>
          <w:marBottom w:val="0"/>
          <w:divBdr>
            <w:top w:val="none" w:sz="0" w:space="0" w:color="auto"/>
            <w:left w:val="none" w:sz="0" w:space="0" w:color="auto"/>
            <w:bottom w:val="none" w:sz="0" w:space="0" w:color="auto"/>
            <w:right w:val="none" w:sz="0" w:space="0" w:color="auto"/>
          </w:divBdr>
          <w:divsChild>
            <w:div w:id="1079404613">
              <w:marLeft w:val="0"/>
              <w:marRight w:val="0"/>
              <w:marTop w:val="0"/>
              <w:marBottom w:val="0"/>
              <w:divBdr>
                <w:top w:val="none" w:sz="0" w:space="0" w:color="auto"/>
                <w:left w:val="none" w:sz="0" w:space="0" w:color="auto"/>
                <w:bottom w:val="none" w:sz="0" w:space="0" w:color="auto"/>
                <w:right w:val="none" w:sz="0" w:space="0" w:color="auto"/>
              </w:divBdr>
            </w:div>
          </w:divsChild>
        </w:div>
        <w:div w:id="1348285368">
          <w:marLeft w:val="0"/>
          <w:marRight w:val="0"/>
          <w:marTop w:val="0"/>
          <w:marBottom w:val="0"/>
          <w:divBdr>
            <w:top w:val="none" w:sz="0" w:space="0" w:color="auto"/>
            <w:left w:val="none" w:sz="0" w:space="0" w:color="auto"/>
            <w:bottom w:val="none" w:sz="0" w:space="0" w:color="auto"/>
            <w:right w:val="none" w:sz="0" w:space="0" w:color="auto"/>
          </w:divBdr>
          <w:divsChild>
            <w:div w:id="997613917">
              <w:marLeft w:val="0"/>
              <w:marRight w:val="0"/>
              <w:marTop w:val="0"/>
              <w:marBottom w:val="0"/>
              <w:divBdr>
                <w:top w:val="none" w:sz="0" w:space="0" w:color="auto"/>
                <w:left w:val="none" w:sz="0" w:space="0" w:color="auto"/>
                <w:bottom w:val="none" w:sz="0" w:space="0" w:color="auto"/>
                <w:right w:val="none" w:sz="0" w:space="0" w:color="auto"/>
              </w:divBdr>
            </w:div>
          </w:divsChild>
        </w:div>
        <w:div w:id="1349216792">
          <w:marLeft w:val="0"/>
          <w:marRight w:val="0"/>
          <w:marTop w:val="0"/>
          <w:marBottom w:val="0"/>
          <w:divBdr>
            <w:top w:val="none" w:sz="0" w:space="0" w:color="auto"/>
            <w:left w:val="none" w:sz="0" w:space="0" w:color="auto"/>
            <w:bottom w:val="none" w:sz="0" w:space="0" w:color="auto"/>
            <w:right w:val="none" w:sz="0" w:space="0" w:color="auto"/>
          </w:divBdr>
          <w:divsChild>
            <w:div w:id="1692875392">
              <w:marLeft w:val="0"/>
              <w:marRight w:val="0"/>
              <w:marTop w:val="0"/>
              <w:marBottom w:val="0"/>
              <w:divBdr>
                <w:top w:val="none" w:sz="0" w:space="0" w:color="auto"/>
                <w:left w:val="none" w:sz="0" w:space="0" w:color="auto"/>
                <w:bottom w:val="none" w:sz="0" w:space="0" w:color="auto"/>
                <w:right w:val="none" w:sz="0" w:space="0" w:color="auto"/>
              </w:divBdr>
            </w:div>
          </w:divsChild>
        </w:div>
        <w:div w:id="1353023463">
          <w:marLeft w:val="0"/>
          <w:marRight w:val="0"/>
          <w:marTop w:val="0"/>
          <w:marBottom w:val="0"/>
          <w:divBdr>
            <w:top w:val="none" w:sz="0" w:space="0" w:color="auto"/>
            <w:left w:val="none" w:sz="0" w:space="0" w:color="auto"/>
            <w:bottom w:val="none" w:sz="0" w:space="0" w:color="auto"/>
            <w:right w:val="none" w:sz="0" w:space="0" w:color="auto"/>
          </w:divBdr>
          <w:divsChild>
            <w:div w:id="1145194423">
              <w:marLeft w:val="0"/>
              <w:marRight w:val="0"/>
              <w:marTop w:val="0"/>
              <w:marBottom w:val="0"/>
              <w:divBdr>
                <w:top w:val="none" w:sz="0" w:space="0" w:color="auto"/>
                <w:left w:val="none" w:sz="0" w:space="0" w:color="auto"/>
                <w:bottom w:val="none" w:sz="0" w:space="0" w:color="auto"/>
                <w:right w:val="none" w:sz="0" w:space="0" w:color="auto"/>
              </w:divBdr>
            </w:div>
          </w:divsChild>
        </w:div>
        <w:div w:id="1354186010">
          <w:marLeft w:val="0"/>
          <w:marRight w:val="0"/>
          <w:marTop w:val="0"/>
          <w:marBottom w:val="0"/>
          <w:divBdr>
            <w:top w:val="none" w:sz="0" w:space="0" w:color="auto"/>
            <w:left w:val="none" w:sz="0" w:space="0" w:color="auto"/>
            <w:bottom w:val="none" w:sz="0" w:space="0" w:color="auto"/>
            <w:right w:val="none" w:sz="0" w:space="0" w:color="auto"/>
          </w:divBdr>
          <w:divsChild>
            <w:div w:id="1951157162">
              <w:marLeft w:val="0"/>
              <w:marRight w:val="0"/>
              <w:marTop w:val="0"/>
              <w:marBottom w:val="0"/>
              <w:divBdr>
                <w:top w:val="none" w:sz="0" w:space="0" w:color="auto"/>
                <w:left w:val="none" w:sz="0" w:space="0" w:color="auto"/>
                <w:bottom w:val="none" w:sz="0" w:space="0" w:color="auto"/>
                <w:right w:val="none" w:sz="0" w:space="0" w:color="auto"/>
              </w:divBdr>
            </w:div>
          </w:divsChild>
        </w:div>
        <w:div w:id="1361781466">
          <w:marLeft w:val="0"/>
          <w:marRight w:val="0"/>
          <w:marTop w:val="0"/>
          <w:marBottom w:val="0"/>
          <w:divBdr>
            <w:top w:val="none" w:sz="0" w:space="0" w:color="auto"/>
            <w:left w:val="none" w:sz="0" w:space="0" w:color="auto"/>
            <w:bottom w:val="none" w:sz="0" w:space="0" w:color="auto"/>
            <w:right w:val="none" w:sz="0" w:space="0" w:color="auto"/>
          </w:divBdr>
          <w:divsChild>
            <w:div w:id="372465739">
              <w:marLeft w:val="0"/>
              <w:marRight w:val="0"/>
              <w:marTop w:val="0"/>
              <w:marBottom w:val="0"/>
              <w:divBdr>
                <w:top w:val="none" w:sz="0" w:space="0" w:color="auto"/>
                <w:left w:val="none" w:sz="0" w:space="0" w:color="auto"/>
                <w:bottom w:val="none" w:sz="0" w:space="0" w:color="auto"/>
                <w:right w:val="none" w:sz="0" w:space="0" w:color="auto"/>
              </w:divBdr>
            </w:div>
            <w:div w:id="672490842">
              <w:marLeft w:val="0"/>
              <w:marRight w:val="0"/>
              <w:marTop w:val="0"/>
              <w:marBottom w:val="0"/>
              <w:divBdr>
                <w:top w:val="none" w:sz="0" w:space="0" w:color="auto"/>
                <w:left w:val="none" w:sz="0" w:space="0" w:color="auto"/>
                <w:bottom w:val="none" w:sz="0" w:space="0" w:color="auto"/>
                <w:right w:val="none" w:sz="0" w:space="0" w:color="auto"/>
              </w:divBdr>
            </w:div>
            <w:div w:id="1345595829">
              <w:marLeft w:val="0"/>
              <w:marRight w:val="0"/>
              <w:marTop w:val="0"/>
              <w:marBottom w:val="0"/>
              <w:divBdr>
                <w:top w:val="none" w:sz="0" w:space="0" w:color="auto"/>
                <w:left w:val="none" w:sz="0" w:space="0" w:color="auto"/>
                <w:bottom w:val="none" w:sz="0" w:space="0" w:color="auto"/>
                <w:right w:val="none" w:sz="0" w:space="0" w:color="auto"/>
              </w:divBdr>
            </w:div>
            <w:div w:id="1588536238">
              <w:marLeft w:val="0"/>
              <w:marRight w:val="0"/>
              <w:marTop w:val="0"/>
              <w:marBottom w:val="0"/>
              <w:divBdr>
                <w:top w:val="none" w:sz="0" w:space="0" w:color="auto"/>
                <w:left w:val="none" w:sz="0" w:space="0" w:color="auto"/>
                <w:bottom w:val="none" w:sz="0" w:space="0" w:color="auto"/>
                <w:right w:val="none" w:sz="0" w:space="0" w:color="auto"/>
              </w:divBdr>
            </w:div>
          </w:divsChild>
        </w:div>
        <w:div w:id="1364747468">
          <w:marLeft w:val="0"/>
          <w:marRight w:val="0"/>
          <w:marTop w:val="0"/>
          <w:marBottom w:val="0"/>
          <w:divBdr>
            <w:top w:val="none" w:sz="0" w:space="0" w:color="auto"/>
            <w:left w:val="none" w:sz="0" w:space="0" w:color="auto"/>
            <w:bottom w:val="none" w:sz="0" w:space="0" w:color="auto"/>
            <w:right w:val="none" w:sz="0" w:space="0" w:color="auto"/>
          </w:divBdr>
          <w:divsChild>
            <w:div w:id="251276884">
              <w:marLeft w:val="0"/>
              <w:marRight w:val="0"/>
              <w:marTop w:val="0"/>
              <w:marBottom w:val="0"/>
              <w:divBdr>
                <w:top w:val="none" w:sz="0" w:space="0" w:color="auto"/>
                <w:left w:val="none" w:sz="0" w:space="0" w:color="auto"/>
                <w:bottom w:val="none" w:sz="0" w:space="0" w:color="auto"/>
                <w:right w:val="none" w:sz="0" w:space="0" w:color="auto"/>
              </w:divBdr>
            </w:div>
          </w:divsChild>
        </w:div>
        <w:div w:id="1371953019">
          <w:marLeft w:val="0"/>
          <w:marRight w:val="0"/>
          <w:marTop w:val="0"/>
          <w:marBottom w:val="0"/>
          <w:divBdr>
            <w:top w:val="none" w:sz="0" w:space="0" w:color="auto"/>
            <w:left w:val="none" w:sz="0" w:space="0" w:color="auto"/>
            <w:bottom w:val="none" w:sz="0" w:space="0" w:color="auto"/>
            <w:right w:val="none" w:sz="0" w:space="0" w:color="auto"/>
          </w:divBdr>
          <w:divsChild>
            <w:div w:id="358315045">
              <w:marLeft w:val="0"/>
              <w:marRight w:val="0"/>
              <w:marTop w:val="0"/>
              <w:marBottom w:val="0"/>
              <w:divBdr>
                <w:top w:val="none" w:sz="0" w:space="0" w:color="auto"/>
                <w:left w:val="none" w:sz="0" w:space="0" w:color="auto"/>
                <w:bottom w:val="none" w:sz="0" w:space="0" w:color="auto"/>
                <w:right w:val="none" w:sz="0" w:space="0" w:color="auto"/>
              </w:divBdr>
            </w:div>
          </w:divsChild>
        </w:div>
        <w:div w:id="1379547434">
          <w:marLeft w:val="0"/>
          <w:marRight w:val="0"/>
          <w:marTop w:val="0"/>
          <w:marBottom w:val="0"/>
          <w:divBdr>
            <w:top w:val="none" w:sz="0" w:space="0" w:color="auto"/>
            <w:left w:val="none" w:sz="0" w:space="0" w:color="auto"/>
            <w:bottom w:val="none" w:sz="0" w:space="0" w:color="auto"/>
            <w:right w:val="none" w:sz="0" w:space="0" w:color="auto"/>
          </w:divBdr>
          <w:divsChild>
            <w:div w:id="935869239">
              <w:marLeft w:val="0"/>
              <w:marRight w:val="0"/>
              <w:marTop w:val="0"/>
              <w:marBottom w:val="0"/>
              <w:divBdr>
                <w:top w:val="none" w:sz="0" w:space="0" w:color="auto"/>
                <w:left w:val="none" w:sz="0" w:space="0" w:color="auto"/>
                <w:bottom w:val="none" w:sz="0" w:space="0" w:color="auto"/>
                <w:right w:val="none" w:sz="0" w:space="0" w:color="auto"/>
              </w:divBdr>
            </w:div>
          </w:divsChild>
        </w:div>
        <w:div w:id="1390226619">
          <w:marLeft w:val="0"/>
          <w:marRight w:val="0"/>
          <w:marTop w:val="0"/>
          <w:marBottom w:val="0"/>
          <w:divBdr>
            <w:top w:val="none" w:sz="0" w:space="0" w:color="auto"/>
            <w:left w:val="none" w:sz="0" w:space="0" w:color="auto"/>
            <w:bottom w:val="none" w:sz="0" w:space="0" w:color="auto"/>
            <w:right w:val="none" w:sz="0" w:space="0" w:color="auto"/>
          </w:divBdr>
          <w:divsChild>
            <w:div w:id="300774036">
              <w:marLeft w:val="0"/>
              <w:marRight w:val="0"/>
              <w:marTop w:val="0"/>
              <w:marBottom w:val="0"/>
              <w:divBdr>
                <w:top w:val="none" w:sz="0" w:space="0" w:color="auto"/>
                <w:left w:val="none" w:sz="0" w:space="0" w:color="auto"/>
                <w:bottom w:val="none" w:sz="0" w:space="0" w:color="auto"/>
                <w:right w:val="none" w:sz="0" w:space="0" w:color="auto"/>
              </w:divBdr>
            </w:div>
          </w:divsChild>
        </w:div>
        <w:div w:id="1394623713">
          <w:marLeft w:val="0"/>
          <w:marRight w:val="0"/>
          <w:marTop w:val="0"/>
          <w:marBottom w:val="0"/>
          <w:divBdr>
            <w:top w:val="none" w:sz="0" w:space="0" w:color="auto"/>
            <w:left w:val="none" w:sz="0" w:space="0" w:color="auto"/>
            <w:bottom w:val="none" w:sz="0" w:space="0" w:color="auto"/>
            <w:right w:val="none" w:sz="0" w:space="0" w:color="auto"/>
          </w:divBdr>
          <w:divsChild>
            <w:div w:id="402989924">
              <w:marLeft w:val="0"/>
              <w:marRight w:val="0"/>
              <w:marTop w:val="0"/>
              <w:marBottom w:val="0"/>
              <w:divBdr>
                <w:top w:val="none" w:sz="0" w:space="0" w:color="auto"/>
                <w:left w:val="none" w:sz="0" w:space="0" w:color="auto"/>
                <w:bottom w:val="none" w:sz="0" w:space="0" w:color="auto"/>
                <w:right w:val="none" w:sz="0" w:space="0" w:color="auto"/>
              </w:divBdr>
            </w:div>
          </w:divsChild>
        </w:div>
        <w:div w:id="1405372451">
          <w:marLeft w:val="0"/>
          <w:marRight w:val="0"/>
          <w:marTop w:val="0"/>
          <w:marBottom w:val="0"/>
          <w:divBdr>
            <w:top w:val="none" w:sz="0" w:space="0" w:color="auto"/>
            <w:left w:val="none" w:sz="0" w:space="0" w:color="auto"/>
            <w:bottom w:val="none" w:sz="0" w:space="0" w:color="auto"/>
            <w:right w:val="none" w:sz="0" w:space="0" w:color="auto"/>
          </w:divBdr>
          <w:divsChild>
            <w:div w:id="402725251">
              <w:marLeft w:val="0"/>
              <w:marRight w:val="0"/>
              <w:marTop w:val="0"/>
              <w:marBottom w:val="0"/>
              <w:divBdr>
                <w:top w:val="none" w:sz="0" w:space="0" w:color="auto"/>
                <w:left w:val="none" w:sz="0" w:space="0" w:color="auto"/>
                <w:bottom w:val="none" w:sz="0" w:space="0" w:color="auto"/>
                <w:right w:val="none" w:sz="0" w:space="0" w:color="auto"/>
              </w:divBdr>
            </w:div>
          </w:divsChild>
        </w:div>
        <w:div w:id="1409645253">
          <w:marLeft w:val="0"/>
          <w:marRight w:val="0"/>
          <w:marTop w:val="0"/>
          <w:marBottom w:val="0"/>
          <w:divBdr>
            <w:top w:val="none" w:sz="0" w:space="0" w:color="auto"/>
            <w:left w:val="none" w:sz="0" w:space="0" w:color="auto"/>
            <w:bottom w:val="none" w:sz="0" w:space="0" w:color="auto"/>
            <w:right w:val="none" w:sz="0" w:space="0" w:color="auto"/>
          </w:divBdr>
          <w:divsChild>
            <w:div w:id="1733387306">
              <w:marLeft w:val="0"/>
              <w:marRight w:val="0"/>
              <w:marTop w:val="0"/>
              <w:marBottom w:val="0"/>
              <w:divBdr>
                <w:top w:val="none" w:sz="0" w:space="0" w:color="auto"/>
                <w:left w:val="none" w:sz="0" w:space="0" w:color="auto"/>
                <w:bottom w:val="none" w:sz="0" w:space="0" w:color="auto"/>
                <w:right w:val="none" w:sz="0" w:space="0" w:color="auto"/>
              </w:divBdr>
            </w:div>
          </w:divsChild>
        </w:div>
        <w:div w:id="1417022185">
          <w:marLeft w:val="0"/>
          <w:marRight w:val="0"/>
          <w:marTop w:val="0"/>
          <w:marBottom w:val="0"/>
          <w:divBdr>
            <w:top w:val="none" w:sz="0" w:space="0" w:color="auto"/>
            <w:left w:val="none" w:sz="0" w:space="0" w:color="auto"/>
            <w:bottom w:val="none" w:sz="0" w:space="0" w:color="auto"/>
            <w:right w:val="none" w:sz="0" w:space="0" w:color="auto"/>
          </w:divBdr>
          <w:divsChild>
            <w:div w:id="1771315491">
              <w:marLeft w:val="0"/>
              <w:marRight w:val="0"/>
              <w:marTop w:val="0"/>
              <w:marBottom w:val="0"/>
              <w:divBdr>
                <w:top w:val="none" w:sz="0" w:space="0" w:color="auto"/>
                <w:left w:val="none" w:sz="0" w:space="0" w:color="auto"/>
                <w:bottom w:val="none" w:sz="0" w:space="0" w:color="auto"/>
                <w:right w:val="none" w:sz="0" w:space="0" w:color="auto"/>
              </w:divBdr>
            </w:div>
          </w:divsChild>
        </w:div>
        <w:div w:id="1425030294">
          <w:marLeft w:val="0"/>
          <w:marRight w:val="0"/>
          <w:marTop w:val="0"/>
          <w:marBottom w:val="0"/>
          <w:divBdr>
            <w:top w:val="none" w:sz="0" w:space="0" w:color="auto"/>
            <w:left w:val="none" w:sz="0" w:space="0" w:color="auto"/>
            <w:bottom w:val="none" w:sz="0" w:space="0" w:color="auto"/>
            <w:right w:val="none" w:sz="0" w:space="0" w:color="auto"/>
          </w:divBdr>
          <w:divsChild>
            <w:div w:id="643000056">
              <w:marLeft w:val="0"/>
              <w:marRight w:val="0"/>
              <w:marTop w:val="0"/>
              <w:marBottom w:val="0"/>
              <w:divBdr>
                <w:top w:val="none" w:sz="0" w:space="0" w:color="auto"/>
                <w:left w:val="none" w:sz="0" w:space="0" w:color="auto"/>
                <w:bottom w:val="none" w:sz="0" w:space="0" w:color="auto"/>
                <w:right w:val="none" w:sz="0" w:space="0" w:color="auto"/>
              </w:divBdr>
            </w:div>
          </w:divsChild>
        </w:div>
        <w:div w:id="1438285232">
          <w:marLeft w:val="0"/>
          <w:marRight w:val="0"/>
          <w:marTop w:val="0"/>
          <w:marBottom w:val="0"/>
          <w:divBdr>
            <w:top w:val="none" w:sz="0" w:space="0" w:color="auto"/>
            <w:left w:val="none" w:sz="0" w:space="0" w:color="auto"/>
            <w:bottom w:val="none" w:sz="0" w:space="0" w:color="auto"/>
            <w:right w:val="none" w:sz="0" w:space="0" w:color="auto"/>
          </w:divBdr>
          <w:divsChild>
            <w:div w:id="1661351338">
              <w:marLeft w:val="0"/>
              <w:marRight w:val="0"/>
              <w:marTop w:val="0"/>
              <w:marBottom w:val="0"/>
              <w:divBdr>
                <w:top w:val="none" w:sz="0" w:space="0" w:color="auto"/>
                <w:left w:val="none" w:sz="0" w:space="0" w:color="auto"/>
                <w:bottom w:val="none" w:sz="0" w:space="0" w:color="auto"/>
                <w:right w:val="none" w:sz="0" w:space="0" w:color="auto"/>
              </w:divBdr>
            </w:div>
          </w:divsChild>
        </w:div>
        <w:div w:id="1438403500">
          <w:marLeft w:val="0"/>
          <w:marRight w:val="0"/>
          <w:marTop w:val="0"/>
          <w:marBottom w:val="0"/>
          <w:divBdr>
            <w:top w:val="none" w:sz="0" w:space="0" w:color="auto"/>
            <w:left w:val="none" w:sz="0" w:space="0" w:color="auto"/>
            <w:bottom w:val="none" w:sz="0" w:space="0" w:color="auto"/>
            <w:right w:val="none" w:sz="0" w:space="0" w:color="auto"/>
          </w:divBdr>
          <w:divsChild>
            <w:div w:id="833493436">
              <w:marLeft w:val="0"/>
              <w:marRight w:val="0"/>
              <w:marTop w:val="0"/>
              <w:marBottom w:val="0"/>
              <w:divBdr>
                <w:top w:val="none" w:sz="0" w:space="0" w:color="auto"/>
                <w:left w:val="none" w:sz="0" w:space="0" w:color="auto"/>
                <w:bottom w:val="none" w:sz="0" w:space="0" w:color="auto"/>
                <w:right w:val="none" w:sz="0" w:space="0" w:color="auto"/>
              </w:divBdr>
            </w:div>
          </w:divsChild>
        </w:div>
        <w:div w:id="1439836899">
          <w:marLeft w:val="0"/>
          <w:marRight w:val="0"/>
          <w:marTop w:val="0"/>
          <w:marBottom w:val="0"/>
          <w:divBdr>
            <w:top w:val="none" w:sz="0" w:space="0" w:color="auto"/>
            <w:left w:val="none" w:sz="0" w:space="0" w:color="auto"/>
            <w:bottom w:val="none" w:sz="0" w:space="0" w:color="auto"/>
            <w:right w:val="none" w:sz="0" w:space="0" w:color="auto"/>
          </w:divBdr>
          <w:divsChild>
            <w:div w:id="1179544065">
              <w:marLeft w:val="0"/>
              <w:marRight w:val="0"/>
              <w:marTop w:val="0"/>
              <w:marBottom w:val="0"/>
              <w:divBdr>
                <w:top w:val="none" w:sz="0" w:space="0" w:color="auto"/>
                <w:left w:val="none" w:sz="0" w:space="0" w:color="auto"/>
                <w:bottom w:val="none" w:sz="0" w:space="0" w:color="auto"/>
                <w:right w:val="none" w:sz="0" w:space="0" w:color="auto"/>
              </w:divBdr>
            </w:div>
          </w:divsChild>
        </w:div>
        <w:div w:id="1440225332">
          <w:marLeft w:val="0"/>
          <w:marRight w:val="0"/>
          <w:marTop w:val="0"/>
          <w:marBottom w:val="0"/>
          <w:divBdr>
            <w:top w:val="none" w:sz="0" w:space="0" w:color="auto"/>
            <w:left w:val="none" w:sz="0" w:space="0" w:color="auto"/>
            <w:bottom w:val="none" w:sz="0" w:space="0" w:color="auto"/>
            <w:right w:val="none" w:sz="0" w:space="0" w:color="auto"/>
          </w:divBdr>
          <w:divsChild>
            <w:div w:id="1880897258">
              <w:marLeft w:val="0"/>
              <w:marRight w:val="0"/>
              <w:marTop w:val="0"/>
              <w:marBottom w:val="0"/>
              <w:divBdr>
                <w:top w:val="none" w:sz="0" w:space="0" w:color="auto"/>
                <w:left w:val="none" w:sz="0" w:space="0" w:color="auto"/>
                <w:bottom w:val="none" w:sz="0" w:space="0" w:color="auto"/>
                <w:right w:val="none" w:sz="0" w:space="0" w:color="auto"/>
              </w:divBdr>
            </w:div>
          </w:divsChild>
        </w:div>
        <w:div w:id="1465469571">
          <w:marLeft w:val="0"/>
          <w:marRight w:val="0"/>
          <w:marTop w:val="0"/>
          <w:marBottom w:val="0"/>
          <w:divBdr>
            <w:top w:val="none" w:sz="0" w:space="0" w:color="auto"/>
            <w:left w:val="none" w:sz="0" w:space="0" w:color="auto"/>
            <w:bottom w:val="none" w:sz="0" w:space="0" w:color="auto"/>
            <w:right w:val="none" w:sz="0" w:space="0" w:color="auto"/>
          </w:divBdr>
          <w:divsChild>
            <w:div w:id="279534310">
              <w:marLeft w:val="0"/>
              <w:marRight w:val="0"/>
              <w:marTop w:val="0"/>
              <w:marBottom w:val="0"/>
              <w:divBdr>
                <w:top w:val="none" w:sz="0" w:space="0" w:color="auto"/>
                <w:left w:val="none" w:sz="0" w:space="0" w:color="auto"/>
                <w:bottom w:val="none" w:sz="0" w:space="0" w:color="auto"/>
                <w:right w:val="none" w:sz="0" w:space="0" w:color="auto"/>
              </w:divBdr>
            </w:div>
          </w:divsChild>
        </w:div>
        <w:div w:id="1467697838">
          <w:marLeft w:val="0"/>
          <w:marRight w:val="0"/>
          <w:marTop w:val="0"/>
          <w:marBottom w:val="0"/>
          <w:divBdr>
            <w:top w:val="none" w:sz="0" w:space="0" w:color="auto"/>
            <w:left w:val="none" w:sz="0" w:space="0" w:color="auto"/>
            <w:bottom w:val="none" w:sz="0" w:space="0" w:color="auto"/>
            <w:right w:val="none" w:sz="0" w:space="0" w:color="auto"/>
          </w:divBdr>
          <w:divsChild>
            <w:div w:id="577592325">
              <w:marLeft w:val="0"/>
              <w:marRight w:val="0"/>
              <w:marTop w:val="0"/>
              <w:marBottom w:val="0"/>
              <w:divBdr>
                <w:top w:val="none" w:sz="0" w:space="0" w:color="auto"/>
                <w:left w:val="none" w:sz="0" w:space="0" w:color="auto"/>
                <w:bottom w:val="none" w:sz="0" w:space="0" w:color="auto"/>
                <w:right w:val="none" w:sz="0" w:space="0" w:color="auto"/>
              </w:divBdr>
            </w:div>
          </w:divsChild>
        </w:div>
        <w:div w:id="1482306606">
          <w:marLeft w:val="0"/>
          <w:marRight w:val="0"/>
          <w:marTop w:val="0"/>
          <w:marBottom w:val="0"/>
          <w:divBdr>
            <w:top w:val="none" w:sz="0" w:space="0" w:color="auto"/>
            <w:left w:val="none" w:sz="0" w:space="0" w:color="auto"/>
            <w:bottom w:val="none" w:sz="0" w:space="0" w:color="auto"/>
            <w:right w:val="none" w:sz="0" w:space="0" w:color="auto"/>
          </w:divBdr>
          <w:divsChild>
            <w:div w:id="1478495258">
              <w:marLeft w:val="0"/>
              <w:marRight w:val="0"/>
              <w:marTop w:val="0"/>
              <w:marBottom w:val="0"/>
              <w:divBdr>
                <w:top w:val="none" w:sz="0" w:space="0" w:color="auto"/>
                <w:left w:val="none" w:sz="0" w:space="0" w:color="auto"/>
                <w:bottom w:val="none" w:sz="0" w:space="0" w:color="auto"/>
                <w:right w:val="none" w:sz="0" w:space="0" w:color="auto"/>
              </w:divBdr>
            </w:div>
          </w:divsChild>
        </w:div>
        <w:div w:id="1488592736">
          <w:marLeft w:val="0"/>
          <w:marRight w:val="0"/>
          <w:marTop w:val="0"/>
          <w:marBottom w:val="0"/>
          <w:divBdr>
            <w:top w:val="none" w:sz="0" w:space="0" w:color="auto"/>
            <w:left w:val="none" w:sz="0" w:space="0" w:color="auto"/>
            <w:bottom w:val="none" w:sz="0" w:space="0" w:color="auto"/>
            <w:right w:val="none" w:sz="0" w:space="0" w:color="auto"/>
          </w:divBdr>
          <w:divsChild>
            <w:div w:id="2097090400">
              <w:marLeft w:val="0"/>
              <w:marRight w:val="0"/>
              <w:marTop w:val="0"/>
              <w:marBottom w:val="0"/>
              <w:divBdr>
                <w:top w:val="none" w:sz="0" w:space="0" w:color="auto"/>
                <w:left w:val="none" w:sz="0" w:space="0" w:color="auto"/>
                <w:bottom w:val="none" w:sz="0" w:space="0" w:color="auto"/>
                <w:right w:val="none" w:sz="0" w:space="0" w:color="auto"/>
              </w:divBdr>
            </w:div>
          </w:divsChild>
        </w:div>
        <w:div w:id="1491796067">
          <w:marLeft w:val="0"/>
          <w:marRight w:val="0"/>
          <w:marTop w:val="0"/>
          <w:marBottom w:val="0"/>
          <w:divBdr>
            <w:top w:val="none" w:sz="0" w:space="0" w:color="auto"/>
            <w:left w:val="none" w:sz="0" w:space="0" w:color="auto"/>
            <w:bottom w:val="none" w:sz="0" w:space="0" w:color="auto"/>
            <w:right w:val="none" w:sz="0" w:space="0" w:color="auto"/>
          </w:divBdr>
          <w:divsChild>
            <w:div w:id="659887438">
              <w:marLeft w:val="0"/>
              <w:marRight w:val="0"/>
              <w:marTop w:val="0"/>
              <w:marBottom w:val="0"/>
              <w:divBdr>
                <w:top w:val="none" w:sz="0" w:space="0" w:color="auto"/>
                <w:left w:val="none" w:sz="0" w:space="0" w:color="auto"/>
                <w:bottom w:val="none" w:sz="0" w:space="0" w:color="auto"/>
                <w:right w:val="none" w:sz="0" w:space="0" w:color="auto"/>
              </w:divBdr>
            </w:div>
          </w:divsChild>
        </w:div>
        <w:div w:id="1492679904">
          <w:marLeft w:val="0"/>
          <w:marRight w:val="0"/>
          <w:marTop w:val="0"/>
          <w:marBottom w:val="0"/>
          <w:divBdr>
            <w:top w:val="none" w:sz="0" w:space="0" w:color="auto"/>
            <w:left w:val="none" w:sz="0" w:space="0" w:color="auto"/>
            <w:bottom w:val="none" w:sz="0" w:space="0" w:color="auto"/>
            <w:right w:val="none" w:sz="0" w:space="0" w:color="auto"/>
          </w:divBdr>
          <w:divsChild>
            <w:div w:id="1000742256">
              <w:marLeft w:val="0"/>
              <w:marRight w:val="0"/>
              <w:marTop w:val="0"/>
              <w:marBottom w:val="0"/>
              <w:divBdr>
                <w:top w:val="none" w:sz="0" w:space="0" w:color="auto"/>
                <w:left w:val="none" w:sz="0" w:space="0" w:color="auto"/>
                <w:bottom w:val="none" w:sz="0" w:space="0" w:color="auto"/>
                <w:right w:val="none" w:sz="0" w:space="0" w:color="auto"/>
              </w:divBdr>
            </w:div>
          </w:divsChild>
        </w:div>
        <w:div w:id="1494905089">
          <w:marLeft w:val="0"/>
          <w:marRight w:val="0"/>
          <w:marTop w:val="0"/>
          <w:marBottom w:val="0"/>
          <w:divBdr>
            <w:top w:val="none" w:sz="0" w:space="0" w:color="auto"/>
            <w:left w:val="none" w:sz="0" w:space="0" w:color="auto"/>
            <w:bottom w:val="none" w:sz="0" w:space="0" w:color="auto"/>
            <w:right w:val="none" w:sz="0" w:space="0" w:color="auto"/>
          </w:divBdr>
          <w:divsChild>
            <w:div w:id="2065056998">
              <w:marLeft w:val="0"/>
              <w:marRight w:val="0"/>
              <w:marTop w:val="0"/>
              <w:marBottom w:val="0"/>
              <w:divBdr>
                <w:top w:val="none" w:sz="0" w:space="0" w:color="auto"/>
                <w:left w:val="none" w:sz="0" w:space="0" w:color="auto"/>
                <w:bottom w:val="none" w:sz="0" w:space="0" w:color="auto"/>
                <w:right w:val="none" w:sz="0" w:space="0" w:color="auto"/>
              </w:divBdr>
            </w:div>
          </w:divsChild>
        </w:div>
        <w:div w:id="1496801414">
          <w:marLeft w:val="0"/>
          <w:marRight w:val="0"/>
          <w:marTop w:val="0"/>
          <w:marBottom w:val="0"/>
          <w:divBdr>
            <w:top w:val="none" w:sz="0" w:space="0" w:color="auto"/>
            <w:left w:val="none" w:sz="0" w:space="0" w:color="auto"/>
            <w:bottom w:val="none" w:sz="0" w:space="0" w:color="auto"/>
            <w:right w:val="none" w:sz="0" w:space="0" w:color="auto"/>
          </w:divBdr>
          <w:divsChild>
            <w:div w:id="1202746225">
              <w:marLeft w:val="0"/>
              <w:marRight w:val="0"/>
              <w:marTop w:val="0"/>
              <w:marBottom w:val="0"/>
              <w:divBdr>
                <w:top w:val="none" w:sz="0" w:space="0" w:color="auto"/>
                <w:left w:val="none" w:sz="0" w:space="0" w:color="auto"/>
                <w:bottom w:val="none" w:sz="0" w:space="0" w:color="auto"/>
                <w:right w:val="none" w:sz="0" w:space="0" w:color="auto"/>
              </w:divBdr>
            </w:div>
          </w:divsChild>
        </w:div>
        <w:div w:id="1497723560">
          <w:marLeft w:val="0"/>
          <w:marRight w:val="0"/>
          <w:marTop w:val="0"/>
          <w:marBottom w:val="0"/>
          <w:divBdr>
            <w:top w:val="none" w:sz="0" w:space="0" w:color="auto"/>
            <w:left w:val="none" w:sz="0" w:space="0" w:color="auto"/>
            <w:bottom w:val="none" w:sz="0" w:space="0" w:color="auto"/>
            <w:right w:val="none" w:sz="0" w:space="0" w:color="auto"/>
          </w:divBdr>
          <w:divsChild>
            <w:div w:id="1375079957">
              <w:marLeft w:val="0"/>
              <w:marRight w:val="0"/>
              <w:marTop w:val="0"/>
              <w:marBottom w:val="0"/>
              <w:divBdr>
                <w:top w:val="none" w:sz="0" w:space="0" w:color="auto"/>
                <w:left w:val="none" w:sz="0" w:space="0" w:color="auto"/>
                <w:bottom w:val="none" w:sz="0" w:space="0" w:color="auto"/>
                <w:right w:val="none" w:sz="0" w:space="0" w:color="auto"/>
              </w:divBdr>
            </w:div>
          </w:divsChild>
        </w:div>
        <w:div w:id="1500846143">
          <w:marLeft w:val="0"/>
          <w:marRight w:val="0"/>
          <w:marTop w:val="0"/>
          <w:marBottom w:val="0"/>
          <w:divBdr>
            <w:top w:val="none" w:sz="0" w:space="0" w:color="auto"/>
            <w:left w:val="none" w:sz="0" w:space="0" w:color="auto"/>
            <w:bottom w:val="none" w:sz="0" w:space="0" w:color="auto"/>
            <w:right w:val="none" w:sz="0" w:space="0" w:color="auto"/>
          </w:divBdr>
          <w:divsChild>
            <w:div w:id="533929872">
              <w:marLeft w:val="0"/>
              <w:marRight w:val="0"/>
              <w:marTop w:val="0"/>
              <w:marBottom w:val="0"/>
              <w:divBdr>
                <w:top w:val="none" w:sz="0" w:space="0" w:color="auto"/>
                <w:left w:val="none" w:sz="0" w:space="0" w:color="auto"/>
                <w:bottom w:val="none" w:sz="0" w:space="0" w:color="auto"/>
                <w:right w:val="none" w:sz="0" w:space="0" w:color="auto"/>
              </w:divBdr>
            </w:div>
          </w:divsChild>
        </w:div>
        <w:div w:id="1504589761">
          <w:marLeft w:val="0"/>
          <w:marRight w:val="0"/>
          <w:marTop w:val="0"/>
          <w:marBottom w:val="0"/>
          <w:divBdr>
            <w:top w:val="none" w:sz="0" w:space="0" w:color="auto"/>
            <w:left w:val="none" w:sz="0" w:space="0" w:color="auto"/>
            <w:bottom w:val="none" w:sz="0" w:space="0" w:color="auto"/>
            <w:right w:val="none" w:sz="0" w:space="0" w:color="auto"/>
          </w:divBdr>
          <w:divsChild>
            <w:div w:id="1238244046">
              <w:marLeft w:val="0"/>
              <w:marRight w:val="0"/>
              <w:marTop w:val="0"/>
              <w:marBottom w:val="0"/>
              <w:divBdr>
                <w:top w:val="none" w:sz="0" w:space="0" w:color="auto"/>
                <w:left w:val="none" w:sz="0" w:space="0" w:color="auto"/>
                <w:bottom w:val="none" w:sz="0" w:space="0" w:color="auto"/>
                <w:right w:val="none" w:sz="0" w:space="0" w:color="auto"/>
              </w:divBdr>
            </w:div>
          </w:divsChild>
        </w:div>
        <w:div w:id="1524585611">
          <w:marLeft w:val="0"/>
          <w:marRight w:val="0"/>
          <w:marTop w:val="0"/>
          <w:marBottom w:val="0"/>
          <w:divBdr>
            <w:top w:val="none" w:sz="0" w:space="0" w:color="auto"/>
            <w:left w:val="none" w:sz="0" w:space="0" w:color="auto"/>
            <w:bottom w:val="none" w:sz="0" w:space="0" w:color="auto"/>
            <w:right w:val="none" w:sz="0" w:space="0" w:color="auto"/>
          </w:divBdr>
          <w:divsChild>
            <w:div w:id="303896326">
              <w:marLeft w:val="0"/>
              <w:marRight w:val="0"/>
              <w:marTop w:val="0"/>
              <w:marBottom w:val="0"/>
              <w:divBdr>
                <w:top w:val="none" w:sz="0" w:space="0" w:color="auto"/>
                <w:left w:val="none" w:sz="0" w:space="0" w:color="auto"/>
                <w:bottom w:val="none" w:sz="0" w:space="0" w:color="auto"/>
                <w:right w:val="none" w:sz="0" w:space="0" w:color="auto"/>
              </w:divBdr>
            </w:div>
          </w:divsChild>
        </w:div>
        <w:div w:id="1527599792">
          <w:marLeft w:val="0"/>
          <w:marRight w:val="0"/>
          <w:marTop w:val="0"/>
          <w:marBottom w:val="0"/>
          <w:divBdr>
            <w:top w:val="none" w:sz="0" w:space="0" w:color="auto"/>
            <w:left w:val="none" w:sz="0" w:space="0" w:color="auto"/>
            <w:bottom w:val="none" w:sz="0" w:space="0" w:color="auto"/>
            <w:right w:val="none" w:sz="0" w:space="0" w:color="auto"/>
          </w:divBdr>
          <w:divsChild>
            <w:div w:id="974523188">
              <w:marLeft w:val="0"/>
              <w:marRight w:val="0"/>
              <w:marTop w:val="0"/>
              <w:marBottom w:val="0"/>
              <w:divBdr>
                <w:top w:val="none" w:sz="0" w:space="0" w:color="auto"/>
                <w:left w:val="none" w:sz="0" w:space="0" w:color="auto"/>
                <w:bottom w:val="none" w:sz="0" w:space="0" w:color="auto"/>
                <w:right w:val="none" w:sz="0" w:space="0" w:color="auto"/>
              </w:divBdr>
            </w:div>
          </w:divsChild>
        </w:div>
        <w:div w:id="1530021560">
          <w:marLeft w:val="0"/>
          <w:marRight w:val="0"/>
          <w:marTop w:val="0"/>
          <w:marBottom w:val="0"/>
          <w:divBdr>
            <w:top w:val="none" w:sz="0" w:space="0" w:color="auto"/>
            <w:left w:val="none" w:sz="0" w:space="0" w:color="auto"/>
            <w:bottom w:val="none" w:sz="0" w:space="0" w:color="auto"/>
            <w:right w:val="none" w:sz="0" w:space="0" w:color="auto"/>
          </w:divBdr>
          <w:divsChild>
            <w:div w:id="721057379">
              <w:marLeft w:val="0"/>
              <w:marRight w:val="0"/>
              <w:marTop w:val="0"/>
              <w:marBottom w:val="0"/>
              <w:divBdr>
                <w:top w:val="none" w:sz="0" w:space="0" w:color="auto"/>
                <w:left w:val="none" w:sz="0" w:space="0" w:color="auto"/>
                <w:bottom w:val="none" w:sz="0" w:space="0" w:color="auto"/>
                <w:right w:val="none" w:sz="0" w:space="0" w:color="auto"/>
              </w:divBdr>
            </w:div>
          </w:divsChild>
        </w:div>
        <w:div w:id="1532063479">
          <w:marLeft w:val="0"/>
          <w:marRight w:val="0"/>
          <w:marTop w:val="0"/>
          <w:marBottom w:val="0"/>
          <w:divBdr>
            <w:top w:val="none" w:sz="0" w:space="0" w:color="auto"/>
            <w:left w:val="none" w:sz="0" w:space="0" w:color="auto"/>
            <w:bottom w:val="none" w:sz="0" w:space="0" w:color="auto"/>
            <w:right w:val="none" w:sz="0" w:space="0" w:color="auto"/>
          </w:divBdr>
          <w:divsChild>
            <w:div w:id="1681349617">
              <w:marLeft w:val="0"/>
              <w:marRight w:val="0"/>
              <w:marTop w:val="0"/>
              <w:marBottom w:val="0"/>
              <w:divBdr>
                <w:top w:val="none" w:sz="0" w:space="0" w:color="auto"/>
                <w:left w:val="none" w:sz="0" w:space="0" w:color="auto"/>
                <w:bottom w:val="none" w:sz="0" w:space="0" w:color="auto"/>
                <w:right w:val="none" w:sz="0" w:space="0" w:color="auto"/>
              </w:divBdr>
            </w:div>
          </w:divsChild>
        </w:div>
        <w:div w:id="1533497869">
          <w:marLeft w:val="0"/>
          <w:marRight w:val="0"/>
          <w:marTop w:val="0"/>
          <w:marBottom w:val="0"/>
          <w:divBdr>
            <w:top w:val="none" w:sz="0" w:space="0" w:color="auto"/>
            <w:left w:val="none" w:sz="0" w:space="0" w:color="auto"/>
            <w:bottom w:val="none" w:sz="0" w:space="0" w:color="auto"/>
            <w:right w:val="none" w:sz="0" w:space="0" w:color="auto"/>
          </w:divBdr>
          <w:divsChild>
            <w:div w:id="1460105947">
              <w:marLeft w:val="0"/>
              <w:marRight w:val="0"/>
              <w:marTop w:val="0"/>
              <w:marBottom w:val="0"/>
              <w:divBdr>
                <w:top w:val="none" w:sz="0" w:space="0" w:color="auto"/>
                <w:left w:val="none" w:sz="0" w:space="0" w:color="auto"/>
                <w:bottom w:val="none" w:sz="0" w:space="0" w:color="auto"/>
                <w:right w:val="none" w:sz="0" w:space="0" w:color="auto"/>
              </w:divBdr>
            </w:div>
          </w:divsChild>
        </w:div>
        <w:div w:id="1534004412">
          <w:marLeft w:val="0"/>
          <w:marRight w:val="0"/>
          <w:marTop w:val="0"/>
          <w:marBottom w:val="0"/>
          <w:divBdr>
            <w:top w:val="none" w:sz="0" w:space="0" w:color="auto"/>
            <w:left w:val="none" w:sz="0" w:space="0" w:color="auto"/>
            <w:bottom w:val="none" w:sz="0" w:space="0" w:color="auto"/>
            <w:right w:val="none" w:sz="0" w:space="0" w:color="auto"/>
          </w:divBdr>
          <w:divsChild>
            <w:div w:id="347757023">
              <w:marLeft w:val="0"/>
              <w:marRight w:val="0"/>
              <w:marTop w:val="0"/>
              <w:marBottom w:val="0"/>
              <w:divBdr>
                <w:top w:val="none" w:sz="0" w:space="0" w:color="auto"/>
                <w:left w:val="none" w:sz="0" w:space="0" w:color="auto"/>
                <w:bottom w:val="none" w:sz="0" w:space="0" w:color="auto"/>
                <w:right w:val="none" w:sz="0" w:space="0" w:color="auto"/>
              </w:divBdr>
            </w:div>
          </w:divsChild>
        </w:div>
        <w:div w:id="1546678491">
          <w:marLeft w:val="0"/>
          <w:marRight w:val="0"/>
          <w:marTop w:val="0"/>
          <w:marBottom w:val="0"/>
          <w:divBdr>
            <w:top w:val="none" w:sz="0" w:space="0" w:color="auto"/>
            <w:left w:val="none" w:sz="0" w:space="0" w:color="auto"/>
            <w:bottom w:val="none" w:sz="0" w:space="0" w:color="auto"/>
            <w:right w:val="none" w:sz="0" w:space="0" w:color="auto"/>
          </w:divBdr>
          <w:divsChild>
            <w:div w:id="145828612">
              <w:marLeft w:val="0"/>
              <w:marRight w:val="0"/>
              <w:marTop w:val="0"/>
              <w:marBottom w:val="0"/>
              <w:divBdr>
                <w:top w:val="none" w:sz="0" w:space="0" w:color="auto"/>
                <w:left w:val="none" w:sz="0" w:space="0" w:color="auto"/>
                <w:bottom w:val="none" w:sz="0" w:space="0" w:color="auto"/>
                <w:right w:val="none" w:sz="0" w:space="0" w:color="auto"/>
              </w:divBdr>
            </w:div>
          </w:divsChild>
        </w:div>
        <w:div w:id="1566180201">
          <w:marLeft w:val="0"/>
          <w:marRight w:val="0"/>
          <w:marTop w:val="0"/>
          <w:marBottom w:val="0"/>
          <w:divBdr>
            <w:top w:val="none" w:sz="0" w:space="0" w:color="auto"/>
            <w:left w:val="none" w:sz="0" w:space="0" w:color="auto"/>
            <w:bottom w:val="none" w:sz="0" w:space="0" w:color="auto"/>
            <w:right w:val="none" w:sz="0" w:space="0" w:color="auto"/>
          </w:divBdr>
          <w:divsChild>
            <w:div w:id="1379158724">
              <w:marLeft w:val="0"/>
              <w:marRight w:val="0"/>
              <w:marTop w:val="0"/>
              <w:marBottom w:val="0"/>
              <w:divBdr>
                <w:top w:val="none" w:sz="0" w:space="0" w:color="auto"/>
                <w:left w:val="none" w:sz="0" w:space="0" w:color="auto"/>
                <w:bottom w:val="none" w:sz="0" w:space="0" w:color="auto"/>
                <w:right w:val="none" w:sz="0" w:space="0" w:color="auto"/>
              </w:divBdr>
            </w:div>
          </w:divsChild>
        </w:div>
        <w:div w:id="1566531837">
          <w:marLeft w:val="0"/>
          <w:marRight w:val="0"/>
          <w:marTop w:val="0"/>
          <w:marBottom w:val="0"/>
          <w:divBdr>
            <w:top w:val="none" w:sz="0" w:space="0" w:color="auto"/>
            <w:left w:val="none" w:sz="0" w:space="0" w:color="auto"/>
            <w:bottom w:val="none" w:sz="0" w:space="0" w:color="auto"/>
            <w:right w:val="none" w:sz="0" w:space="0" w:color="auto"/>
          </w:divBdr>
          <w:divsChild>
            <w:div w:id="619341450">
              <w:marLeft w:val="0"/>
              <w:marRight w:val="0"/>
              <w:marTop w:val="0"/>
              <w:marBottom w:val="0"/>
              <w:divBdr>
                <w:top w:val="none" w:sz="0" w:space="0" w:color="auto"/>
                <w:left w:val="none" w:sz="0" w:space="0" w:color="auto"/>
                <w:bottom w:val="none" w:sz="0" w:space="0" w:color="auto"/>
                <w:right w:val="none" w:sz="0" w:space="0" w:color="auto"/>
              </w:divBdr>
            </w:div>
          </w:divsChild>
        </w:div>
        <w:div w:id="1567376379">
          <w:marLeft w:val="0"/>
          <w:marRight w:val="0"/>
          <w:marTop w:val="0"/>
          <w:marBottom w:val="0"/>
          <w:divBdr>
            <w:top w:val="none" w:sz="0" w:space="0" w:color="auto"/>
            <w:left w:val="none" w:sz="0" w:space="0" w:color="auto"/>
            <w:bottom w:val="none" w:sz="0" w:space="0" w:color="auto"/>
            <w:right w:val="none" w:sz="0" w:space="0" w:color="auto"/>
          </w:divBdr>
          <w:divsChild>
            <w:div w:id="965089257">
              <w:marLeft w:val="0"/>
              <w:marRight w:val="0"/>
              <w:marTop w:val="0"/>
              <w:marBottom w:val="0"/>
              <w:divBdr>
                <w:top w:val="none" w:sz="0" w:space="0" w:color="auto"/>
                <w:left w:val="none" w:sz="0" w:space="0" w:color="auto"/>
                <w:bottom w:val="none" w:sz="0" w:space="0" w:color="auto"/>
                <w:right w:val="none" w:sz="0" w:space="0" w:color="auto"/>
              </w:divBdr>
            </w:div>
          </w:divsChild>
        </w:div>
        <w:div w:id="1579633211">
          <w:marLeft w:val="0"/>
          <w:marRight w:val="0"/>
          <w:marTop w:val="0"/>
          <w:marBottom w:val="0"/>
          <w:divBdr>
            <w:top w:val="none" w:sz="0" w:space="0" w:color="auto"/>
            <w:left w:val="none" w:sz="0" w:space="0" w:color="auto"/>
            <w:bottom w:val="none" w:sz="0" w:space="0" w:color="auto"/>
            <w:right w:val="none" w:sz="0" w:space="0" w:color="auto"/>
          </w:divBdr>
          <w:divsChild>
            <w:div w:id="621502189">
              <w:marLeft w:val="0"/>
              <w:marRight w:val="0"/>
              <w:marTop w:val="0"/>
              <w:marBottom w:val="0"/>
              <w:divBdr>
                <w:top w:val="none" w:sz="0" w:space="0" w:color="auto"/>
                <w:left w:val="none" w:sz="0" w:space="0" w:color="auto"/>
                <w:bottom w:val="none" w:sz="0" w:space="0" w:color="auto"/>
                <w:right w:val="none" w:sz="0" w:space="0" w:color="auto"/>
              </w:divBdr>
            </w:div>
          </w:divsChild>
        </w:div>
        <w:div w:id="1580024052">
          <w:marLeft w:val="0"/>
          <w:marRight w:val="0"/>
          <w:marTop w:val="0"/>
          <w:marBottom w:val="0"/>
          <w:divBdr>
            <w:top w:val="none" w:sz="0" w:space="0" w:color="auto"/>
            <w:left w:val="none" w:sz="0" w:space="0" w:color="auto"/>
            <w:bottom w:val="none" w:sz="0" w:space="0" w:color="auto"/>
            <w:right w:val="none" w:sz="0" w:space="0" w:color="auto"/>
          </w:divBdr>
          <w:divsChild>
            <w:div w:id="2066366931">
              <w:marLeft w:val="0"/>
              <w:marRight w:val="0"/>
              <w:marTop w:val="0"/>
              <w:marBottom w:val="0"/>
              <w:divBdr>
                <w:top w:val="none" w:sz="0" w:space="0" w:color="auto"/>
                <w:left w:val="none" w:sz="0" w:space="0" w:color="auto"/>
                <w:bottom w:val="none" w:sz="0" w:space="0" w:color="auto"/>
                <w:right w:val="none" w:sz="0" w:space="0" w:color="auto"/>
              </w:divBdr>
            </w:div>
          </w:divsChild>
        </w:div>
        <w:div w:id="1581283834">
          <w:marLeft w:val="0"/>
          <w:marRight w:val="0"/>
          <w:marTop w:val="0"/>
          <w:marBottom w:val="0"/>
          <w:divBdr>
            <w:top w:val="none" w:sz="0" w:space="0" w:color="auto"/>
            <w:left w:val="none" w:sz="0" w:space="0" w:color="auto"/>
            <w:bottom w:val="none" w:sz="0" w:space="0" w:color="auto"/>
            <w:right w:val="none" w:sz="0" w:space="0" w:color="auto"/>
          </w:divBdr>
          <w:divsChild>
            <w:div w:id="1580208238">
              <w:marLeft w:val="0"/>
              <w:marRight w:val="0"/>
              <w:marTop w:val="0"/>
              <w:marBottom w:val="0"/>
              <w:divBdr>
                <w:top w:val="none" w:sz="0" w:space="0" w:color="auto"/>
                <w:left w:val="none" w:sz="0" w:space="0" w:color="auto"/>
                <w:bottom w:val="none" w:sz="0" w:space="0" w:color="auto"/>
                <w:right w:val="none" w:sz="0" w:space="0" w:color="auto"/>
              </w:divBdr>
            </w:div>
          </w:divsChild>
        </w:div>
        <w:div w:id="1595283929">
          <w:marLeft w:val="0"/>
          <w:marRight w:val="0"/>
          <w:marTop w:val="0"/>
          <w:marBottom w:val="0"/>
          <w:divBdr>
            <w:top w:val="none" w:sz="0" w:space="0" w:color="auto"/>
            <w:left w:val="none" w:sz="0" w:space="0" w:color="auto"/>
            <w:bottom w:val="none" w:sz="0" w:space="0" w:color="auto"/>
            <w:right w:val="none" w:sz="0" w:space="0" w:color="auto"/>
          </w:divBdr>
          <w:divsChild>
            <w:div w:id="491213802">
              <w:marLeft w:val="0"/>
              <w:marRight w:val="0"/>
              <w:marTop w:val="0"/>
              <w:marBottom w:val="0"/>
              <w:divBdr>
                <w:top w:val="none" w:sz="0" w:space="0" w:color="auto"/>
                <w:left w:val="none" w:sz="0" w:space="0" w:color="auto"/>
                <w:bottom w:val="none" w:sz="0" w:space="0" w:color="auto"/>
                <w:right w:val="none" w:sz="0" w:space="0" w:color="auto"/>
              </w:divBdr>
            </w:div>
          </w:divsChild>
        </w:div>
        <w:div w:id="1613855724">
          <w:marLeft w:val="0"/>
          <w:marRight w:val="0"/>
          <w:marTop w:val="0"/>
          <w:marBottom w:val="0"/>
          <w:divBdr>
            <w:top w:val="none" w:sz="0" w:space="0" w:color="auto"/>
            <w:left w:val="none" w:sz="0" w:space="0" w:color="auto"/>
            <w:bottom w:val="none" w:sz="0" w:space="0" w:color="auto"/>
            <w:right w:val="none" w:sz="0" w:space="0" w:color="auto"/>
          </w:divBdr>
          <w:divsChild>
            <w:div w:id="1225485495">
              <w:marLeft w:val="0"/>
              <w:marRight w:val="0"/>
              <w:marTop w:val="0"/>
              <w:marBottom w:val="0"/>
              <w:divBdr>
                <w:top w:val="none" w:sz="0" w:space="0" w:color="auto"/>
                <w:left w:val="none" w:sz="0" w:space="0" w:color="auto"/>
                <w:bottom w:val="none" w:sz="0" w:space="0" w:color="auto"/>
                <w:right w:val="none" w:sz="0" w:space="0" w:color="auto"/>
              </w:divBdr>
            </w:div>
          </w:divsChild>
        </w:div>
        <w:div w:id="1615206711">
          <w:marLeft w:val="0"/>
          <w:marRight w:val="0"/>
          <w:marTop w:val="0"/>
          <w:marBottom w:val="0"/>
          <w:divBdr>
            <w:top w:val="none" w:sz="0" w:space="0" w:color="auto"/>
            <w:left w:val="none" w:sz="0" w:space="0" w:color="auto"/>
            <w:bottom w:val="none" w:sz="0" w:space="0" w:color="auto"/>
            <w:right w:val="none" w:sz="0" w:space="0" w:color="auto"/>
          </w:divBdr>
          <w:divsChild>
            <w:div w:id="364141313">
              <w:marLeft w:val="0"/>
              <w:marRight w:val="0"/>
              <w:marTop w:val="0"/>
              <w:marBottom w:val="0"/>
              <w:divBdr>
                <w:top w:val="none" w:sz="0" w:space="0" w:color="auto"/>
                <w:left w:val="none" w:sz="0" w:space="0" w:color="auto"/>
                <w:bottom w:val="none" w:sz="0" w:space="0" w:color="auto"/>
                <w:right w:val="none" w:sz="0" w:space="0" w:color="auto"/>
              </w:divBdr>
            </w:div>
          </w:divsChild>
        </w:div>
        <w:div w:id="1618487116">
          <w:marLeft w:val="0"/>
          <w:marRight w:val="0"/>
          <w:marTop w:val="0"/>
          <w:marBottom w:val="0"/>
          <w:divBdr>
            <w:top w:val="none" w:sz="0" w:space="0" w:color="auto"/>
            <w:left w:val="none" w:sz="0" w:space="0" w:color="auto"/>
            <w:bottom w:val="none" w:sz="0" w:space="0" w:color="auto"/>
            <w:right w:val="none" w:sz="0" w:space="0" w:color="auto"/>
          </w:divBdr>
          <w:divsChild>
            <w:div w:id="1109662521">
              <w:marLeft w:val="0"/>
              <w:marRight w:val="0"/>
              <w:marTop w:val="0"/>
              <w:marBottom w:val="0"/>
              <w:divBdr>
                <w:top w:val="none" w:sz="0" w:space="0" w:color="auto"/>
                <w:left w:val="none" w:sz="0" w:space="0" w:color="auto"/>
                <w:bottom w:val="none" w:sz="0" w:space="0" w:color="auto"/>
                <w:right w:val="none" w:sz="0" w:space="0" w:color="auto"/>
              </w:divBdr>
            </w:div>
          </w:divsChild>
        </w:div>
        <w:div w:id="1622879164">
          <w:marLeft w:val="0"/>
          <w:marRight w:val="0"/>
          <w:marTop w:val="0"/>
          <w:marBottom w:val="0"/>
          <w:divBdr>
            <w:top w:val="none" w:sz="0" w:space="0" w:color="auto"/>
            <w:left w:val="none" w:sz="0" w:space="0" w:color="auto"/>
            <w:bottom w:val="none" w:sz="0" w:space="0" w:color="auto"/>
            <w:right w:val="none" w:sz="0" w:space="0" w:color="auto"/>
          </w:divBdr>
          <w:divsChild>
            <w:div w:id="1284993198">
              <w:marLeft w:val="0"/>
              <w:marRight w:val="0"/>
              <w:marTop w:val="0"/>
              <w:marBottom w:val="0"/>
              <w:divBdr>
                <w:top w:val="none" w:sz="0" w:space="0" w:color="auto"/>
                <w:left w:val="none" w:sz="0" w:space="0" w:color="auto"/>
                <w:bottom w:val="none" w:sz="0" w:space="0" w:color="auto"/>
                <w:right w:val="none" w:sz="0" w:space="0" w:color="auto"/>
              </w:divBdr>
            </w:div>
          </w:divsChild>
        </w:div>
        <w:div w:id="1627156218">
          <w:marLeft w:val="0"/>
          <w:marRight w:val="0"/>
          <w:marTop w:val="0"/>
          <w:marBottom w:val="0"/>
          <w:divBdr>
            <w:top w:val="none" w:sz="0" w:space="0" w:color="auto"/>
            <w:left w:val="none" w:sz="0" w:space="0" w:color="auto"/>
            <w:bottom w:val="none" w:sz="0" w:space="0" w:color="auto"/>
            <w:right w:val="none" w:sz="0" w:space="0" w:color="auto"/>
          </w:divBdr>
          <w:divsChild>
            <w:div w:id="2048943470">
              <w:marLeft w:val="0"/>
              <w:marRight w:val="0"/>
              <w:marTop w:val="0"/>
              <w:marBottom w:val="0"/>
              <w:divBdr>
                <w:top w:val="none" w:sz="0" w:space="0" w:color="auto"/>
                <w:left w:val="none" w:sz="0" w:space="0" w:color="auto"/>
                <w:bottom w:val="none" w:sz="0" w:space="0" w:color="auto"/>
                <w:right w:val="none" w:sz="0" w:space="0" w:color="auto"/>
              </w:divBdr>
            </w:div>
          </w:divsChild>
        </w:div>
        <w:div w:id="1627464831">
          <w:marLeft w:val="0"/>
          <w:marRight w:val="0"/>
          <w:marTop w:val="0"/>
          <w:marBottom w:val="0"/>
          <w:divBdr>
            <w:top w:val="none" w:sz="0" w:space="0" w:color="auto"/>
            <w:left w:val="none" w:sz="0" w:space="0" w:color="auto"/>
            <w:bottom w:val="none" w:sz="0" w:space="0" w:color="auto"/>
            <w:right w:val="none" w:sz="0" w:space="0" w:color="auto"/>
          </w:divBdr>
          <w:divsChild>
            <w:div w:id="838037257">
              <w:marLeft w:val="0"/>
              <w:marRight w:val="0"/>
              <w:marTop w:val="0"/>
              <w:marBottom w:val="0"/>
              <w:divBdr>
                <w:top w:val="none" w:sz="0" w:space="0" w:color="auto"/>
                <w:left w:val="none" w:sz="0" w:space="0" w:color="auto"/>
                <w:bottom w:val="none" w:sz="0" w:space="0" w:color="auto"/>
                <w:right w:val="none" w:sz="0" w:space="0" w:color="auto"/>
              </w:divBdr>
            </w:div>
          </w:divsChild>
        </w:div>
        <w:div w:id="1627472328">
          <w:marLeft w:val="0"/>
          <w:marRight w:val="0"/>
          <w:marTop w:val="0"/>
          <w:marBottom w:val="0"/>
          <w:divBdr>
            <w:top w:val="none" w:sz="0" w:space="0" w:color="auto"/>
            <w:left w:val="none" w:sz="0" w:space="0" w:color="auto"/>
            <w:bottom w:val="none" w:sz="0" w:space="0" w:color="auto"/>
            <w:right w:val="none" w:sz="0" w:space="0" w:color="auto"/>
          </w:divBdr>
          <w:divsChild>
            <w:div w:id="1561791892">
              <w:marLeft w:val="0"/>
              <w:marRight w:val="0"/>
              <w:marTop w:val="0"/>
              <w:marBottom w:val="0"/>
              <w:divBdr>
                <w:top w:val="none" w:sz="0" w:space="0" w:color="auto"/>
                <w:left w:val="none" w:sz="0" w:space="0" w:color="auto"/>
                <w:bottom w:val="none" w:sz="0" w:space="0" w:color="auto"/>
                <w:right w:val="none" w:sz="0" w:space="0" w:color="auto"/>
              </w:divBdr>
            </w:div>
          </w:divsChild>
        </w:div>
        <w:div w:id="1634481766">
          <w:marLeft w:val="0"/>
          <w:marRight w:val="0"/>
          <w:marTop w:val="0"/>
          <w:marBottom w:val="0"/>
          <w:divBdr>
            <w:top w:val="none" w:sz="0" w:space="0" w:color="auto"/>
            <w:left w:val="none" w:sz="0" w:space="0" w:color="auto"/>
            <w:bottom w:val="none" w:sz="0" w:space="0" w:color="auto"/>
            <w:right w:val="none" w:sz="0" w:space="0" w:color="auto"/>
          </w:divBdr>
          <w:divsChild>
            <w:div w:id="1627465496">
              <w:marLeft w:val="0"/>
              <w:marRight w:val="0"/>
              <w:marTop w:val="0"/>
              <w:marBottom w:val="0"/>
              <w:divBdr>
                <w:top w:val="none" w:sz="0" w:space="0" w:color="auto"/>
                <w:left w:val="none" w:sz="0" w:space="0" w:color="auto"/>
                <w:bottom w:val="none" w:sz="0" w:space="0" w:color="auto"/>
                <w:right w:val="none" w:sz="0" w:space="0" w:color="auto"/>
              </w:divBdr>
            </w:div>
          </w:divsChild>
        </w:div>
        <w:div w:id="1654749941">
          <w:marLeft w:val="0"/>
          <w:marRight w:val="0"/>
          <w:marTop w:val="0"/>
          <w:marBottom w:val="0"/>
          <w:divBdr>
            <w:top w:val="none" w:sz="0" w:space="0" w:color="auto"/>
            <w:left w:val="none" w:sz="0" w:space="0" w:color="auto"/>
            <w:bottom w:val="none" w:sz="0" w:space="0" w:color="auto"/>
            <w:right w:val="none" w:sz="0" w:space="0" w:color="auto"/>
          </w:divBdr>
          <w:divsChild>
            <w:div w:id="1744061747">
              <w:marLeft w:val="0"/>
              <w:marRight w:val="0"/>
              <w:marTop w:val="0"/>
              <w:marBottom w:val="0"/>
              <w:divBdr>
                <w:top w:val="none" w:sz="0" w:space="0" w:color="auto"/>
                <w:left w:val="none" w:sz="0" w:space="0" w:color="auto"/>
                <w:bottom w:val="none" w:sz="0" w:space="0" w:color="auto"/>
                <w:right w:val="none" w:sz="0" w:space="0" w:color="auto"/>
              </w:divBdr>
            </w:div>
          </w:divsChild>
        </w:div>
        <w:div w:id="1664772083">
          <w:marLeft w:val="0"/>
          <w:marRight w:val="0"/>
          <w:marTop w:val="0"/>
          <w:marBottom w:val="0"/>
          <w:divBdr>
            <w:top w:val="none" w:sz="0" w:space="0" w:color="auto"/>
            <w:left w:val="none" w:sz="0" w:space="0" w:color="auto"/>
            <w:bottom w:val="none" w:sz="0" w:space="0" w:color="auto"/>
            <w:right w:val="none" w:sz="0" w:space="0" w:color="auto"/>
          </w:divBdr>
          <w:divsChild>
            <w:div w:id="1912738927">
              <w:marLeft w:val="0"/>
              <w:marRight w:val="0"/>
              <w:marTop w:val="0"/>
              <w:marBottom w:val="0"/>
              <w:divBdr>
                <w:top w:val="none" w:sz="0" w:space="0" w:color="auto"/>
                <w:left w:val="none" w:sz="0" w:space="0" w:color="auto"/>
                <w:bottom w:val="none" w:sz="0" w:space="0" w:color="auto"/>
                <w:right w:val="none" w:sz="0" w:space="0" w:color="auto"/>
              </w:divBdr>
            </w:div>
          </w:divsChild>
        </w:div>
        <w:div w:id="1675373179">
          <w:marLeft w:val="0"/>
          <w:marRight w:val="0"/>
          <w:marTop w:val="0"/>
          <w:marBottom w:val="0"/>
          <w:divBdr>
            <w:top w:val="none" w:sz="0" w:space="0" w:color="auto"/>
            <w:left w:val="none" w:sz="0" w:space="0" w:color="auto"/>
            <w:bottom w:val="none" w:sz="0" w:space="0" w:color="auto"/>
            <w:right w:val="none" w:sz="0" w:space="0" w:color="auto"/>
          </w:divBdr>
          <w:divsChild>
            <w:div w:id="1020938758">
              <w:marLeft w:val="0"/>
              <w:marRight w:val="0"/>
              <w:marTop w:val="0"/>
              <w:marBottom w:val="0"/>
              <w:divBdr>
                <w:top w:val="none" w:sz="0" w:space="0" w:color="auto"/>
                <w:left w:val="none" w:sz="0" w:space="0" w:color="auto"/>
                <w:bottom w:val="none" w:sz="0" w:space="0" w:color="auto"/>
                <w:right w:val="none" w:sz="0" w:space="0" w:color="auto"/>
              </w:divBdr>
            </w:div>
          </w:divsChild>
        </w:div>
        <w:div w:id="1688172416">
          <w:marLeft w:val="0"/>
          <w:marRight w:val="0"/>
          <w:marTop w:val="0"/>
          <w:marBottom w:val="0"/>
          <w:divBdr>
            <w:top w:val="none" w:sz="0" w:space="0" w:color="auto"/>
            <w:left w:val="none" w:sz="0" w:space="0" w:color="auto"/>
            <w:bottom w:val="none" w:sz="0" w:space="0" w:color="auto"/>
            <w:right w:val="none" w:sz="0" w:space="0" w:color="auto"/>
          </w:divBdr>
          <w:divsChild>
            <w:div w:id="64844313">
              <w:marLeft w:val="0"/>
              <w:marRight w:val="0"/>
              <w:marTop w:val="0"/>
              <w:marBottom w:val="0"/>
              <w:divBdr>
                <w:top w:val="none" w:sz="0" w:space="0" w:color="auto"/>
                <w:left w:val="none" w:sz="0" w:space="0" w:color="auto"/>
                <w:bottom w:val="none" w:sz="0" w:space="0" w:color="auto"/>
                <w:right w:val="none" w:sz="0" w:space="0" w:color="auto"/>
              </w:divBdr>
            </w:div>
          </w:divsChild>
        </w:div>
        <w:div w:id="1705211654">
          <w:marLeft w:val="0"/>
          <w:marRight w:val="0"/>
          <w:marTop w:val="0"/>
          <w:marBottom w:val="0"/>
          <w:divBdr>
            <w:top w:val="none" w:sz="0" w:space="0" w:color="auto"/>
            <w:left w:val="none" w:sz="0" w:space="0" w:color="auto"/>
            <w:bottom w:val="none" w:sz="0" w:space="0" w:color="auto"/>
            <w:right w:val="none" w:sz="0" w:space="0" w:color="auto"/>
          </w:divBdr>
          <w:divsChild>
            <w:div w:id="389038234">
              <w:marLeft w:val="0"/>
              <w:marRight w:val="0"/>
              <w:marTop w:val="0"/>
              <w:marBottom w:val="0"/>
              <w:divBdr>
                <w:top w:val="none" w:sz="0" w:space="0" w:color="auto"/>
                <w:left w:val="none" w:sz="0" w:space="0" w:color="auto"/>
                <w:bottom w:val="none" w:sz="0" w:space="0" w:color="auto"/>
                <w:right w:val="none" w:sz="0" w:space="0" w:color="auto"/>
              </w:divBdr>
            </w:div>
          </w:divsChild>
        </w:div>
        <w:div w:id="1706438977">
          <w:marLeft w:val="0"/>
          <w:marRight w:val="0"/>
          <w:marTop w:val="0"/>
          <w:marBottom w:val="0"/>
          <w:divBdr>
            <w:top w:val="none" w:sz="0" w:space="0" w:color="auto"/>
            <w:left w:val="none" w:sz="0" w:space="0" w:color="auto"/>
            <w:bottom w:val="none" w:sz="0" w:space="0" w:color="auto"/>
            <w:right w:val="none" w:sz="0" w:space="0" w:color="auto"/>
          </w:divBdr>
          <w:divsChild>
            <w:div w:id="1431269603">
              <w:marLeft w:val="0"/>
              <w:marRight w:val="0"/>
              <w:marTop w:val="0"/>
              <w:marBottom w:val="0"/>
              <w:divBdr>
                <w:top w:val="none" w:sz="0" w:space="0" w:color="auto"/>
                <w:left w:val="none" w:sz="0" w:space="0" w:color="auto"/>
                <w:bottom w:val="none" w:sz="0" w:space="0" w:color="auto"/>
                <w:right w:val="none" w:sz="0" w:space="0" w:color="auto"/>
              </w:divBdr>
            </w:div>
          </w:divsChild>
        </w:div>
        <w:div w:id="1714577723">
          <w:marLeft w:val="0"/>
          <w:marRight w:val="0"/>
          <w:marTop w:val="0"/>
          <w:marBottom w:val="0"/>
          <w:divBdr>
            <w:top w:val="none" w:sz="0" w:space="0" w:color="auto"/>
            <w:left w:val="none" w:sz="0" w:space="0" w:color="auto"/>
            <w:bottom w:val="none" w:sz="0" w:space="0" w:color="auto"/>
            <w:right w:val="none" w:sz="0" w:space="0" w:color="auto"/>
          </w:divBdr>
          <w:divsChild>
            <w:div w:id="2032291331">
              <w:marLeft w:val="0"/>
              <w:marRight w:val="0"/>
              <w:marTop w:val="0"/>
              <w:marBottom w:val="0"/>
              <w:divBdr>
                <w:top w:val="none" w:sz="0" w:space="0" w:color="auto"/>
                <w:left w:val="none" w:sz="0" w:space="0" w:color="auto"/>
                <w:bottom w:val="none" w:sz="0" w:space="0" w:color="auto"/>
                <w:right w:val="none" w:sz="0" w:space="0" w:color="auto"/>
              </w:divBdr>
            </w:div>
          </w:divsChild>
        </w:div>
        <w:div w:id="1714843655">
          <w:marLeft w:val="0"/>
          <w:marRight w:val="0"/>
          <w:marTop w:val="0"/>
          <w:marBottom w:val="0"/>
          <w:divBdr>
            <w:top w:val="none" w:sz="0" w:space="0" w:color="auto"/>
            <w:left w:val="none" w:sz="0" w:space="0" w:color="auto"/>
            <w:bottom w:val="none" w:sz="0" w:space="0" w:color="auto"/>
            <w:right w:val="none" w:sz="0" w:space="0" w:color="auto"/>
          </w:divBdr>
          <w:divsChild>
            <w:div w:id="1357610115">
              <w:marLeft w:val="0"/>
              <w:marRight w:val="0"/>
              <w:marTop w:val="0"/>
              <w:marBottom w:val="0"/>
              <w:divBdr>
                <w:top w:val="none" w:sz="0" w:space="0" w:color="auto"/>
                <w:left w:val="none" w:sz="0" w:space="0" w:color="auto"/>
                <w:bottom w:val="none" w:sz="0" w:space="0" w:color="auto"/>
                <w:right w:val="none" w:sz="0" w:space="0" w:color="auto"/>
              </w:divBdr>
            </w:div>
          </w:divsChild>
        </w:div>
        <w:div w:id="1720665976">
          <w:marLeft w:val="0"/>
          <w:marRight w:val="0"/>
          <w:marTop w:val="0"/>
          <w:marBottom w:val="0"/>
          <w:divBdr>
            <w:top w:val="none" w:sz="0" w:space="0" w:color="auto"/>
            <w:left w:val="none" w:sz="0" w:space="0" w:color="auto"/>
            <w:bottom w:val="none" w:sz="0" w:space="0" w:color="auto"/>
            <w:right w:val="none" w:sz="0" w:space="0" w:color="auto"/>
          </w:divBdr>
          <w:divsChild>
            <w:div w:id="346372790">
              <w:marLeft w:val="0"/>
              <w:marRight w:val="0"/>
              <w:marTop w:val="0"/>
              <w:marBottom w:val="0"/>
              <w:divBdr>
                <w:top w:val="none" w:sz="0" w:space="0" w:color="auto"/>
                <w:left w:val="none" w:sz="0" w:space="0" w:color="auto"/>
                <w:bottom w:val="none" w:sz="0" w:space="0" w:color="auto"/>
                <w:right w:val="none" w:sz="0" w:space="0" w:color="auto"/>
              </w:divBdr>
            </w:div>
          </w:divsChild>
        </w:div>
        <w:div w:id="1731072352">
          <w:marLeft w:val="0"/>
          <w:marRight w:val="0"/>
          <w:marTop w:val="0"/>
          <w:marBottom w:val="0"/>
          <w:divBdr>
            <w:top w:val="none" w:sz="0" w:space="0" w:color="auto"/>
            <w:left w:val="none" w:sz="0" w:space="0" w:color="auto"/>
            <w:bottom w:val="none" w:sz="0" w:space="0" w:color="auto"/>
            <w:right w:val="none" w:sz="0" w:space="0" w:color="auto"/>
          </w:divBdr>
          <w:divsChild>
            <w:div w:id="301813571">
              <w:marLeft w:val="0"/>
              <w:marRight w:val="0"/>
              <w:marTop w:val="0"/>
              <w:marBottom w:val="0"/>
              <w:divBdr>
                <w:top w:val="none" w:sz="0" w:space="0" w:color="auto"/>
                <w:left w:val="none" w:sz="0" w:space="0" w:color="auto"/>
                <w:bottom w:val="none" w:sz="0" w:space="0" w:color="auto"/>
                <w:right w:val="none" w:sz="0" w:space="0" w:color="auto"/>
              </w:divBdr>
            </w:div>
          </w:divsChild>
        </w:div>
        <w:div w:id="1732194942">
          <w:marLeft w:val="0"/>
          <w:marRight w:val="0"/>
          <w:marTop w:val="0"/>
          <w:marBottom w:val="0"/>
          <w:divBdr>
            <w:top w:val="none" w:sz="0" w:space="0" w:color="auto"/>
            <w:left w:val="none" w:sz="0" w:space="0" w:color="auto"/>
            <w:bottom w:val="none" w:sz="0" w:space="0" w:color="auto"/>
            <w:right w:val="none" w:sz="0" w:space="0" w:color="auto"/>
          </w:divBdr>
          <w:divsChild>
            <w:div w:id="108087110">
              <w:marLeft w:val="0"/>
              <w:marRight w:val="0"/>
              <w:marTop w:val="0"/>
              <w:marBottom w:val="0"/>
              <w:divBdr>
                <w:top w:val="none" w:sz="0" w:space="0" w:color="auto"/>
                <w:left w:val="none" w:sz="0" w:space="0" w:color="auto"/>
                <w:bottom w:val="none" w:sz="0" w:space="0" w:color="auto"/>
                <w:right w:val="none" w:sz="0" w:space="0" w:color="auto"/>
              </w:divBdr>
            </w:div>
          </w:divsChild>
        </w:div>
        <w:div w:id="1732734574">
          <w:marLeft w:val="0"/>
          <w:marRight w:val="0"/>
          <w:marTop w:val="0"/>
          <w:marBottom w:val="0"/>
          <w:divBdr>
            <w:top w:val="none" w:sz="0" w:space="0" w:color="auto"/>
            <w:left w:val="none" w:sz="0" w:space="0" w:color="auto"/>
            <w:bottom w:val="none" w:sz="0" w:space="0" w:color="auto"/>
            <w:right w:val="none" w:sz="0" w:space="0" w:color="auto"/>
          </w:divBdr>
          <w:divsChild>
            <w:div w:id="1160346725">
              <w:marLeft w:val="0"/>
              <w:marRight w:val="0"/>
              <w:marTop w:val="0"/>
              <w:marBottom w:val="0"/>
              <w:divBdr>
                <w:top w:val="none" w:sz="0" w:space="0" w:color="auto"/>
                <w:left w:val="none" w:sz="0" w:space="0" w:color="auto"/>
                <w:bottom w:val="none" w:sz="0" w:space="0" w:color="auto"/>
                <w:right w:val="none" w:sz="0" w:space="0" w:color="auto"/>
              </w:divBdr>
            </w:div>
          </w:divsChild>
        </w:div>
        <w:div w:id="1744792245">
          <w:marLeft w:val="0"/>
          <w:marRight w:val="0"/>
          <w:marTop w:val="0"/>
          <w:marBottom w:val="0"/>
          <w:divBdr>
            <w:top w:val="none" w:sz="0" w:space="0" w:color="auto"/>
            <w:left w:val="none" w:sz="0" w:space="0" w:color="auto"/>
            <w:bottom w:val="none" w:sz="0" w:space="0" w:color="auto"/>
            <w:right w:val="none" w:sz="0" w:space="0" w:color="auto"/>
          </w:divBdr>
          <w:divsChild>
            <w:div w:id="1215845705">
              <w:marLeft w:val="0"/>
              <w:marRight w:val="0"/>
              <w:marTop w:val="0"/>
              <w:marBottom w:val="0"/>
              <w:divBdr>
                <w:top w:val="none" w:sz="0" w:space="0" w:color="auto"/>
                <w:left w:val="none" w:sz="0" w:space="0" w:color="auto"/>
                <w:bottom w:val="none" w:sz="0" w:space="0" w:color="auto"/>
                <w:right w:val="none" w:sz="0" w:space="0" w:color="auto"/>
              </w:divBdr>
            </w:div>
          </w:divsChild>
        </w:div>
        <w:div w:id="1756436345">
          <w:marLeft w:val="0"/>
          <w:marRight w:val="0"/>
          <w:marTop w:val="0"/>
          <w:marBottom w:val="0"/>
          <w:divBdr>
            <w:top w:val="none" w:sz="0" w:space="0" w:color="auto"/>
            <w:left w:val="none" w:sz="0" w:space="0" w:color="auto"/>
            <w:bottom w:val="none" w:sz="0" w:space="0" w:color="auto"/>
            <w:right w:val="none" w:sz="0" w:space="0" w:color="auto"/>
          </w:divBdr>
          <w:divsChild>
            <w:div w:id="267542711">
              <w:marLeft w:val="0"/>
              <w:marRight w:val="0"/>
              <w:marTop w:val="0"/>
              <w:marBottom w:val="0"/>
              <w:divBdr>
                <w:top w:val="none" w:sz="0" w:space="0" w:color="auto"/>
                <w:left w:val="none" w:sz="0" w:space="0" w:color="auto"/>
                <w:bottom w:val="none" w:sz="0" w:space="0" w:color="auto"/>
                <w:right w:val="none" w:sz="0" w:space="0" w:color="auto"/>
              </w:divBdr>
            </w:div>
          </w:divsChild>
        </w:div>
        <w:div w:id="1757480029">
          <w:marLeft w:val="0"/>
          <w:marRight w:val="0"/>
          <w:marTop w:val="0"/>
          <w:marBottom w:val="0"/>
          <w:divBdr>
            <w:top w:val="none" w:sz="0" w:space="0" w:color="auto"/>
            <w:left w:val="none" w:sz="0" w:space="0" w:color="auto"/>
            <w:bottom w:val="none" w:sz="0" w:space="0" w:color="auto"/>
            <w:right w:val="none" w:sz="0" w:space="0" w:color="auto"/>
          </w:divBdr>
          <w:divsChild>
            <w:div w:id="924610023">
              <w:marLeft w:val="0"/>
              <w:marRight w:val="0"/>
              <w:marTop w:val="0"/>
              <w:marBottom w:val="0"/>
              <w:divBdr>
                <w:top w:val="none" w:sz="0" w:space="0" w:color="auto"/>
                <w:left w:val="none" w:sz="0" w:space="0" w:color="auto"/>
                <w:bottom w:val="none" w:sz="0" w:space="0" w:color="auto"/>
                <w:right w:val="none" w:sz="0" w:space="0" w:color="auto"/>
              </w:divBdr>
            </w:div>
          </w:divsChild>
        </w:div>
        <w:div w:id="1772775278">
          <w:marLeft w:val="0"/>
          <w:marRight w:val="0"/>
          <w:marTop w:val="0"/>
          <w:marBottom w:val="0"/>
          <w:divBdr>
            <w:top w:val="none" w:sz="0" w:space="0" w:color="auto"/>
            <w:left w:val="none" w:sz="0" w:space="0" w:color="auto"/>
            <w:bottom w:val="none" w:sz="0" w:space="0" w:color="auto"/>
            <w:right w:val="none" w:sz="0" w:space="0" w:color="auto"/>
          </w:divBdr>
          <w:divsChild>
            <w:div w:id="1077828400">
              <w:marLeft w:val="0"/>
              <w:marRight w:val="0"/>
              <w:marTop w:val="0"/>
              <w:marBottom w:val="0"/>
              <w:divBdr>
                <w:top w:val="none" w:sz="0" w:space="0" w:color="auto"/>
                <w:left w:val="none" w:sz="0" w:space="0" w:color="auto"/>
                <w:bottom w:val="none" w:sz="0" w:space="0" w:color="auto"/>
                <w:right w:val="none" w:sz="0" w:space="0" w:color="auto"/>
              </w:divBdr>
            </w:div>
          </w:divsChild>
        </w:div>
        <w:div w:id="1773163554">
          <w:marLeft w:val="0"/>
          <w:marRight w:val="0"/>
          <w:marTop w:val="0"/>
          <w:marBottom w:val="0"/>
          <w:divBdr>
            <w:top w:val="none" w:sz="0" w:space="0" w:color="auto"/>
            <w:left w:val="none" w:sz="0" w:space="0" w:color="auto"/>
            <w:bottom w:val="none" w:sz="0" w:space="0" w:color="auto"/>
            <w:right w:val="none" w:sz="0" w:space="0" w:color="auto"/>
          </w:divBdr>
          <w:divsChild>
            <w:div w:id="1579905355">
              <w:marLeft w:val="0"/>
              <w:marRight w:val="0"/>
              <w:marTop w:val="0"/>
              <w:marBottom w:val="0"/>
              <w:divBdr>
                <w:top w:val="none" w:sz="0" w:space="0" w:color="auto"/>
                <w:left w:val="none" w:sz="0" w:space="0" w:color="auto"/>
                <w:bottom w:val="none" w:sz="0" w:space="0" w:color="auto"/>
                <w:right w:val="none" w:sz="0" w:space="0" w:color="auto"/>
              </w:divBdr>
            </w:div>
          </w:divsChild>
        </w:div>
        <w:div w:id="1776485934">
          <w:marLeft w:val="0"/>
          <w:marRight w:val="0"/>
          <w:marTop w:val="0"/>
          <w:marBottom w:val="0"/>
          <w:divBdr>
            <w:top w:val="none" w:sz="0" w:space="0" w:color="auto"/>
            <w:left w:val="none" w:sz="0" w:space="0" w:color="auto"/>
            <w:bottom w:val="none" w:sz="0" w:space="0" w:color="auto"/>
            <w:right w:val="none" w:sz="0" w:space="0" w:color="auto"/>
          </w:divBdr>
          <w:divsChild>
            <w:div w:id="550388260">
              <w:marLeft w:val="0"/>
              <w:marRight w:val="0"/>
              <w:marTop w:val="0"/>
              <w:marBottom w:val="0"/>
              <w:divBdr>
                <w:top w:val="none" w:sz="0" w:space="0" w:color="auto"/>
                <w:left w:val="none" w:sz="0" w:space="0" w:color="auto"/>
                <w:bottom w:val="none" w:sz="0" w:space="0" w:color="auto"/>
                <w:right w:val="none" w:sz="0" w:space="0" w:color="auto"/>
              </w:divBdr>
            </w:div>
          </w:divsChild>
        </w:div>
        <w:div w:id="1785266939">
          <w:marLeft w:val="0"/>
          <w:marRight w:val="0"/>
          <w:marTop w:val="0"/>
          <w:marBottom w:val="0"/>
          <w:divBdr>
            <w:top w:val="none" w:sz="0" w:space="0" w:color="auto"/>
            <w:left w:val="none" w:sz="0" w:space="0" w:color="auto"/>
            <w:bottom w:val="none" w:sz="0" w:space="0" w:color="auto"/>
            <w:right w:val="none" w:sz="0" w:space="0" w:color="auto"/>
          </w:divBdr>
          <w:divsChild>
            <w:div w:id="804852176">
              <w:marLeft w:val="0"/>
              <w:marRight w:val="0"/>
              <w:marTop w:val="0"/>
              <w:marBottom w:val="0"/>
              <w:divBdr>
                <w:top w:val="none" w:sz="0" w:space="0" w:color="auto"/>
                <w:left w:val="none" w:sz="0" w:space="0" w:color="auto"/>
                <w:bottom w:val="none" w:sz="0" w:space="0" w:color="auto"/>
                <w:right w:val="none" w:sz="0" w:space="0" w:color="auto"/>
              </w:divBdr>
            </w:div>
          </w:divsChild>
        </w:div>
        <w:div w:id="1786727100">
          <w:marLeft w:val="0"/>
          <w:marRight w:val="0"/>
          <w:marTop w:val="0"/>
          <w:marBottom w:val="0"/>
          <w:divBdr>
            <w:top w:val="none" w:sz="0" w:space="0" w:color="auto"/>
            <w:left w:val="none" w:sz="0" w:space="0" w:color="auto"/>
            <w:bottom w:val="none" w:sz="0" w:space="0" w:color="auto"/>
            <w:right w:val="none" w:sz="0" w:space="0" w:color="auto"/>
          </w:divBdr>
          <w:divsChild>
            <w:div w:id="1274509600">
              <w:marLeft w:val="0"/>
              <w:marRight w:val="0"/>
              <w:marTop w:val="0"/>
              <w:marBottom w:val="0"/>
              <w:divBdr>
                <w:top w:val="none" w:sz="0" w:space="0" w:color="auto"/>
                <w:left w:val="none" w:sz="0" w:space="0" w:color="auto"/>
                <w:bottom w:val="none" w:sz="0" w:space="0" w:color="auto"/>
                <w:right w:val="none" w:sz="0" w:space="0" w:color="auto"/>
              </w:divBdr>
            </w:div>
          </w:divsChild>
        </w:div>
        <w:div w:id="1797526223">
          <w:marLeft w:val="0"/>
          <w:marRight w:val="0"/>
          <w:marTop w:val="0"/>
          <w:marBottom w:val="0"/>
          <w:divBdr>
            <w:top w:val="none" w:sz="0" w:space="0" w:color="auto"/>
            <w:left w:val="none" w:sz="0" w:space="0" w:color="auto"/>
            <w:bottom w:val="none" w:sz="0" w:space="0" w:color="auto"/>
            <w:right w:val="none" w:sz="0" w:space="0" w:color="auto"/>
          </w:divBdr>
          <w:divsChild>
            <w:div w:id="379600469">
              <w:marLeft w:val="0"/>
              <w:marRight w:val="0"/>
              <w:marTop w:val="0"/>
              <w:marBottom w:val="0"/>
              <w:divBdr>
                <w:top w:val="none" w:sz="0" w:space="0" w:color="auto"/>
                <w:left w:val="none" w:sz="0" w:space="0" w:color="auto"/>
                <w:bottom w:val="none" w:sz="0" w:space="0" w:color="auto"/>
                <w:right w:val="none" w:sz="0" w:space="0" w:color="auto"/>
              </w:divBdr>
            </w:div>
          </w:divsChild>
        </w:div>
        <w:div w:id="1809320028">
          <w:marLeft w:val="0"/>
          <w:marRight w:val="0"/>
          <w:marTop w:val="0"/>
          <w:marBottom w:val="0"/>
          <w:divBdr>
            <w:top w:val="none" w:sz="0" w:space="0" w:color="auto"/>
            <w:left w:val="none" w:sz="0" w:space="0" w:color="auto"/>
            <w:bottom w:val="none" w:sz="0" w:space="0" w:color="auto"/>
            <w:right w:val="none" w:sz="0" w:space="0" w:color="auto"/>
          </w:divBdr>
          <w:divsChild>
            <w:div w:id="718096218">
              <w:marLeft w:val="0"/>
              <w:marRight w:val="0"/>
              <w:marTop w:val="0"/>
              <w:marBottom w:val="0"/>
              <w:divBdr>
                <w:top w:val="none" w:sz="0" w:space="0" w:color="auto"/>
                <w:left w:val="none" w:sz="0" w:space="0" w:color="auto"/>
                <w:bottom w:val="none" w:sz="0" w:space="0" w:color="auto"/>
                <w:right w:val="none" w:sz="0" w:space="0" w:color="auto"/>
              </w:divBdr>
            </w:div>
          </w:divsChild>
        </w:div>
        <w:div w:id="1814908374">
          <w:marLeft w:val="0"/>
          <w:marRight w:val="0"/>
          <w:marTop w:val="0"/>
          <w:marBottom w:val="0"/>
          <w:divBdr>
            <w:top w:val="none" w:sz="0" w:space="0" w:color="auto"/>
            <w:left w:val="none" w:sz="0" w:space="0" w:color="auto"/>
            <w:bottom w:val="none" w:sz="0" w:space="0" w:color="auto"/>
            <w:right w:val="none" w:sz="0" w:space="0" w:color="auto"/>
          </w:divBdr>
          <w:divsChild>
            <w:div w:id="944003715">
              <w:marLeft w:val="0"/>
              <w:marRight w:val="0"/>
              <w:marTop w:val="0"/>
              <w:marBottom w:val="0"/>
              <w:divBdr>
                <w:top w:val="none" w:sz="0" w:space="0" w:color="auto"/>
                <w:left w:val="none" w:sz="0" w:space="0" w:color="auto"/>
                <w:bottom w:val="none" w:sz="0" w:space="0" w:color="auto"/>
                <w:right w:val="none" w:sz="0" w:space="0" w:color="auto"/>
              </w:divBdr>
            </w:div>
          </w:divsChild>
        </w:div>
        <w:div w:id="1819692192">
          <w:marLeft w:val="0"/>
          <w:marRight w:val="0"/>
          <w:marTop w:val="0"/>
          <w:marBottom w:val="0"/>
          <w:divBdr>
            <w:top w:val="none" w:sz="0" w:space="0" w:color="auto"/>
            <w:left w:val="none" w:sz="0" w:space="0" w:color="auto"/>
            <w:bottom w:val="none" w:sz="0" w:space="0" w:color="auto"/>
            <w:right w:val="none" w:sz="0" w:space="0" w:color="auto"/>
          </w:divBdr>
          <w:divsChild>
            <w:div w:id="393703438">
              <w:marLeft w:val="0"/>
              <w:marRight w:val="0"/>
              <w:marTop w:val="0"/>
              <w:marBottom w:val="0"/>
              <w:divBdr>
                <w:top w:val="none" w:sz="0" w:space="0" w:color="auto"/>
                <w:left w:val="none" w:sz="0" w:space="0" w:color="auto"/>
                <w:bottom w:val="none" w:sz="0" w:space="0" w:color="auto"/>
                <w:right w:val="none" w:sz="0" w:space="0" w:color="auto"/>
              </w:divBdr>
            </w:div>
            <w:div w:id="2121021421">
              <w:marLeft w:val="0"/>
              <w:marRight w:val="0"/>
              <w:marTop w:val="0"/>
              <w:marBottom w:val="0"/>
              <w:divBdr>
                <w:top w:val="none" w:sz="0" w:space="0" w:color="auto"/>
                <w:left w:val="none" w:sz="0" w:space="0" w:color="auto"/>
                <w:bottom w:val="none" w:sz="0" w:space="0" w:color="auto"/>
                <w:right w:val="none" w:sz="0" w:space="0" w:color="auto"/>
              </w:divBdr>
            </w:div>
          </w:divsChild>
        </w:div>
        <w:div w:id="1831410962">
          <w:marLeft w:val="0"/>
          <w:marRight w:val="0"/>
          <w:marTop w:val="0"/>
          <w:marBottom w:val="0"/>
          <w:divBdr>
            <w:top w:val="none" w:sz="0" w:space="0" w:color="auto"/>
            <w:left w:val="none" w:sz="0" w:space="0" w:color="auto"/>
            <w:bottom w:val="none" w:sz="0" w:space="0" w:color="auto"/>
            <w:right w:val="none" w:sz="0" w:space="0" w:color="auto"/>
          </w:divBdr>
          <w:divsChild>
            <w:div w:id="835344239">
              <w:marLeft w:val="0"/>
              <w:marRight w:val="0"/>
              <w:marTop w:val="0"/>
              <w:marBottom w:val="0"/>
              <w:divBdr>
                <w:top w:val="none" w:sz="0" w:space="0" w:color="auto"/>
                <w:left w:val="none" w:sz="0" w:space="0" w:color="auto"/>
                <w:bottom w:val="none" w:sz="0" w:space="0" w:color="auto"/>
                <w:right w:val="none" w:sz="0" w:space="0" w:color="auto"/>
              </w:divBdr>
            </w:div>
          </w:divsChild>
        </w:div>
        <w:div w:id="1834635821">
          <w:marLeft w:val="0"/>
          <w:marRight w:val="0"/>
          <w:marTop w:val="0"/>
          <w:marBottom w:val="0"/>
          <w:divBdr>
            <w:top w:val="none" w:sz="0" w:space="0" w:color="auto"/>
            <w:left w:val="none" w:sz="0" w:space="0" w:color="auto"/>
            <w:bottom w:val="none" w:sz="0" w:space="0" w:color="auto"/>
            <w:right w:val="none" w:sz="0" w:space="0" w:color="auto"/>
          </w:divBdr>
          <w:divsChild>
            <w:div w:id="354775845">
              <w:marLeft w:val="0"/>
              <w:marRight w:val="0"/>
              <w:marTop w:val="0"/>
              <w:marBottom w:val="0"/>
              <w:divBdr>
                <w:top w:val="none" w:sz="0" w:space="0" w:color="auto"/>
                <w:left w:val="none" w:sz="0" w:space="0" w:color="auto"/>
                <w:bottom w:val="none" w:sz="0" w:space="0" w:color="auto"/>
                <w:right w:val="none" w:sz="0" w:space="0" w:color="auto"/>
              </w:divBdr>
            </w:div>
          </w:divsChild>
        </w:div>
        <w:div w:id="1840579025">
          <w:marLeft w:val="0"/>
          <w:marRight w:val="0"/>
          <w:marTop w:val="0"/>
          <w:marBottom w:val="0"/>
          <w:divBdr>
            <w:top w:val="none" w:sz="0" w:space="0" w:color="auto"/>
            <w:left w:val="none" w:sz="0" w:space="0" w:color="auto"/>
            <w:bottom w:val="none" w:sz="0" w:space="0" w:color="auto"/>
            <w:right w:val="none" w:sz="0" w:space="0" w:color="auto"/>
          </w:divBdr>
          <w:divsChild>
            <w:div w:id="1550998854">
              <w:marLeft w:val="0"/>
              <w:marRight w:val="0"/>
              <w:marTop w:val="0"/>
              <w:marBottom w:val="0"/>
              <w:divBdr>
                <w:top w:val="none" w:sz="0" w:space="0" w:color="auto"/>
                <w:left w:val="none" w:sz="0" w:space="0" w:color="auto"/>
                <w:bottom w:val="none" w:sz="0" w:space="0" w:color="auto"/>
                <w:right w:val="none" w:sz="0" w:space="0" w:color="auto"/>
              </w:divBdr>
            </w:div>
          </w:divsChild>
        </w:div>
        <w:div w:id="1851140008">
          <w:marLeft w:val="0"/>
          <w:marRight w:val="0"/>
          <w:marTop w:val="0"/>
          <w:marBottom w:val="0"/>
          <w:divBdr>
            <w:top w:val="none" w:sz="0" w:space="0" w:color="auto"/>
            <w:left w:val="none" w:sz="0" w:space="0" w:color="auto"/>
            <w:bottom w:val="none" w:sz="0" w:space="0" w:color="auto"/>
            <w:right w:val="none" w:sz="0" w:space="0" w:color="auto"/>
          </w:divBdr>
          <w:divsChild>
            <w:div w:id="139005038">
              <w:marLeft w:val="0"/>
              <w:marRight w:val="0"/>
              <w:marTop w:val="0"/>
              <w:marBottom w:val="0"/>
              <w:divBdr>
                <w:top w:val="none" w:sz="0" w:space="0" w:color="auto"/>
                <w:left w:val="none" w:sz="0" w:space="0" w:color="auto"/>
                <w:bottom w:val="none" w:sz="0" w:space="0" w:color="auto"/>
                <w:right w:val="none" w:sz="0" w:space="0" w:color="auto"/>
              </w:divBdr>
            </w:div>
          </w:divsChild>
        </w:div>
        <w:div w:id="1851405145">
          <w:marLeft w:val="0"/>
          <w:marRight w:val="0"/>
          <w:marTop w:val="0"/>
          <w:marBottom w:val="0"/>
          <w:divBdr>
            <w:top w:val="none" w:sz="0" w:space="0" w:color="auto"/>
            <w:left w:val="none" w:sz="0" w:space="0" w:color="auto"/>
            <w:bottom w:val="none" w:sz="0" w:space="0" w:color="auto"/>
            <w:right w:val="none" w:sz="0" w:space="0" w:color="auto"/>
          </w:divBdr>
          <w:divsChild>
            <w:div w:id="759446965">
              <w:marLeft w:val="0"/>
              <w:marRight w:val="0"/>
              <w:marTop w:val="0"/>
              <w:marBottom w:val="0"/>
              <w:divBdr>
                <w:top w:val="none" w:sz="0" w:space="0" w:color="auto"/>
                <w:left w:val="none" w:sz="0" w:space="0" w:color="auto"/>
                <w:bottom w:val="none" w:sz="0" w:space="0" w:color="auto"/>
                <w:right w:val="none" w:sz="0" w:space="0" w:color="auto"/>
              </w:divBdr>
            </w:div>
          </w:divsChild>
        </w:div>
        <w:div w:id="1854757704">
          <w:marLeft w:val="0"/>
          <w:marRight w:val="0"/>
          <w:marTop w:val="0"/>
          <w:marBottom w:val="0"/>
          <w:divBdr>
            <w:top w:val="none" w:sz="0" w:space="0" w:color="auto"/>
            <w:left w:val="none" w:sz="0" w:space="0" w:color="auto"/>
            <w:bottom w:val="none" w:sz="0" w:space="0" w:color="auto"/>
            <w:right w:val="none" w:sz="0" w:space="0" w:color="auto"/>
          </w:divBdr>
          <w:divsChild>
            <w:div w:id="95181239">
              <w:marLeft w:val="0"/>
              <w:marRight w:val="0"/>
              <w:marTop w:val="0"/>
              <w:marBottom w:val="0"/>
              <w:divBdr>
                <w:top w:val="none" w:sz="0" w:space="0" w:color="auto"/>
                <w:left w:val="none" w:sz="0" w:space="0" w:color="auto"/>
                <w:bottom w:val="none" w:sz="0" w:space="0" w:color="auto"/>
                <w:right w:val="none" w:sz="0" w:space="0" w:color="auto"/>
              </w:divBdr>
            </w:div>
          </w:divsChild>
        </w:div>
        <w:div w:id="1857384400">
          <w:marLeft w:val="0"/>
          <w:marRight w:val="0"/>
          <w:marTop w:val="0"/>
          <w:marBottom w:val="0"/>
          <w:divBdr>
            <w:top w:val="none" w:sz="0" w:space="0" w:color="auto"/>
            <w:left w:val="none" w:sz="0" w:space="0" w:color="auto"/>
            <w:bottom w:val="none" w:sz="0" w:space="0" w:color="auto"/>
            <w:right w:val="none" w:sz="0" w:space="0" w:color="auto"/>
          </w:divBdr>
          <w:divsChild>
            <w:div w:id="49117752">
              <w:marLeft w:val="0"/>
              <w:marRight w:val="0"/>
              <w:marTop w:val="0"/>
              <w:marBottom w:val="0"/>
              <w:divBdr>
                <w:top w:val="none" w:sz="0" w:space="0" w:color="auto"/>
                <w:left w:val="none" w:sz="0" w:space="0" w:color="auto"/>
                <w:bottom w:val="none" w:sz="0" w:space="0" w:color="auto"/>
                <w:right w:val="none" w:sz="0" w:space="0" w:color="auto"/>
              </w:divBdr>
            </w:div>
          </w:divsChild>
        </w:div>
        <w:div w:id="1859273906">
          <w:marLeft w:val="0"/>
          <w:marRight w:val="0"/>
          <w:marTop w:val="0"/>
          <w:marBottom w:val="0"/>
          <w:divBdr>
            <w:top w:val="none" w:sz="0" w:space="0" w:color="auto"/>
            <w:left w:val="none" w:sz="0" w:space="0" w:color="auto"/>
            <w:bottom w:val="none" w:sz="0" w:space="0" w:color="auto"/>
            <w:right w:val="none" w:sz="0" w:space="0" w:color="auto"/>
          </w:divBdr>
          <w:divsChild>
            <w:div w:id="1523015846">
              <w:marLeft w:val="0"/>
              <w:marRight w:val="0"/>
              <w:marTop w:val="0"/>
              <w:marBottom w:val="0"/>
              <w:divBdr>
                <w:top w:val="none" w:sz="0" w:space="0" w:color="auto"/>
                <w:left w:val="none" w:sz="0" w:space="0" w:color="auto"/>
                <w:bottom w:val="none" w:sz="0" w:space="0" w:color="auto"/>
                <w:right w:val="none" w:sz="0" w:space="0" w:color="auto"/>
              </w:divBdr>
            </w:div>
          </w:divsChild>
        </w:div>
        <w:div w:id="1869566341">
          <w:marLeft w:val="0"/>
          <w:marRight w:val="0"/>
          <w:marTop w:val="0"/>
          <w:marBottom w:val="0"/>
          <w:divBdr>
            <w:top w:val="none" w:sz="0" w:space="0" w:color="auto"/>
            <w:left w:val="none" w:sz="0" w:space="0" w:color="auto"/>
            <w:bottom w:val="none" w:sz="0" w:space="0" w:color="auto"/>
            <w:right w:val="none" w:sz="0" w:space="0" w:color="auto"/>
          </w:divBdr>
          <w:divsChild>
            <w:div w:id="1117019035">
              <w:marLeft w:val="0"/>
              <w:marRight w:val="0"/>
              <w:marTop w:val="0"/>
              <w:marBottom w:val="0"/>
              <w:divBdr>
                <w:top w:val="none" w:sz="0" w:space="0" w:color="auto"/>
                <w:left w:val="none" w:sz="0" w:space="0" w:color="auto"/>
                <w:bottom w:val="none" w:sz="0" w:space="0" w:color="auto"/>
                <w:right w:val="none" w:sz="0" w:space="0" w:color="auto"/>
              </w:divBdr>
            </w:div>
          </w:divsChild>
        </w:div>
        <w:div w:id="1870294972">
          <w:marLeft w:val="0"/>
          <w:marRight w:val="0"/>
          <w:marTop w:val="0"/>
          <w:marBottom w:val="0"/>
          <w:divBdr>
            <w:top w:val="none" w:sz="0" w:space="0" w:color="auto"/>
            <w:left w:val="none" w:sz="0" w:space="0" w:color="auto"/>
            <w:bottom w:val="none" w:sz="0" w:space="0" w:color="auto"/>
            <w:right w:val="none" w:sz="0" w:space="0" w:color="auto"/>
          </w:divBdr>
          <w:divsChild>
            <w:div w:id="433551271">
              <w:marLeft w:val="0"/>
              <w:marRight w:val="0"/>
              <w:marTop w:val="0"/>
              <w:marBottom w:val="0"/>
              <w:divBdr>
                <w:top w:val="none" w:sz="0" w:space="0" w:color="auto"/>
                <w:left w:val="none" w:sz="0" w:space="0" w:color="auto"/>
                <w:bottom w:val="none" w:sz="0" w:space="0" w:color="auto"/>
                <w:right w:val="none" w:sz="0" w:space="0" w:color="auto"/>
              </w:divBdr>
            </w:div>
          </w:divsChild>
        </w:div>
        <w:div w:id="1875465178">
          <w:marLeft w:val="0"/>
          <w:marRight w:val="0"/>
          <w:marTop w:val="0"/>
          <w:marBottom w:val="0"/>
          <w:divBdr>
            <w:top w:val="none" w:sz="0" w:space="0" w:color="auto"/>
            <w:left w:val="none" w:sz="0" w:space="0" w:color="auto"/>
            <w:bottom w:val="none" w:sz="0" w:space="0" w:color="auto"/>
            <w:right w:val="none" w:sz="0" w:space="0" w:color="auto"/>
          </w:divBdr>
          <w:divsChild>
            <w:div w:id="1521119419">
              <w:marLeft w:val="0"/>
              <w:marRight w:val="0"/>
              <w:marTop w:val="0"/>
              <w:marBottom w:val="0"/>
              <w:divBdr>
                <w:top w:val="none" w:sz="0" w:space="0" w:color="auto"/>
                <w:left w:val="none" w:sz="0" w:space="0" w:color="auto"/>
                <w:bottom w:val="none" w:sz="0" w:space="0" w:color="auto"/>
                <w:right w:val="none" w:sz="0" w:space="0" w:color="auto"/>
              </w:divBdr>
            </w:div>
          </w:divsChild>
        </w:div>
        <w:div w:id="1878351390">
          <w:marLeft w:val="0"/>
          <w:marRight w:val="0"/>
          <w:marTop w:val="0"/>
          <w:marBottom w:val="0"/>
          <w:divBdr>
            <w:top w:val="none" w:sz="0" w:space="0" w:color="auto"/>
            <w:left w:val="none" w:sz="0" w:space="0" w:color="auto"/>
            <w:bottom w:val="none" w:sz="0" w:space="0" w:color="auto"/>
            <w:right w:val="none" w:sz="0" w:space="0" w:color="auto"/>
          </w:divBdr>
          <w:divsChild>
            <w:div w:id="1918661269">
              <w:marLeft w:val="0"/>
              <w:marRight w:val="0"/>
              <w:marTop w:val="0"/>
              <w:marBottom w:val="0"/>
              <w:divBdr>
                <w:top w:val="none" w:sz="0" w:space="0" w:color="auto"/>
                <w:left w:val="none" w:sz="0" w:space="0" w:color="auto"/>
                <w:bottom w:val="none" w:sz="0" w:space="0" w:color="auto"/>
                <w:right w:val="none" w:sz="0" w:space="0" w:color="auto"/>
              </w:divBdr>
            </w:div>
          </w:divsChild>
        </w:div>
        <w:div w:id="1900898451">
          <w:marLeft w:val="0"/>
          <w:marRight w:val="0"/>
          <w:marTop w:val="0"/>
          <w:marBottom w:val="0"/>
          <w:divBdr>
            <w:top w:val="none" w:sz="0" w:space="0" w:color="auto"/>
            <w:left w:val="none" w:sz="0" w:space="0" w:color="auto"/>
            <w:bottom w:val="none" w:sz="0" w:space="0" w:color="auto"/>
            <w:right w:val="none" w:sz="0" w:space="0" w:color="auto"/>
          </w:divBdr>
          <w:divsChild>
            <w:div w:id="181408245">
              <w:marLeft w:val="0"/>
              <w:marRight w:val="0"/>
              <w:marTop w:val="0"/>
              <w:marBottom w:val="0"/>
              <w:divBdr>
                <w:top w:val="none" w:sz="0" w:space="0" w:color="auto"/>
                <w:left w:val="none" w:sz="0" w:space="0" w:color="auto"/>
                <w:bottom w:val="none" w:sz="0" w:space="0" w:color="auto"/>
                <w:right w:val="none" w:sz="0" w:space="0" w:color="auto"/>
              </w:divBdr>
            </w:div>
          </w:divsChild>
        </w:div>
        <w:div w:id="1926375065">
          <w:marLeft w:val="0"/>
          <w:marRight w:val="0"/>
          <w:marTop w:val="0"/>
          <w:marBottom w:val="0"/>
          <w:divBdr>
            <w:top w:val="none" w:sz="0" w:space="0" w:color="auto"/>
            <w:left w:val="none" w:sz="0" w:space="0" w:color="auto"/>
            <w:bottom w:val="none" w:sz="0" w:space="0" w:color="auto"/>
            <w:right w:val="none" w:sz="0" w:space="0" w:color="auto"/>
          </w:divBdr>
          <w:divsChild>
            <w:div w:id="1986231748">
              <w:marLeft w:val="0"/>
              <w:marRight w:val="0"/>
              <w:marTop w:val="0"/>
              <w:marBottom w:val="0"/>
              <w:divBdr>
                <w:top w:val="none" w:sz="0" w:space="0" w:color="auto"/>
                <w:left w:val="none" w:sz="0" w:space="0" w:color="auto"/>
                <w:bottom w:val="none" w:sz="0" w:space="0" w:color="auto"/>
                <w:right w:val="none" w:sz="0" w:space="0" w:color="auto"/>
              </w:divBdr>
            </w:div>
          </w:divsChild>
        </w:div>
        <w:div w:id="1935555728">
          <w:marLeft w:val="0"/>
          <w:marRight w:val="0"/>
          <w:marTop w:val="0"/>
          <w:marBottom w:val="0"/>
          <w:divBdr>
            <w:top w:val="none" w:sz="0" w:space="0" w:color="auto"/>
            <w:left w:val="none" w:sz="0" w:space="0" w:color="auto"/>
            <w:bottom w:val="none" w:sz="0" w:space="0" w:color="auto"/>
            <w:right w:val="none" w:sz="0" w:space="0" w:color="auto"/>
          </w:divBdr>
          <w:divsChild>
            <w:div w:id="334305641">
              <w:marLeft w:val="0"/>
              <w:marRight w:val="0"/>
              <w:marTop w:val="0"/>
              <w:marBottom w:val="0"/>
              <w:divBdr>
                <w:top w:val="none" w:sz="0" w:space="0" w:color="auto"/>
                <w:left w:val="none" w:sz="0" w:space="0" w:color="auto"/>
                <w:bottom w:val="none" w:sz="0" w:space="0" w:color="auto"/>
                <w:right w:val="none" w:sz="0" w:space="0" w:color="auto"/>
              </w:divBdr>
            </w:div>
          </w:divsChild>
        </w:div>
        <w:div w:id="1940868529">
          <w:marLeft w:val="0"/>
          <w:marRight w:val="0"/>
          <w:marTop w:val="0"/>
          <w:marBottom w:val="0"/>
          <w:divBdr>
            <w:top w:val="none" w:sz="0" w:space="0" w:color="auto"/>
            <w:left w:val="none" w:sz="0" w:space="0" w:color="auto"/>
            <w:bottom w:val="none" w:sz="0" w:space="0" w:color="auto"/>
            <w:right w:val="none" w:sz="0" w:space="0" w:color="auto"/>
          </w:divBdr>
          <w:divsChild>
            <w:div w:id="2040473869">
              <w:marLeft w:val="0"/>
              <w:marRight w:val="0"/>
              <w:marTop w:val="0"/>
              <w:marBottom w:val="0"/>
              <w:divBdr>
                <w:top w:val="none" w:sz="0" w:space="0" w:color="auto"/>
                <w:left w:val="none" w:sz="0" w:space="0" w:color="auto"/>
                <w:bottom w:val="none" w:sz="0" w:space="0" w:color="auto"/>
                <w:right w:val="none" w:sz="0" w:space="0" w:color="auto"/>
              </w:divBdr>
            </w:div>
          </w:divsChild>
        </w:div>
        <w:div w:id="1943028743">
          <w:marLeft w:val="0"/>
          <w:marRight w:val="0"/>
          <w:marTop w:val="0"/>
          <w:marBottom w:val="0"/>
          <w:divBdr>
            <w:top w:val="none" w:sz="0" w:space="0" w:color="auto"/>
            <w:left w:val="none" w:sz="0" w:space="0" w:color="auto"/>
            <w:bottom w:val="none" w:sz="0" w:space="0" w:color="auto"/>
            <w:right w:val="none" w:sz="0" w:space="0" w:color="auto"/>
          </w:divBdr>
          <w:divsChild>
            <w:div w:id="1202090231">
              <w:marLeft w:val="0"/>
              <w:marRight w:val="0"/>
              <w:marTop w:val="0"/>
              <w:marBottom w:val="0"/>
              <w:divBdr>
                <w:top w:val="none" w:sz="0" w:space="0" w:color="auto"/>
                <w:left w:val="none" w:sz="0" w:space="0" w:color="auto"/>
                <w:bottom w:val="none" w:sz="0" w:space="0" w:color="auto"/>
                <w:right w:val="none" w:sz="0" w:space="0" w:color="auto"/>
              </w:divBdr>
            </w:div>
            <w:div w:id="1511405718">
              <w:marLeft w:val="0"/>
              <w:marRight w:val="0"/>
              <w:marTop w:val="0"/>
              <w:marBottom w:val="0"/>
              <w:divBdr>
                <w:top w:val="none" w:sz="0" w:space="0" w:color="auto"/>
                <w:left w:val="none" w:sz="0" w:space="0" w:color="auto"/>
                <w:bottom w:val="none" w:sz="0" w:space="0" w:color="auto"/>
                <w:right w:val="none" w:sz="0" w:space="0" w:color="auto"/>
              </w:divBdr>
            </w:div>
          </w:divsChild>
        </w:div>
        <w:div w:id="1948344442">
          <w:marLeft w:val="0"/>
          <w:marRight w:val="0"/>
          <w:marTop w:val="0"/>
          <w:marBottom w:val="0"/>
          <w:divBdr>
            <w:top w:val="none" w:sz="0" w:space="0" w:color="auto"/>
            <w:left w:val="none" w:sz="0" w:space="0" w:color="auto"/>
            <w:bottom w:val="none" w:sz="0" w:space="0" w:color="auto"/>
            <w:right w:val="none" w:sz="0" w:space="0" w:color="auto"/>
          </w:divBdr>
          <w:divsChild>
            <w:div w:id="879778859">
              <w:marLeft w:val="0"/>
              <w:marRight w:val="0"/>
              <w:marTop w:val="0"/>
              <w:marBottom w:val="0"/>
              <w:divBdr>
                <w:top w:val="none" w:sz="0" w:space="0" w:color="auto"/>
                <w:left w:val="none" w:sz="0" w:space="0" w:color="auto"/>
                <w:bottom w:val="none" w:sz="0" w:space="0" w:color="auto"/>
                <w:right w:val="none" w:sz="0" w:space="0" w:color="auto"/>
              </w:divBdr>
            </w:div>
          </w:divsChild>
        </w:div>
        <w:div w:id="1948538949">
          <w:marLeft w:val="0"/>
          <w:marRight w:val="0"/>
          <w:marTop w:val="0"/>
          <w:marBottom w:val="0"/>
          <w:divBdr>
            <w:top w:val="none" w:sz="0" w:space="0" w:color="auto"/>
            <w:left w:val="none" w:sz="0" w:space="0" w:color="auto"/>
            <w:bottom w:val="none" w:sz="0" w:space="0" w:color="auto"/>
            <w:right w:val="none" w:sz="0" w:space="0" w:color="auto"/>
          </w:divBdr>
          <w:divsChild>
            <w:div w:id="772820780">
              <w:marLeft w:val="0"/>
              <w:marRight w:val="0"/>
              <w:marTop w:val="0"/>
              <w:marBottom w:val="0"/>
              <w:divBdr>
                <w:top w:val="none" w:sz="0" w:space="0" w:color="auto"/>
                <w:left w:val="none" w:sz="0" w:space="0" w:color="auto"/>
                <w:bottom w:val="none" w:sz="0" w:space="0" w:color="auto"/>
                <w:right w:val="none" w:sz="0" w:space="0" w:color="auto"/>
              </w:divBdr>
            </w:div>
          </w:divsChild>
        </w:div>
        <w:div w:id="1950038415">
          <w:marLeft w:val="0"/>
          <w:marRight w:val="0"/>
          <w:marTop w:val="0"/>
          <w:marBottom w:val="0"/>
          <w:divBdr>
            <w:top w:val="none" w:sz="0" w:space="0" w:color="auto"/>
            <w:left w:val="none" w:sz="0" w:space="0" w:color="auto"/>
            <w:bottom w:val="none" w:sz="0" w:space="0" w:color="auto"/>
            <w:right w:val="none" w:sz="0" w:space="0" w:color="auto"/>
          </w:divBdr>
          <w:divsChild>
            <w:div w:id="1469319251">
              <w:marLeft w:val="0"/>
              <w:marRight w:val="0"/>
              <w:marTop w:val="0"/>
              <w:marBottom w:val="0"/>
              <w:divBdr>
                <w:top w:val="none" w:sz="0" w:space="0" w:color="auto"/>
                <w:left w:val="none" w:sz="0" w:space="0" w:color="auto"/>
                <w:bottom w:val="none" w:sz="0" w:space="0" w:color="auto"/>
                <w:right w:val="none" w:sz="0" w:space="0" w:color="auto"/>
              </w:divBdr>
            </w:div>
          </w:divsChild>
        </w:div>
        <w:div w:id="1960721246">
          <w:marLeft w:val="0"/>
          <w:marRight w:val="0"/>
          <w:marTop w:val="0"/>
          <w:marBottom w:val="0"/>
          <w:divBdr>
            <w:top w:val="none" w:sz="0" w:space="0" w:color="auto"/>
            <w:left w:val="none" w:sz="0" w:space="0" w:color="auto"/>
            <w:bottom w:val="none" w:sz="0" w:space="0" w:color="auto"/>
            <w:right w:val="none" w:sz="0" w:space="0" w:color="auto"/>
          </w:divBdr>
          <w:divsChild>
            <w:div w:id="1054040928">
              <w:marLeft w:val="0"/>
              <w:marRight w:val="0"/>
              <w:marTop w:val="0"/>
              <w:marBottom w:val="0"/>
              <w:divBdr>
                <w:top w:val="none" w:sz="0" w:space="0" w:color="auto"/>
                <w:left w:val="none" w:sz="0" w:space="0" w:color="auto"/>
                <w:bottom w:val="none" w:sz="0" w:space="0" w:color="auto"/>
                <w:right w:val="none" w:sz="0" w:space="0" w:color="auto"/>
              </w:divBdr>
            </w:div>
          </w:divsChild>
        </w:div>
        <w:div w:id="1966498416">
          <w:marLeft w:val="0"/>
          <w:marRight w:val="0"/>
          <w:marTop w:val="0"/>
          <w:marBottom w:val="0"/>
          <w:divBdr>
            <w:top w:val="none" w:sz="0" w:space="0" w:color="auto"/>
            <w:left w:val="none" w:sz="0" w:space="0" w:color="auto"/>
            <w:bottom w:val="none" w:sz="0" w:space="0" w:color="auto"/>
            <w:right w:val="none" w:sz="0" w:space="0" w:color="auto"/>
          </w:divBdr>
          <w:divsChild>
            <w:div w:id="1984655491">
              <w:marLeft w:val="0"/>
              <w:marRight w:val="0"/>
              <w:marTop w:val="0"/>
              <w:marBottom w:val="0"/>
              <w:divBdr>
                <w:top w:val="none" w:sz="0" w:space="0" w:color="auto"/>
                <w:left w:val="none" w:sz="0" w:space="0" w:color="auto"/>
                <w:bottom w:val="none" w:sz="0" w:space="0" w:color="auto"/>
                <w:right w:val="none" w:sz="0" w:space="0" w:color="auto"/>
              </w:divBdr>
            </w:div>
          </w:divsChild>
        </w:div>
        <w:div w:id="1974212618">
          <w:marLeft w:val="0"/>
          <w:marRight w:val="0"/>
          <w:marTop w:val="0"/>
          <w:marBottom w:val="0"/>
          <w:divBdr>
            <w:top w:val="none" w:sz="0" w:space="0" w:color="auto"/>
            <w:left w:val="none" w:sz="0" w:space="0" w:color="auto"/>
            <w:bottom w:val="none" w:sz="0" w:space="0" w:color="auto"/>
            <w:right w:val="none" w:sz="0" w:space="0" w:color="auto"/>
          </w:divBdr>
          <w:divsChild>
            <w:div w:id="165705586">
              <w:marLeft w:val="0"/>
              <w:marRight w:val="0"/>
              <w:marTop w:val="0"/>
              <w:marBottom w:val="0"/>
              <w:divBdr>
                <w:top w:val="none" w:sz="0" w:space="0" w:color="auto"/>
                <w:left w:val="none" w:sz="0" w:space="0" w:color="auto"/>
                <w:bottom w:val="none" w:sz="0" w:space="0" w:color="auto"/>
                <w:right w:val="none" w:sz="0" w:space="0" w:color="auto"/>
              </w:divBdr>
            </w:div>
          </w:divsChild>
        </w:div>
        <w:div w:id="1974677245">
          <w:marLeft w:val="0"/>
          <w:marRight w:val="0"/>
          <w:marTop w:val="0"/>
          <w:marBottom w:val="0"/>
          <w:divBdr>
            <w:top w:val="none" w:sz="0" w:space="0" w:color="auto"/>
            <w:left w:val="none" w:sz="0" w:space="0" w:color="auto"/>
            <w:bottom w:val="none" w:sz="0" w:space="0" w:color="auto"/>
            <w:right w:val="none" w:sz="0" w:space="0" w:color="auto"/>
          </w:divBdr>
          <w:divsChild>
            <w:div w:id="1586572324">
              <w:marLeft w:val="0"/>
              <w:marRight w:val="0"/>
              <w:marTop w:val="0"/>
              <w:marBottom w:val="0"/>
              <w:divBdr>
                <w:top w:val="none" w:sz="0" w:space="0" w:color="auto"/>
                <w:left w:val="none" w:sz="0" w:space="0" w:color="auto"/>
                <w:bottom w:val="none" w:sz="0" w:space="0" w:color="auto"/>
                <w:right w:val="none" w:sz="0" w:space="0" w:color="auto"/>
              </w:divBdr>
            </w:div>
          </w:divsChild>
        </w:div>
        <w:div w:id="1978953258">
          <w:marLeft w:val="0"/>
          <w:marRight w:val="0"/>
          <w:marTop w:val="0"/>
          <w:marBottom w:val="0"/>
          <w:divBdr>
            <w:top w:val="none" w:sz="0" w:space="0" w:color="auto"/>
            <w:left w:val="none" w:sz="0" w:space="0" w:color="auto"/>
            <w:bottom w:val="none" w:sz="0" w:space="0" w:color="auto"/>
            <w:right w:val="none" w:sz="0" w:space="0" w:color="auto"/>
          </w:divBdr>
          <w:divsChild>
            <w:div w:id="1700470435">
              <w:marLeft w:val="0"/>
              <w:marRight w:val="0"/>
              <w:marTop w:val="0"/>
              <w:marBottom w:val="0"/>
              <w:divBdr>
                <w:top w:val="none" w:sz="0" w:space="0" w:color="auto"/>
                <w:left w:val="none" w:sz="0" w:space="0" w:color="auto"/>
                <w:bottom w:val="none" w:sz="0" w:space="0" w:color="auto"/>
                <w:right w:val="none" w:sz="0" w:space="0" w:color="auto"/>
              </w:divBdr>
            </w:div>
          </w:divsChild>
        </w:div>
        <w:div w:id="1980332428">
          <w:marLeft w:val="0"/>
          <w:marRight w:val="0"/>
          <w:marTop w:val="0"/>
          <w:marBottom w:val="0"/>
          <w:divBdr>
            <w:top w:val="none" w:sz="0" w:space="0" w:color="auto"/>
            <w:left w:val="none" w:sz="0" w:space="0" w:color="auto"/>
            <w:bottom w:val="none" w:sz="0" w:space="0" w:color="auto"/>
            <w:right w:val="none" w:sz="0" w:space="0" w:color="auto"/>
          </w:divBdr>
          <w:divsChild>
            <w:div w:id="1259290848">
              <w:marLeft w:val="0"/>
              <w:marRight w:val="0"/>
              <w:marTop w:val="0"/>
              <w:marBottom w:val="0"/>
              <w:divBdr>
                <w:top w:val="none" w:sz="0" w:space="0" w:color="auto"/>
                <w:left w:val="none" w:sz="0" w:space="0" w:color="auto"/>
                <w:bottom w:val="none" w:sz="0" w:space="0" w:color="auto"/>
                <w:right w:val="none" w:sz="0" w:space="0" w:color="auto"/>
              </w:divBdr>
            </w:div>
          </w:divsChild>
        </w:div>
        <w:div w:id="1982809657">
          <w:marLeft w:val="0"/>
          <w:marRight w:val="0"/>
          <w:marTop w:val="0"/>
          <w:marBottom w:val="0"/>
          <w:divBdr>
            <w:top w:val="none" w:sz="0" w:space="0" w:color="auto"/>
            <w:left w:val="none" w:sz="0" w:space="0" w:color="auto"/>
            <w:bottom w:val="none" w:sz="0" w:space="0" w:color="auto"/>
            <w:right w:val="none" w:sz="0" w:space="0" w:color="auto"/>
          </w:divBdr>
          <w:divsChild>
            <w:div w:id="193882729">
              <w:marLeft w:val="0"/>
              <w:marRight w:val="0"/>
              <w:marTop w:val="0"/>
              <w:marBottom w:val="0"/>
              <w:divBdr>
                <w:top w:val="none" w:sz="0" w:space="0" w:color="auto"/>
                <w:left w:val="none" w:sz="0" w:space="0" w:color="auto"/>
                <w:bottom w:val="none" w:sz="0" w:space="0" w:color="auto"/>
                <w:right w:val="none" w:sz="0" w:space="0" w:color="auto"/>
              </w:divBdr>
            </w:div>
          </w:divsChild>
        </w:div>
        <w:div w:id="1996564112">
          <w:marLeft w:val="0"/>
          <w:marRight w:val="0"/>
          <w:marTop w:val="0"/>
          <w:marBottom w:val="0"/>
          <w:divBdr>
            <w:top w:val="none" w:sz="0" w:space="0" w:color="auto"/>
            <w:left w:val="none" w:sz="0" w:space="0" w:color="auto"/>
            <w:bottom w:val="none" w:sz="0" w:space="0" w:color="auto"/>
            <w:right w:val="none" w:sz="0" w:space="0" w:color="auto"/>
          </w:divBdr>
          <w:divsChild>
            <w:div w:id="1477261969">
              <w:marLeft w:val="0"/>
              <w:marRight w:val="0"/>
              <w:marTop w:val="0"/>
              <w:marBottom w:val="0"/>
              <w:divBdr>
                <w:top w:val="none" w:sz="0" w:space="0" w:color="auto"/>
                <w:left w:val="none" w:sz="0" w:space="0" w:color="auto"/>
                <w:bottom w:val="none" w:sz="0" w:space="0" w:color="auto"/>
                <w:right w:val="none" w:sz="0" w:space="0" w:color="auto"/>
              </w:divBdr>
            </w:div>
          </w:divsChild>
        </w:div>
        <w:div w:id="2000958801">
          <w:marLeft w:val="0"/>
          <w:marRight w:val="0"/>
          <w:marTop w:val="0"/>
          <w:marBottom w:val="0"/>
          <w:divBdr>
            <w:top w:val="none" w:sz="0" w:space="0" w:color="auto"/>
            <w:left w:val="none" w:sz="0" w:space="0" w:color="auto"/>
            <w:bottom w:val="none" w:sz="0" w:space="0" w:color="auto"/>
            <w:right w:val="none" w:sz="0" w:space="0" w:color="auto"/>
          </w:divBdr>
          <w:divsChild>
            <w:div w:id="1731266490">
              <w:marLeft w:val="0"/>
              <w:marRight w:val="0"/>
              <w:marTop w:val="0"/>
              <w:marBottom w:val="0"/>
              <w:divBdr>
                <w:top w:val="none" w:sz="0" w:space="0" w:color="auto"/>
                <w:left w:val="none" w:sz="0" w:space="0" w:color="auto"/>
                <w:bottom w:val="none" w:sz="0" w:space="0" w:color="auto"/>
                <w:right w:val="none" w:sz="0" w:space="0" w:color="auto"/>
              </w:divBdr>
            </w:div>
          </w:divsChild>
        </w:div>
        <w:div w:id="2009403092">
          <w:marLeft w:val="0"/>
          <w:marRight w:val="0"/>
          <w:marTop w:val="0"/>
          <w:marBottom w:val="0"/>
          <w:divBdr>
            <w:top w:val="none" w:sz="0" w:space="0" w:color="auto"/>
            <w:left w:val="none" w:sz="0" w:space="0" w:color="auto"/>
            <w:bottom w:val="none" w:sz="0" w:space="0" w:color="auto"/>
            <w:right w:val="none" w:sz="0" w:space="0" w:color="auto"/>
          </w:divBdr>
          <w:divsChild>
            <w:div w:id="872617889">
              <w:marLeft w:val="0"/>
              <w:marRight w:val="0"/>
              <w:marTop w:val="0"/>
              <w:marBottom w:val="0"/>
              <w:divBdr>
                <w:top w:val="none" w:sz="0" w:space="0" w:color="auto"/>
                <w:left w:val="none" w:sz="0" w:space="0" w:color="auto"/>
                <w:bottom w:val="none" w:sz="0" w:space="0" w:color="auto"/>
                <w:right w:val="none" w:sz="0" w:space="0" w:color="auto"/>
              </w:divBdr>
            </w:div>
          </w:divsChild>
        </w:div>
        <w:div w:id="2010601373">
          <w:marLeft w:val="0"/>
          <w:marRight w:val="0"/>
          <w:marTop w:val="0"/>
          <w:marBottom w:val="0"/>
          <w:divBdr>
            <w:top w:val="none" w:sz="0" w:space="0" w:color="auto"/>
            <w:left w:val="none" w:sz="0" w:space="0" w:color="auto"/>
            <w:bottom w:val="none" w:sz="0" w:space="0" w:color="auto"/>
            <w:right w:val="none" w:sz="0" w:space="0" w:color="auto"/>
          </w:divBdr>
          <w:divsChild>
            <w:div w:id="1850951117">
              <w:marLeft w:val="0"/>
              <w:marRight w:val="0"/>
              <w:marTop w:val="0"/>
              <w:marBottom w:val="0"/>
              <w:divBdr>
                <w:top w:val="none" w:sz="0" w:space="0" w:color="auto"/>
                <w:left w:val="none" w:sz="0" w:space="0" w:color="auto"/>
                <w:bottom w:val="none" w:sz="0" w:space="0" w:color="auto"/>
                <w:right w:val="none" w:sz="0" w:space="0" w:color="auto"/>
              </w:divBdr>
            </w:div>
          </w:divsChild>
        </w:div>
        <w:div w:id="2011373344">
          <w:marLeft w:val="0"/>
          <w:marRight w:val="0"/>
          <w:marTop w:val="0"/>
          <w:marBottom w:val="0"/>
          <w:divBdr>
            <w:top w:val="none" w:sz="0" w:space="0" w:color="auto"/>
            <w:left w:val="none" w:sz="0" w:space="0" w:color="auto"/>
            <w:bottom w:val="none" w:sz="0" w:space="0" w:color="auto"/>
            <w:right w:val="none" w:sz="0" w:space="0" w:color="auto"/>
          </w:divBdr>
          <w:divsChild>
            <w:div w:id="211235760">
              <w:marLeft w:val="0"/>
              <w:marRight w:val="0"/>
              <w:marTop w:val="0"/>
              <w:marBottom w:val="0"/>
              <w:divBdr>
                <w:top w:val="none" w:sz="0" w:space="0" w:color="auto"/>
                <w:left w:val="none" w:sz="0" w:space="0" w:color="auto"/>
                <w:bottom w:val="none" w:sz="0" w:space="0" w:color="auto"/>
                <w:right w:val="none" w:sz="0" w:space="0" w:color="auto"/>
              </w:divBdr>
            </w:div>
          </w:divsChild>
        </w:div>
        <w:div w:id="2016567065">
          <w:marLeft w:val="0"/>
          <w:marRight w:val="0"/>
          <w:marTop w:val="0"/>
          <w:marBottom w:val="0"/>
          <w:divBdr>
            <w:top w:val="none" w:sz="0" w:space="0" w:color="auto"/>
            <w:left w:val="none" w:sz="0" w:space="0" w:color="auto"/>
            <w:bottom w:val="none" w:sz="0" w:space="0" w:color="auto"/>
            <w:right w:val="none" w:sz="0" w:space="0" w:color="auto"/>
          </w:divBdr>
          <w:divsChild>
            <w:div w:id="557208738">
              <w:marLeft w:val="0"/>
              <w:marRight w:val="0"/>
              <w:marTop w:val="0"/>
              <w:marBottom w:val="0"/>
              <w:divBdr>
                <w:top w:val="none" w:sz="0" w:space="0" w:color="auto"/>
                <w:left w:val="none" w:sz="0" w:space="0" w:color="auto"/>
                <w:bottom w:val="none" w:sz="0" w:space="0" w:color="auto"/>
                <w:right w:val="none" w:sz="0" w:space="0" w:color="auto"/>
              </w:divBdr>
            </w:div>
          </w:divsChild>
        </w:div>
        <w:div w:id="2019118820">
          <w:marLeft w:val="0"/>
          <w:marRight w:val="0"/>
          <w:marTop w:val="0"/>
          <w:marBottom w:val="0"/>
          <w:divBdr>
            <w:top w:val="none" w:sz="0" w:space="0" w:color="auto"/>
            <w:left w:val="none" w:sz="0" w:space="0" w:color="auto"/>
            <w:bottom w:val="none" w:sz="0" w:space="0" w:color="auto"/>
            <w:right w:val="none" w:sz="0" w:space="0" w:color="auto"/>
          </w:divBdr>
          <w:divsChild>
            <w:div w:id="665326763">
              <w:marLeft w:val="0"/>
              <w:marRight w:val="0"/>
              <w:marTop w:val="0"/>
              <w:marBottom w:val="0"/>
              <w:divBdr>
                <w:top w:val="none" w:sz="0" w:space="0" w:color="auto"/>
                <w:left w:val="none" w:sz="0" w:space="0" w:color="auto"/>
                <w:bottom w:val="none" w:sz="0" w:space="0" w:color="auto"/>
                <w:right w:val="none" w:sz="0" w:space="0" w:color="auto"/>
              </w:divBdr>
            </w:div>
          </w:divsChild>
        </w:div>
        <w:div w:id="2036609512">
          <w:marLeft w:val="0"/>
          <w:marRight w:val="0"/>
          <w:marTop w:val="0"/>
          <w:marBottom w:val="0"/>
          <w:divBdr>
            <w:top w:val="none" w:sz="0" w:space="0" w:color="auto"/>
            <w:left w:val="none" w:sz="0" w:space="0" w:color="auto"/>
            <w:bottom w:val="none" w:sz="0" w:space="0" w:color="auto"/>
            <w:right w:val="none" w:sz="0" w:space="0" w:color="auto"/>
          </w:divBdr>
          <w:divsChild>
            <w:div w:id="997924582">
              <w:marLeft w:val="0"/>
              <w:marRight w:val="0"/>
              <w:marTop w:val="0"/>
              <w:marBottom w:val="0"/>
              <w:divBdr>
                <w:top w:val="none" w:sz="0" w:space="0" w:color="auto"/>
                <w:left w:val="none" w:sz="0" w:space="0" w:color="auto"/>
                <w:bottom w:val="none" w:sz="0" w:space="0" w:color="auto"/>
                <w:right w:val="none" w:sz="0" w:space="0" w:color="auto"/>
              </w:divBdr>
            </w:div>
          </w:divsChild>
        </w:div>
        <w:div w:id="2039087152">
          <w:marLeft w:val="0"/>
          <w:marRight w:val="0"/>
          <w:marTop w:val="0"/>
          <w:marBottom w:val="0"/>
          <w:divBdr>
            <w:top w:val="none" w:sz="0" w:space="0" w:color="auto"/>
            <w:left w:val="none" w:sz="0" w:space="0" w:color="auto"/>
            <w:bottom w:val="none" w:sz="0" w:space="0" w:color="auto"/>
            <w:right w:val="none" w:sz="0" w:space="0" w:color="auto"/>
          </w:divBdr>
          <w:divsChild>
            <w:div w:id="668798907">
              <w:marLeft w:val="0"/>
              <w:marRight w:val="0"/>
              <w:marTop w:val="0"/>
              <w:marBottom w:val="0"/>
              <w:divBdr>
                <w:top w:val="none" w:sz="0" w:space="0" w:color="auto"/>
                <w:left w:val="none" w:sz="0" w:space="0" w:color="auto"/>
                <w:bottom w:val="none" w:sz="0" w:space="0" w:color="auto"/>
                <w:right w:val="none" w:sz="0" w:space="0" w:color="auto"/>
              </w:divBdr>
            </w:div>
          </w:divsChild>
        </w:div>
        <w:div w:id="2054692144">
          <w:marLeft w:val="0"/>
          <w:marRight w:val="0"/>
          <w:marTop w:val="0"/>
          <w:marBottom w:val="0"/>
          <w:divBdr>
            <w:top w:val="none" w:sz="0" w:space="0" w:color="auto"/>
            <w:left w:val="none" w:sz="0" w:space="0" w:color="auto"/>
            <w:bottom w:val="none" w:sz="0" w:space="0" w:color="auto"/>
            <w:right w:val="none" w:sz="0" w:space="0" w:color="auto"/>
          </w:divBdr>
          <w:divsChild>
            <w:div w:id="1353914186">
              <w:marLeft w:val="0"/>
              <w:marRight w:val="0"/>
              <w:marTop w:val="0"/>
              <w:marBottom w:val="0"/>
              <w:divBdr>
                <w:top w:val="none" w:sz="0" w:space="0" w:color="auto"/>
                <w:left w:val="none" w:sz="0" w:space="0" w:color="auto"/>
                <w:bottom w:val="none" w:sz="0" w:space="0" w:color="auto"/>
                <w:right w:val="none" w:sz="0" w:space="0" w:color="auto"/>
              </w:divBdr>
            </w:div>
          </w:divsChild>
        </w:div>
        <w:div w:id="2059814550">
          <w:marLeft w:val="0"/>
          <w:marRight w:val="0"/>
          <w:marTop w:val="0"/>
          <w:marBottom w:val="0"/>
          <w:divBdr>
            <w:top w:val="none" w:sz="0" w:space="0" w:color="auto"/>
            <w:left w:val="none" w:sz="0" w:space="0" w:color="auto"/>
            <w:bottom w:val="none" w:sz="0" w:space="0" w:color="auto"/>
            <w:right w:val="none" w:sz="0" w:space="0" w:color="auto"/>
          </w:divBdr>
          <w:divsChild>
            <w:div w:id="461195943">
              <w:marLeft w:val="0"/>
              <w:marRight w:val="0"/>
              <w:marTop w:val="0"/>
              <w:marBottom w:val="0"/>
              <w:divBdr>
                <w:top w:val="none" w:sz="0" w:space="0" w:color="auto"/>
                <w:left w:val="none" w:sz="0" w:space="0" w:color="auto"/>
                <w:bottom w:val="none" w:sz="0" w:space="0" w:color="auto"/>
                <w:right w:val="none" w:sz="0" w:space="0" w:color="auto"/>
              </w:divBdr>
            </w:div>
          </w:divsChild>
        </w:div>
        <w:div w:id="2065829949">
          <w:marLeft w:val="0"/>
          <w:marRight w:val="0"/>
          <w:marTop w:val="0"/>
          <w:marBottom w:val="0"/>
          <w:divBdr>
            <w:top w:val="none" w:sz="0" w:space="0" w:color="auto"/>
            <w:left w:val="none" w:sz="0" w:space="0" w:color="auto"/>
            <w:bottom w:val="none" w:sz="0" w:space="0" w:color="auto"/>
            <w:right w:val="none" w:sz="0" w:space="0" w:color="auto"/>
          </w:divBdr>
          <w:divsChild>
            <w:div w:id="397292631">
              <w:marLeft w:val="0"/>
              <w:marRight w:val="0"/>
              <w:marTop w:val="0"/>
              <w:marBottom w:val="0"/>
              <w:divBdr>
                <w:top w:val="none" w:sz="0" w:space="0" w:color="auto"/>
                <w:left w:val="none" w:sz="0" w:space="0" w:color="auto"/>
                <w:bottom w:val="none" w:sz="0" w:space="0" w:color="auto"/>
                <w:right w:val="none" w:sz="0" w:space="0" w:color="auto"/>
              </w:divBdr>
            </w:div>
          </w:divsChild>
        </w:div>
        <w:div w:id="2101366836">
          <w:marLeft w:val="0"/>
          <w:marRight w:val="0"/>
          <w:marTop w:val="0"/>
          <w:marBottom w:val="0"/>
          <w:divBdr>
            <w:top w:val="none" w:sz="0" w:space="0" w:color="auto"/>
            <w:left w:val="none" w:sz="0" w:space="0" w:color="auto"/>
            <w:bottom w:val="none" w:sz="0" w:space="0" w:color="auto"/>
            <w:right w:val="none" w:sz="0" w:space="0" w:color="auto"/>
          </w:divBdr>
          <w:divsChild>
            <w:div w:id="1586500">
              <w:marLeft w:val="0"/>
              <w:marRight w:val="0"/>
              <w:marTop w:val="0"/>
              <w:marBottom w:val="0"/>
              <w:divBdr>
                <w:top w:val="none" w:sz="0" w:space="0" w:color="auto"/>
                <w:left w:val="none" w:sz="0" w:space="0" w:color="auto"/>
                <w:bottom w:val="none" w:sz="0" w:space="0" w:color="auto"/>
                <w:right w:val="none" w:sz="0" w:space="0" w:color="auto"/>
              </w:divBdr>
            </w:div>
          </w:divsChild>
        </w:div>
        <w:div w:id="2105690640">
          <w:marLeft w:val="0"/>
          <w:marRight w:val="0"/>
          <w:marTop w:val="0"/>
          <w:marBottom w:val="0"/>
          <w:divBdr>
            <w:top w:val="none" w:sz="0" w:space="0" w:color="auto"/>
            <w:left w:val="none" w:sz="0" w:space="0" w:color="auto"/>
            <w:bottom w:val="none" w:sz="0" w:space="0" w:color="auto"/>
            <w:right w:val="none" w:sz="0" w:space="0" w:color="auto"/>
          </w:divBdr>
          <w:divsChild>
            <w:div w:id="938290015">
              <w:marLeft w:val="0"/>
              <w:marRight w:val="0"/>
              <w:marTop w:val="0"/>
              <w:marBottom w:val="0"/>
              <w:divBdr>
                <w:top w:val="none" w:sz="0" w:space="0" w:color="auto"/>
                <w:left w:val="none" w:sz="0" w:space="0" w:color="auto"/>
                <w:bottom w:val="none" w:sz="0" w:space="0" w:color="auto"/>
                <w:right w:val="none" w:sz="0" w:space="0" w:color="auto"/>
              </w:divBdr>
            </w:div>
          </w:divsChild>
        </w:div>
        <w:div w:id="2108578338">
          <w:marLeft w:val="0"/>
          <w:marRight w:val="0"/>
          <w:marTop w:val="0"/>
          <w:marBottom w:val="0"/>
          <w:divBdr>
            <w:top w:val="none" w:sz="0" w:space="0" w:color="auto"/>
            <w:left w:val="none" w:sz="0" w:space="0" w:color="auto"/>
            <w:bottom w:val="none" w:sz="0" w:space="0" w:color="auto"/>
            <w:right w:val="none" w:sz="0" w:space="0" w:color="auto"/>
          </w:divBdr>
          <w:divsChild>
            <w:div w:id="1719162566">
              <w:marLeft w:val="0"/>
              <w:marRight w:val="0"/>
              <w:marTop w:val="0"/>
              <w:marBottom w:val="0"/>
              <w:divBdr>
                <w:top w:val="none" w:sz="0" w:space="0" w:color="auto"/>
                <w:left w:val="none" w:sz="0" w:space="0" w:color="auto"/>
                <w:bottom w:val="none" w:sz="0" w:space="0" w:color="auto"/>
                <w:right w:val="none" w:sz="0" w:space="0" w:color="auto"/>
              </w:divBdr>
            </w:div>
          </w:divsChild>
        </w:div>
        <w:div w:id="2116900466">
          <w:marLeft w:val="0"/>
          <w:marRight w:val="0"/>
          <w:marTop w:val="0"/>
          <w:marBottom w:val="0"/>
          <w:divBdr>
            <w:top w:val="none" w:sz="0" w:space="0" w:color="auto"/>
            <w:left w:val="none" w:sz="0" w:space="0" w:color="auto"/>
            <w:bottom w:val="none" w:sz="0" w:space="0" w:color="auto"/>
            <w:right w:val="none" w:sz="0" w:space="0" w:color="auto"/>
          </w:divBdr>
          <w:divsChild>
            <w:div w:id="1813256714">
              <w:marLeft w:val="0"/>
              <w:marRight w:val="0"/>
              <w:marTop w:val="0"/>
              <w:marBottom w:val="0"/>
              <w:divBdr>
                <w:top w:val="none" w:sz="0" w:space="0" w:color="auto"/>
                <w:left w:val="none" w:sz="0" w:space="0" w:color="auto"/>
                <w:bottom w:val="none" w:sz="0" w:space="0" w:color="auto"/>
                <w:right w:val="none" w:sz="0" w:space="0" w:color="auto"/>
              </w:divBdr>
            </w:div>
          </w:divsChild>
        </w:div>
        <w:div w:id="2122068444">
          <w:marLeft w:val="0"/>
          <w:marRight w:val="0"/>
          <w:marTop w:val="0"/>
          <w:marBottom w:val="0"/>
          <w:divBdr>
            <w:top w:val="none" w:sz="0" w:space="0" w:color="auto"/>
            <w:left w:val="none" w:sz="0" w:space="0" w:color="auto"/>
            <w:bottom w:val="none" w:sz="0" w:space="0" w:color="auto"/>
            <w:right w:val="none" w:sz="0" w:space="0" w:color="auto"/>
          </w:divBdr>
          <w:divsChild>
            <w:div w:id="712273611">
              <w:marLeft w:val="0"/>
              <w:marRight w:val="0"/>
              <w:marTop w:val="0"/>
              <w:marBottom w:val="0"/>
              <w:divBdr>
                <w:top w:val="none" w:sz="0" w:space="0" w:color="auto"/>
                <w:left w:val="none" w:sz="0" w:space="0" w:color="auto"/>
                <w:bottom w:val="none" w:sz="0" w:space="0" w:color="auto"/>
                <w:right w:val="none" w:sz="0" w:space="0" w:color="auto"/>
              </w:divBdr>
            </w:div>
          </w:divsChild>
        </w:div>
        <w:div w:id="2127498700">
          <w:marLeft w:val="0"/>
          <w:marRight w:val="0"/>
          <w:marTop w:val="0"/>
          <w:marBottom w:val="0"/>
          <w:divBdr>
            <w:top w:val="none" w:sz="0" w:space="0" w:color="auto"/>
            <w:left w:val="none" w:sz="0" w:space="0" w:color="auto"/>
            <w:bottom w:val="none" w:sz="0" w:space="0" w:color="auto"/>
            <w:right w:val="none" w:sz="0" w:space="0" w:color="auto"/>
          </w:divBdr>
          <w:divsChild>
            <w:div w:id="1151290543">
              <w:marLeft w:val="0"/>
              <w:marRight w:val="0"/>
              <w:marTop w:val="0"/>
              <w:marBottom w:val="0"/>
              <w:divBdr>
                <w:top w:val="none" w:sz="0" w:space="0" w:color="auto"/>
                <w:left w:val="none" w:sz="0" w:space="0" w:color="auto"/>
                <w:bottom w:val="none" w:sz="0" w:space="0" w:color="auto"/>
                <w:right w:val="none" w:sz="0" w:space="0" w:color="auto"/>
              </w:divBdr>
            </w:div>
          </w:divsChild>
        </w:div>
        <w:div w:id="2145780232">
          <w:marLeft w:val="0"/>
          <w:marRight w:val="0"/>
          <w:marTop w:val="0"/>
          <w:marBottom w:val="0"/>
          <w:divBdr>
            <w:top w:val="none" w:sz="0" w:space="0" w:color="auto"/>
            <w:left w:val="none" w:sz="0" w:space="0" w:color="auto"/>
            <w:bottom w:val="none" w:sz="0" w:space="0" w:color="auto"/>
            <w:right w:val="none" w:sz="0" w:space="0" w:color="auto"/>
          </w:divBdr>
          <w:divsChild>
            <w:div w:id="2249383">
              <w:marLeft w:val="0"/>
              <w:marRight w:val="0"/>
              <w:marTop w:val="0"/>
              <w:marBottom w:val="0"/>
              <w:divBdr>
                <w:top w:val="none" w:sz="0" w:space="0" w:color="auto"/>
                <w:left w:val="none" w:sz="0" w:space="0" w:color="auto"/>
                <w:bottom w:val="none" w:sz="0" w:space="0" w:color="auto"/>
                <w:right w:val="none" w:sz="0" w:space="0" w:color="auto"/>
              </w:divBdr>
            </w:div>
          </w:divsChild>
        </w:div>
        <w:div w:id="2146267344">
          <w:marLeft w:val="0"/>
          <w:marRight w:val="0"/>
          <w:marTop w:val="0"/>
          <w:marBottom w:val="0"/>
          <w:divBdr>
            <w:top w:val="none" w:sz="0" w:space="0" w:color="auto"/>
            <w:left w:val="none" w:sz="0" w:space="0" w:color="auto"/>
            <w:bottom w:val="none" w:sz="0" w:space="0" w:color="auto"/>
            <w:right w:val="none" w:sz="0" w:space="0" w:color="auto"/>
          </w:divBdr>
          <w:divsChild>
            <w:div w:id="17489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9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cdc.gov/healthyplaces/terminology.htm" TargetMode="External"/><Relationship Id="rId26" Type="http://schemas.openxmlformats.org/officeDocument/2006/relationships/hyperlink" Target="https://www.tcd.ie/tcaid/research/NIDMS.php" TargetMode="External"/><Relationship Id="rId3" Type="http://schemas.openxmlformats.org/officeDocument/2006/relationships/customXml" Target="../customXml/item3.xml"/><Relationship Id="rId21" Type="http://schemas.openxmlformats.org/officeDocument/2006/relationships/hyperlink" Target="https://hospicefoundation.ie/i-need-help/i-want-to-think-ahead/"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www.primacareliving.com/butterfly-model-of-care"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dementiapathways.ie/care-pathways/dementia-in-people-with-an-intellectual-disability/the-national-intellectual-disability-memory-service"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alliaged.com.au/tabid/4501/Default.aspx"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agingny.org/uploads/1/2/3/0/123049588/older_new_yorkers_and_the_nys_olmstead_plan_final_3_oct_2013.pd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q-l.org/tools/personal-outcome-measur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fedvol.ie/_fileupload/Publications/NFVSP%20Drivers%20and%20Deficits%20in%20ID%20Services%20June_2019.pdf"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templates\NDA%20Style%2020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1740CE294D674E840C11C7DD6A29F8" ma:contentTypeVersion="6" ma:contentTypeDescription="Create a new document." ma:contentTypeScope="" ma:versionID="928a97380b5451e0946287dd62c9f9e5">
  <xsd:schema xmlns:xsd="http://www.w3.org/2001/XMLSchema" xmlns:xs="http://www.w3.org/2001/XMLSchema" xmlns:p="http://schemas.microsoft.com/office/2006/metadata/properties" xmlns:ns2="70930be8-42ea-4c35-a9fd-e0edd9fc0403" xmlns:ns3="379796ba-c56a-4cdb-8824-f53f2317d123" targetNamespace="http://schemas.microsoft.com/office/2006/metadata/properties" ma:root="true" ma:fieldsID="c21fa9739ece38708464748ac83760b0" ns2:_="" ns3:_="">
    <xsd:import namespace="70930be8-42ea-4c35-a9fd-e0edd9fc0403"/>
    <xsd:import namespace="379796ba-c56a-4cdb-8824-f53f2317d1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930be8-42ea-4c35-a9fd-e0edd9fc0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9796ba-c56a-4cdb-8824-f53f2317d12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79796ba-c56a-4cdb-8824-f53f2317d123">
      <UserInfo>
        <DisplayName>Sandra Fleming</DisplayName>
        <AccountId>14</AccountId>
        <AccountType/>
      </UserInfo>
      <UserInfo>
        <DisplayName>Philip McCallion</DisplayName>
        <AccountId>20</AccountId>
        <AccountType/>
      </UserInfo>
      <UserInfo>
        <DisplayName>Fintan Sheerin</DisplayName>
        <AccountId>10</AccountId>
        <AccountType/>
      </UserInfo>
      <UserInfo>
        <DisplayName>Maureen D'Eath</DisplayName>
        <AccountId>17</AccountId>
        <AccountType/>
      </UserInfo>
      <UserInfo>
        <DisplayName>Georgia Lalor</DisplayName>
        <AccountId>21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52F45F-1F40-46DE-A435-A809B45799D3}">
  <ds:schemaRefs>
    <ds:schemaRef ds:uri="http://schemas.microsoft.com/sharepoint/v3/contenttype/forms"/>
  </ds:schemaRefs>
</ds:datastoreItem>
</file>

<file path=customXml/itemProps2.xml><?xml version="1.0" encoding="utf-8"?>
<ds:datastoreItem xmlns:ds="http://schemas.openxmlformats.org/officeDocument/2006/customXml" ds:itemID="{E55FC170-10D0-4FDF-A489-E8B811461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930be8-42ea-4c35-a9fd-e0edd9fc0403"/>
    <ds:schemaRef ds:uri="379796ba-c56a-4cdb-8824-f53f2317d1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FFC4F3-DC62-494C-AF04-96A161E13ED0}">
  <ds:schemaRefs>
    <ds:schemaRef ds:uri="http://purl.org/dc/dcmitype/"/>
    <ds:schemaRef ds:uri="http://schemas.microsoft.com/office/infopath/2007/PartnerControls"/>
    <ds:schemaRef ds:uri="379796ba-c56a-4cdb-8824-f53f2317d123"/>
    <ds:schemaRef ds:uri="http://purl.org/dc/terms/"/>
    <ds:schemaRef ds:uri="70930be8-42ea-4c35-a9fd-e0edd9fc0403"/>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424EE33-02F5-4301-9B96-D3D2A8DC2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2011</Template>
  <TotalTime>0</TotalTime>
  <Pages>3</Pages>
  <Words>115988</Words>
  <Characters>661135</Characters>
  <Application>Microsoft Office Word</Application>
  <DocSecurity>0</DocSecurity>
  <Lines>5509</Lines>
  <Paragraphs>1551</Paragraphs>
  <ScaleCrop>false</ScaleCrop>
  <HeadingPairs>
    <vt:vector size="2" baseType="variant">
      <vt:variant>
        <vt:lpstr>Title</vt:lpstr>
      </vt:variant>
      <vt:variant>
        <vt:i4>1</vt:i4>
      </vt:variant>
    </vt:vector>
  </HeadingPairs>
  <TitlesOfParts>
    <vt:vector size="1" baseType="lpstr">
      <vt:lpstr>NDA Research Promotion Scheme 2013</vt:lpstr>
    </vt:vector>
  </TitlesOfParts>
  <Company>National Disability Authority</Company>
  <LinksUpToDate>false</LinksUpToDate>
  <CharactersWithSpaces>775572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NDA Research Promotion Scheme 2013</dc:title>
  <dc:subject/>
  <dc:creator>fitzgerem</dc:creator>
  <cp:keywords/>
  <cp:lastModifiedBy>Heather C. O'Leary</cp:lastModifiedBy>
  <cp:revision>2</cp:revision>
  <cp:lastPrinted>2022-11-06T22:19:00Z</cp:lastPrinted>
  <dcterms:created xsi:type="dcterms:W3CDTF">2023-01-18T10:03:00Z</dcterms:created>
  <dcterms:modified xsi:type="dcterms:W3CDTF">2023-01-18T10:03:00Z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_IntOfficeMacros">
    <vt:lpwstr>Disabled</vt:lpwstr>
  </property>
  <property fmtid="{D5CDD505-2E9C-101B-9397-08002B2CF9AE}" pid="3" name="SW_CustomTitle">
    <vt:lpwstr/>
  </property>
  <property fmtid="{D5CDD505-2E9C-101B-9397-08002B2CF9AE}" pid="4" name="GrammarlyDocumentId">
    <vt:lpwstr>484efce5221fbad7acae0826109134993a379586294c2eed7be9d520ca32d703</vt:lpwstr>
  </property>
  <property fmtid="{D5CDD505-2E9C-101B-9397-08002B2CF9AE}" pid="5" name="ContentTypeId">
    <vt:lpwstr>0x0101006D1740CE294D674E840C11C7DD6A29F8</vt:lpwstr>
  </property>
</Properties>
</file>