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00AF1" w14:textId="0EA2C6FD" w:rsidR="007A6EC7" w:rsidRDefault="004E4756" w:rsidP="00B3136D">
      <w:pPr>
        <w:pStyle w:val="Title"/>
        <w:jc w:val="left"/>
        <w:sectPr w:rsidR="007A6EC7">
          <w:footerReference w:type="even" r:id="rId8"/>
          <w:footerReference w:type="default" r:id="rId9"/>
          <w:headerReference w:type="first" r:id="rId10"/>
          <w:footerReference w:type="first" r:id="rId11"/>
          <w:pgSz w:w="12240" w:h="15840"/>
          <w:pgMar w:top="1440" w:right="1800" w:bottom="1440" w:left="1800" w:header="708" w:footer="708" w:gutter="0"/>
          <w:cols w:space="708"/>
          <w:titlePg/>
          <w:docGrid w:linePitch="360"/>
        </w:sectPr>
      </w:pPr>
      <w:r>
        <w:rPr>
          <w:noProof/>
        </w:rPr>
        <w:drawing>
          <wp:anchor distT="0" distB="0" distL="114300" distR="114300" simplePos="0" relativeHeight="251661312" behindDoc="0" locked="0" layoutInCell="1" allowOverlap="1" wp14:anchorId="21A472A5" wp14:editId="0DDD9C1D">
            <wp:simplePos x="0" y="0"/>
            <wp:positionH relativeFrom="column">
              <wp:posOffset>-1143000</wp:posOffset>
            </wp:positionH>
            <wp:positionV relativeFrom="paragraph">
              <wp:posOffset>-944245</wp:posOffset>
            </wp:positionV>
            <wp:extent cx="7776210" cy="10094595"/>
            <wp:effectExtent l="0" t="0" r="0" b="0"/>
            <wp:wrapNone/>
            <wp:docPr id="9" name="Picture 2" descr="An illustrated poster with a mustard yellow background. A person with short dark hair, glasses, and a blue t-shirt is smiling and holding a Progress Pride flag. The flag also shows the autism infinity symbol and the intersex circle.&#10;&#10;Below this is the title:&#10;&#10;“Towards Inclusive Health: Health Experiences and Disparities of LGBTQIA+ Autistic People: A Scoping Review Plain Language Summary.”&#10;&#10;The authors listed are:&#10;&#10;Biskupovic Goulding, R., Gorman, E., Hall, S., Evans, C., Gleeson, E., Noone, C., Spray, J., Kearns, N., Kearns, G., O’Donnell-Killen, T., Taylor, A., &amp; Boyle, B. (2026)&#10;&#10;At the bottom are the logos of University College Cork and University of Galwa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n illustrated poster with a mustard yellow background. A person with short dark hair, glasses, and a blue t-shirt is smiling and holding a Progress Pride flag. The flag also shows the autism infinity symbol and the intersex circle.&#10;&#10;Below this is the title:&#10;&#10;“Towards Inclusive Health: Health Experiences and Disparities of LGBTQIA+ Autistic People: A Scoping Review Plain Language Summary.”&#10;&#10;The authors listed are:&#10;&#10;Biskupovic Goulding, R., Gorman, E., Hall, S., Evans, C., Gleeson, E., Noone, C., Spray, J., Kearns, N., Kearns, G., O’Donnell-Killen, T., Taylor, A., &amp; Boyle, B. (2026)&#10;&#10;At the bottom are the logos of University College Cork and University of Galway.&#1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6210" cy="1009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0BF25" w14:textId="5666FA79" w:rsidR="004E4756" w:rsidRPr="004E4756" w:rsidRDefault="004E4756" w:rsidP="004E4756">
      <w:pPr>
        <w:spacing w:after="0"/>
        <w:jc w:val="center"/>
        <w:rPr>
          <w:rFonts w:cs="Arial"/>
          <w:b/>
          <w:bCs/>
          <w:kern w:val="32"/>
          <w:sz w:val="32"/>
          <w:szCs w:val="32"/>
        </w:rPr>
      </w:pPr>
      <w:bookmarkStart w:id="0" w:name="_Toc1585618435"/>
      <w:bookmarkStart w:id="1" w:name="_Toc211371219"/>
      <w:bookmarkStart w:id="2" w:name="_Toc214026519"/>
      <w:r w:rsidRPr="004E4756">
        <w:rPr>
          <w:rStyle w:val="agcmg"/>
          <w:b/>
          <w:bCs/>
          <w:sz w:val="36"/>
          <w:szCs w:val="36"/>
        </w:rPr>
        <w:lastRenderedPageBreak/>
        <w:t>Towards Inclusive Health: Health Experiences and Disparities of LGBTQIA+ Autistic People: A Scoping Review</w:t>
      </w:r>
    </w:p>
    <w:p w14:paraId="1710CC32" w14:textId="6229409D" w:rsidR="00155C29" w:rsidRPr="00BD5833" w:rsidRDefault="7E0F63FE" w:rsidP="00BD5833">
      <w:pPr>
        <w:pStyle w:val="Heading1"/>
      </w:pPr>
      <w:r>
        <w:t>Recommended Citation</w:t>
      </w:r>
      <w:bookmarkEnd w:id="0"/>
      <w:bookmarkEnd w:id="1"/>
      <w:bookmarkEnd w:id="2"/>
    </w:p>
    <w:p w14:paraId="7A764B64" w14:textId="77777777" w:rsidR="00155C29" w:rsidRPr="00EE090D" w:rsidRDefault="273C79E3" w:rsidP="00FC75AA">
      <w:pPr>
        <w:rPr>
          <w:rStyle w:val="agcmg"/>
        </w:rPr>
      </w:pPr>
      <w:r w:rsidRPr="1182AD7C">
        <w:rPr>
          <w:rStyle w:val="agcmg"/>
        </w:rPr>
        <w:t xml:space="preserve">Biskupovic Goulding, R., Gorman, E., Evans, C., Gleeson, E., Noone, C., Spray, J., Kearns, N., Kearns, G., O’Donnell-Killen, T., Taylor, A., </w:t>
      </w:r>
      <w:r w:rsidR="4AD9DEBA" w:rsidRPr="1182AD7C">
        <w:rPr>
          <w:rStyle w:val="agcmg"/>
        </w:rPr>
        <w:t xml:space="preserve">Hall, S., </w:t>
      </w:r>
      <w:r w:rsidRPr="1182AD7C">
        <w:rPr>
          <w:rStyle w:val="agcmg"/>
        </w:rPr>
        <w:t xml:space="preserve">&amp; Boyle, B. (2025). </w:t>
      </w:r>
      <w:bookmarkStart w:id="3" w:name="_Hlk210134026"/>
      <w:r w:rsidRPr="1182AD7C">
        <w:rPr>
          <w:rStyle w:val="agcmg"/>
        </w:rPr>
        <w:t>Towards Inclusive Health: Health Experiences and Disparities of LGBTQIA+ Autistic People: A Scoping Review</w:t>
      </w:r>
      <w:bookmarkEnd w:id="3"/>
      <w:r w:rsidRPr="1182AD7C">
        <w:rPr>
          <w:rStyle w:val="agcmg"/>
        </w:rPr>
        <w:t>. University College Cork.</w:t>
      </w:r>
    </w:p>
    <w:p w14:paraId="27372222" w14:textId="77777777" w:rsidR="00155C29" w:rsidRDefault="7E0F63FE" w:rsidP="00AC0931">
      <w:pPr>
        <w:pStyle w:val="Heading1"/>
      </w:pPr>
      <w:bookmarkStart w:id="4" w:name="_Toc72138719"/>
      <w:bookmarkStart w:id="5" w:name="_Toc211371220"/>
      <w:bookmarkStart w:id="6" w:name="_Toc214026520"/>
      <w:r>
        <w:t>Acknowledgements</w:t>
      </w:r>
      <w:bookmarkEnd w:id="4"/>
      <w:bookmarkEnd w:id="5"/>
      <w:bookmarkEnd w:id="6"/>
    </w:p>
    <w:p w14:paraId="09252DEC" w14:textId="77777777" w:rsidR="007C436A" w:rsidRDefault="64E344F1" w:rsidP="00FC75AA">
      <w:r>
        <w:t>The authors wish to acknowledge the Department of Children, Disability and Equality for providing the funding that made this project possible,</w:t>
      </w:r>
      <w:r w:rsidR="6B6D0413">
        <w:t xml:space="preserve"> </w:t>
      </w:r>
      <w:r>
        <w:t>the National Disability Authority for their role in coordinating this support</w:t>
      </w:r>
      <w:r w:rsidR="6B6D0413">
        <w:t xml:space="preserve">, and the </w:t>
      </w:r>
      <w:r w:rsidR="2362FED1">
        <w:t>Health</w:t>
      </w:r>
      <w:r w:rsidR="6B6D0413">
        <w:t xml:space="preserve"> Research Board for engaging with the report review process</w:t>
      </w:r>
      <w:r>
        <w:t>.</w:t>
      </w:r>
      <w:r w:rsidR="0456288C">
        <w:t xml:space="preserve"> This report will contribute </w:t>
      </w:r>
      <w:r w:rsidR="5E134F08">
        <w:t>evidence-based</w:t>
      </w:r>
      <w:r w:rsidR="0456288C">
        <w:t xml:space="preserve"> recommendations to the Autism Innovation Strategy </w:t>
      </w:r>
      <w:r w:rsidR="07A88173">
        <w:t>to support accessibility and utilisation of healthcare services by LGBTQIA+ Autistic people.</w:t>
      </w:r>
      <w:r>
        <w:t xml:space="preserve"> We also extend our sincere gratitude to Neuro</w:t>
      </w:r>
      <w:r w:rsidR="3B340DC2">
        <w:t xml:space="preserve"> </w:t>
      </w:r>
      <w:r>
        <w:t>Pride Ireland and Thriving Autistic for their invaluable contributions through Public and Patient Involvement (PPI), which significantly enhanced the quality, relevance, and impact of this research.</w:t>
      </w:r>
    </w:p>
    <w:p w14:paraId="73E6C816" w14:textId="7DF34584" w:rsidR="004E4756" w:rsidRDefault="00587BDF" w:rsidP="00FC75AA">
      <w:r w:rsidRPr="00587BDF">
        <w:t>We acknowledge that this work is original and</w:t>
      </w:r>
      <w:r>
        <w:t xml:space="preserve"> does not duplicate previous work conducted.</w:t>
      </w:r>
    </w:p>
    <w:p w14:paraId="5CA4EC14" w14:textId="51EE804E" w:rsidR="00685173" w:rsidRDefault="00685173" w:rsidP="00E9253D">
      <w:pPr>
        <w:pStyle w:val="Heading1"/>
      </w:pPr>
      <w:r>
        <w:t>Disclaimer</w:t>
      </w:r>
    </w:p>
    <w:p w14:paraId="263D0C0E" w14:textId="7544ACDF" w:rsidR="00685173" w:rsidRPr="00685173" w:rsidRDefault="00685173" w:rsidP="00685173">
      <w:r w:rsidRPr="00685173">
        <w:t xml:space="preserve">DCDE has funded this research and the NDA coordinated it. Responsibility for the research (including any errors or omissions) remains with the Research Team at </w:t>
      </w:r>
      <w:r w:rsidR="00E9253D">
        <w:t>University College Cork and University of Galway</w:t>
      </w:r>
      <w:r w:rsidRPr="00685173">
        <w:t xml:space="preserve">. The views and opinions contained in this report are those of the authors and do not necessarily reflect the views or opinions of DCDE or the NDA. </w:t>
      </w:r>
    </w:p>
    <w:p w14:paraId="01BD60B2" w14:textId="77777777" w:rsidR="00685173" w:rsidRDefault="00685173" w:rsidP="00FC75AA"/>
    <w:p w14:paraId="53CD7085" w14:textId="77777777" w:rsidR="007C436A" w:rsidRPr="00155C29" w:rsidRDefault="763CAE86" w:rsidP="00AC0931">
      <w:pPr>
        <w:pStyle w:val="Heading1"/>
      </w:pPr>
      <w:bookmarkStart w:id="7" w:name="_Toc547135006"/>
      <w:bookmarkStart w:id="8" w:name="_Toc211371221"/>
      <w:bookmarkStart w:id="9" w:name="_Toc214026521"/>
      <w:r>
        <w:lastRenderedPageBreak/>
        <w:t>Research Team</w:t>
      </w:r>
      <w:bookmarkEnd w:id="7"/>
      <w:bookmarkEnd w:id="8"/>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315"/>
      </w:tblGrid>
      <w:tr w:rsidR="00EE090D" w14:paraId="200A4E0F" w14:textId="77777777" w:rsidTr="002F7E97">
        <w:tc>
          <w:tcPr>
            <w:tcW w:w="4315" w:type="dxa"/>
          </w:tcPr>
          <w:p w14:paraId="0B626EB8" w14:textId="77777777" w:rsidR="00EE090D" w:rsidRDefault="002840B3" w:rsidP="4CC5BE94">
            <w:r>
              <w:t>Ryan Biskupovic Goulding</w:t>
            </w:r>
          </w:p>
        </w:tc>
        <w:tc>
          <w:tcPr>
            <w:tcW w:w="4315" w:type="dxa"/>
          </w:tcPr>
          <w:p w14:paraId="5A3E387F" w14:textId="77777777" w:rsidR="00EE090D" w:rsidRDefault="002840B3" w:rsidP="4CC5BE94">
            <w:r>
              <w:t>Principal Investigator, Lecturer School of Nursing and Midwifery, UCC</w:t>
            </w:r>
          </w:p>
        </w:tc>
      </w:tr>
      <w:tr w:rsidR="00EE090D" w14:paraId="689DA3D2" w14:textId="77777777" w:rsidTr="002F7E97">
        <w:tc>
          <w:tcPr>
            <w:tcW w:w="4315" w:type="dxa"/>
          </w:tcPr>
          <w:p w14:paraId="46615AD5" w14:textId="77777777" w:rsidR="00EE090D" w:rsidRDefault="002840B3" w:rsidP="4CC5BE94">
            <w:r>
              <w:t>Dr Eoin Gorman</w:t>
            </w:r>
          </w:p>
        </w:tc>
        <w:tc>
          <w:tcPr>
            <w:tcW w:w="4315" w:type="dxa"/>
          </w:tcPr>
          <w:p w14:paraId="1FE67EDD" w14:textId="77777777" w:rsidR="00EE090D" w:rsidRDefault="002840B3" w:rsidP="4CC5BE94">
            <w:r>
              <w:t>Co-Principal Investigator, Lecturer School of Clinical Therapies, UCC</w:t>
            </w:r>
          </w:p>
        </w:tc>
      </w:tr>
      <w:tr w:rsidR="00EE090D" w14:paraId="4C88FB0E" w14:textId="77777777" w:rsidTr="002F7E97">
        <w:tc>
          <w:tcPr>
            <w:tcW w:w="4315" w:type="dxa"/>
          </w:tcPr>
          <w:p w14:paraId="02A2B0B2" w14:textId="77777777" w:rsidR="00EE090D" w:rsidRDefault="002840B3" w:rsidP="4CC5BE94">
            <w:r>
              <w:t>Dr Bryan Boyle</w:t>
            </w:r>
          </w:p>
        </w:tc>
        <w:tc>
          <w:tcPr>
            <w:tcW w:w="4315" w:type="dxa"/>
          </w:tcPr>
          <w:p w14:paraId="36614461" w14:textId="77777777" w:rsidR="00EE090D" w:rsidRDefault="002840B3" w:rsidP="4CC5BE94">
            <w:r>
              <w:t>Co-Principal Investigator, Lecturer School of Clinical Therapies, UCC</w:t>
            </w:r>
          </w:p>
        </w:tc>
      </w:tr>
      <w:tr w:rsidR="00EE090D" w14:paraId="51521F97" w14:textId="77777777" w:rsidTr="002F7E97">
        <w:tc>
          <w:tcPr>
            <w:tcW w:w="4315" w:type="dxa"/>
          </w:tcPr>
          <w:p w14:paraId="3E14334F" w14:textId="77777777" w:rsidR="00EE090D" w:rsidRDefault="002840B3" w:rsidP="4CC5BE94">
            <w:r>
              <w:t>Ciaran Evans</w:t>
            </w:r>
          </w:p>
        </w:tc>
        <w:tc>
          <w:tcPr>
            <w:tcW w:w="4315" w:type="dxa"/>
          </w:tcPr>
          <w:p w14:paraId="280134C5" w14:textId="77777777" w:rsidR="00EE090D" w:rsidRDefault="002840B3" w:rsidP="4CC5BE94">
            <w:r>
              <w:t>Lecturer School of Nursing and Midwifery, UCC</w:t>
            </w:r>
          </w:p>
        </w:tc>
      </w:tr>
      <w:tr w:rsidR="00EE090D" w14:paraId="77AC0BB5" w14:textId="77777777" w:rsidTr="002F7E97">
        <w:tc>
          <w:tcPr>
            <w:tcW w:w="4315" w:type="dxa"/>
          </w:tcPr>
          <w:p w14:paraId="5692BC45" w14:textId="77777777" w:rsidR="00EE090D" w:rsidRDefault="002840B3" w:rsidP="4CC5BE94">
            <w:r>
              <w:t>Dr Emma Gleeson</w:t>
            </w:r>
          </w:p>
        </w:tc>
        <w:tc>
          <w:tcPr>
            <w:tcW w:w="4315" w:type="dxa"/>
          </w:tcPr>
          <w:p w14:paraId="564D89CB" w14:textId="77777777" w:rsidR="00EE090D" w:rsidRDefault="002840B3" w:rsidP="4CC5BE94">
            <w:r>
              <w:t>Lecturer School of Clinical Therapies, UCC</w:t>
            </w:r>
          </w:p>
        </w:tc>
      </w:tr>
      <w:tr w:rsidR="00EE090D" w14:paraId="07EC3372" w14:textId="77777777" w:rsidTr="002F7E97">
        <w:tc>
          <w:tcPr>
            <w:tcW w:w="4315" w:type="dxa"/>
          </w:tcPr>
          <w:p w14:paraId="1E4A0C3A" w14:textId="77777777" w:rsidR="00EE090D" w:rsidRDefault="002840B3" w:rsidP="4CC5BE94">
            <w:r>
              <w:t>Dr Chris Noone</w:t>
            </w:r>
          </w:p>
        </w:tc>
        <w:tc>
          <w:tcPr>
            <w:tcW w:w="4315" w:type="dxa"/>
          </w:tcPr>
          <w:p w14:paraId="19C3CF16" w14:textId="77777777" w:rsidR="00EE090D" w:rsidRDefault="002840B3" w:rsidP="4CC5BE94">
            <w:r>
              <w:t>Lecturer School of Psychology, University of Galway</w:t>
            </w:r>
          </w:p>
        </w:tc>
      </w:tr>
      <w:tr w:rsidR="00EE090D" w14:paraId="69000A94" w14:textId="77777777" w:rsidTr="002F7E97">
        <w:tc>
          <w:tcPr>
            <w:tcW w:w="4315" w:type="dxa"/>
          </w:tcPr>
          <w:p w14:paraId="0B7E5596" w14:textId="77777777" w:rsidR="00EE090D" w:rsidRDefault="002840B3" w:rsidP="4CC5BE94">
            <w:r>
              <w:t>Dr Julie Spray</w:t>
            </w:r>
          </w:p>
        </w:tc>
        <w:tc>
          <w:tcPr>
            <w:tcW w:w="4315" w:type="dxa"/>
          </w:tcPr>
          <w:p w14:paraId="08A625AD" w14:textId="77777777" w:rsidR="00EE090D" w:rsidRDefault="002840B3" w:rsidP="4CC5BE94">
            <w:r>
              <w:t>Lecturer School of Education, University of Galway</w:t>
            </w:r>
          </w:p>
        </w:tc>
      </w:tr>
      <w:tr w:rsidR="00EE090D" w14:paraId="734B37F8" w14:textId="77777777" w:rsidTr="002F7E97">
        <w:tc>
          <w:tcPr>
            <w:tcW w:w="4315" w:type="dxa"/>
          </w:tcPr>
          <w:p w14:paraId="41A2BA77" w14:textId="77777777" w:rsidR="00EE090D" w:rsidRDefault="002840B3" w:rsidP="4CC5BE94">
            <w:r>
              <w:t>Nem Kearns</w:t>
            </w:r>
          </w:p>
        </w:tc>
        <w:tc>
          <w:tcPr>
            <w:tcW w:w="4315" w:type="dxa"/>
          </w:tcPr>
          <w:p w14:paraId="1AD833E2" w14:textId="77777777" w:rsidR="00EE090D" w:rsidRDefault="002840B3" w:rsidP="4CC5BE94">
            <w:r>
              <w:t>PPI Contributor, Co-Founder Neuro Pride Ireland</w:t>
            </w:r>
          </w:p>
        </w:tc>
      </w:tr>
      <w:tr w:rsidR="002840B3" w14:paraId="59BE7B52" w14:textId="77777777" w:rsidTr="002F7E97">
        <w:tc>
          <w:tcPr>
            <w:tcW w:w="4315" w:type="dxa"/>
          </w:tcPr>
          <w:p w14:paraId="27AF2140" w14:textId="77777777" w:rsidR="002840B3" w:rsidRDefault="002840B3" w:rsidP="4CC5BE94">
            <w:r>
              <w:t>Gillian Kearns</w:t>
            </w:r>
          </w:p>
        </w:tc>
        <w:tc>
          <w:tcPr>
            <w:tcW w:w="4315" w:type="dxa"/>
          </w:tcPr>
          <w:p w14:paraId="049B6D58" w14:textId="77777777" w:rsidR="002840B3" w:rsidRDefault="002840B3" w:rsidP="4CC5BE94">
            <w:r>
              <w:t>PPI Contributor, Co-Founder Neuro Pride Ireland</w:t>
            </w:r>
          </w:p>
        </w:tc>
      </w:tr>
      <w:tr w:rsidR="002840B3" w14:paraId="209C06F0" w14:textId="77777777" w:rsidTr="002F7E97">
        <w:tc>
          <w:tcPr>
            <w:tcW w:w="4315" w:type="dxa"/>
          </w:tcPr>
          <w:p w14:paraId="7B8DD506" w14:textId="77777777" w:rsidR="002840B3" w:rsidRDefault="002840B3" w:rsidP="4CC5BE94">
            <w:r>
              <w:t>Tara O’Donnell-Killen</w:t>
            </w:r>
          </w:p>
        </w:tc>
        <w:tc>
          <w:tcPr>
            <w:tcW w:w="4315" w:type="dxa"/>
          </w:tcPr>
          <w:p w14:paraId="0B323806" w14:textId="77777777" w:rsidR="002840B3" w:rsidRDefault="002840B3" w:rsidP="4CC5BE94">
            <w:r>
              <w:t>PPI Contributor, Founder Thriving Autistic</w:t>
            </w:r>
          </w:p>
        </w:tc>
      </w:tr>
      <w:tr w:rsidR="002840B3" w14:paraId="04252D79" w14:textId="77777777" w:rsidTr="002F7E97">
        <w:tc>
          <w:tcPr>
            <w:tcW w:w="4315" w:type="dxa"/>
          </w:tcPr>
          <w:p w14:paraId="1CC2E6FA" w14:textId="77777777" w:rsidR="002840B3" w:rsidRDefault="002840B3" w:rsidP="4CC5BE94">
            <w:r>
              <w:t>Alice Taylor</w:t>
            </w:r>
          </w:p>
        </w:tc>
        <w:tc>
          <w:tcPr>
            <w:tcW w:w="4315" w:type="dxa"/>
          </w:tcPr>
          <w:p w14:paraId="7C23CABA" w14:textId="77777777" w:rsidR="002840B3" w:rsidRDefault="002840B3" w:rsidP="4CC5BE94">
            <w:r>
              <w:t xml:space="preserve">Candidate Advanced Nurse </w:t>
            </w:r>
            <w:r w:rsidR="00F46136">
              <w:t>Practitioner</w:t>
            </w:r>
            <w:r>
              <w:t xml:space="preserve">, Health Service </w:t>
            </w:r>
            <w:r w:rsidR="00F46136">
              <w:t>Executive</w:t>
            </w:r>
          </w:p>
        </w:tc>
      </w:tr>
      <w:tr w:rsidR="002840B3" w14:paraId="06B34D85" w14:textId="77777777" w:rsidTr="002F7E97">
        <w:tc>
          <w:tcPr>
            <w:tcW w:w="4315" w:type="dxa"/>
          </w:tcPr>
          <w:p w14:paraId="214E1DA7" w14:textId="77777777" w:rsidR="002840B3" w:rsidRDefault="002840B3" w:rsidP="4CC5BE94">
            <w:r>
              <w:t>Sophie Hall</w:t>
            </w:r>
          </w:p>
        </w:tc>
        <w:tc>
          <w:tcPr>
            <w:tcW w:w="4315" w:type="dxa"/>
          </w:tcPr>
          <w:p w14:paraId="4CD446F7" w14:textId="77777777" w:rsidR="002840B3" w:rsidRDefault="002840B3" w:rsidP="4CC5BE94">
            <w:r>
              <w:t>Research Assistant, School of Nursing and Midwifery, UCC</w:t>
            </w:r>
          </w:p>
        </w:tc>
      </w:tr>
    </w:tbl>
    <w:p w14:paraId="27B1AE5A" w14:textId="77777777" w:rsidR="00C02636" w:rsidRDefault="00C02636">
      <w:pPr>
        <w:spacing w:after="0"/>
      </w:pPr>
      <w:r>
        <w:rPr>
          <w:b/>
          <w:bCs/>
          <w:i/>
          <w:iCs/>
        </w:rPr>
        <w:br w:type="page"/>
      </w:r>
    </w:p>
    <w:p w14:paraId="667A6DA9" w14:textId="77777777" w:rsidR="00F86486" w:rsidRPr="009779CB" w:rsidRDefault="007A6EC7">
      <w:pPr>
        <w:pStyle w:val="TOC1"/>
        <w:tabs>
          <w:tab w:val="right" w:leader="dot" w:pos="8630"/>
        </w:tabs>
        <w:rPr>
          <w:rFonts w:ascii="Gill Sans MT" w:hAnsi="Gill Sans MT" w:cs="Times New Roman"/>
          <w:i w:val="0"/>
          <w:iCs w:val="0"/>
          <w:noProof/>
          <w:kern w:val="2"/>
          <w:sz w:val="26"/>
          <w:szCs w:val="26"/>
          <w:lang w:eastAsia="en-GB"/>
        </w:rPr>
      </w:pPr>
      <w:r w:rsidRPr="009779CB">
        <w:rPr>
          <w:rFonts w:ascii="Gill Sans MT" w:hAnsi="Gill Sans MT"/>
          <w:i w:val="0"/>
          <w:iCs w:val="0"/>
          <w:sz w:val="26"/>
          <w:szCs w:val="26"/>
        </w:rPr>
        <w:lastRenderedPageBreak/>
        <w:t>Table of Contents</w:t>
      </w:r>
      <w:r w:rsidR="00B46DBB" w:rsidRPr="007118D1">
        <w:rPr>
          <w:rFonts w:ascii="Gill Sans MT" w:hAnsi="Gill Sans MT"/>
          <w:i w:val="0"/>
          <w:iCs w:val="0"/>
          <w:sz w:val="26"/>
          <w:szCs w:val="26"/>
        </w:rPr>
        <w:fldChar w:fldCharType="begin"/>
      </w:r>
      <w:r w:rsidR="00B46DBB" w:rsidRPr="009779CB">
        <w:rPr>
          <w:rFonts w:ascii="Gill Sans MT" w:hAnsi="Gill Sans MT"/>
          <w:i w:val="0"/>
          <w:iCs w:val="0"/>
          <w:sz w:val="26"/>
          <w:szCs w:val="26"/>
        </w:rPr>
        <w:instrText>TOC \o "1-2" \z \u \h</w:instrText>
      </w:r>
      <w:r w:rsidR="00B46DBB" w:rsidRPr="007118D1">
        <w:rPr>
          <w:rFonts w:ascii="Gill Sans MT" w:hAnsi="Gill Sans MT"/>
          <w:i w:val="0"/>
          <w:iCs w:val="0"/>
          <w:sz w:val="26"/>
          <w:szCs w:val="26"/>
        </w:rPr>
        <w:fldChar w:fldCharType="separate"/>
      </w:r>
    </w:p>
    <w:p w14:paraId="01CDEABA"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19" w:history="1">
        <w:r w:rsidRPr="007118D1">
          <w:rPr>
            <w:rStyle w:val="Hyperlink"/>
            <w:rFonts w:ascii="Gill Sans MT" w:hAnsi="Gill Sans MT"/>
            <w:b w:val="0"/>
            <w:bCs w:val="0"/>
            <w:i w:val="0"/>
            <w:iCs w:val="0"/>
            <w:noProof/>
            <w:sz w:val="26"/>
            <w:szCs w:val="26"/>
          </w:rPr>
          <w:t>Recommended Citation</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_Toc214026519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i</w:t>
        </w:r>
        <w:r w:rsidRPr="007118D1">
          <w:rPr>
            <w:rFonts w:ascii="Gill Sans MT" w:hAnsi="Gill Sans MT"/>
            <w:b w:val="0"/>
            <w:bCs w:val="0"/>
            <w:i w:val="0"/>
            <w:iCs w:val="0"/>
            <w:noProof/>
            <w:webHidden/>
            <w:sz w:val="26"/>
            <w:szCs w:val="26"/>
          </w:rPr>
          <w:fldChar w:fldCharType="end"/>
        </w:r>
      </w:hyperlink>
    </w:p>
    <w:p w14:paraId="53B29E7C"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0" w:history="1">
        <w:r w:rsidRPr="007118D1">
          <w:rPr>
            <w:rStyle w:val="Hyperlink"/>
            <w:rFonts w:ascii="Gill Sans MT" w:hAnsi="Gill Sans MT"/>
            <w:b w:val="0"/>
            <w:bCs w:val="0"/>
            <w:i w:val="0"/>
            <w:iCs w:val="0"/>
            <w:noProof/>
            <w:sz w:val="26"/>
            <w:szCs w:val="26"/>
          </w:rPr>
          <w:t>Acknowledgements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_Toc214026520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i</w:t>
        </w:r>
        <w:r w:rsidRPr="007118D1">
          <w:rPr>
            <w:rFonts w:ascii="Gill Sans MT" w:hAnsi="Gill Sans MT"/>
            <w:b w:val="0"/>
            <w:bCs w:val="0"/>
            <w:i w:val="0"/>
            <w:iCs w:val="0"/>
            <w:noProof/>
            <w:webHidden/>
            <w:sz w:val="26"/>
            <w:szCs w:val="26"/>
          </w:rPr>
          <w:fldChar w:fldCharType="end"/>
        </w:r>
      </w:hyperlink>
    </w:p>
    <w:p w14:paraId="0676EEBE"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1" w:history="1">
        <w:r w:rsidRPr="007118D1">
          <w:rPr>
            <w:rStyle w:val="Hyperlink"/>
            <w:rFonts w:ascii="Gill Sans MT" w:hAnsi="Gill Sans MT"/>
            <w:b w:val="0"/>
            <w:bCs w:val="0"/>
            <w:i w:val="0"/>
            <w:iCs w:val="0"/>
            <w:noProof/>
            <w:sz w:val="26"/>
            <w:szCs w:val="26"/>
          </w:rPr>
          <w:t>Research Team</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_Toc214026521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i</w:t>
        </w:r>
        <w:r w:rsidRPr="007118D1">
          <w:rPr>
            <w:rFonts w:ascii="Gill Sans MT" w:hAnsi="Gill Sans MT"/>
            <w:b w:val="0"/>
            <w:bCs w:val="0"/>
            <w:i w:val="0"/>
            <w:iCs w:val="0"/>
            <w:noProof/>
            <w:webHidden/>
            <w:sz w:val="26"/>
            <w:szCs w:val="26"/>
          </w:rPr>
          <w:fldChar w:fldCharType="end"/>
        </w:r>
      </w:hyperlink>
    </w:p>
    <w:p w14:paraId="1BB1A486"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2" w:history="1">
        <w:r w:rsidRPr="007118D1">
          <w:rPr>
            <w:rStyle w:val="Hyperlink"/>
            <w:rFonts w:ascii="Gill Sans MT" w:hAnsi="Gill Sans MT"/>
            <w:b w:val="0"/>
            <w:bCs w:val="0"/>
            <w:i w:val="0"/>
            <w:iCs w:val="0"/>
            <w:noProof/>
            <w:sz w:val="26"/>
            <w:szCs w:val="26"/>
          </w:rPr>
          <w:t>List of Tables &amp; Figures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_Toc214026522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1</w:t>
        </w:r>
        <w:r w:rsidRPr="007118D1">
          <w:rPr>
            <w:rFonts w:ascii="Gill Sans MT" w:hAnsi="Gill Sans MT"/>
            <w:b w:val="0"/>
            <w:bCs w:val="0"/>
            <w:i w:val="0"/>
            <w:iCs w:val="0"/>
            <w:noProof/>
            <w:webHidden/>
            <w:sz w:val="26"/>
            <w:szCs w:val="26"/>
          </w:rPr>
          <w:fldChar w:fldCharType="end"/>
        </w:r>
      </w:hyperlink>
    </w:p>
    <w:p w14:paraId="090176AF"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3" w:history="1">
        <w:r w:rsidRPr="007118D1">
          <w:rPr>
            <w:rStyle w:val="Hyperlink"/>
            <w:rFonts w:ascii="Gill Sans MT" w:hAnsi="Gill Sans MT"/>
            <w:b w:val="0"/>
            <w:bCs w:val="0"/>
            <w:i w:val="0"/>
            <w:iCs w:val="0"/>
            <w:noProof/>
            <w:sz w:val="26"/>
            <w:szCs w:val="26"/>
          </w:rPr>
          <w:t>Abbreviations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_Toc214026523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2</w:t>
        </w:r>
        <w:r w:rsidRPr="007118D1">
          <w:rPr>
            <w:rFonts w:ascii="Gill Sans MT" w:hAnsi="Gill Sans MT"/>
            <w:b w:val="0"/>
            <w:bCs w:val="0"/>
            <w:i w:val="0"/>
            <w:iCs w:val="0"/>
            <w:noProof/>
            <w:webHidden/>
            <w:sz w:val="26"/>
            <w:szCs w:val="26"/>
          </w:rPr>
          <w:fldChar w:fldCharType="end"/>
        </w:r>
      </w:hyperlink>
    </w:p>
    <w:p w14:paraId="1832CE6D"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4" w:history="1">
        <w:r w:rsidRPr="007118D1">
          <w:rPr>
            <w:rStyle w:val="Hyperlink"/>
            <w:rFonts w:ascii="Gill Sans MT" w:hAnsi="Gill Sans MT"/>
            <w:b w:val="0"/>
            <w:bCs w:val="0"/>
            <w:i w:val="0"/>
            <w:iCs w:val="0"/>
            <w:noProof/>
            <w:sz w:val="26"/>
            <w:szCs w:val="26"/>
          </w:rPr>
          <w:t>Glossary</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_Toc214026524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4</w:t>
        </w:r>
        <w:r w:rsidRPr="007118D1">
          <w:rPr>
            <w:rFonts w:ascii="Gill Sans MT" w:hAnsi="Gill Sans MT"/>
            <w:b w:val="0"/>
            <w:bCs w:val="0"/>
            <w:i w:val="0"/>
            <w:iCs w:val="0"/>
            <w:noProof/>
            <w:webHidden/>
            <w:sz w:val="26"/>
            <w:szCs w:val="26"/>
          </w:rPr>
          <w:fldChar w:fldCharType="end"/>
        </w:r>
      </w:hyperlink>
    </w:p>
    <w:p w14:paraId="7025DD92"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5" w:history="1">
        <w:r w:rsidRPr="007118D1">
          <w:rPr>
            <w:rStyle w:val="Hyperlink"/>
            <w:rFonts w:ascii="Gill Sans MT" w:hAnsi="Gill Sans MT"/>
            <w:b w:val="0"/>
            <w:bCs w:val="0"/>
            <w:i w:val="0"/>
            <w:iCs w:val="0"/>
            <w:noProof/>
            <w:sz w:val="26"/>
            <w:szCs w:val="26"/>
          </w:rPr>
          <w:t>A Note from the Researchers: on Identity and Respect</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_Toc214026525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7</w:t>
        </w:r>
        <w:r w:rsidRPr="007118D1">
          <w:rPr>
            <w:rFonts w:ascii="Gill Sans MT" w:hAnsi="Gill Sans MT"/>
            <w:b w:val="0"/>
            <w:bCs w:val="0"/>
            <w:i w:val="0"/>
            <w:iCs w:val="0"/>
            <w:noProof/>
            <w:webHidden/>
            <w:sz w:val="26"/>
            <w:szCs w:val="26"/>
          </w:rPr>
          <w:fldChar w:fldCharType="end"/>
        </w:r>
      </w:hyperlink>
    </w:p>
    <w:p w14:paraId="77B23028"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26" w:history="1">
        <w:r w:rsidRPr="007118D1">
          <w:rPr>
            <w:rStyle w:val="Hyperlink"/>
            <w:rFonts w:ascii="Gill Sans MT" w:hAnsi="Gill Sans MT"/>
            <w:b w:val="0"/>
            <w:bCs w:val="0"/>
            <w:i w:val="0"/>
            <w:iCs w:val="0"/>
            <w:noProof/>
            <w:sz w:val="26"/>
            <w:szCs w:val="26"/>
          </w:rPr>
          <w:t>Executive Summary</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_Toc214026526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9</w:t>
        </w:r>
        <w:r w:rsidRPr="007118D1">
          <w:rPr>
            <w:rFonts w:ascii="Gill Sans MT" w:hAnsi="Gill Sans MT"/>
            <w:b w:val="0"/>
            <w:bCs w:val="0"/>
            <w:i w:val="0"/>
            <w:iCs w:val="0"/>
            <w:noProof/>
            <w:webHidden/>
            <w:sz w:val="26"/>
            <w:szCs w:val="26"/>
          </w:rPr>
          <w:fldChar w:fldCharType="end"/>
        </w:r>
      </w:hyperlink>
    </w:p>
    <w:p w14:paraId="09EE7422"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27" w:history="1">
        <w:r w:rsidRPr="007118D1">
          <w:rPr>
            <w:rStyle w:val="Hyperlink"/>
            <w:rFonts w:ascii="Gill Sans MT" w:hAnsi="Gill Sans MT"/>
            <w:b w:val="0"/>
            <w:bCs w:val="0"/>
            <w:noProof/>
            <w:sz w:val="26"/>
            <w:szCs w:val="26"/>
          </w:rPr>
          <w:t>Background</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_Toc214026527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9</w:t>
        </w:r>
        <w:r w:rsidRPr="007118D1">
          <w:rPr>
            <w:rFonts w:ascii="Gill Sans MT" w:hAnsi="Gill Sans MT"/>
            <w:b w:val="0"/>
            <w:bCs w:val="0"/>
            <w:noProof/>
            <w:webHidden/>
            <w:sz w:val="26"/>
            <w:szCs w:val="26"/>
          </w:rPr>
          <w:fldChar w:fldCharType="end"/>
        </w:r>
      </w:hyperlink>
    </w:p>
    <w:p w14:paraId="1BE9EABC"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28" w:history="1">
        <w:r w:rsidRPr="007118D1">
          <w:rPr>
            <w:rStyle w:val="Hyperlink"/>
            <w:rFonts w:ascii="Gill Sans MT" w:hAnsi="Gill Sans MT"/>
            <w:b w:val="0"/>
            <w:bCs w:val="0"/>
            <w:noProof/>
            <w:sz w:val="26"/>
            <w:szCs w:val="26"/>
          </w:rPr>
          <w:t>Methodology</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_Toc214026528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9</w:t>
        </w:r>
        <w:r w:rsidRPr="007118D1">
          <w:rPr>
            <w:rFonts w:ascii="Gill Sans MT" w:hAnsi="Gill Sans MT"/>
            <w:b w:val="0"/>
            <w:bCs w:val="0"/>
            <w:noProof/>
            <w:webHidden/>
            <w:sz w:val="26"/>
            <w:szCs w:val="26"/>
          </w:rPr>
          <w:fldChar w:fldCharType="end"/>
        </w:r>
      </w:hyperlink>
    </w:p>
    <w:p w14:paraId="77DEF27B"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29" w:history="1">
        <w:r w:rsidRPr="007118D1">
          <w:rPr>
            <w:rStyle w:val="Hyperlink"/>
            <w:rFonts w:ascii="Gill Sans MT" w:hAnsi="Gill Sans MT"/>
            <w:b w:val="0"/>
            <w:bCs w:val="0"/>
            <w:noProof/>
            <w:sz w:val="26"/>
            <w:szCs w:val="26"/>
          </w:rPr>
          <w:t>Key Findings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_Toc214026529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10</w:t>
        </w:r>
        <w:r w:rsidRPr="007118D1">
          <w:rPr>
            <w:rFonts w:ascii="Gill Sans MT" w:hAnsi="Gill Sans MT"/>
            <w:b w:val="0"/>
            <w:bCs w:val="0"/>
            <w:noProof/>
            <w:webHidden/>
            <w:sz w:val="26"/>
            <w:szCs w:val="26"/>
          </w:rPr>
          <w:fldChar w:fldCharType="end"/>
        </w:r>
      </w:hyperlink>
    </w:p>
    <w:p w14:paraId="3F093DC3"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0" w:history="1">
        <w:r w:rsidRPr="007118D1">
          <w:rPr>
            <w:rStyle w:val="Hyperlink"/>
            <w:rFonts w:ascii="Gill Sans MT" w:hAnsi="Gill Sans MT"/>
            <w:b w:val="0"/>
            <w:bCs w:val="0"/>
            <w:noProof/>
            <w:sz w:val="26"/>
            <w:szCs w:val="26"/>
          </w:rPr>
          <w:t>Recommendations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_Toc214026530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10</w:t>
        </w:r>
        <w:r w:rsidRPr="007118D1">
          <w:rPr>
            <w:rFonts w:ascii="Gill Sans MT" w:hAnsi="Gill Sans MT"/>
            <w:b w:val="0"/>
            <w:bCs w:val="0"/>
            <w:noProof/>
            <w:webHidden/>
            <w:sz w:val="26"/>
            <w:szCs w:val="26"/>
          </w:rPr>
          <w:fldChar w:fldCharType="end"/>
        </w:r>
      </w:hyperlink>
    </w:p>
    <w:p w14:paraId="60933D07"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1" w:history="1">
        <w:r w:rsidRPr="007118D1">
          <w:rPr>
            <w:rStyle w:val="Hyperlink"/>
            <w:rFonts w:ascii="Gill Sans MT" w:hAnsi="Gill Sans MT"/>
            <w:b w:val="0"/>
            <w:bCs w:val="0"/>
            <w:noProof/>
            <w:sz w:val="26"/>
            <w:szCs w:val="26"/>
          </w:rPr>
          <w:t>Conclusion</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_Toc214026531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12</w:t>
        </w:r>
        <w:r w:rsidRPr="007118D1">
          <w:rPr>
            <w:rFonts w:ascii="Gill Sans MT" w:hAnsi="Gill Sans MT"/>
            <w:b w:val="0"/>
            <w:bCs w:val="0"/>
            <w:noProof/>
            <w:webHidden/>
            <w:sz w:val="26"/>
            <w:szCs w:val="26"/>
          </w:rPr>
          <w:fldChar w:fldCharType="end"/>
        </w:r>
      </w:hyperlink>
    </w:p>
    <w:p w14:paraId="0B99118F"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32" w:history="1">
        <w:r w:rsidRPr="007118D1">
          <w:rPr>
            <w:rStyle w:val="Hyperlink"/>
            <w:rFonts w:ascii="Gill Sans MT" w:hAnsi="Gill Sans MT"/>
            <w:b w:val="0"/>
            <w:bCs w:val="0"/>
            <w:i w:val="0"/>
            <w:iCs w:val="0"/>
            <w:noProof/>
            <w:sz w:val="26"/>
            <w:szCs w:val="26"/>
          </w:rPr>
          <w:t>Section 1 Background</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_Toc214026532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14</w:t>
        </w:r>
        <w:r w:rsidRPr="007118D1">
          <w:rPr>
            <w:rFonts w:ascii="Gill Sans MT" w:hAnsi="Gill Sans MT"/>
            <w:b w:val="0"/>
            <w:bCs w:val="0"/>
            <w:i w:val="0"/>
            <w:iCs w:val="0"/>
            <w:noProof/>
            <w:webHidden/>
            <w:sz w:val="26"/>
            <w:szCs w:val="26"/>
          </w:rPr>
          <w:fldChar w:fldCharType="end"/>
        </w:r>
      </w:hyperlink>
    </w:p>
    <w:p w14:paraId="0A435087"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3" w:history="1">
        <w:r w:rsidRPr="007118D1">
          <w:rPr>
            <w:rStyle w:val="Hyperlink"/>
            <w:rFonts w:ascii="Gill Sans MT" w:hAnsi="Gill Sans MT"/>
            <w:b w:val="0"/>
            <w:bCs w:val="0"/>
            <w:noProof/>
            <w:sz w:val="26"/>
            <w:szCs w:val="26"/>
          </w:rPr>
          <w:t>Aims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_Toc214026533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16</w:t>
        </w:r>
        <w:r w:rsidRPr="007118D1">
          <w:rPr>
            <w:rFonts w:ascii="Gill Sans MT" w:hAnsi="Gill Sans MT"/>
            <w:b w:val="0"/>
            <w:bCs w:val="0"/>
            <w:noProof/>
            <w:webHidden/>
            <w:sz w:val="26"/>
            <w:szCs w:val="26"/>
          </w:rPr>
          <w:fldChar w:fldCharType="end"/>
        </w:r>
      </w:hyperlink>
    </w:p>
    <w:p w14:paraId="5374F9A6"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4" w:history="1">
        <w:r w:rsidRPr="007118D1">
          <w:rPr>
            <w:rStyle w:val="Hyperlink"/>
            <w:rFonts w:ascii="Gill Sans MT" w:hAnsi="Gill Sans MT"/>
            <w:b w:val="0"/>
            <w:bCs w:val="0"/>
            <w:noProof/>
            <w:sz w:val="26"/>
            <w:szCs w:val="26"/>
          </w:rPr>
          <w:t>Objectives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_Toc214026534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16</w:t>
        </w:r>
        <w:r w:rsidRPr="007118D1">
          <w:rPr>
            <w:rFonts w:ascii="Gill Sans MT" w:hAnsi="Gill Sans MT"/>
            <w:b w:val="0"/>
            <w:bCs w:val="0"/>
            <w:noProof/>
            <w:webHidden/>
            <w:sz w:val="26"/>
            <w:szCs w:val="26"/>
          </w:rPr>
          <w:fldChar w:fldCharType="end"/>
        </w:r>
      </w:hyperlink>
    </w:p>
    <w:p w14:paraId="499A2E65"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35" w:history="1">
        <w:r w:rsidRPr="007118D1">
          <w:rPr>
            <w:rStyle w:val="Hyperlink"/>
            <w:rFonts w:ascii="Gill Sans MT" w:hAnsi="Gill Sans MT"/>
            <w:b w:val="0"/>
            <w:bCs w:val="0"/>
            <w:i w:val="0"/>
            <w:iCs w:val="0"/>
            <w:noProof/>
            <w:sz w:val="26"/>
            <w:szCs w:val="26"/>
          </w:rPr>
          <w:t>Section 2 Methodology</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_Toc214026535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18</w:t>
        </w:r>
        <w:r w:rsidRPr="007118D1">
          <w:rPr>
            <w:rFonts w:ascii="Gill Sans MT" w:hAnsi="Gill Sans MT"/>
            <w:b w:val="0"/>
            <w:bCs w:val="0"/>
            <w:i w:val="0"/>
            <w:iCs w:val="0"/>
            <w:noProof/>
            <w:webHidden/>
            <w:sz w:val="26"/>
            <w:szCs w:val="26"/>
          </w:rPr>
          <w:fldChar w:fldCharType="end"/>
        </w:r>
      </w:hyperlink>
    </w:p>
    <w:p w14:paraId="3AF2B168"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6" w:history="1">
        <w:r w:rsidRPr="007118D1">
          <w:rPr>
            <w:rStyle w:val="Hyperlink"/>
            <w:rFonts w:ascii="Gill Sans MT" w:hAnsi="Gill Sans MT"/>
            <w:b w:val="0"/>
            <w:bCs w:val="0"/>
            <w:noProof/>
            <w:sz w:val="26"/>
            <w:szCs w:val="26"/>
          </w:rPr>
          <w:t>Design</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_Toc214026536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18</w:t>
        </w:r>
        <w:r w:rsidRPr="007118D1">
          <w:rPr>
            <w:rFonts w:ascii="Gill Sans MT" w:hAnsi="Gill Sans MT"/>
            <w:b w:val="0"/>
            <w:bCs w:val="0"/>
            <w:noProof/>
            <w:webHidden/>
            <w:sz w:val="26"/>
            <w:szCs w:val="26"/>
          </w:rPr>
          <w:fldChar w:fldCharType="end"/>
        </w:r>
      </w:hyperlink>
    </w:p>
    <w:p w14:paraId="0B8CBF06"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7" w:history="1">
        <w:r w:rsidRPr="007118D1">
          <w:rPr>
            <w:rStyle w:val="Hyperlink"/>
            <w:rFonts w:ascii="Gill Sans MT" w:hAnsi="Gill Sans MT"/>
            <w:b w:val="0"/>
            <w:bCs w:val="0"/>
            <w:noProof/>
            <w:sz w:val="26"/>
            <w:szCs w:val="26"/>
          </w:rPr>
          <w:t>Protocol</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_Toc214026537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18</w:t>
        </w:r>
        <w:r w:rsidRPr="007118D1">
          <w:rPr>
            <w:rFonts w:ascii="Gill Sans MT" w:hAnsi="Gill Sans MT"/>
            <w:b w:val="0"/>
            <w:bCs w:val="0"/>
            <w:noProof/>
            <w:webHidden/>
            <w:sz w:val="26"/>
            <w:szCs w:val="26"/>
          </w:rPr>
          <w:fldChar w:fldCharType="end"/>
        </w:r>
      </w:hyperlink>
    </w:p>
    <w:p w14:paraId="3188ED4C"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8" w:history="1">
        <w:r w:rsidRPr="007118D1">
          <w:rPr>
            <w:rStyle w:val="Hyperlink"/>
            <w:rFonts w:ascii="Gill Sans MT" w:hAnsi="Gill Sans MT"/>
            <w:b w:val="0"/>
            <w:bCs w:val="0"/>
            <w:noProof/>
            <w:sz w:val="26"/>
            <w:szCs w:val="26"/>
          </w:rPr>
          <w:t>Eligibility Criteria</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_Toc214026538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18</w:t>
        </w:r>
        <w:r w:rsidRPr="007118D1">
          <w:rPr>
            <w:rFonts w:ascii="Gill Sans MT" w:hAnsi="Gill Sans MT"/>
            <w:b w:val="0"/>
            <w:bCs w:val="0"/>
            <w:noProof/>
            <w:webHidden/>
            <w:sz w:val="26"/>
            <w:szCs w:val="26"/>
          </w:rPr>
          <w:fldChar w:fldCharType="end"/>
        </w:r>
      </w:hyperlink>
    </w:p>
    <w:p w14:paraId="6D044536"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39" w:history="1">
        <w:r w:rsidRPr="007118D1">
          <w:rPr>
            <w:rStyle w:val="Hyperlink"/>
            <w:rFonts w:ascii="Gill Sans MT" w:hAnsi="Gill Sans MT"/>
            <w:b w:val="0"/>
            <w:bCs w:val="0"/>
            <w:noProof/>
            <w:sz w:val="26"/>
            <w:szCs w:val="26"/>
          </w:rPr>
          <w:t>Information Sources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_Toc214026539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19</w:t>
        </w:r>
        <w:r w:rsidRPr="007118D1">
          <w:rPr>
            <w:rFonts w:ascii="Gill Sans MT" w:hAnsi="Gill Sans MT"/>
            <w:b w:val="0"/>
            <w:bCs w:val="0"/>
            <w:noProof/>
            <w:webHidden/>
            <w:sz w:val="26"/>
            <w:szCs w:val="26"/>
          </w:rPr>
          <w:fldChar w:fldCharType="end"/>
        </w:r>
      </w:hyperlink>
    </w:p>
    <w:p w14:paraId="57E02931"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0" w:history="1">
        <w:r w:rsidRPr="007118D1">
          <w:rPr>
            <w:rStyle w:val="Hyperlink"/>
            <w:rFonts w:ascii="Gill Sans MT" w:hAnsi="Gill Sans MT"/>
            <w:b w:val="0"/>
            <w:bCs w:val="0"/>
            <w:noProof/>
            <w:sz w:val="26"/>
            <w:szCs w:val="26"/>
          </w:rPr>
          <w:t>Search</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_Toc214026540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19</w:t>
        </w:r>
        <w:r w:rsidRPr="007118D1">
          <w:rPr>
            <w:rFonts w:ascii="Gill Sans MT" w:hAnsi="Gill Sans MT"/>
            <w:b w:val="0"/>
            <w:bCs w:val="0"/>
            <w:noProof/>
            <w:webHidden/>
            <w:sz w:val="26"/>
            <w:szCs w:val="26"/>
          </w:rPr>
          <w:fldChar w:fldCharType="end"/>
        </w:r>
      </w:hyperlink>
    </w:p>
    <w:p w14:paraId="4D993150"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1" w:history="1">
        <w:r w:rsidRPr="007118D1">
          <w:rPr>
            <w:rStyle w:val="Hyperlink"/>
            <w:rFonts w:ascii="Gill Sans MT" w:hAnsi="Gill Sans MT"/>
            <w:b w:val="0"/>
            <w:bCs w:val="0"/>
            <w:noProof/>
            <w:sz w:val="26"/>
            <w:szCs w:val="26"/>
          </w:rPr>
          <w:t>Selection of Sources of Evidence</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_Toc214026541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20</w:t>
        </w:r>
        <w:r w:rsidRPr="007118D1">
          <w:rPr>
            <w:rFonts w:ascii="Gill Sans MT" w:hAnsi="Gill Sans MT"/>
            <w:b w:val="0"/>
            <w:bCs w:val="0"/>
            <w:noProof/>
            <w:webHidden/>
            <w:sz w:val="26"/>
            <w:szCs w:val="26"/>
          </w:rPr>
          <w:fldChar w:fldCharType="end"/>
        </w:r>
      </w:hyperlink>
    </w:p>
    <w:p w14:paraId="0905B537"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2" w:history="1">
        <w:r w:rsidRPr="007118D1">
          <w:rPr>
            <w:rStyle w:val="Hyperlink"/>
            <w:rFonts w:ascii="Gill Sans MT" w:hAnsi="Gill Sans MT"/>
            <w:b w:val="0"/>
            <w:bCs w:val="0"/>
            <w:noProof/>
            <w:sz w:val="26"/>
            <w:szCs w:val="26"/>
          </w:rPr>
          <w:t>Data Charting</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_Toc214026542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20</w:t>
        </w:r>
        <w:r w:rsidRPr="007118D1">
          <w:rPr>
            <w:rFonts w:ascii="Gill Sans MT" w:hAnsi="Gill Sans MT"/>
            <w:b w:val="0"/>
            <w:bCs w:val="0"/>
            <w:noProof/>
            <w:webHidden/>
            <w:sz w:val="26"/>
            <w:szCs w:val="26"/>
          </w:rPr>
          <w:fldChar w:fldCharType="end"/>
        </w:r>
      </w:hyperlink>
    </w:p>
    <w:p w14:paraId="3B05A8B7"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3" w:history="1">
        <w:r w:rsidRPr="007118D1">
          <w:rPr>
            <w:rStyle w:val="Hyperlink"/>
            <w:rFonts w:ascii="Gill Sans MT" w:hAnsi="Gill Sans MT"/>
            <w:b w:val="0"/>
            <w:bCs w:val="0"/>
            <w:noProof/>
            <w:sz w:val="26"/>
            <w:szCs w:val="26"/>
          </w:rPr>
          <w:t>Critical Appraisal</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_Toc214026543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20</w:t>
        </w:r>
        <w:r w:rsidRPr="007118D1">
          <w:rPr>
            <w:rFonts w:ascii="Gill Sans MT" w:hAnsi="Gill Sans MT"/>
            <w:b w:val="0"/>
            <w:bCs w:val="0"/>
            <w:noProof/>
            <w:webHidden/>
            <w:sz w:val="26"/>
            <w:szCs w:val="26"/>
          </w:rPr>
          <w:fldChar w:fldCharType="end"/>
        </w:r>
      </w:hyperlink>
    </w:p>
    <w:p w14:paraId="632654FC"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4" w:history="1">
        <w:r w:rsidRPr="007118D1">
          <w:rPr>
            <w:rStyle w:val="Hyperlink"/>
            <w:rFonts w:ascii="Gill Sans MT" w:hAnsi="Gill Sans MT"/>
            <w:b w:val="0"/>
            <w:bCs w:val="0"/>
            <w:noProof/>
            <w:sz w:val="26"/>
            <w:szCs w:val="26"/>
          </w:rPr>
          <w:t>Synthesis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_Toc214026544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21</w:t>
        </w:r>
        <w:r w:rsidRPr="007118D1">
          <w:rPr>
            <w:rFonts w:ascii="Gill Sans MT" w:hAnsi="Gill Sans MT"/>
            <w:b w:val="0"/>
            <w:bCs w:val="0"/>
            <w:noProof/>
            <w:webHidden/>
            <w:sz w:val="26"/>
            <w:szCs w:val="26"/>
          </w:rPr>
          <w:fldChar w:fldCharType="end"/>
        </w:r>
      </w:hyperlink>
    </w:p>
    <w:p w14:paraId="509745F3"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45" w:history="1">
        <w:r w:rsidRPr="007118D1">
          <w:rPr>
            <w:rStyle w:val="Hyperlink"/>
            <w:rFonts w:ascii="Gill Sans MT" w:hAnsi="Gill Sans MT"/>
            <w:b w:val="0"/>
            <w:bCs w:val="0"/>
            <w:i w:val="0"/>
            <w:iCs w:val="0"/>
            <w:noProof/>
            <w:sz w:val="26"/>
            <w:szCs w:val="26"/>
          </w:rPr>
          <w:t>Section 3 Results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_Toc214026545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23</w:t>
        </w:r>
        <w:r w:rsidRPr="007118D1">
          <w:rPr>
            <w:rFonts w:ascii="Gill Sans MT" w:hAnsi="Gill Sans MT"/>
            <w:b w:val="0"/>
            <w:bCs w:val="0"/>
            <w:i w:val="0"/>
            <w:iCs w:val="0"/>
            <w:noProof/>
            <w:webHidden/>
            <w:sz w:val="26"/>
            <w:szCs w:val="26"/>
          </w:rPr>
          <w:fldChar w:fldCharType="end"/>
        </w:r>
      </w:hyperlink>
    </w:p>
    <w:p w14:paraId="56636586"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6" w:history="1">
        <w:r w:rsidRPr="007118D1">
          <w:rPr>
            <w:rStyle w:val="Hyperlink"/>
            <w:rFonts w:ascii="Gill Sans MT" w:hAnsi="Gill Sans MT"/>
            <w:b w:val="0"/>
            <w:bCs w:val="0"/>
            <w:noProof/>
            <w:sz w:val="26"/>
            <w:szCs w:val="26"/>
          </w:rPr>
          <w:t>Study Selection</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_Toc214026546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23</w:t>
        </w:r>
        <w:r w:rsidRPr="007118D1">
          <w:rPr>
            <w:rFonts w:ascii="Gill Sans MT" w:hAnsi="Gill Sans MT"/>
            <w:b w:val="0"/>
            <w:bCs w:val="0"/>
            <w:noProof/>
            <w:webHidden/>
            <w:sz w:val="26"/>
            <w:szCs w:val="26"/>
          </w:rPr>
          <w:fldChar w:fldCharType="end"/>
        </w:r>
      </w:hyperlink>
    </w:p>
    <w:p w14:paraId="3E3AB540"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7" w:history="1">
        <w:r w:rsidRPr="007118D1">
          <w:rPr>
            <w:rStyle w:val="Hyperlink"/>
            <w:rFonts w:ascii="Gill Sans MT" w:hAnsi="Gill Sans MT"/>
            <w:b w:val="0"/>
            <w:bCs w:val="0"/>
            <w:noProof/>
            <w:sz w:val="26"/>
            <w:szCs w:val="26"/>
          </w:rPr>
          <w:t>Study Characteristics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_Toc214026547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23</w:t>
        </w:r>
        <w:r w:rsidRPr="007118D1">
          <w:rPr>
            <w:rFonts w:ascii="Gill Sans MT" w:hAnsi="Gill Sans MT"/>
            <w:b w:val="0"/>
            <w:bCs w:val="0"/>
            <w:noProof/>
            <w:webHidden/>
            <w:sz w:val="26"/>
            <w:szCs w:val="26"/>
          </w:rPr>
          <w:fldChar w:fldCharType="end"/>
        </w:r>
      </w:hyperlink>
    </w:p>
    <w:p w14:paraId="6D481D7B"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8" w:history="1">
        <w:r w:rsidRPr="007118D1">
          <w:rPr>
            <w:rStyle w:val="Hyperlink"/>
            <w:rFonts w:ascii="Gill Sans MT" w:hAnsi="Gill Sans MT"/>
            <w:b w:val="0"/>
            <w:bCs w:val="0"/>
            <w:noProof/>
            <w:sz w:val="26"/>
            <w:szCs w:val="26"/>
          </w:rPr>
          <w:t>Quality Appraisal</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_Toc214026548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24</w:t>
        </w:r>
        <w:r w:rsidRPr="007118D1">
          <w:rPr>
            <w:rFonts w:ascii="Gill Sans MT" w:hAnsi="Gill Sans MT"/>
            <w:b w:val="0"/>
            <w:bCs w:val="0"/>
            <w:noProof/>
            <w:webHidden/>
            <w:sz w:val="26"/>
            <w:szCs w:val="26"/>
          </w:rPr>
          <w:fldChar w:fldCharType="end"/>
        </w:r>
      </w:hyperlink>
    </w:p>
    <w:p w14:paraId="029FF199"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49" w:history="1">
        <w:r w:rsidRPr="007118D1">
          <w:rPr>
            <w:rStyle w:val="Hyperlink"/>
            <w:rFonts w:ascii="Gill Sans MT" w:hAnsi="Gill Sans MT"/>
            <w:b w:val="0"/>
            <w:bCs w:val="0"/>
            <w:noProof/>
            <w:sz w:val="26"/>
            <w:szCs w:val="26"/>
          </w:rPr>
          <w:t>Synthesis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_Toc214026549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24</w:t>
        </w:r>
        <w:r w:rsidRPr="007118D1">
          <w:rPr>
            <w:rFonts w:ascii="Gill Sans MT" w:hAnsi="Gill Sans MT"/>
            <w:b w:val="0"/>
            <w:bCs w:val="0"/>
            <w:noProof/>
            <w:webHidden/>
            <w:sz w:val="26"/>
            <w:szCs w:val="26"/>
          </w:rPr>
          <w:fldChar w:fldCharType="end"/>
        </w:r>
      </w:hyperlink>
    </w:p>
    <w:p w14:paraId="4D041C13"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0" w:history="1">
        <w:r w:rsidRPr="007118D1">
          <w:rPr>
            <w:rStyle w:val="Hyperlink"/>
            <w:rFonts w:ascii="Gill Sans MT" w:hAnsi="Gill Sans MT"/>
            <w:b w:val="0"/>
            <w:bCs w:val="0"/>
            <w:noProof/>
            <w:sz w:val="26"/>
            <w:szCs w:val="26"/>
          </w:rPr>
          <w:t>Health and Healthcare Disparities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_Toc214026550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24</w:t>
        </w:r>
        <w:r w:rsidRPr="007118D1">
          <w:rPr>
            <w:rFonts w:ascii="Gill Sans MT" w:hAnsi="Gill Sans MT"/>
            <w:b w:val="0"/>
            <w:bCs w:val="0"/>
            <w:noProof/>
            <w:webHidden/>
            <w:sz w:val="26"/>
            <w:szCs w:val="26"/>
          </w:rPr>
          <w:fldChar w:fldCharType="end"/>
        </w:r>
      </w:hyperlink>
    </w:p>
    <w:p w14:paraId="31B5E62A"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1" w:history="1">
        <w:r w:rsidRPr="007118D1">
          <w:rPr>
            <w:rStyle w:val="Hyperlink"/>
            <w:rFonts w:ascii="Gill Sans MT" w:hAnsi="Gill Sans MT"/>
            <w:b w:val="0"/>
            <w:bCs w:val="0"/>
            <w:noProof/>
            <w:sz w:val="26"/>
            <w:szCs w:val="26"/>
          </w:rPr>
          <w:t>Barriers and Facilitators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_Toc214026551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29</w:t>
        </w:r>
        <w:r w:rsidRPr="007118D1">
          <w:rPr>
            <w:rFonts w:ascii="Gill Sans MT" w:hAnsi="Gill Sans MT"/>
            <w:b w:val="0"/>
            <w:bCs w:val="0"/>
            <w:noProof/>
            <w:webHidden/>
            <w:sz w:val="26"/>
            <w:szCs w:val="26"/>
          </w:rPr>
          <w:fldChar w:fldCharType="end"/>
        </w:r>
      </w:hyperlink>
    </w:p>
    <w:p w14:paraId="2A4B9AE6"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2" w:history="1">
        <w:r w:rsidRPr="007118D1">
          <w:rPr>
            <w:rStyle w:val="Hyperlink"/>
            <w:rFonts w:ascii="Gill Sans MT" w:hAnsi="Gill Sans MT"/>
            <w:b w:val="0"/>
            <w:bCs w:val="0"/>
            <w:noProof/>
            <w:sz w:val="26"/>
            <w:szCs w:val="26"/>
          </w:rPr>
          <w:t>Summary of Results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_Toc214026552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35</w:t>
        </w:r>
        <w:r w:rsidRPr="007118D1">
          <w:rPr>
            <w:rFonts w:ascii="Gill Sans MT" w:hAnsi="Gill Sans MT"/>
            <w:b w:val="0"/>
            <w:bCs w:val="0"/>
            <w:noProof/>
            <w:webHidden/>
            <w:sz w:val="26"/>
            <w:szCs w:val="26"/>
          </w:rPr>
          <w:fldChar w:fldCharType="end"/>
        </w:r>
      </w:hyperlink>
    </w:p>
    <w:p w14:paraId="31822187"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53" w:history="1">
        <w:r w:rsidRPr="007118D1">
          <w:rPr>
            <w:rStyle w:val="Hyperlink"/>
            <w:rFonts w:ascii="Gill Sans MT" w:hAnsi="Gill Sans MT"/>
            <w:b w:val="0"/>
            <w:bCs w:val="0"/>
            <w:i w:val="0"/>
            <w:iCs w:val="0"/>
            <w:noProof/>
            <w:sz w:val="26"/>
            <w:szCs w:val="26"/>
          </w:rPr>
          <w:t>Section 4 Discussion &amp; Recommendations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_Toc214026553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37</w:t>
        </w:r>
        <w:r w:rsidRPr="007118D1">
          <w:rPr>
            <w:rFonts w:ascii="Gill Sans MT" w:hAnsi="Gill Sans MT"/>
            <w:b w:val="0"/>
            <w:bCs w:val="0"/>
            <w:i w:val="0"/>
            <w:iCs w:val="0"/>
            <w:noProof/>
            <w:webHidden/>
            <w:sz w:val="26"/>
            <w:szCs w:val="26"/>
          </w:rPr>
          <w:fldChar w:fldCharType="end"/>
        </w:r>
      </w:hyperlink>
    </w:p>
    <w:p w14:paraId="684D05D1"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4" w:history="1">
        <w:r w:rsidRPr="007118D1">
          <w:rPr>
            <w:rStyle w:val="Hyperlink"/>
            <w:rFonts w:ascii="Gill Sans MT" w:hAnsi="Gill Sans MT"/>
            <w:b w:val="0"/>
            <w:bCs w:val="0"/>
            <w:noProof/>
            <w:sz w:val="26"/>
            <w:szCs w:val="26"/>
          </w:rPr>
          <w:t>Discussion</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_Toc214026554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37</w:t>
        </w:r>
        <w:r w:rsidRPr="007118D1">
          <w:rPr>
            <w:rFonts w:ascii="Gill Sans MT" w:hAnsi="Gill Sans MT"/>
            <w:b w:val="0"/>
            <w:bCs w:val="0"/>
            <w:noProof/>
            <w:webHidden/>
            <w:sz w:val="26"/>
            <w:szCs w:val="26"/>
          </w:rPr>
          <w:fldChar w:fldCharType="end"/>
        </w:r>
      </w:hyperlink>
    </w:p>
    <w:p w14:paraId="6DE51198"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5" w:history="1">
        <w:r w:rsidRPr="007118D1">
          <w:rPr>
            <w:rStyle w:val="Hyperlink"/>
            <w:rFonts w:ascii="Gill Sans MT" w:hAnsi="Gill Sans MT"/>
            <w:b w:val="0"/>
            <w:bCs w:val="0"/>
            <w:noProof/>
            <w:sz w:val="26"/>
            <w:szCs w:val="26"/>
          </w:rPr>
          <w:t>Recommendations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_Toc214026555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39</w:t>
        </w:r>
        <w:r w:rsidRPr="007118D1">
          <w:rPr>
            <w:rFonts w:ascii="Gill Sans MT" w:hAnsi="Gill Sans MT"/>
            <w:b w:val="0"/>
            <w:bCs w:val="0"/>
            <w:noProof/>
            <w:webHidden/>
            <w:sz w:val="26"/>
            <w:szCs w:val="26"/>
          </w:rPr>
          <w:fldChar w:fldCharType="end"/>
        </w:r>
      </w:hyperlink>
    </w:p>
    <w:p w14:paraId="07E0D8ED"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6" w:history="1">
        <w:r w:rsidRPr="007118D1">
          <w:rPr>
            <w:rStyle w:val="Hyperlink"/>
            <w:rFonts w:ascii="Gill Sans MT" w:hAnsi="Gill Sans MT"/>
            <w:b w:val="0"/>
            <w:bCs w:val="0"/>
            <w:noProof/>
            <w:sz w:val="26"/>
            <w:szCs w:val="26"/>
          </w:rPr>
          <w:t>Limitations</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_Toc214026556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41</w:t>
        </w:r>
        <w:r w:rsidRPr="007118D1">
          <w:rPr>
            <w:rFonts w:ascii="Gill Sans MT" w:hAnsi="Gill Sans MT"/>
            <w:b w:val="0"/>
            <w:bCs w:val="0"/>
            <w:noProof/>
            <w:webHidden/>
            <w:sz w:val="26"/>
            <w:szCs w:val="26"/>
          </w:rPr>
          <w:fldChar w:fldCharType="end"/>
        </w:r>
      </w:hyperlink>
    </w:p>
    <w:p w14:paraId="57EEB45E"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57" w:history="1">
        <w:r w:rsidRPr="007118D1">
          <w:rPr>
            <w:rStyle w:val="Hyperlink"/>
            <w:rFonts w:ascii="Gill Sans MT" w:hAnsi="Gill Sans MT"/>
            <w:b w:val="0"/>
            <w:bCs w:val="0"/>
            <w:i w:val="0"/>
            <w:iCs w:val="0"/>
            <w:noProof/>
            <w:sz w:val="26"/>
            <w:szCs w:val="26"/>
          </w:rPr>
          <w:t>References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_Toc214026557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43</w:t>
        </w:r>
        <w:r w:rsidRPr="007118D1">
          <w:rPr>
            <w:rFonts w:ascii="Gill Sans MT" w:hAnsi="Gill Sans MT"/>
            <w:b w:val="0"/>
            <w:bCs w:val="0"/>
            <w:i w:val="0"/>
            <w:iCs w:val="0"/>
            <w:noProof/>
            <w:webHidden/>
            <w:sz w:val="26"/>
            <w:szCs w:val="26"/>
          </w:rPr>
          <w:fldChar w:fldCharType="end"/>
        </w:r>
      </w:hyperlink>
    </w:p>
    <w:p w14:paraId="7B8A63CB" w14:textId="77777777" w:rsidR="00F86486" w:rsidRPr="002F7E97" w:rsidRDefault="00F86486">
      <w:pPr>
        <w:pStyle w:val="TOC1"/>
        <w:tabs>
          <w:tab w:val="right" w:leader="dot" w:pos="8630"/>
        </w:tabs>
        <w:rPr>
          <w:rFonts w:ascii="Gill Sans MT" w:hAnsi="Gill Sans MT" w:cs="Times New Roman"/>
          <w:b w:val="0"/>
          <w:bCs w:val="0"/>
          <w:i w:val="0"/>
          <w:iCs w:val="0"/>
          <w:noProof/>
          <w:kern w:val="2"/>
          <w:sz w:val="26"/>
          <w:szCs w:val="26"/>
          <w:lang w:eastAsia="en-IE"/>
        </w:rPr>
      </w:pPr>
      <w:hyperlink w:anchor="_Toc214026558" w:history="1">
        <w:r w:rsidRPr="007118D1">
          <w:rPr>
            <w:rStyle w:val="Hyperlink"/>
            <w:rFonts w:ascii="Gill Sans MT" w:hAnsi="Gill Sans MT"/>
            <w:b w:val="0"/>
            <w:bCs w:val="0"/>
            <w:i w:val="0"/>
            <w:iCs w:val="0"/>
            <w:noProof/>
            <w:sz w:val="26"/>
            <w:szCs w:val="26"/>
          </w:rPr>
          <w:t>Appendices</w:t>
        </w:r>
        <w:r w:rsidRPr="007118D1">
          <w:rPr>
            <w:rFonts w:ascii="Gill Sans MT" w:hAnsi="Gill Sans MT"/>
            <w:b w:val="0"/>
            <w:bCs w:val="0"/>
            <w:i w:val="0"/>
            <w:iCs w:val="0"/>
            <w:noProof/>
            <w:webHidden/>
            <w:sz w:val="26"/>
            <w:szCs w:val="26"/>
          </w:rPr>
          <w:tab/>
        </w:r>
        <w:r w:rsidRPr="007118D1">
          <w:rPr>
            <w:rFonts w:ascii="Gill Sans MT" w:hAnsi="Gill Sans MT"/>
            <w:b w:val="0"/>
            <w:bCs w:val="0"/>
            <w:i w:val="0"/>
            <w:iCs w:val="0"/>
            <w:noProof/>
            <w:webHidden/>
            <w:sz w:val="26"/>
            <w:szCs w:val="26"/>
          </w:rPr>
          <w:fldChar w:fldCharType="begin"/>
        </w:r>
        <w:r w:rsidRPr="007118D1">
          <w:rPr>
            <w:rFonts w:ascii="Gill Sans MT" w:hAnsi="Gill Sans MT"/>
            <w:b w:val="0"/>
            <w:bCs w:val="0"/>
            <w:i w:val="0"/>
            <w:iCs w:val="0"/>
            <w:noProof/>
            <w:webHidden/>
            <w:sz w:val="26"/>
            <w:szCs w:val="26"/>
          </w:rPr>
          <w:instrText xml:space="preserve"> PAGEREF _Toc214026558 \h </w:instrText>
        </w:r>
        <w:r w:rsidRPr="007118D1">
          <w:rPr>
            <w:rFonts w:ascii="Gill Sans MT" w:hAnsi="Gill Sans MT"/>
            <w:b w:val="0"/>
            <w:bCs w:val="0"/>
            <w:i w:val="0"/>
            <w:iCs w:val="0"/>
            <w:noProof/>
            <w:webHidden/>
            <w:sz w:val="26"/>
            <w:szCs w:val="26"/>
          </w:rPr>
        </w:r>
        <w:r w:rsidRPr="007118D1">
          <w:rPr>
            <w:rFonts w:ascii="Gill Sans MT" w:hAnsi="Gill Sans MT"/>
            <w:b w:val="0"/>
            <w:bCs w:val="0"/>
            <w:i w:val="0"/>
            <w:iCs w:val="0"/>
            <w:noProof/>
            <w:webHidden/>
            <w:sz w:val="26"/>
            <w:szCs w:val="26"/>
          </w:rPr>
          <w:fldChar w:fldCharType="separate"/>
        </w:r>
        <w:r w:rsidRPr="007118D1">
          <w:rPr>
            <w:rFonts w:ascii="Gill Sans MT" w:hAnsi="Gill Sans MT"/>
            <w:b w:val="0"/>
            <w:bCs w:val="0"/>
            <w:i w:val="0"/>
            <w:iCs w:val="0"/>
            <w:noProof/>
            <w:webHidden/>
            <w:sz w:val="26"/>
            <w:szCs w:val="26"/>
          </w:rPr>
          <w:t>56</w:t>
        </w:r>
        <w:r w:rsidRPr="007118D1">
          <w:rPr>
            <w:rFonts w:ascii="Gill Sans MT" w:hAnsi="Gill Sans MT"/>
            <w:b w:val="0"/>
            <w:bCs w:val="0"/>
            <w:i w:val="0"/>
            <w:iCs w:val="0"/>
            <w:noProof/>
            <w:webHidden/>
            <w:sz w:val="26"/>
            <w:szCs w:val="26"/>
          </w:rPr>
          <w:fldChar w:fldCharType="end"/>
        </w:r>
      </w:hyperlink>
    </w:p>
    <w:p w14:paraId="0723674C"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59" w:history="1">
        <w:r w:rsidRPr="007118D1">
          <w:rPr>
            <w:rStyle w:val="Hyperlink"/>
            <w:rFonts w:ascii="Gill Sans MT" w:hAnsi="Gill Sans MT"/>
            <w:b w:val="0"/>
            <w:bCs w:val="0"/>
            <w:noProof/>
            <w:sz w:val="26"/>
            <w:szCs w:val="26"/>
          </w:rPr>
          <w:t>Appendix 1</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_Toc214026559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56</w:t>
        </w:r>
        <w:r w:rsidRPr="007118D1">
          <w:rPr>
            <w:rFonts w:ascii="Gill Sans MT" w:hAnsi="Gill Sans MT"/>
            <w:b w:val="0"/>
            <w:bCs w:val="0"/>
            <w:noProof/>
            <w:webHidden/>
            <w:sz w:val="26"/>
            <w:szCs w:val="26"/>
          </w:rPr>
          <w:fldChar w:fldCharType="end"/>
        </w:r>
      </w:hyperlink>
    </w:p>
    <w:p w14:paraId="743E8E85"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60" w:history="1">
        <w:r w:rsidRPr="007118D1">
          <w:rPr>
            <w:rStyle w:val="Hyperlink"/>
            <w:rFonts w:ascii="Gill Sans MT" w:hAnsi="Gill Sans MT"/>
            <w:b w:val="0"/>
            <w:bCs w:val="0"/>
            <w:noProof/>
            <w:sz w:val="26"/>
            <w:szCs w:val="26"/>
          </w:rPr>
          <w:t>Appendix 2</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_Toc214026560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61</w:t>
        </w:r>
        <w:r w:rsidRPr="007118D1">
          <w:rPr>
            <w:rFonts w:ascii="Gill Sans MT" w:hAnsi="Gill Sans MT"/>
            <w:b w:val="0"/>
            <w:bCs w:val="0"/>
            <w:noProof/>
            <w:webHidden/>
            <w:sz w:val="26"/>
            <w:szCs w:val="26"/>
          </w:rPr>
          <w:fldChar w:fldCharType="end"/>
        </w:r>
      </w:hyperlink>
    </w:p>
    <w:p w14:paraId="1EEE8233"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61" w:history="1">
        <w:r w:rsidRPr="007118D1">
          <w:rPr>
            <w:rStyle w:val="Hyperlink"/>
            <w:rFonts w:ascii="Gill Sans MT" w:hAnsi="Gill Sans MT"/>
            <w:b w:val="0"/>
            <w:bCs w:val="0"/>
            <w:noProof/>
            <w:sz w:val="26"/>
            <w:szCs w:val="26"/>
          </w:rPr>
          <w:t>Appendix 3</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_Toc214026561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65</w:t>
        </w:r>
        <w:r w:rsidRPr="007118D1">
          <w:rPr>
            <w:rFonts w:ascii="Gill Sans MT" w:hAnsi="Gill Sans MT"/>
            <w:b w:val="0"/>
            <w:bCs w:val="0"/>
            <w:noProof/>
            <w:webHidden/>
            <w:sz w:val="26"/>
            <w:szCs w:val="26"/>
          </w:rPr>
          <w:fldChar w:fldCharType="end"/>
        </w:r>
      </w:hyperlink>
    </w:p>
    <w:p w14:paraId="3F0597FF"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62" w:history="1">
        <w:r w:rsidRPr="007118D1">
          <w:rPr>
            <w:rStyle w:val="Hyperlink"/>
            <w:rFonts w:ascii="Gill Sans MT" w:hAnsi="Gill Sans MT"/>
            <w:b w:val="0"/>
            <w:bCs w:val="0"/>
            <w:noProof/>
            <w:sz w:val="26"/>
            <w:szCs w:val="26"/>
          </w:rPr>
          <w:t>Appendix 4</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_Toc214026562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90</w:t>
        </w:r>
        <w:r w:rsidRPr="007118D1">
          <w:rPr>
            <w:rFonts w:ascii="Gill Sans MT" w:hAnsi="Gill Sans MT"/>
            <w:b w:val="0"/>
            <w:bCs w:val="0"/>
            <w:noProof/>
            <w:webHidden/>
            <w:sz w:val="26"/>
            <w:szCs w:val="26"/>
          </w:rPr>
          <w:fldChar w:fldCharType="end"/>
        </w:r>
      </w:hyperlink>
    </w:p>
    <w:p w14:paraId="54A4F7B0"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63" w:history="1">
        <w:r w:rsidRPr="007118D1">
          <w:rPr>
            <w:rStyle w:val="Hyperlink"/>
            <w:rFonts w:ascii="Gill Sans MT" w:hAnsi="Gill Sans MT"/>
            <w:b w:val="0"/>
            <w:bCs w:val="0"/>
            <w:noProof/>
            <w:sz w:val="26"/>
            <w:szCs w:val="26"/>
          </w:rPr>
          <w:t>Appendix 5</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_Toc214026563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95</w:t>
        </w:r>
        <w:r w:rsidRPr="007118D1">
          <w:rPr>
            <w:rFonts w:ascii="Gill Sans MT" w:hAnsi="Gill Sans MT"/>
            <w:b w:val="0"/>
            <w:bCs w:val="0"/>
            <w:noProof/>
            <w:webHidden/>
            <w:sz w:val="26"/>
            <w:szCs w:val="26"/>
          </w:rPr>
          <w:fldChar w:fldCharType="end"/>
        </w:r>
      </w:hyperlink>
    </w:p>
    <w:p w14:paraId="57BF03E9"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64" w:history="1">
        <w:r w:rsidRPr="007118D1">
          <w:rPr>
            <w:rStyle w:val="Hyperlink"/>
            <w:rFonts w:ascii="Gill Sans MT" w:hAnsi="Gill Sans MT"/>
            <w:b w:val="0"/>
            <w:bCs w:val="0"/>
            <w:noProof/>
            <w:sz w:val="26"/>
            <w:szCs w:val="26"/>
          </w:rPr>
          <w:t>Appendix 6</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_Toc214026564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97</w:t>
        </w:r>
        <w:r w:rsidRPr="007118D1">
          <w:rPr>
            <w:rFonts w:ascii="Gill Sans MT" w:hAnsi="Gill Sans MT"/>
            <w:b w:val="0"/>
            <w:bCs w:val="0"/>
            <w:noProof/>
            <w:webHidden/>
            <w:sz w:val="26"/>
            <w:szCs w:val="26"/>
          </w:rPr>
          <w:fldChar w:fldCharType="end"/>
        </w:r>
      </w:hyperlink>
    </w:p>
    <w:p w14:paraId="5605EDD7" w14:textId="77777777" w:rsidR="00F86486" w:rsidRPr="002F7E97" w:rsidRDefault="00F86486">
      <w:pPr>
        <w:pStyle w:val="TOC2"/>
        <w:tabs>
          <w:tab w:val="right" w:leader="dot" w:pos="8630"/>
        </w:tabs>
        <w:rPr>
          <w:rFonts w:ascii="Gill Sans MT" w:hAnsi="Gill Sans MT" w:cs="Times New Roman"/>
          <w:b w:val="0"/>
          <w:bCs w:val="0"/>
          <w:noProof/>
          <w:kern w:val="2"/>
          <w:sz w:val="26"/>
          <w:szCs w:val="26"/>
          <w:lang w:eastAsia="en-IE"/>
        </w:rPr>
      </w:pPr>
      <w:hyperlink w:anchor="_Toc214026565" w:history="1">
        <w:r w:rsidRPr="007118D1">
          <w:rPr>
            <w:rStyle w:val="Hyperlink"/>
            <w:rFonts w:ascii="Gill Sans MT" w:hAnsi="Gill Sans MT"/>
            <w:b w:val="0"/>
            <w:bCs w:val="0"/>
            <w:noProof/>
            <w:sz w:val="26"/>
            <w:szCs w:val="26"/>
          </w:rPr>
          <w:t>Appendix 7</w:t>
        </w:r>
        <w:r w:rsidRPr="007118D1">
          <w:rPr>
            <w:rFonts w:ascii="Gill Sans MT" w:hAnsi="Gill Sans MT"/>
            <w:b w:val="0"/>
            <w:bCs w:val="0"/>
            <w:noProof/>
            <w:webHidden/>
            <w:sz w:val="26"/>
            <w:szCs w:val="26"/>
          </w:rPr>
          <w:tab/>
        </w:r>
        <w:r w:rsidRPr="007118D1">
          <w:rPr>
            <w:rFonts w:ascii="Gill Sans MT" w:hAnsi="Gill Sans MT"/>
            <w:b w:val="0"/>
            <w:bCs w:val="0"/>
            <w:noProof/>
            <w:webHidden/>
            <w:sz w:val="26"/>
            <w:szCs w:val="26"/>
          </w:rPr>
          <w:fldChar w:fldCharType="begin"/>
        </w:r>
        <w:r w:rsidRPr="007118D1">
          <w:rPr>
            <w:rFonts w:ascii="Gill Sans MT" w:hAnsi="Gill Sans MT"/>
            <w:b w:val="0"/>
            <w:bCs w:val="0"/>
            <w:noProof/>
            <w:webHidden/>
            <w:sz w:val="26"/>
            <w:szCs w:val="26"/>
          </w:rPr>
          <w:instrText xml:space="preserve"> PAGEREF _Toc214026565 \h </w:instrText>
        </w:r>
        <w:r w:rsidRPr="007118D1">
          <w:rPr>
            <w:rFonts w:ascii="Gill Sans MT" w:hAnsi="Gill Sans MT"/>
            <w:b w:val="0"/>
            <w:bCs w:val="0"/>
            <w:noProof/>
            <w:webHidden/>
            <w:sz w:val="26"/>
            <w:szCs w:val="26"/>
          </w:rPr>
        </w:r>
        <w:r w:rsidRPr="007118D1">
          <w:rPr>
            <w:rFonts w:ascii="Gill Sans MT" w:hAnsi="Gill Sans MT"/>
            <w:b w:val="0"/>
            <w:bCs w:val="0"/>
            <w:noProof/>
            <w:webHidden/>
            <w:sz w:val="26"/>
            <w:szCs w:val="26"/>
          </w:rPr>
          <w:fldChar w:fldCharType="separate"/>
        </w:r>
        <w:r w:rsidRPr="007118D1">
          <w:rPr>
            <w:rFonts w:ascii="Gill Sans MT" w:hAnsi="Gill Sans MT"/>
            <w:b w:val="0"/>
            <w:bCs w:val="0"/>
            <w:noProof/>
            <w:webHidden/>
            <w:sz w:val="26"/>
            <w:szCs w:val="26"/>
          </w:rPr>
          <w:t>99</w:t>
        </w:r>
        <w:r w:rsidRPr="007118D1">
          <w:rPr>
            <w:rFonts w:ascii="Gill Sans MT" w:hAnsi="Gill Sans MT"/>
            <w:b w:val="0"/>
            <w:bCs w:val="0"/>
            <w:noProof/>
            <w:webHidden/>
            <w:sz w:val="26"/>
            <w:szCs w:val="26"/>
          </w:rPr>
          <w:fldChar w:fldCharType="end"/>
        </w:r>
      </w:hyperlink>
    </w:p>
    <w:p w14:paraId="3C823609" w14:textId="77777777" w:rsidR="00BD5833" w:rsidRPr="00476164" w:rsidRDefault="00B46DBB" w:rsidP="00476164">
      <w:pPr>
        <w:pStyle w:val="TOC1"/>
        <w:tabs>
          <w:tab w:val="right" w:leader="dot" w:pos="8625"/>
        </w:tabs>
        <w:sectPr w:rsidR="00BD5833" w:rsidRPr="00476164" w:rsidSect="00BD5833">
          <w:pgSz w:w="12240" w:h="15840"/>
          <w:pgMar w:top="1440" w:right="1800" w:bottom="1440" w:left="1800" w:header="708" w:footer="708" w:gutter="0"/>
          <w:pgNumType w:fmt="lowerRoman" w:start="1"/>
          <w:cols w:space="708"/>
          <w:docGrid w:linePitch="360"/>
        </w:sectPr>
      </w:pPr>
      <w:r w:rsidRPr="007118D1">
        <w:rPr>
          <w:rFonts w:ascii="Gill Sans MT" w:hAnsi="Gill Sans MT"/>
          <w:b w:val="0"/>
          <w:bCs w:val="0"/>
          <w:i w:val="0"/>
          <w:iCs w:val="0"/>
          <w:sz w:val="26"/>
          <w:szCs w:val="26"/>
        </w:rPr>
        <w:fldChar w:fldCharType="end"/>
      </w:r>
    </w:p>
    <w:p w14:paraId="6A5FC472" w14:textId="77777777" w:rsidR="00FE0F6D" w:rsidRDefault="3C7E0D2C" w:rsidP="00476164">
      <w:pPr>
        <w:pStyle w:val="Heading1"/>
        <w:ind w:left="0"/>
      </w:pPr>
      <w:bookmarkStart w:id="10" w:name="_Toc159188289"/>
      <w:bookmarkStart w:id="11" w:name="_Toc211371222"/>
      <w:bookmarkStart w:id="12" w:name="_Toc214026522"/>
      <w:r>
        <w:lastRenderedPageBreak/>
        <w:t>List of Tables &amp; Figures</w:t>
      </w:r>
      <w:bookmarkEnd w:id="10"/>
      <w:bookmarkEnd w:id="11"/>
      <w:bookmarkEnd w:id="12"/>
    </w:p>
    <w:p w14:paraId="770026B2" w14:textId="77777777" w:rsidR="00FE0F6D" w:rsidRDefault="00A91516" w:rsidP="00FC75AA">
      <w:r>
        <w:t xml:space="preserve">Table 1: Eligibility Criteria and </w:t>
      </w:r>
      <w:r w:rsidR="725BF779">
        <w:t xml:space="preserve">Search Strategy </w:t>
      </w:r>
    </w:p>
    <w:p w14:paraId="5BD98056" w14:textId="77777777" w:rsidR="00A91516" w:rsidRDefault="00A91516" w:rsidP="00FC75AA">
      <w:r>
        <w:t xml:space="preserve">Table 2: </w:t>
      </w:r>
      <w:r w:rsidR="006E4969">
        <w:t>Grey Literature Key Websites</w:t>
      </w:r>
    </w:p>
    <w:p w14:paraId="421D3EE1" w14:textId="77777777" w:rsidR="006E4969" w:rsidRDefault="006E4969" w:rsidP="00FC75AA">
      <w:r>
        <w:t xml:space="preserve">Table 3: Data Extraction </w:t>
      </w:r>
    </w:p>
    <w:p w14:paraId="77021D32" w14:textId="77777777" w:rsidR="00FE0F6D" w:rsidRDefault="006E4969" w:rsidP="00FC75AA">
      <w:r>
        <w:t xml:space="preserve">Table 4: </w:t>
      </w:r>
      <w:r w:rsidR="12DA6125">
        <w:t xml:space="preserve">Quality Appraisal – Studies </w:t>
      </w:r>
      <w:r w:rsidR="12DA6125" w:rsidRPr="00386A55">
        <w:t>(</w:t>
      </w:r>
      <w:r w:rsidR="00323F95" w:rsidRPr="00386A55">
        <w:t>Mixed Methods Appraisal Tool</w:t>
      </w:r>
      <w:r w:rsidR="12DA6125" w:rsidRPr="00386A55">
        <w:t>)</w:t>
      </w:r>
    </w:p>
    <w:p w14:paraId="2726F0BD" w14:textId="77777777" w:rsidR="12DA6125" w:rsidRDefault="006E4969" w:rsidP="00FC75AA">
      <w:r>
        <w:t xml:space="preserve">Table 5: </w:t>
      </w:r>
      <w:r w:rsidR="12DA6125">
        <w:t xml:space="preserve">Quality Appraisal – Grey Literature </w:t>
      </w:r>
      <w:r w:rsidR="12DA6125" w:rsidRPr="00386A55">
        <w:t>(</w:t>
      </w:r>
      <w:r w:rsidR="00323F95" w:rsidRPr="00386A55">
        <w:t>Authority, Accuracy, Coverage, Objectivity, Date, And Significance</w:t>
      </w:r>
      <w:r w:rsidR="12DA6125" w:rsidRPr="00386A55">
        <w:t>)</w:t>
      </w:r>
    </w:p>
    <w:p w14:paraId="1BEE59F4" w14:textId="77777777" w:rsidR="00157500" w:rsidRDefault="2D4634CE" w:rsidP="00FC75AA">
      <w:r>
        <w:t>Figure 1: PRISMA Flow Chart</w:t>
      </w:r>
    </w:p>
    <w:p w14:paraId="21FDB092" w14:textId="77777777" w:rsidR="009F7907" w:rsidRDefault="009F7907">
      <w:pPr>
        <w:spacing w:after="0"/>
      </w:pPr>
      <w:bookmarkStart w:id="13" w:name="_Toc2112289493"/>
      <w:bookmarkStart w:id="14" w:name="_Toc211371223"/>
      <w:bookmarkStart w:id="15" w:name="_Hlk210135283"/>
    </w:p>
    <w:p w14:paraId="1C6B9D18" w14:textId="77777777" w:rsidR="009E5446" w:rsidRDefault="009E5446">
      <w:pPr>
        <w:spacing w:after="0"/>
      </w:pPr>
    </w:p>
    <w:p w14:paraId="67766334" w14:textId="77777777" w:rsidR="009E5446" w:rsidRDefault="009E5446">
      <w:pPr>
        <w:spacing w:after="0"/>
      </w:pPr>
    </w:p>
    <w:p w14:paraId="43C8B8A7" w14:textId="77777777" w:rsidR="009E5446" w:rsidRDefault="009E5446">
      <w:pPr>
        <w:spacing w:after="0"/>
      </w:pPr>
    </w:p>
    <w:p w14:paraId="0660B4B1" w14:textId="77777777" w:rsidR="009E5446" w:rsidRDefault="009E5446">
      <w:pPr>
        <w:spacing w:after="0"/>
      </w:pPr>
    </w:p>
    <w:p w14:paraId="47008B7E" w14:textId="77777777" w:rsidR="009E5446" w:rsidRDefault="009E5446">
      <w:pPr>
        <w:spacing w:after="0"/>
      </w:pPr>
    </w:p>
    <w:p w14:paraId="7AF44C84" w14:textId="77777777" w:rsidR="009E5446" w:rsidRDefault="009E5446">
      <w:pPr>
        <w:spacing w:after="0"/>
      </w:pPr>
    </w:p>
    <w:p w14:paraId="09286BCD" w14:textId="77777777" w:rsidR="009E5446" w:rsidRDefault="009E5446">
      <w:pPr>
        <w:spacing w:after="0"/>
      </w:pPr>
    </w:p>
    <w:p w14:paraId="6EBC5716" w14:textId="77777777" w:rsidR="009E5446" w:rsidRDefault="009E5446">
      <w:pPr>
        <w:spacing w:after="0"/>
      </w:pPr>
    </w:p>
    <w:p w14:paraId="4A65C900" w14:textId="77777777" w:rsidR="009E5446" w:rsidRDefault="009E5446">
      <w:pPr>
        <w:spacing w:after="0"/>
      </w:pPr>
    </w:p>
    <w:p w14:paraId="3DDCCEF4" w14:textId="77777777" w:rsidR="009E5446" w:rsidRDefault="009E5446">
      <w:pPr>
        <w:spacing w:after="0"/>
      </w:pPr>
    </w:p>
    <w:p w14:paraId="5AFC4B31" w14:textId="77777777" w:rsidR="009E5446" w:rsidRDefault="009E5446">
      <w:pPr>
        <w:spacing w:after="0"/>
      </w:pPr>
    </w:p>
    <w:p w14:paraId="1BDD8DDD" w14:textId="77777777" w:rsidR="009E5446" w:rsidRDefault="009E5446">
      <w:pPr>
        <w:spacing w:after="0"/>
      </w:pPr>
    </w:p>
    <w:p w14:paraId="1D9822D1" w14:textId="77777777" w:rsidR="009E5446" w:rsidRDefault="009E5446">
      <w:pPr>
        <w:spacing w:after="0"/>
      </w:pPr>
    </w:p>
    <w:p w14:paraId="707C62FF" w14:textId="77777777" w:rsidR="009E5446" w:rsidRDefault="009E5446">
      <w:pPr>
        <w:spacing w:after="0"/>
      </w:pPr>
    </w:p>
    <w:p w14:paraId="6EEEBDE1" w14:textId="77777777" w:rsidR="009E5446" w:rsidRDefault="009E5446">
      <w:pPr>
        <w:spacing w:after="0"/>
      </w:pPr>
    </w:p>
    <w:p w14:paraId="57F75AA5" w14:textId="77777777" w:rsidR="009E5446" w:rsidRDefault="009E5446">
      <w:pPr>
        <w:spacing w:after="0"/>
      </w:pPr>
    </w:p>
    <w:p w14:paraId="475D5A29" w14:textId="77777777" w:rsidR="009E5446" w:rsidRDefault="009E5446">
      <w:pPr>
        <w:spacing w:after="0"/>
      </w:pPr>
    </w:p>
    <w:p w14:paraId="6358B826" w14:textId="77777777" w:rsidR="009E5446" w:rsidRDefault="009E5446">
      <w:pPr>
        <w:spacing w:after="0"/>
      </w:pPr>
    </w:p>
    <w:p w14:paraId="5D9D812A" w14:textId="77777777" w:rsidR="009E5446" w:rsidRDefault="009E5446">
      <w:pPr>
        <w:spacing w:after="0"/>
        <w:rPr>
          <w:rFonts w:cs="Arial"/>
          <w:b/>
          <w:bCs/>
          <w:kern w:val="32"/>
          <w:sz w:val="32"/>
          <w:szCs w:val="32"/>
        </w:rPr>
      </w:pPr>
    </w:p>
    <w:p w14:paraId="7E710FA8" w14:textId="77777777" w:rsidR="006E4969" w:rsidRDefault="18A6F44A" w:rsidP="00157500">
      <w:pPr>
        <w:pStyle w:val="Heading1"/>
        <w:ind w:left="0"/>
      </w:pPr>
      <w:bookmarkStart w:id="16" w:name="_Toc214026523"/>
      <w:r>
        <w:lastRenderedPageBreak/>
        <w:t>Abbreviations</w:t>
      </w:r>
      <w:bookmarkEnd w:id="13"/>
      <w:bookmarkEnd w:id="14"/>
      <w:bookmarkEnd w:id="16"/>
    </w:p>
    <w:bookmarkEnd w:id="15"/>
    <w:p w14:paraId="52729358" w14:textId="77777777" w:rsidR="00050398" w:rsidRDefault="00EF79EA" w:rsidP="00FC75AA">
      <w:pPr>
        <w:tabs>
          <w:tab w:val="left" w:pos="1418"/>
        </w:tabs>
        <w:spacing w:after="0"/>
      </w:pPr>
      <w:r>
        <w:t xml:space="preserve">Accom.: </w:t>
      </w:r>
      <w:r w:rsidR="00757891">
        <w:tab/>
      </w:r>
      <w:r>
        <w:t>accommodations</w:t>
      </w:r>
      <w:r>
        <w:br/>
        <w:t xml:space="preserve">AFAB: </w:t>
      </w:r>
      <w:r w:rsidR="00757891">
        <w:tab/>
      </w:r>
      <w:r>
        <w:t>Assigned female at birth</w:t>
      </w:r>
      <w:r>
        <w:br/>
        <w:t xml:space="preserve">AG: </w:t>
      </w:r>
      <w:r w:rsidR="00757891">
        <w:tab/>
      </w:r>
      <w:r w:rsidR="00757891">
        <w:tab/>
      </w:r>
      <w:r>
        <w:t>agender</w:t>
      </w:r>
    </w:p>
    <w:p w14:paraId="108B85CA" w14:textId="77777777" w:rsidR="00FE0F6D" w:rsidRDefault="00050398" w:rsidP="00FC75AA">
      <w:pPr>
        <w:tabs>
          <w:tab w:val="left" w:pos="1418"/>
        </w:tabs>
        <w:spacing w:after="0"/>
      </w:pPr>
      <w:r>
        <w:br/>
      </w:r>
      <w:r w:rsidR="16789EE1">
        <w:t xml:space="preserve">BG: </w:t>
      </w:r>
      <w:r w:rsidR="00757891">
        <w:tab/>
      </w:r>
      <w:r w:rsidR="00757891">
        <w:tab/>
      </w:r>
      <w:r w:rsidR="00EE3693">
        <w:t>b</w:t>
      </w:r>
      <w:r w:rsidR="16789EE1">
        <w:t>igender</w:t>
      </w:r>
    </w:p>
    <w:p w14:paraId="539862A9" w14:textId="77777777" w:rsidR="00050398" w:rsidRDefault="00050398" w:rsidP="00FC75AA">
      <w:pPr>
        <w:tabs>
          <w:tab w:val="left" w:pos="1418"/>
        </w:tabs>
        <w:spacing w:after="0"/>
      </w:pPr>
    </w:p>
    <w:p w14:paraId="180DC3CA" w14:textId="77777777" w:rsidR="00FE0F6D" w:rsidRDefault="16789EE1" w:rsidP="00FC75AA">
      <w:pPr>
        <w:tabs>
          <w:tab w:val="left" w:pos="1418"/>
        </w:tabs>
        <w:spacing w:after="0"/>
      </w:pPr>
      <w:r>
        <w:t xml:space="preserve">CINAHL: </w:t>
      </w:r>
      <w:r w:rsidR="00757891">
        <w:tab/>
      </w:r>
      <w:r>
        <w:t>Cumulative Index to Nursing and Allied Health Literature</w:t>
      </w:r>
      <w:r w:rsidR="00FE0F6D">
        <w:br/>
      </w:r>
      <w:r>
        <w:t xml:space="preserve">Cis: </w:t>
      </w:r>
      <w:r w:rsidR="00757891">
        <w:tab/>
      </w:r>
      <w:r w:rsidR="00757891">
        <w:tab/>
      </w:r>
      <w:r>
        <w:t>cisgender</w:t>
      </w:r>
      <w:r w:rsidR="00FE0F6D">
        <w:br/>
      </w:r>
      <w:r>
        <w:t xml:space="preserve">Collab.: </w:t>
      </w:r>
      <w:r w:rsidR="00757891">
        <w:tab/>
      </w:r>
      <w:r>
        <w:t>collaboration</w:t>
      </w:r>
      <w:r w:rsidR="00FE0F6D">
        <w:br/>
      </w:r>
      <w:r>
        <w:t xml:space="preserve">Comm.: </w:t>
      </w:r>
      <w:r w:rsidR="00757891">
        <w:tab/>
      </w:r>
      <w:r>
        <w:t>communication</w:t>
      </w:r>
    </w:p>
    <w:p w14:paraId="631CE06A" w14:textId="77777777" w:rsidR="00050398" w:rsidRDefault="00050398" w:rsidP="00FC75AA">
      <w:pPr>
        <w:tabs>
          <w:tab w:val="left" w:pos="1418"/>
        </w:tabs>
        <w:spacing w:after="0"/>
      </w:pPr>
    </w:p>
    <w:p w14:paraId="65DA4003" w14:textId="77777777" w:rsidR="00FE0F6D" w:rsidRDefault="16789EE1" w:rsidP="00FC75AA">
      <w:pPr>
        <w:tabs>
          <w:tab w:val="left" w:pos="1418"/>
        </w:tabs>
        <w:spacing w:after="0"/>
      </w:pPr>
      <w:r>
        <w:t xml:space="preserve">GAC: </w:t>
      </w:r>
      <w:r w:rsidR="00757891">
        <w:tab/>
      </w:r>
      <w:r w:rsidR="00757891">
        <w:tab/>
      </w:r>
      <w:r>
        <w:t>gender affirming care</w:t>
      </w:r>
      <w:r w:rsidR="00FE0F6D">
        <w:br/>
      </w:r>
      <w:r>
        <w:t xml:space="preserve">GA: </w:t>
      </w:r>
      <w:r w:rsidR="00757891">
        <w:tab/>
      </w:r>
      <w:r w:rsidR="00757891">
        <w:tab/>
      </w:r>
      <w:r>
        <w:t>gender affirming</w:t>
      </w:r>
      <w:r w:rsidR="00FE0F6D">
        <w:br/>
      </w:r>
      <w:r>
        <w:t xml:space="preserve">GD: </w:t>
      </w:r>
      <w:r w:rsidR="00757891">
        <w:tab/>
      </w:r>
      <w:r w:rsidR="00757891">
        <w:tab/>
      </w:r>
      <w:r>
        <w:t>gender dysphoria</w:t>
      </w:r>
      <w:r w:rsidR="00FE0F6D">
        <w:br/>
      </w:r>
      <w:r>
        <w:t xml:space="preserve">GF: </w:t>
      </w:r>
      <w:r w:rsidR="00757891">
        <w:tab/>
      </w:r>
      <w:r w:rsidR="00757891">
        <w:tab/>
      </w:r>
      <w:r>
        <w:t>genderfluid</w:t>
      </w:r>
      <w:r w:rsidR="00FE0F6D">
        <w:br/>
      </w:r>
      <w:r>
        <w:t>GNC:</w:t>
      </w:r>
      <w:r w:rsidR="00757891">
        <w:tab/>
      </w:r>
      <w:r w:rsidR="00757891">
        <w:tab/>
      </w:r>
      <w:r>
        <w:t>gender non-conforming</w:t>
      </w:r>
      <w:r w:rsidR="00FE0F6D">
        <w:br/>
      </w:r>
      <w:r>
        <w:t xml:space="preserve">GM: </w:t>
      </w:r>
      <w:r w:rsidR="00757891">
        <w:tab/>
      </w:r>
      <w:r w:rsidR="00757891">
        <w:tab/>
      </w:r>
      <w:r>
        <w:t>gender minority</w:t>
      </w:r>
      <w:r w:rsidR="00FE0F6D">
        <w:br/>
      </w:r>
      <w:r>
        <w:t xml:space="preserve">GQ: </w:t>
      </w:r>
      <w:r w:rsidR="00757891">
        <w:tab/>
      </w:r>
      <w:r w:rsidR="00757891">
        <w:tab/>
      </w:r>
      <w:r>
        <w:t>genderqueer</w:t>
      </w:r>
    </w:p>
    <w:p w14:paraId="00D69673" w14:textId="77777777" w:rsidR="00050398" w:rsidRDefault="00050398" w:rsidP="00FC75AA">
      <w:pPr>
        <w:tabs>
          <w:tab w:val="left" w:pos="1418"/>
        </w:tabs>
        <w:spacing w:after="0"/>
      </w:pPr>
    </w:p>
    <w:p w14:paraId="435667B5" w14:textId="77777777" w:rsidR="00FE0F6D" w:rsidRDefault="16789EE1" w:rsidP="00FC75AA">
      <w:pPr>
        <w:tabs>
          <w:tab w:val="left" w:pos="1418"/>
        </w:tabs>
        <w:spacing w:after="0"/>
      </w:pPr>
      <w:r>
        <w:t xml:space="preserve">ICTRP: </w:t>
      </w:r>
      <w:r w:rsidR="00757891">
        <w:tab/>
      </w:r>
      <w:r>
        <w:t>WHO International Clinical Trials Registry Platform</w:t>
      </w:r>
      <w:r w:rsidR="00FE0F6D">
        <w:br/>
      </w:r>
      <w:r>
        <w:t xml:space="preserve">Indig.: </w:t>
      </w:r>
      <w:r w:rsidR="00757891">
        <w:tab/>
      </w:r>
      <w:r w:rsidR="00757891">
        <w:tab/>
      </w:r>
      <w:r>
        <w:t>Indigenous</w:t>
      </w:r>
      <w:r w:rsidR="00FE0F6D">
        <w:br/>
      </w:r>
      <w:r>
        <w:t xml:space="preserve">IPA: </w:t>
      </w:r>
      <w:r w:rsidR="00757891">
        <w:tab/>
      </w:r>
      <w:r w:rsidR="00757891">
        <w:tab/>
      </w:r>
      <w:r>
        <w:t>Interpretative Phenomenological Analysis</w:t>
      </w:r>
    </w:p>
    <w:p w14:paraId="64D571DB" w14:textId="77777777" w:rsidR="00050398" w:rsidRDefault="00050398" w:rsidP="00FC75AA">
      <w:pPr>
        <w:tabs>
          <w:tab w:val="left" w:pos="1418"/>
        </w:tabs>
        <w:spacing w:after="0"/>
      </w:pPr>
    </w:p>
    <w:p w14:paraId="6B7DC176" w14:textId="77777777" w:rsidR="00050398" w:rsidRDefault="16789EE1" w:rsidP="00FC75AA">
      <w:pPr>
        <w:tabs>
          <w:tab w:val="left" w:pos="1418"/>
        </w:tabs>
        <w:spacing w:after="0"/>
      </w:pPr>
      <w:r>
        <w:t xml:space="preserve">LGB: </w:t>
      </w:r>
      <w:r w:rsidR="00757891">
        <w:tab/>
      </w:r>
      <w:r w:rsidR="00757891">
        <w:tab/>
      </w:r>
      <w:r>
        <w:t>Lesbian, Gay, Bisexual</w:t>
      </w:r>
    </w:p>
    <w:p w14:paraId="5273C314" w14:textId="77777777" w:rsidR="00F35B2A" w:rsidRDefault="418D4A06" w:rsidP="00FC75AA">
      <w:pPr>
        <w:tabs>
          <w:tab w:val="left" w:pos="1418"/>
        </w:tabs>
        <w:spacing w:after="0"/>
        <w:ind w:left="1416" w:hanging="1416"/>
      </w:pPr>
      <w:r>
        <w:t xml:space="preserve">LGBTQIA+: </w:t>
      </w:r>
      <w:r w:rsidR="00757891">
        <w:tab/>
      </w:r>
      <w:r>
        <w:t xml:space="preserve">Umbrella term for sexual and gender minorities: </w:t>
      </w:r>
      <w:r w:rsidR="00736FB5">
        <w:t>l</w:t>
      </w:r>
      <w:r>
        <w:t xml:space="preserve">esbian, </w:t>
      </w:r>
      <w:r w:rsidR="00736FB5">
        <w:t>g</w:t>
      </w:r>
      <w:r>
        <w:t>ay,</w:t>
      </w:r>
      <w:r w:rsidR="00783A18">
        <w:br/>
      </w:r>
      <w:r w:rsidR="00736FB5">
        <w:t>b</w:t>
      </w:r>
      <w:r>
        <w:t xml:space="preserve">isexual, </w:t>
      </w:r>
      <w:r w:rsidR="00736FB5">
        <w:t>transgender</w:t>
      </w:r>
      <w:r>
        <w:t xml:space="preserve">, </w:t>
      </w:r>
      <w:r w:rsidR="00736FB5">
        <w:t>q</w:t>
      </w:r>
      <w:r>
        <w:t>ueer/</w:t>
      </w:r>
      <w:r w:rsidR="00736FB5">
        <w:t>q</w:t>
      </w:r>
      <w:r>
        <w:t xml:space="preserve">uestioning, </w:t>
      </w:r>
      <w:r w:rsidR="00736FB5">
        <w:t>i</w:t>
      </w:r>
      <w:r>
        <w:t xml:space="preserve">ntersex, </w:t>
      </w:r>
      <w:r w:rsidR="00736FB5">
        <w:t>a</w:t>
      </w:r>
      <w:r>
        <w:t>sexual (th</w:t>
      </w:r>
      <w:r w:rsidR="007C1284">
        <w:t>e</w:t>
      </w:r>
      <w:r w:rsidR="00041712">
        <w:t xml:space="preserve"> </w:t>
      </w:r>
      <w:r>
        <w:t>“+”</w:t>
      </w:r>
      <w:r w:rsidR="00476164">
        <w:t xml:space="preserve"> </w:t>
      </w:r>
      <w:r>
        <w:t xml:space="preserve">captures additional identities such as pansexual, non-binary, agender.). </w:t>
      </w:r>
    </w:p>
    <w:p w14:paraId="3E0FAFCE" w14:textId="77777777" w:rsidR="00F35B2A" w:rsidRDefault="00F35B2A" w:rsidP="00FC75AA">
      <w:pPr>
        <w:tabs>
          <w:tab w:val="left" w:pos="1418"/>
        </w:tabs>
        <w:spacing w:after="0"/>
        <w:ind w:left="1416" w:hanging="1416"/>
      </w:pPr>
    </w:p>
    <w:p w14:paraId="7AD84DFF" w14:textId="77777777" w:rsidR="00F35B2A" w:rsidRDefault="16789EE1" w:rsidP="00FC75AA">
      <w:pPr>
        <w:tabs>
          <w:tab w:val="left" w:pos="1418"/>
        </w:tabs>
        <w:spacing w:after="0"/>
        <w:ind w:left="1416" w:hanging="1416"/>
      </w:pPr>
      <w:r>
        <w:t xml:space="preserve">NB: </w:t>
      </w:r>
      <w:r w:rsidR="00757891">
        <w:tab/>
      </w:r>
      <w:r w:rsidR="00757891">
        <w:tab/>
      </w:r>
      <w:r>
        <w:t>Non</w:t>
      </w:r>
      <w:r w:rsidR="003411F0">
        <w:t>-</w:t>
      </w:r>
      <w:r>
        <w:t>binary</w:t>
      </w:r>
    </w:p>
    <w:p w14:paraId="57351982" w14:textId="77777777" w:rsidR="00FE0F6D" w:rsidRDefault="16789EE1" w:rsidP="00FC75AA">
      <w:pPr>
        <w:tabs>
          <w:tab w:val="left" w:pos="1418"/>
        </w:tabs>
        <w:spacing w:after="0"/>
        <w:ind w:left="1416" w:hanging="1416"/>
      </w:pPr>
      <w:r>
        <w:t xml:space="preserve">NR: </w:t>
      </w:r>
      <w:r w:rsidR="00757891">
        <w:tab/>
      </w:r>
      <w:r w:rsidR="00757891">
        <w:tab/>
      </w:r>
      <w:r>
        <w:t>Not reported</w:t>
      </w:r>
    </w:p>
    <w:p w14:paraId="2B208365" w14:textId="77777777" w:rsidR="00F35B2A" w:rsidRDefault="00F35B2A" w:rsidP="00FC75AA">
      <w:pPr>
        <w:tabs>
          <w:tab w:val="left" w:pos="1418"/>
        </w:tabs>
        <w:spacing w:after="0"/>
      </w:pPr>
    </w:p>
    <w:p w14:paraId="195D7423" w14:textId="77777777" w:rsidR="00F35B2A" w:rsidRDefault="16789EE1" w:rsidP="00FC75AA">
      <w:pPr>
        <w:tabs>
          <w:tab w:val="left" w:pos="1418"/>
        </w:tabs>
        <w:spacing w:after="0"/>
      </w:pPr>
      <w:r>
        <w:t xml:space="preserve">PPI: </w:t>
      </w:r>
      <w:r w:rsidR="00757891">
        <w:tab/>
      </w:r>
      <w:r w:rsidR="00757891">
        <w:tab/>
      </w:r>
      <w:r>
        <w:t>Patient and Public Involvement (or Public &amp; Patient Involvement)</w:t>
      </w:r>
      <w:r w:rsidR="00FE0F6D">
        <w:br/>
      </w:r>
      <w:r>
        <w:t xml:space="preserve">PRESS: </w:t>
      </w:r>
      <w:r w:rsidR="00757891">
        <w:tab/>
      </w:r>
      <w:r>
        <w:t>Peer Review of Electronic Search Strategies</w:t>
      </w:r>
      <w:r w:rsidR="00FE0F6D">
        <w:br/>
      </w:r>
      <w:r>
        <w:t>PRISMA-ScR: Preferred Reporting Items for Systematic reviews and Meta-</w:t>
      </w:r>
      <w:r>
        <w:tab/>
      </w:r>
      <w:r>
        <w:tab/>
      </w:r>
      <w:r w:rsidR="00041712">
        <w:tab/>
      </w:r>
      <w:r w:rsidR="00041712">
        <w:tab/>
      </w:r>
      <w:r>
        <w:t>Analyses extension for Scoping Reviews</w:t>
      </w:r>
    </w:p>
    <w:p w14:paraId="313D3044" w14:textId="77777777" w:rsidR="00F35B2A" w:rsidRDefault="16789EE1" w:rsidP="00FC75AA">
      <w:pPr>
        <w:tabs>
          <w:tab w:val="left" w:pos="1418"/>
        </w:tabs>
        <w:spacing w:after="0"/>
        <w:ind w:left="1416" w:hanging="1416"/>
      </w:pPr>
      <w:r>
        <w:t xml:space="preserve">PubMed: </w:t>
      </w:r>
      <w:r w:rsidR="00757891">
        <w:tab/>
      </w:r>
      <w:r>
        <w:t>database of biomedical literature (National Library of Medicine / NCBI)</w:t>
      </w:r>
    </w:p>
    <w:p w14:paraId="13717A78" w14:textId="77777777" w:rsidR="00B77BA1" w:rsidRDefault="16789EE1" w:rsidP="00FC75AA">
      <w:pPr>
        <w:tabs>
          <w:tab w:val="left" w:pos="1418"/>
        </w:tabs>
        <w:spacing w:after="0"/>
        <w:ind w:left="1416" w:hanging="1416"/>
      </w:pPr>
      <w:r>
        <w:t xml:space="preserve">Pts.: </w:t>
      </w:r>
      <w:r w:rsidR="00757891">
        <w:tab/>
      </w:r>
      <w:r w:rsidR="00757891">
        <w:tab/>
      </w:r>
      <w:r>
        <w:t>participants</w:t>
      </w:r>
    </w:p>
    <w:p w14:paraId="0374184D" w14:textId="77777777" w:rsidR="000761F2" w:rsidRDefault="16789EE1" w:rsidP="00FC75AA">
      <w:pPr>
        <w:tabs>
          <w:tab w:val="left" w:pos="1418"/>
        </w:tabs>
        <w:spacing w:after="0"/>
      </w:pPr>
      <w:r>
        <w:lastRenderedPageBreak/>
        <w:t xml:space="preserve">SM: </w:t>
      </w:r>
      <w:r w:rsidR="00757891">
        <w:tab/>
      </w:r>
      <w:r w:rsidR="00757891">
        <w:tab/>
      </w:r>
      <w:r>
        <w:t>sexual minority</w:t>
      </w:r>
      <w:r w:rsidR="00FE0F6D">
        <w:br/>
      </w:r>
      <w:r>
        <w:t>SOCIndex:</w:t>
      </w:r>
      <w:r w:rsidR="171D89CD">
        <w:t xml:space="preserve"> </w:t>
      </w:r>
      <w:r w:rsidR="00757891">
        <w:tab/>
      </w:r>
      <w:r w:rsidR="171D89CD">
        <w:t>bibliographic database for sociology research</w:t>
      </w:r>
      <w:r w:rsidR="00FE0F6D">
        <w:br/>
      </w:r>
    </w:p>
    <w:p w14:paraId="17D4F91F" w14:textId="77777777" w:rsidR="00B77BA1" w:rsidRDefault="7CE7ACB8" w:rsidP="00FC75AA">
      <w:pPr>
        <w:tabs>
          <w:tab w:val="left" w:pos="1418"/>
        </w:tabs>
        <w:spacing w:after="0"/>
      </w:pPr>
      <w:r>
        <w:t xml:space="preserve">TF: </w:t>
      </w:r>
      <w:r w:rsidR="16789EE1">
        <w:tab/>
      </w:r>
      <w:r w:rsidR="16789EE1">
        <w:tab/>
      </w:r>
      <w:r>
        <w:t>transfeminine</w:t>
      </w:r>
      <w:r w:rsidR="16789EE1">
        <w:br/>
      </w:r>
      <w:r>
        <w:t xml:space="preserve">TG: </w:t>
      </w:r>
      <w:r w:rsidR="16789EE1">
        <w:tab/>
      </w:r>
      <w:r w:rsidR="16789EE1">
        <w:tab/>
      </w:r>
      <w:r>
        <w:t>transgender</w:t>
      </w:r>
      <w:r w:rsidR="16789EE1">
        <w:br/>
      </w:r>
      <w:r>
        <w:t xml:space="preserve">TGD: </w:t>
      </w:r>
      <w:r w:rsidR="16789EE1">
        <w:tab/>
      </w:r>
      <w:r w:rsidR="16789EE1">
        <w:tab/>
      </w:r>
      <w:r>
        <w:t>transgender and gender-diverse</w:t>
      </w:r>
      <w:r w:rsidR="16789EE1">
        <w:br/>
      </w:r>
      <w:r>
        <w:t xml:space="preserve">TNB: </w:t>
      </w:r>
      <w:r w:rsidR="16789EE1">
        <w:tab/>
      </w:r>
      <w:r w:rsidR="16789EE1">
        <w:tab/>
      </w:r>
      <w:r>
        <w:t>trans non</w:t>
      </w:r>
      <w:r w:rsidR="3858A6CC">
        <w:t>-</w:t>
      </w:r>
      <w:r>
        <w:t>binary</w:t>
      </w:r>
      <w:r w:rsidR="16789EE1">
        <w:br/>
      </w:r>
      <w:r>
        <w:t>TNG:</w:t>
      </w:r>
      <w:r w:rsidR="16789EE1">
        <w:tab/>
      </w:r>
      <w:r w:rsidR="16789EE1">
        <w:tab/>
      </w:r>
      <w:r>
        <w:t>transgender, non</w:t>
      </w:r>
      <w:r w:rsidR="099C115D">
        <w:t>-</w:t>
      </w:r>
      <w:r>
        <w:t>binary and gender diverse</w:t>
      </w:r>
      <w:r w:rsidR="16789EE1">
        <w:br/>
      </w:r>
      <w:r>
        <w:t xml:space="preserve">TM: </w:t>
      </w:r>
      <w:r w:rsidR="16789EE1">
        <w:tab/>
      </w:r>
      <w:r w:rsidR="16789EE1">
        <w:tab/>
      </w:r>
      <w:r>
        <w:t>transmasculine</w:t>
      </w:r>
    </w:p>
    <w:p w14:paraId="6065E81C" w14:textId="77777777" w:rsidR="000761F2" w:rsidRDefault="000761F2" w:rsidP="00FC75AA">
      <w:pPr>
        <w:tabs>
          <w:tab w:val="left" w:pos="1418"/>
        </w:tabs>
        <w:spacing w:after="0"/>
      </w:pPr>
    </w:p>
    <w:p w14:paraId="40866FCF" w14:textId="77777777" w:rsidR="000761F2" w:rsidRDefault="000761F2" w:rsidP="00FC75AA">
      <w:pPr>
        <w:tabs>
          <w:tab w:val="left" w:pos="1418"/>
        </w:tabs>
        <w:spacing w:after="0"/>
      </w:pPr>
      <w:r>
        <w:t xml:space="preserve">2S: </w:t>
      </w:r>
      <w:r>
        <w:tab/>
      </w:r>
      <w:r>
        <w:tab/>
        <w:t>Two-Spirit</w:t>
      </w:r>
    </w:p>
    <w:p w14:paraId="007C38C9" w14:textId="77777777" w:rsidR="00D032D2" w:rsidRDefault="00D032D2">
      <w:pPr>
        <w:spacing w:after="0"/>
      </w:pPr>
      <w:bookmarkStart w:id="17" w:name="_Toc377665072"/>
      <w:bookmarkStart w:id="18" w:name="_Toc211371224"/>
    </w:p>
    <w:p w14:paraId="389B2FAB" w14:textId="77777777" w:rsidR="009E5446" w:rsidRDefault="009E5446">
      <w:pPr>
        <w:spacing w:after="0"/>
      </w:pPr>
    </w:p>
    <w:p w14:paraId="348072E3" w14:textId="77777777" w:rsidR="009E5446" w:rsidRDefault="009E5446">
      <w:pPr>
        <w:spacing w:after="0"/>
      </w:pPr>
    </w:p>
    <w:p w14:paraId="3EC44382" w14:textId="77777777" w:rsidR="009E5446" w:rsidRDefault="009E5446">
      <w:pPr>
        <w:spacing w:after="0"/>
      </w:pPr>
    </w:p>
    <w:p w14:paraId="0A5EB24A" w14:textId="77777777" w:rsidR="009E5446" w:rsidRDefault="009E5446">
      <w:pPr>
        <w:spacing w:after="0"/>
      </w:pPr>
    </w:p>
    <w:p w14:paraId="6DEA6F1C" w14:textId="77777777" w:rsidR="009E5446" w:rsidRDefault="009E5446">
      <w:pPr>
        <w:spacing w:after="0"/>
      </w:pPr>
    </w:p>
    <w:p w14:paraId="55B58825" w14:textId="77777777" w:rsidR="009E5446" w:rsidRDefault="009E5446">
      <w:pPr>
        <w:spacing w:after="0"/>
      </w:pPr>
    </w:p>
    <w:p w14:paraId="3034E0C3" w14:textId="77777777" w:rsidR="009E5446" w:rsidRDefault="009E5446">
      <w:pPr>
        <w:spacing w:after="0"/>
      </w:pPr>
    </w:p>
    <w:p w14:paraId="779F7333" w14:textId="77777777" w:rsidR="009E5446" w:rsidRDefault="009E5446">
      <w:pPr>
        <w:spacing w:after="0"/>
      </w:pPr>
    </w:p>
    <w:p w14:paraId="3B136DFA" w14:textId="77777777" w:rsidR="009E5446" w:rsidRDefault="009E5446">
      <w:pPr>
        <w:spacing w:after="0"/>
      </w:pPr>
    </w:p>
    <w:p w14:paraId="736EF2CC" w14:textId="77777777" w:rsidR="009E5446" w:rsidRDefault="009E5446">
      <w:pPr>
        <w:spacing w:after="0"/>
      </w:pPr>
    </w:p>
    <w:p w14:paraId="02657A4B" w14:textId="77777777" w:rsidR="009E5446" w:rsidRDefault="009E5446">
      <w:pPr>
        <w:spacing w:after="0"/>
      </w:pPr>
    </w:p>
    <w:p w14:paraId="0A113E3B" w14:textId="77777777" w:rsidR="009E5446" w:rsidRDefault="009E5446">
      <w:pPr>
        <w:spacing w:after="0"/>
      </w:pPr>
    </w:p>
    <w:p w14:paraId="528D0CA4" w14:textId="77777777" w:rsidR="009E5446" w:rsidRDefault="009E5446">
      <w:pPr>
        <w:spacing w:after="0"/>
      </w:pPr>
    </w:p>
    <w:p w14:paraId="082ACAAF" w14:textId="77777777" w:rsidR="009E5446" w:rsidRDefault="009E5446">
      <w:pPr>
        <w:spacing w:after="0"/>
      </w:pPr>
    </w:p>
    <w:p w14:paraId="6CAE6154" w14:textId="77777777" w:rsidR="009E5446" w:rsidRDefault="009E5446">
      <w:pPr>
        <w:spacing w:after="0"/>
      </w:pPr>
    </w:p>
    <w:p w14:paraId="78D8D7D6" w14:textId="77777777" w:rsidR="009E5446" w:rsidRDefault="009E5446">
      <w:pPr>
        <w:spacing w:after="0"/>
      </w:pPr>
    </w:p>
    <w:p w14:paraId="31DD248E" w14:textId="77777777" w:rsidR="009E5446" w:rsidRDefault="009E5446">
      <w:pPr>
        <w:spacing w:after="0"/>
      </w:pPr>
    </w:p>
    <w:p w14:paraId="0BD02026" w14:textId="77777777" w:rsidR="009E5446" w:rsidRDefault="009E5446">
      <w:pPr>
        <w:spacing w:after="0"/>
      </w:pPr>
    </w:p>
    <w:p w14:paraId="4A6E0CFF" w14:textId="77777777" w:rsidR="009E5446" w:rsidRDefault="009E5446">
      <w:pPr>
        <w:spacing w:after="0"/>
      </w:pPr>
    </w:p>
    <w:p w14:paraId="7AF57F81" w14:textId="77777777" w:rsidR="009E5446" w:rsidRDefault="009E5446">
      <w:pPr>
        <w:spacing w:after="0"/>
      </w:pPr>
    </w:p>
    <w:p w14:paraId="37297525" w14:textId="77777777" w:rsidR="009E5446" w:rsidRDefault="009E5446">
      <w:pPr>
        <w:spacing w:after="0"/>
      </w:pPr>
    </w:p>
    <w:p w14:paraId="4C7FDAE4" w14:textId="77777777" w:rsidR="009E5446" w:rsidRDefault="009E5446">
      <w:pPr>
        <w:spacing w:after="0"/>
      </w:pPr>
    </w:p>
    <w:p w14:paraId="5FFD3D7C" w14:textId="77777777" w:rsidR="009E5446" w:rsidRDefault="009E5446">
      <w:pPr>
        <w:spacing w:after="0"/>
      </w:pPr>
    </w:p>
    <w:p w14:paraId="112CA407" w14:textId="77777777" w:rsidR="009E5446" w:rsidRDefault="009E5446">
      <w:pPr>
        <w:spacing w:after="0"/>
      </w:pPr>
    </w:p>
    <w:p w14:paraId="789D5C2F" w14:textId="77777777" w:rsidR="009E5446" w:rsidRDefault="009E5446">
      <w:pPr>
        <w:spacing w:after="0"/>
        <w:rPr>
          <w:rFonts w:cs="Arial"/>
          <w:b/>
          <w:bCs/>
          <w:kern w:val="32"/>
          <w:sz w:val="32"/>
          <w:szCs w:val="32"/>
        </w:rPr>
      </w:pPr>
    </w:p>
    <w:p w14:paraId="47E66764" w14:textId="77777777" w:rsidR="00FE0F6D" w:rsidRPr="00AC0931" w:rsidRDefault="3C7E0D2C" w:rsidP="00AC0931">
      <w:pPr>
        <w:pStyle w:val="Heading1"/>
      </w:pPr>
      <w:bookmarkStart w:id="19" w:name="_Toc214026524"/>
      <w:r>
        <w:lastRenderedPageBreak/>
        <w:t>Glossary</w:t>
      </w:r>
      <w:bookmarkEnd w:id="17"/>
      <w:bookmarkEnd w:id="18"/>
      <w:bookmarkEnd w:id="19"/>
    </w:p>
    <w:p w14:paraId="6D194BF4" w14:textId="77777777" w:rsidR="6F46C1DE" w:rsidRDefault="6F46C1DE" w:rsidP="00FC75AA">
      <w:r w:rsidRPr="00DF0512">
        <w:rPr>
          <w:b/>
          <w:bCs/>
        </w:rPr>
        <w:t>Allistic</w:t>
      </w:r>
      <w:r>
        <w:t xml:space="preserve">: A term coined by </w:t>
      </w:r>
      <w:r w:rsidRPr="00F21B68">
        <w:t xml:space="preserve">the </w:t>
      </w:r>
      <w:r w:rsidRPr="00386A55">
        <w:t>Autistic community</w:t>
      </w:r>
      <w:r w:rsidRPr="00F21B68">
        <w:t xml:space="preserve"> to</w:t>
      </w:r>
      <w:r>
        <w:t xml:space="preserve"> describe individuals who are not Autistic.</w:t>
      </w:r>
    </w:p>
    <w:p w14:paraId="7E83CDAB" w14:textId="77777777" w:rsidR="000C5E8D" w:rsidRDefault="5E62E96E" w:rsidP="00FC75AA">
      <w:r w:rsidRPr="1182AD7C">
        <w:rPr>
          <w:b/>
          <w:bCs/>
        </w:rPr>
        <w:t>Autism</w:t>
      </w:r>
      <w:r>
        <w:t>: Differences in social communication, sensory processing, and patterns of behaviour and interests that occur across a wide spectrum. In many clinical and medical contexts autism is described diagnostically, but this review frames autism as a form of natural neurocognitive variation that shapes how people experience the world and services. In this report “autism” is used in lower case when referring to diagnostic descriptions.</w:t>
      </w:r>
    </w:p>
    <w:p w14:paraId="2176070B" w14:textId="77777777" w:rsidR="000C5E8D" w:rsidRDefault="5E62E96E" w:rsidP="00FC75AA">
      <w:r w:rsidRPr="1182AD7C">
        <w:rPr>
          <w:b/>
          <w:bCs/>
        </w:rPr>
        <w:t>Autistic</w:t>
      </w:r>
      <w:r>
        <w:t>: Identity-first term used to describe people who identify as Autistic. Capitalised in this review to respect identity-first preferences and visibility (e.g., Autistic people).</w:t>
      </w:r>
    </w:p>
    <w:p w14:paraId="47F8F674" w14:textId="77777777" w:rsidR="000C5E8D" w:rsidRDefault="5E62E96E" w:rsidP="00FC75AA">
      <w:r w:rsidRPr="1182AD7C">
        <w:rPr>
          <w:b/>
          <w:bCs/>
        </w:rPr>
        <w:t>Cisgender</w:t>
      </w:r>
      <w:r>
        <w:t>: A person whose gender identity matches the sex they were assigned at birth (e.g., someone assigned female at birth who identifies as a woman).</w:t>
      </w:r>
    </w:p>
    <w:p w14:paraId="3513A897" w14:textId="77777777" w:rsidR="000C5E8D" w:rsidRDefault="5E62E96E" w:rsidP="00FC75AA">
      <w:r w:rsidRPr="1182AD7C">
        <w:rPr>
          <w:b/>
          <w:bCs/>
        </w:rPr>
        <w:t>Cisheteronormativity</w:t>
      </w:r>
      <w:r>
        <w:t>: The social system of norms, institutions and expectations that centre and privilege cisgender, heterosexual identities and relationships as the assumed default.</w:t>
      </w:r>
    </w:p>
    <w:p w14:paraId="4E378AA3" w14:textId="77777777" w:rsidR="000C5E8D" w:rsidRDefault="5E62E96E" w:rsidP="00FC75AA">
      <w:r w:rsidRPr="1182AD7C">
        <w:rPr>
          <w:b/>
          <w:bCs/>
        </w:rPr>
        <w:t>Cisnormative</w:t>
      </w:r>
      <w:r>
        <w:t>: An adjective describing practices, policies, or assumptions that treat being cisgender as the norm (e.g., cisnormative forms, language, or services).</w:t>
      </w:r>
    </w:p>
    <w:p w14:paraId="43CE6AA1" w14:textId="77777777" w:rsidR="0072217D" w:rsidRDefault="6371CBDB" w:rsidP="00FC75AA">
      <w:r w:rsidRPr="1182AD7C">
        <w:rPr>
          <w:b/>
          <w:bCs/>
        </w:rPr>
        <w:t xml:space="preserve">Dual </w:t>
      </w:r>
      <w:r w:rsidR="5F7E14A9" w:rsidRPr="1182AD7C">
        <w:rPr>
          <w:b/>
          <w:bCs/>
        </w:rPr>
        <w:t>i</w:t>
      </w:r>
      <w:r w:rsidRPr="1182AD7C">
        <w:rPr>
          <w:b/>
          <w:bCs/>
        </w:rPr>
        <w:t>dentity</w:t>
      </w:r>
      <w:r w:rsidR="4BE77D4A" w:rsidRPr="1182AD7C">
        <w:rPr>
          <w:b/>
          <w:bCs/>
        </w:rPr>
        <w:t>:</w:t>
      </w:r>
      <w:r w:rsidR="4BE77D4A">
        <w:t xml:space="preserve"> </w:t>
      </w:r>
      <w:r w:rsidR="5F904348">
        <w:t xml:space="preserve">Having two or more distinct identities, such as being a member of a sexual or gender minority group and being Autistic. </w:t>
      </w:r>
      <w:r w:rsidR="7745BCF8">
        <w:t xml:space="preserve">All individuals will possess multiple identities, but when used in research, this term usually refers to identities </w:t>
      </w:r>
      <w:r w:rsidR="5444BFAE">
        <w:t>which</w:t>
      </w:r>
      <w:r w:rsidR="50BE2934">
        <w:t xml:space="preserve"> </w:t>
      </w:r>
      <w:r w:rsidR="7745BCF8">
        <w:t>are thought to contrast</w:t>
      </w:r>
      <w:r w:rsidR="4087B3BA">
        <w:t xml:space="preserve">, </w:t>
      </w:r>
      <w:r w:rsidR="20EF3F07">
        <w:t>which</w:t>
      </w:r>
      <w:r w:rsidR="024D7307">
        <w:t xml:space="preserve"> </w:t>
      </w:r>
      <w:r w:rsidR="4087B3BA">
        <w:t xml:space="preserve">include minority groups, </w:t>
      </w:r>
      <w:r w:rsidR="7745BCF8">
        <w:t>or</w:t>
      </w:r>
      <w:r w:rsidR="3AA32A71">
        <w:t xml:space="preserve"> which</w:t>
      </w:r>
      <w:r w:rsidR="7745BCF8">
        <w:t xml:space="preserve"> </w:t>
      </w:r>
      <w:r w:rsidR="5AE13849">
        <w:t>are often used</w:t>
      </w:r>
      <w:r w:rsidR="635B86E1">
        <w:t xml:space="preserve"> to the exclusion of others.</w:t>
      </w:r>
    </w:p>
    <w:p w14:paraId="60DD6D0A" w14:textId="77777777" w:rsidR="0072217D" w:rsidRDefault="6371CBDB" w:rsidP="00FC75AA">
      <w:r w:rsidRPr="1182AD7C">
        <w:rPr>
          <w:b/>
          <w:bCs/>
        </w:rPr>
        <w:t xml:space="preserve">Diagnostic </w:t>
      </w:r>
      <w:r w:rsidR="5F7E14A9" w:rsidRPr="1182AD7C">
        <w:rPr>
          <w:b/>
          <w:bCs/>
        </w:rPr>
        <w:t>o</w:t>
      </w:r>
      <w:r w:rsidRPr="1182AD7C">
        <w:rPr>
          <w:b/>
          <w:bCs/>
        </w:rPr>
        <w:t>vershadowing</w:t>
      </w:r>
      <w:r w:rsidR="63E9655D" w:rsidRPr="1182AD7C">
        <w:rPr>
          <w:b/>
          <w:bCs/>
        </w:rPr>
        <w:t>:</w:t>
      </w:r>
      <w:r w:rsidR="63E9655D">
        <w:t xml:space="preserve"> </w:t>
      </w:r>
      <w:r w:rsidR="1D55D335">
        <w:t>A phenomenon that describes missed or delayed diagnoses resulting from mistaken attribution of physical symptoms to pre-existing illness (often mental) or disability</w:t>
      </w:r>
      <w:r w:rsidR="273A2A33">
        <w:t>, or overfocus on existing conditions.</w:t>
      </w:r>
    </w:p>
    <w:p w14:paraId="29AD0E92" w14:textId="77777777" w:rsidR="000C5E8D" w:rsidRDefault="5E62E96E" w:rsidP="00FC75AA">
      <w:r w:rsidRPr="1182AD7C">
        <w:rPr>
          <w:b/>
          <w:bCs/>
        </w:rPr>
        <w:t>Gender affirming care (GAC):</w:t>
      </w:r>
      <w:r>
        <w:t xml:space="preserve"> Healthcare practices and services that recognise, validate and support a person’s gender identity and related healthcare needs (medical, social, or psychological).</w:t>
      </w:r>
    </w:p>
    <w:p w14:paraId="6F14CD21" w14:textId="77777777" w:rsidR="000C5E8D" w:rsidRDefault="5E62E96E" w:rsidP="00FC75AA">
      <w:r w:rsidRPr="1182AD7C">
        <w:rPr>
          <w:b/>
          <w:bCs/>
        </w:rPr>
        <w:lastRenderedPageBreak/>
        <w:t>Gender diverse:</w:t>
      </w:r>
      <w:r>
        <w:t xml:space="preserve"> An umbrella descriptor for people whose gender identities or expressions fall outside dominant binary categories (male/female), including non-binary, genderfluid, and other identities.</w:t>
      </w:r>
    </w:p>
    <w:p w14:paraId="0C0E5FE1" w14:textId="77777777" w:rsidR="000C5E8D" w:rsidRDefault="5E62E96E" w:rsidP="00FC75AA">
      <w:r w:rsidRPr="1182AD7C">
        <w:rPr>
          <w:b/>
          <w:bCs/>
        </w:rPr>
        <w:t>Gender expansive:</w:t>
      </w:r>
      <w:r>
        <w:t xml:space="preserve"> A descriptive term indicating flexible or nonconforming gender expression or identity that goes beyond traditional gender norms.</w:t>
      </w:r>
    </w:p>
    <w:p w14:paraId="1E80FC01" w14:textId="77777777" w:rsidR="000C5E8D" w:rsidRDefault="5E62E96E" w:rsidP="00FC75AA">
      <w:r w:rsidRPr="1182AD7C">
        <w:rPr>
          <w:b/>
          <w:bCs/>
        </w:rPr>
        <w:t>Health disparities:</w:t>
      </w:r>
      <w:r>
        <w:t xml:space="preserve"> Measurable differences in health status, outcomes, or access between groups (e.g., by sexual orientation, gender identity, neurotype). Used descriptively to report differences.</w:t>
      </w:r>
    </w:p>
    <w:p w14:paraId="55506DDB" w14:textId="77777777" w:rsidR="000C5E8D" w:rsidRDefault="5E62E96E" w:rsidP="00FC75AA">
      <w:r w:rsidRPr="1182AD7C">
        <w:rPr>
          <w:b/>
          <w:bCs/>
        </w:rPr>
        <w:t>Health inequities:</w:t>
      </w:r>
      <w:r>
        <w:t xml:space="preserve"> Health differences that are unjust, avoidable, and rooted in social injustice (e.g., differences caused by discrimination, policy exclusion, or systemic barriers). Use this term when emphasising fairness and preventability.</w:t>
      </w:r>
    </w:p>
    <w:p w14:paraId="09934CF1" w14:textId="77777777" w:rsidR="000C5E8D" w:rsidRDefault="5E62E96E" w:rsidP="00FC75AA">
      <w:r w:rsidRPr="1182AD7C">
        <w:rPr>
          <w:b/>
          <w:bCs/>
        </w:rPr>
        <w:t>Health inequalities:</w:t>
      </w:r>
      <w:r>
        <w:t xml:space="preserve"> A general term for differences in health between groups. In this review it is used interchangeably with “health disparities” unless explicitly noting injustice (in which case “health inequities” is preferred).</w:t>
      </w:r>
    </w:p>
    <w:p w14:paraId="72FB7FFB" w14:textId="77777777" w:rsidR="000C5E8D" w:rsidRDefault="5E62E96E" w:rsidP="00FC75AA">
      <w:r w:rsidRPr="1182AD7C">
        <w:rPr>
          <w:b/>
          <w:bCs/>
        </w:rPr>
        <w:t xml:space="preserve">Intersectional / </w:t>
      </w:r>
      <w:r w:rsidR="3880D378" w:rsidRPr="1182AD7C">
        <w:rPr>
          <w:b/>
          <w:bCs/>
        </w:rPr>
        <w:t>i</w:t>
      </w:r>
      <w:r w:rsidRPr="1182AD7C">
        <w:rPr>
          <w:b/>
          <w:bCs/>
        </w:rPr>
        <w:t>ntersectionality:</w:t>
      </w:r>
      <w:r>
        <w:t xml:space="preserve"> Analytical framework (originating in critical legal scholarship) that examines how multiple social identities (e.g., neurodivergence, gender, sexuality, race) and related systems of power/stigma interact to create distinct experiences and outcomes.</w:t>
      </w:r>
    </w:p>
    <w:p w14:paraId="3569B67F" w14:textId="77777777" w:rsidR="000C5E8D" w:rsidRDefault="5E62E96E" w:rsidP="00FC75AA">
      <w:r w:rsidRPr="1182AD7C">
        <w:rPr>
          <w:b/>
          <w:bCs/>
        </w:rPr>
        <w:t>Masking:</w:t>
      </w:r>
      <w:r>
        <w:t xml:space="preserve"> Deliberate strategies (behavioural or communicative) used by some Autistic people to hide or suppress autistic traits to fit social expectations; can reduce visibility but increase stress, exhaustion, and poorer mental-health outcomes.</w:t>
      </w:r>
    </w:p>
    <w:p w14:paraId="338AF8C9" w14:textId="77777777" w:rsidR="000C5E8D" w:rsidRDefault="355D884C" w:rsidP="00FC75AA">
      <w:pPr>
        <w:rPr>
          <w:rFonts w:eastAsia="Gill Sans MT" w:cs="Gill Sans MT"/>
        </w:rPr>
      </w:pPr>
      <w:r w:rsidRPr="1182AD7C">
        <w:rPr>
          <w:rFonts w:eastAsia="Gill Sans MT" w:cs="Gill Sans MT"/>
          <w:b/>
          <w:bCs/>
        </w:rPr>
        <w:t>Neuroaffirmative:</w:t>
      </w:r>
      <w:r w:rsidRPr="1182AD7C">
        <w:rPr>
          <w:rFonts w:eastAsia="Gill Sans MT" w:cs="Gill Sans MT"/>
        </w:rPr>
        <w:t xml:space="preserve"> An approach that recognises and values </w:t>
      </w:r>
      <w:r w:rsidR="00DF7949" w:rsidRPr="1182AD7C">
        <w:rPr>
          <w:rFonts w:eastAsia="Gill Sans MT" w:cs="Gill Sans MT"/>
        </w:rPr>
        <w:t>N</w:t>
      </w:r>
      <w:r w:rsidRPr="1182AD7C">
        <w:rPr>
          <w:rFonts w:eastAsia="Gill Sans MT" w:cs="Gill Sans MT"/>
        </w:rPr>
        <w:t>eurodivergent identities and experiences, focusing on strengths and lived expertise rather than deficit-based models; it seeks to adapt systems and practices to support inclusion and well-being.</w:t>
      </w:r>
    </w:p>
    <w:p w14:paraId="7576F7E8" w14:textId="77777777" w:rsidR="000C5E8D" w:rsidRDefault="5E62E96E" w:rsidP="00FC75AA">
      <w:r w:rsidRPr="1182AD7C">
        <w:rPr>
          <w:b/>
          <w:bCs/>
        </w:rPr>
        <w:t xml:space="preserve">Neurodivergence: </w:t>
      </w:r>
      <w:r>
        <w:t>A term describing neurological or cognitive differences from dominant norms (e.g., autism, ADHD, dyslexia). Emphasises natural variation rather than pathology.</w:t>
      </w:r>
    </w:p>
    <w:p w14:paraId="701164A8" w14:textId="77777777" w:rsidR="000C5E8D" w:rsidRDefault="5E62E96E" w:rsidP="00FC75AA">
      <w:r w:rsidRPr="1182AD7C">
        <w:rPr>
          <w:b/>
          <w:bCs/>
        </w:rPr>
        <w:t>Neurodiversity:</w:t>
      </w:r>
      <w:r>
        <w:t xml:space="preserve"> The concept that neurological differences (including autism, ADHD, dyslexia and others) are part of the natural range of human variation, not solely deficits to be fixed.</w:t>
      </w:r>
    </w:p>
    <w:p w14:paraId="664F7817" w14:textId="66DA375B" w:rsidR="000C5E8D" w:rsidRDefault="5E62E96E" w:rsidP="00FC75AA">
      <w:r w:rsidRPr="1182AD7C">
        <w:rPr>
          <w:b/>
          <w:bCs/>
        </w:rPr>
        <w:lastRenderedPageBreak/>
        <w:t>Non-binary:</w:t>
      </w:r>
      <w:r>
        <w:t xml:space="preserve"> An umbrella term for gender identities that are not exclusively male or female (e.g., agender, genderfluid, two-spirit); people who identify outside the gender binary.</w:t>
      </w:r>
    </w:p>
    <w:p w14:paraId="11BEFC53" w14:textId="77777777" w:rsidR="000C5E8D" w:rsidRDefault="5E62E96E" w:rsidP="00FC75AA">
      <w:r w:rsidRPr="1182AD7C">
        <w:rPr>
          <w:b/>
          <w:bCs/>
        </w:rPr>
        <w:t>Structural:</w:t>
      </w:r>
      <w:r>
        <w:t xml:space="preserve"> Refers to features embedded in social, political or institutional structures (laws, policies, service models) that shape outcomes and opportunities.</w:t>
      </w:r>
    </w:p>
    <w:p w14:paraId="66E2BA31" w14:textId="77777777" w:rsidR="000C5E8D" w:rsidRDefault="5E62E96E" w:rsidP="00FC75AA">
      <w:r w:rsidRPr="1182AD7C">
        <w:rPr>
          <w:b/>
          <w:bCs/>
        </w:rPr>
        <w:t>Systemic:</w:t>
      </w:r>
      <w:r>
        <w:t xml:space="preserve"> Describes phenomena that are pervasive across systems (healthcare, education, law) and are maintained by the interactions of policies, practices and cultural norms; often used interchangeably with “structural” but emphasises cross-system pervasiveness.</w:t>
      </w:r>
    </w:p>
    <w:p w14:paraId="230DD2ED" w14:textId="77777777" w:rsidR="52528AD2" w:rsidRDefault="6D6CE775" w:rsidP="1182AD7C">
      <w:r w:rsidRPr="1182AD7C">
        <w:rPr>
          <w:b/>
          <w:bCs/>
        </w:rPr>
        <w:t>Transgender:</w:t>
      </w:r>
      <w:r>
        <w:t xml:space="preserve"> An umbrella term for people whose gender identity differs from the sex they were assigned at birth; includes trans women, trans men, and many gender-diverse identities</w:t>
      </w:r>
      <w:r w:rsidR="3435B58E">
        <w:t>.</w:t>
      </w:r>
    </w:p>
    <w:p w14:paraId="6461A1DE" w14:textId="77777777" w:rsidR="00335900" w:rsidRDefault="00335900">
      <w:pPr>
        <w:spacing w:after="0"/>
      </w:pPr>
      <w:bookmarkStart w:id="20" w:name="_Toc811870669"/>
      <w:bookmarkStart w:id="21" w:name="_Toc211371225"/>
    </w:p>
    <w:p w14:paraId="108B9E57" w14:textId="77777777" w:rsidR="009E5446" w:rsidRDefault="009E5446">
      <w:pPr>
        <w:spacing w:after="0"/>
      </w:pPr>
    </w:p>
    <w:p w14:paraId="5746172B" w14:textId="77777777" w:rsidR="009E5446" w:rsidRDefault="009E5446">
      <w:pPr>
        <w:spacing w:after="0"/>
      </w:pPr>
    </w:p>
    <w:p w14:paraId="36F3A2DD" w14:textId="77777777" w:rsidR="009E5446" w:rsidRDefault="009E5446">
      <w:pPr>
        <w:spacing w:after="0"/>
      </w:pPr>
    </w:p>
    <w:p w14:paraId="3BBBD4BF" w14:textId="77777777" w:rsidR="009E5446" w:rsidRDefault="009E5446">
      <w:pPr>
        <w:spacing w:after="0"/>
      </w:pPr>
    </w:p>
    <w:p w14:paraId="2FDD82C6" w14:textId="77777777" w:rsidR="009E5446" w:rsidRDefault="009E5446">
      <w:pPr>
        <w:spacing w:after="0"/>
      </w:pPr>
    </w:p>
    <w:p w14:paraId="5FEEA22C" w14:textId="77777777" w:rsidR="009E5446" w:rsidRDefault="009E5446">
      <w:pPr>
        <w:spacing w:after="0"/>
      </w:pPr>
    </w:p>
    <w:p w14:paraId="60D04D52" w14:textId="77777777" w:rsidR="009E5446" w:rsidRDefault="009E5446">
      <w:pPr>
        <w:spacing w:after="0"/>
      </w:pPr>
    </w:p>
    <w:p w14:paraId="32332CBD" w14:textId="77777777" w:rsidR="009E5446" w:rsidRDefault="009E5446">
      <w:pPr>
        <w:spacing w:after="0"/>
      </w:pPr>
    </w:p>
    <w:p w14:paraId="7048225A" w14:textId="77777777" w:rsidR="009E5446" w:rsidRDefault="009E5446">
      <w:pPr>
        <w:spacing w:after="0"/>
      </w:pPr>
    </w:p>
    <w:p w14:paraId="1A5AD2C7" w14:textId="77777777" w:rsidR="009E5446" w:rsidRDefault="009E5446">
      <w:pPr>
        <w:spacing w:after="0"/>
      </w:pPr>
    </w:p>
    <w:p w14:paraId="2954EE57" w14:textId="77777777" w:rsidR="009E5446" w:rsidRDefault="009E5446">
      <w:pPr>
        <w:spacing w:after="0"/>
      </w:pPr>
    </w:p>
    <w:p w14:paraId="3A485579" w14:textId="77777777" w:rsidR="009E5446" w:rsidRDefault="009E5446">
      <w:pPr>
        <w:spacing w:after="0"/>
      </w:pPr>
    </w:p>
    <w:p w14:paraId="0403E2F2" w14:textId="77777777" w:rsidR="009E5446" w:rsidRDefault="009E5446">
      <w:pPr>
        <w:spacing w:after="0"/>
      </w:pPr>
    </w:p>
    <w:p w14:paraId="2426052E" w14:textId="77777777" w:rsidR="009E5446" w:rsidRDefault="009E5446">
      <w:pPr>
        <w:spacing w:after="0"/>
      </w:pPr>
    </w:p>
    <w:p w14:paraId="61A17014" w14:textId="77777777" w:rsidR="009E5446" w:rsidRDefault="009E5446">
      <w:pPr>
        <w:spacing w:after="0"/>
      </w:pPr>
    </w:p>
    <w:p w14:paraId="09559C37" w14:textId="77777777" w:rsidR="009E5446" w:rsidRDefault="009E5446">
      <w:pPr>
        <w:spacing w:after="0"/>
      </w:pPr>
    </w:p>
    <w:p w14:paraId="3456A181" w14:textId="77777777" w:rsidR="009E5446" w:rsidRDefault="009E5446">
      <w:pPr>
        <w:spacing w:after="0"/>
      </w:pPr>
    </w:p>
    <w:p w14:paraId="7A7E9C30" w14:textId="77777777" w:rsidR="009E5446" w:rsidRDefault="009E5446">
      <w:pPr>
        <w:spacing w:after="0"/>
      </w:pPr>
    </w:p>
    <w:p w14:paraId="663AE4D5" w14:textId="77777777" w:rsidR="009E5446" w:rsidRDefault="009E5446">
      <w:pPr>
        <w:spacing w:after="0"/>
        <w:rPr>
          <w:rFonts w:cs="Arial"/>
          <w:b/>
          <w:bCs/>
          <w:kern w:val="32"/>
          <w:sz w:val="32"/>
          <w:szCs w:val="32"/>
        </w:rPr>
      </w:pPr>
    </w:p>
    <w:p w14:paraId="7C69A1E8" w14:textId="77777777" w:rsidR="003F2E29" w:rsidRDefault="0DABB622" w:rsidP="00D032D2">
      <w:pPr>
        <w:pStyle w:val="Heading1"/>
        <w:ind w:left="0"/>
      </w:pPr>
      <w:bookmarkStart w:id="22" w:name="_Toc214026525"/>
      <w:r>
        <w:lastRenderedPageBreak/>
        <w:t xml:space="preserve">A </w:t>
      </w:r>
      <w:r w:rsidR="3EDF5285">
        <w:t xml:space="preserve">Note </w:t>
      </w:r>
      <w:r w:rsidR="5C6B11B9">
        <w:t xml:space="preserve">from the Researchers: </w:t>
      </w:r>
      <w:r w:rsidR="4011EC0F">
        <w:t>on Identity and Respect</w:t>
      </w:r>
      <w:bookmarkEnd w:id="20"/>
      <w:bookmarkEnd w:id="21"/>
      <w:bookmarkEnd w:id="22"/>
    </w:p>
    <w:p w14:paraId="7B753C03" w14:textId="77777777" w:rsidR="00A1584C" w:rsidRDefault="00A1584C" w:rsidP="00FC75AA">
      <w:r w:rsidRPr="005F4D06">
        <w:t>A Note on Terminology: This review uses LGBTQIA+ as an inclusive umbrella term for brevity, while recognising that sexual orientation and gender identity are conceptually and experientially distinct.</w:t>
      </w:r>
      <w:r>
        <w:t xml:space="preserve"> </w:t>
      </w:r>
    </w:p>
    <w:p w14:paraId="06960329" w14:textId="77777777" w:rsidR="004E4756" w:rsidRDefault="42B4BD9D" w:rsidP="00FC75AA">
      <w:r>
        <w:t>Identity-first language is used to refer to Autistic participants in this review, reflecting how many Autistic people describe themselves. While there are debates about terminology, person-first language (“person with autism”) is generally less preferred.</w:t>
      </w:r>
      <w:r w:rsidR="00406C58" w:rsidRPr="00406C58">
        <w:rPr>
          <w:color w:val="000000"/>
          <w:vertAlign w:val="superscript"/>
        </w:rPr>
        <w:t>1</w:t>
      </w:r>
      <w:r w:rsidR="00985D34">
        <w:t xml:space="preserve"> </w:t>
      </w:r>
      <w:r>
        <w:t xml:space="preserve">Many of the studies reviewed use person-first language </w:t>
      </w:r>
    </w:p>
    <w:p w14:paraId="636DBEED" w14:textId="77777777" w:rsidR="004E4756" w:rsidRDefault="004E4756">
      <w:pPr>
        <w:spacing w:after="0"/>
      </w:pPr>
      <w:r>
        <w:br w:type="page"/>
      </w:r>
    </w:p>
    <w:p w14:paraId="5B8C2D4F" w14:textId="4C68140C" w:rsidR="006E4969" w:rsidRPr="002F7E97" w:rsidRDefault="42B4BD9D" w:rsidP="00FC75AA">
      <w:pPr>
        <w:rPr>
          <w:color w:val="000000"/>
          <w:vertAlign w:val="superscript"/>
        </w:rPr>
      </w:pPr>
      <w:r>
        <w:lastRenderedPageBreak/>
        <w:t>or frame autism in clinical terms, but where possible the terms ‘Autism’ and ‘Autistic’ have been capitalised throughout this work in recognition and respect of identity, culture, and community.</w:t>
      </w:r>
      <w:r w:rsidR="00406C58" w:rsidRPr="00406C58">
        <w:rPr>
          <w:color w:val="000000"/>
          <w:vertAlign w:val="superscript"/>
        </w:rPr>
        <w:t>1</w:t>
      </w:r>
      <w:r w:rsidR="5D5EBF82">
        <w:t xml:space="preserve"> </w:t>
      </w:r>
      <w:bookmarkStart w:id="23" w:name="_Hlk210136813"/>
      <w:bookmarkStart w:id="24" w:name="_Hlk210140002"/>
      <w:r>
        <w:t>Autistic and LGBTQIA+-led or informed research has al</w:t>
      </w:r>
      <w:r w:rsidR="0C652D83">
        <w:t xml:space="preserve">so </w:t>
      </w:r>
      <w:r>
        <w:t xml:space="preserve">been </w:t>
      </w:r>
      <w:r w:rsidR="6DC83C87">
        <w:t xml:space="preserve">included </w:t>
      </w:r>
      <w:bookmarkEnd w:id="23"/>
      <w:r>
        <w:t>where available</w:t>
      </w:r>
      <w:r w:rsidR="290E6C65">
        <w:t>,</w:t>
      </w:r>
      <w:r w:rsidR="5A924883">
        <w:t xml:space="preserve"> as excluding Autistic and LGBTQIA+ perspectives risks perpetuating ableism, dehumanisation, and epistemic injustice</w:t>
      </w:r>
      <w:r w:rsidR="62C04A74">
        <w:t>.</w:t>
      </w:r>
      <w:r w:rsidR="00406C58" w:rsidRPr="00406C58">
        <w:rPr>
          <w:color w:val="000000"/>
          <w:vertAlign w:val="superscript"/>
        </w:rPr>
        <w:t>2,3</w:t>
      </w:r>
    </w:p>
    <w:p w14:paraId="2BB31108" w14:textId="5C8A9C9C" w:rsidR="00D032D2" w:rsidRDefault="00685173">
      <w:pPr>
        <w:spacing w:after="0"/>
        <w:rPr>
          <w:rFonts w:cs="Arial"/>
          <w:b/>
          <w:bCs/>
          <w:kern w:val="32"/>
          <w:sz w:val="32"/>
          <w:szCs w:val="32"/>
        </w:rPr>
      </w:pPr>
      <w:bookmarkStart w:id="25" w:name="_Toc1216959028"/>
      <w:bookmarkStart w:id="26" w:name="_Toc211371226"/>
      <w:bookmarkEnd w:id="24"/>
      <w:r>
        <w:rPr>
          <w:noProof/>
        </w:rPr>
        <w:drawing>
          <wp:anchor distT="0" distB="0" distL="114300" distR="114300" simplePos="0" relativeHeight="251660288" behindDoc="0" locked="0" layoutInCell="1" allowOverlap="1" wp14:anchorId="3CCED5B2" wp14:editId="3E722CE3">
            <wp:simplePos x="0" y="0"/>
            <wp:positionH relativeFrom="page">
              <wp:posOffset>-46990</wp:posOffset>
            </wp:positionH>
            <wp:positionV relativeFrom="paragraph">
              <wp:posOffset>-2215515</wp:posOffset>
            </wp:positionV>
            <wp:extent cx="7821930" cy="11068685"/>
            <wp:effectExtent l="0" t="0" r="7620" b="0"/>
            <wp:wrapNone/>
            <wp:docPr id="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21930" cy="1106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2D2">
        <w:br w:type="page"/>
      </w:r>
    </w:p>
    <w:p w14:paraId="36E9494B" w14:textId="25A4CB44" w:rsidR="005D5E27" w:rsidRDefault="003C746D" w:rsidP="00A03B95">
      <w:pPr>
        <w:pStyle w:val="Heading1"/>
      </w:pPr>
      <w:bookmarkStart w:id="27" w:name="_Toc214026526"/>
      <w:r>
        <w:lastRenderedPageBreak/>
        <w:t>E</w:t>
      </w:r>
      <w:r w:rsidR="592B5382">
        <w:t>xecutive Summary</w:t>
      </w:r>
      <w:bookmarkEnd w:id="25"/>
      <w:bookmarkEnd w:id="26"/>
      <w:bookmarkEnd w:id="27"/>
    </w:p>
    <w:p w14:paraId="2EAD8F93" w14:textId="77777777" w:rsidR="00B12A84" w:rsidRDefault="00B12A84" w:rsidP="00FC75AA">
      <w:pPr>
        <w:pStyle w:val="Heading2"/>
      </w:pPr>
      <w:bookmarkStart w:id="28" w:name="_Toc211371227"/>
      <w:bookmarkStart w:id="29" w:name="_Toc214026527"/>
      <w:r>
        <w:t>Background</w:t>
      </w:r>
      <w:bookmarkEnd w:id="28"/>
      <w:bookmarkEnd w:id="29"/>
    </w:p>
    <w:p w14:paraId="5369BF43" w14:textId="77777777" w:rsidR="3FE58C4F" w:rsidRDefault="3FE58C4F" w:rsidP="00FC75AA">
      <w:r>
        <w:t xml:space="preserve">Individuals who identify as LGBTQIA+ and as Autistic are subject to documented health disparities, including </w:t>
      </w:r>
      <w:r w:rsidR="635EA527">
        <w:t xml:space="preserve">poorer </w:t>
      </w:r>
      <w:r>
        <w:t xml:space="preserve">mental </w:t>
      </w:r>
      <w:r w:rsidR="452548DA">
        <w:t xml:space="preserve">and physical </w:t>
      </w:r>
      <w:r w:rsidR="72D2D122">
        <w:t xml:space="preserve">health </w:t>
      </w:r>
      <w:r>
        <w:t>overall.</w:t>
      </w:r>
      <w:r w:rsidR="581F2CF0">
        <w:t xml:space="preserve"> </w:t>
      </w:r>
      <w:r w:rsidR="16B3AD2F">
        <w:t>The healthcare experiences of b</w:t>
      </w:r>
      <w:r w:rsidR="581F2CF0">
        <w:t xml:space="preserve">oth groups </w:t>
      </w:r>
      <w:r w:rsidR="25BD9D66">
        <w:t>are</w:t>
      </w:r>
      <w:r w:rsidR="581F2CF0">
        <w:t xml:space="preserve"> likely shaped by s</w:t>
      </w:r>
      <w:r w:rsidR="215A4B87">
        <w:t>ystemic barriers</w:t>
      </w:r>
      <w:r w:rsidR="01373AED">
        <w:t>.</w:t>
      </w:r>
      <w:r w:rsidR="215A4B87">
        <w:t xml:space="preserve"> </w:t>
      </w:r>
      <w:r w:rsidR="33F90AC3">
        <w:t>However,</w:t>
      </w:r>
      <w:r w:rsidR="215A4B87">
        <w:t xml:space="preserve"> little research has </w:t>
      </w:r>
      <w:r w:rsidR="317D0376">
        <w:t xml:space="preserve">examined the </w:t>
      </w:r>
      <w:r w:rsidR="059C74DA">
        <w:t>unique mechanisms</w:t>
      </w:r>
      <w:r w:rsidR="75AB3BA1">
        <w:t xml:space="preserve"> </w:t>
      </w:r>
      <w:r w:rsidR="266EA04F">
        <w:t xml:space="preserve">of stigma and </w:t>
      </w:r>
      <w:r w:rsidR="7A4A0379">
        <w:t>discrimination</w:t>
      </w:r>
      <w:r w:rsidR="266EA04F">
        <w:t xml:space="preserve"> </w:t>
      </w:r>
      <w:r w:rsidR="75AB3BA1">
        <w:t xml:space="preserve">that appear to culminate in </w:t>
      </w:r>
      <w:r w:rsidR="6E04CE92">
        <w:t xml:space="preserve">negative healthcare experiences and </w:t>
      </w:r>
      <w:r w:rsidR="23241E46">
        <w:t xml:space="preserve">unmet </w:t>
      </w:r>
      <w:r w:rsidR="5ECA9EC4">
        <w:t xml:space="preserve">health </w:t>
      </w:r>
      <w:r w:rsidR="23241E46">
        <w:t>needs</w:t>
      </w:r>
      <w:r w:rsidR="09775B11">
        <w:t>.</w:t>
      </w:r>
    </w:p>
    <w:p w14:paraId="1ADB4469" w14:textId="77777777" w:rsidR="00DD7359" w:rsidRPr="00DD7359" w:rsidRDefault="00DD7359" w:rsidP="00FC75AA">
      <w:r w:rsidRPr="00FF60FF">
        <w:t xml:space="preserve">This scoping review explores the healthcare experiences of individuals who identify as both </w:t>
      </w:r>
      <w:r w:rsidR="29FE6F2A" w:rsidRPr="00FF60FF">
        <w:t>LGBTQ</w:t>
      </w:r>
      <w:r w:rsidR="1733C3A5" w:rsidRPr="00FF60FF">
        <w:t>IA</w:t>
      </w:r>
      <w:r w:rsidRPr="00FF60FF">
        <w:t xml:space="preserve">+ and </w:t>
      </w:r>
      <w:r w:rsidR="09A75506" w:rsidRPr="00FF60FF">
        <w:t>A</w:t>
      </w:r>
      <w:r w:rsidR="29FE6F2A" w:rsidRPr="00FF60FF">
        <w:t>utistic.</w:t>
      </w:r>
      <w:r w:rsidRPr="00FF60FF">
        <w:t xml:space="preserve"> It aims to understand the barriers they face, the factors that help them access care, and the health inequalities they experience, </w:t>
      </w:r>
      <w:r w:rsidR="11B66A16" w:rsidRPr="00FF60FF">
        <w:t>to</w:t>
      </w:r>
      <w:r w:rsidRPr="00FF60FF">
        <w:t xml:space="preserve"> inform policy, practice, and service design. Applying an intersectional lens, </w:t>
      </w:r>
      <w:r w:rsidR="33C827E4" w:rsidRPr="00FF60FF">
        <w:t>this</w:t>
      </w:r>
      <w:r w:rsidRPr="00FF60FF">
        <w:t xml:space="preserve"> review highlights how systemic, interpersonal, and structural factors combine to shape these experiences.</w:t>
      </w:r>
    </w:p>
    <w:p w14:paraId="68DC262A" w14:textId="77777777" w:rsidR="00DD7359" w:rsidRPr="00DD7359" w:rsidRDefault="1DDF76F4" w:rsidP="00FC75AA">
      <w:pPr>
        <w:pStyle w:val="Heading2"/>
      </w:pPr>
      <w:bookmarkStart w:id="30" w:name="_Toc154489522"/>
      <w:bookmarkStart w:id="31" w:name="_Toc211371228"/>
      <w:bookmarkStart w:id="32" w:name="_Toc214026528"/>
      <w:r>
        <w:t>Methodology</w:t>
      </w:r>
      <w:bookmarkEnd w:id="30"/>
      <w:bookmarkEnd w:id="31"/>
      <w:bookmarkEnd w:id="32"/>
    </w:p>
    <w:p w14:paraId="60B11809" w14:textId="77777777" w:rsidR="00DD7359" w:rsidRPr="002F7E97" w:rsidRDefault="00DD7359" w:rsidP="00FC75AA">
      <w:pPr>
        <w:rPr>
          <w:color w:val="000000"/>
          <w:vertAlign w:val="superscript"/>
        </w:rPr>
      </w:pPr>
      <w:r>
        <w:t>This review was conducted following internationally recognised guidelines for scoping reviews</w:t>
      </w:r>
      <w:r w:rsidR="00406C58" w:rsidRPr="00406C58">
        <w:rPr>
          <w:color w:val="000000"/>
          <w:vertAlign w:val="superscript"/>
        </w:rPr>
        <w:t>4</w:t>
      </w:r>
      <w:r>
        <w:t xml:space="preserve"> and reported using best-practice standards</w:t>
      </w:r>
      <w:r w:rsidR="00D9205F">
        <w:t xml:space="preserve"> </w:t>
      </w:r>
      <w:r w:rsidR="00D9205F" w:rsidRPr="00C448E5">
        <w:t>from Peters et al.</w:t>
      </w:r>
      <w:r w:rsidR="00406C58" w:rsidRPr="00406C58">
        <w:rPr>
          <w:color w:val="000000"/>
          <w:vertAlign w:val="superscript"/>
        </w:rPr>
        <w:t>5</w:t>
      </w:r>
      <w:r>
        <w:t xml:space="preserve"> to ensure transparency and rigour. A detailed protocol for the study was published online</w:t>
      </w:r>
      <w:r w:rsidR="18DA0E76">
        <w:t>.</w:t>
      </w:r>
      <w:r w:rsidR="00406C58" w:rsidRPr="00406C58">
        <w:rPr>
          <w:color w:val="000000"/>
          <w:vertAlign w:val="superscript"/>
        </w:rPr>
        <w:t>6</w:t>
      </w:r>
    </w:p>
    <w:p w14:paraId="04F3F800" w14:textId="77777777" w:rsidR="00DD7359" w:rsidRPr="00DD7359" w:rsidRDefault="00DD7359" w:rsidP="00FC75AA">
      <w:r>
        <w:t xml:space="preserve">We included studies that focused on the healthcare experiences of </w:t>
      </w:r>
      <w:r w:rsidR="29FE6F2A">
        <w:t>LGBTQ</w:t>
      </w:r>
      <w:r w:rsidR="158CDFC5">
        <w:t>IA</w:t>
      </w:r>
      <w:r w:rsidR="29FE6F2A">
        <w:t xml:space="preserve">+ </w:t>
      </w:r>
      <w:r w:rsidR="362F5358">
        <w:t>A</w:t>
      </w:r>
      <w:r w:rsidR="29FE6F2A">
        <w:t>utistic</w:t>
      </w:r>
      <w:r>
        <w:t xml:space="preserve"> individuals of any age or gender. Studies that considered only </w:t>
      </w:r>
      <w:r w:rsidR="5F00454A">
        <w:t>Autistic</w:t>
      </w:r>
      <w:r>
        <w:t xml:space="preserve"> or only </w:t>
      </w:r>
      <w:r w:rsidR="29FE6F2A">
        <w:t>LGBTQ</w:t>
      </w:r>
      <w:r w:rsidR="6494CC31">
        <w:t>IA</w:t>
      </w:r>
      <w:r>
        <w:t>+ populations</w:t>
      </w:r>
      <w:r w:rsidR="003560AB">
        <w:t xml:space="preserve"> in </w:t>
      </w:r>
      <w:r w:rsidR="00923A42">
        <w:t>healthcare</w:t>
      </w:r>
      <w:r w:rsidR="003560AB">
        <w:t xml:space="preserve"> settings </w:t>
      </w:r>
      <w:r>
        <w:t xml:space="preserve">were excluded. Both qualitative research (e.g., interviews and focus groups that capture lived experience) and quantitative research (e.g., surveys or statistical studies) </w:t>
      </w:r>
      <w:r w:rsidR="03CDAD2A">
        <w:t xml:space="preserve">alongside studies employing mixed methods </w:t>
      </w:r>
      <w:r w:rsidR="29FE6F2A">
        <w:t>were included.</w:t>
      </w:r>
      <w:r w:rsidR="00083E86">
        <w:t xml:space="preserve"> Any identified review studies that met eligibility criteria were hand searched for </w:t>
      </w:r>
      <w:r w:rsidR="00C96B39">
        <w:t xml:space="preserve">additional studies. </w:t>
      </w:r>
    </w:p>
    <w:p w14:paraId="1E7DCC9A" w14:textId="77777777" w:rsidR="00DD7359" w:rsidRPr="00DD7359" w:rsidRDefault="00DD7359" w:rsidP="00FC75AA">
      <w:r w:rsidRPr="00DD7359">
        <w:t>To identify relevant research, we conducted comprehensive searches of academic databases, government and organisational websites, grey literature sources, and clinical trial registries. We also consulted community groups and people with lived experience to ensure that key perspectives were captured.</w:t>
      </w:r>
    </w:p>
    <w:p w14:paraId="5B1EF70D" w14:textId="77777777" w:rsidR="00DD7359" w:rsidRPr="00DD7359" w:rsidRDefault="00DD7359" w:rsidP="00FC75AA">
      <w:r w:rsidRPr="00DD7359">
        <w:t>Each study was carefully reviewed by multiple members of the research team. Key information</w:t>
      </w:r>
      <w:r>
        <w:t xml:space="preserve">, </w:t>
      </w:r>
      <w:r w:rsidRPr="00DD7359">
        <w:t>including study design, participants, and main findings</w:t>
      </w:r>
      <w:r>
        <w:t xml:space="preserve">, </w:t>
      </w:r>
      <w:r w:rsidRPr="00DD7359">
        <w:t xml:space="preserve">was systematically recorded. The quality of each study was assessed to ensure that the evidence could be trusted. Finally, findings from different types of research were combined to provide a rich and integrated understanding of the barriers, </w:t>
      </w:r>
      <w:r w:rsidRPr="00DD7359">
        <w:lastRenderedPageBreak/>
        <w:t>facilitators</w:t>
      </w:r>
      <w:r w:rsidR="003560AB">
        <w:t xml:space="preserve"> in accessing and utilising </w:t>
      </w:r>
      <w:r w:rsidR="00923A42">
        <w:t>healthcare</w:t>
      </w:r>
      <w:r w:rsidRPr="00DD7359">
        <w:t xml:space="preserve">, and health inequalities affecting </w:t>
      </w:r>
      <w:r w:rsidR="29FE6F2A">
        <w:t>LGBTQ</w:t>
      </w:r>
      <w:r w:rsidR="657E1DBC">
        <w:t>IA</w:t>
      </w:r>
      <w:r w:rsidR="29FE6F2A">
        <w:t xml:space="preserve">+ </w:t>
      </w:r>
      <w:r w:rsidR="4FCEAD64">
        <w:t>A</w:t>
      </w:r>
      <w:r w:rsidR="29FE6F2A">
        <w:t>utistic people.</w:t>
      </w:r>
    </w:p>
    <w:p w14:paraId="4DF89606" w14:textId="77777777" w:rsidR="00DD7359" w:rsidRPr="00DD7359" w:rsidRDefault="1DDF76F4" w:rsidP="00FC75AA">
      <w:pPr>
        <w:pStyle w:val="Heading2"/>
      </w:pPr>
      <w:bookmarkStart w:id="33" w:name="_Toc1829289500"/>
      <w:bookmarkStart w:id="34" w:name="_Toc211371229"/>
      <w:bookmarkStart w:id="35" w:name="_Toc214026529"/>
      <w:r>
        <w:t>Key Findings</w:t>
      </w:r>
      <w:bookmarkEnd w:id="33"/>
      <w:bookmarkEnd w:id="34"/>
      <w:bookmarkEnd w:id="35"/>
    </w:p>
    <w:p w14:paraId="54A03806" w14:textId="77777777" w:rsidR="00DD7359" w:rsidRPr="00DD7359" w:rsidRDefault="3F5C484A" w:rsidP="00FC75AA">
      <w:pPr>
        <w:numPr>
          <w:ilvl w:val="0"/>
          <w:numId w:val="24"/>
        </w:numPr>
      </w:pPr>
      <w:r>
        <w:t xml:space="preserve">Barriers: </w:t>
      </w:r>
      <w:r w:rsidR="6AE15F24">
        <w:t>LGBTQ</w:t>
      </w:r>
      <w:r w:rsidR="7616D551">
        <w:t>IA</w:t>
      </w:r>
      <w:r w:rsidR="6AE15F24">
        <w:t xml:space="preserve">+ </w:t>
      </w:r>
      <w:r w:rsidR="3F2410BA">
        <w:t>A</w:t>
      </w:r>
      <w:r w:rsidR="6AE15F24">
        <w:t>utistic</w:t>
      </w:r>
      <w:r>
        <w:t xml:space="preserve"> individuals face multiple and overlapping obstacles</w:t>
      </w:r>
      <w:r w:rsidR="58DCAE6B">
        <w:t xml:space="preserve"> to </w:t>
      </w:r>
      <w:r w:rsidR="07C21181">
        <w:t>equitable health outcomes and access to</w:t>
      </w:r>
      <w:r w:rsidR="58DCAE6B">
        <w:t xml:space="preserve"> </w:t>
      </w:r>
      <w:r w:rsidR="007D024E">
        <w:t>healthcare,</w:t>
      </w:r>
      <w:r>
        <w:t xml:space="preserve"> including limited </w:t>
      </w:r>
      <w:r w:rsidR="007D024E">
        <w:t xml:space="preserve">healthcare </w:t>
      </w:r>
      <w:r w:rsidR="714AC527">
        <w:t xml:space="preserve">service </w:t>
      </w:r>
      <w:r>
        <w:t xml:space="preserve">provider knowledge, lack of understanding of dual identities, </w:t>
      </w:r>
      <w:r w:rsidR="25BC87F5">
        <w:t xml:space="preserve">inflexible </w:t>
      </w:r>
      <w:r>
        <w:t xml:space="preserve">service pathways, sensory-unfriendly environments, and financial challenges. Non-binary and transgender </w:t>
      </w:r>
      <w:r w:rsidR="404171BD">
        <w:t>A</w:t>
      </w:r>
      <w:r w:rsidR="6AE15F24">
        <w:t>utistic</w:t>
      </w:r>
      <w:r>
        <w:t xml:space="preserve"> individuals are particularly affected.</w:t>
      </w:r>
    </w:p>
    <w:p w14:paraId="219221D6" w14:textId="77777777" w:rsidR="00DD7359" w:rsidRPr="00DD7359" w:rsidRDefault="00DD7359" w:rsidP="00FC75AA">
      <w:pPr>
        <w:numPr>
          <w:ilvl w:val="0"/>
          <w:numId w:val="24"/>
        </w:numPr>
      </w:pPr>
      <w:r>
        <w:t>Facilitators: Supportive and affirming providers, peer and advocacy networks, and system adaptations</w:t>
      </w:r>
      <w:r w:rsidR="00517E42">
        <w:t xml:space="preserve">, </w:t>
      </w:r>
      <w:r>
        <w:t>such as flexible communication options</w:t>
      </w:r>
      <w:r w:rsidR="00517E42">
        <w:t xml:space="preserve">, </w:t>
      </w:r>
      <w:r>
        <w:t xml:space="preserve">help improve access and engagement. </w:t>
      </w:r>
      <w:r w:rsidR="001A4896">
        <w:t xml:space="preserve">Anti-discrimination laws and access to social service supports, </w:t>
      </w:r>
      <w:r w:rsidR="00F12047">
        <w:t xml:space="preserve">such </w:t>
      </w:r>
      <w:r w:rsidR="4C3C49E2">
        <w:t xml:space="preserve">as </w:t>
      </w:r>
      <w:r w:rsidR="00E35C90">
        <w:t>subsidised</w:t>
      </w:r>
      <w:r w:rsidR="00F12047">
        <w:t xml:space="preserve"> healthcare </w:t>
      </w:r>
      <w:r w:rsidR="00E35C90">
        <w:t xml:space="preserve">appear to act as protective factors to unmet healthcare needs. </w:t>
      </w:r>
      <w:r>
        <w:t>Many facilitators, however, are compensatory strategies rather than built-in systemic solutions.</w:t>
      </w:r>
    </w:p>
    <w:p w14:paraId="7E28D88B" w14:textId="77777777" w:rsidR="00DD7359" w:rsidRPr="00DD7359" w:rsidRDefault="00DD7359" w:rsidP="00FC75AA">
      <w:pPr>
        <w:numPr>
          <w:ilvl w:val="0"/>
          <w:numId w:val="24"/>
        </w:numPr>
      </w:pPr>
      <w:r w:rsidRPr="00DD7359">
        <w:t xml:space="preserve">Health Inequalities: The combination of </w:t>
      </w:r>
      <w:r w:rsidR="0A01B27A">
        <w:t>Autistic</w:t>
      </w:r>
      <w:r w:rsidRPr="00DD7359">
        <w:t xml:space="preserve"> and </w:t>
      </w:r>
      <w:r w:rsidR="29FE6F2A">
        <w:t>LGBTQ</w:t>
      </w:r>
      <w:r w:rsidR="728C5E6B">
        <w:t>IA</w:t>
      </w:r>
      <w:r w:rsidR="29FE6F2A">
        <w:t>+ identit</w:t>
      </w:r>
      <w:r w:rsidR="41F7D9C2">
        <w:t>ies</w:t>
      </w:r>
      <w:r w:rsidRPr="00DD7359">
        <w:t xml:space="preserve"> amplifies disparities in care. Individuals experience delayed or denied </w:t>
      </w:r>
      <w:r w:rsidR="00EF6FA0">
        <w:t>gender affirming</w:t>
      </w:r>
      <w:r w:rsidRPr="00DD7359">
        <w:t xml:space="preserve"> care, later autism diagnoses, unmet mental and physical health needs, and elevated risks of mental health conditions.</w:t>
      </w:r>
    </w:p>
    <w:p w14:paraId="0008497B" w14:textId="77777777" w:rsidR="00DD7359" w:rsidRPr="00DD7359" w:rsidRDefault="09F77603" w:rsidP="00FC75AA">
      <w:pPr>
        <w:numPr>
          <w:ilvl w:val="0"/>
          <w:numId w:val="24"/>
        </w:numPr>
      </w:pPr>
      <w:r>
        <w:t xml:space="preserve">Policy Gaps: National strategies in Ireland </w:t>
      </w:r>
      <w:r w:rsidR="76535713">
        <w:t>related</w:t>
      </w:r>
      <w:r>
        <w:t xml:space="preserve"> </w:t>
      </w:r>
      <w:r w:rsidR="23BC097E">
        <w:t xml:space="preserve">to </w:t>
      </w:r>
      <w:r>
        <w:t>autis</w:t>
      </w:r>
      <w:r w:rsidR="23BC097E">
        <w:t>tic</w:t>
      </w:r>
      <w:r>
        <w:t xml:space="preserve"> and </w:t>
      </w:r>
      <w:r w:rsidR="52105BF1">
        <w:t>LGBTQ</w:t>
      </w:r>
      <w:r w:rsidR="43B21D3A">
        <w:t>IA</w:t>
      </w:r>
      <w:r>
        <w:t xml:space="preserve">+ inclusion </w:t>
      </w:r>
      <w:r w:rsidR="21118F42">
        <w:t>have limited reference to</w:t>
      </w:r>
      <w:r>
        <w:t xml:space="preserve"> intersecting identities, while international </w:t>
      </w:r>
      <w:r w:rsidR="3BD7F83A">
        <w:t xml:space="preserve">policy implementation </w:t>
      </w:r>
      <w:r>
        <w:t>show</w:t>
      </w:r>
      <w:r w:rsidR="57AF1550">
        <w:t>s</w:t>
      </w:r>
      <w:r>
        <w:t xml:space="preserve"> that explicit, intersectional approaches can improve inclusivity and health outcomes.</w:t>
      </w:r>
    </w:p>
    <w:p w14:paraId="58F7A642" w14:textId="77777777" w:rsidR="23B0F567" w:rsidRDefault="1DDF76F4" w:rsidP="00FC75AA">
      <w:pPr>
        <w:pStyle w:val="Heading2"/>
      </w:pPr>
      <w:bookmarkStart w:id="36" w:name="_Toc826236595"/>
      <w:bookmarkStart w:id="37" w:name="_Toc211371230"/>
      <w:bookmarkStart w:id="38" w:name="_Toc214026530"/>
      <w:r>
        <w:t>Recommendations</w:t>
      </w:r>
      <w:bookmarkEnd w:id="36"/>
      <w:bookmarkEnd w:id="37"/>
      <w:bookmarkEnd w:id="38"/>
    </w:p>
    <w:p w14:paraId="2FB2231F" w14:textId="77777777" w:rsidR="23B0F567" w:rsidRPr="008226CB" w:rsidRDefault="3571ABE5" w:rsidP="00FC75AA">
      <w:pPr>
        <w:numPr>
          <w:ilvl w:val="0"/>
          <w:numId w:val="24"/>
        </w:numPr>
      </w:pPr>
      <w:r w:rsidRPr="008226CB">
        <w:t xml:space="preserve">Enhance Provider Competence and Intersectional Awareness: </w:t>
      </w:r>
      <w:r w:rsidR="23B0F567">
        <w:br/>
      </w:r>
      <w:r w:rsidRPr="008226CB">
        <w:t xml:space="preserve">Deliver community-led, </w:t>
      </w:r>
      <w:r w:rsidR="00481414">
        <w:t>intersectionally</w:t>
      </w:r>
      <w:r w:rsidR="000A1A95">
        <w:t>-</w:t>
      </w:r>
      <w:r w:rsidR="00481414">
        <w:t>informed</w:t>
      </w:r>
      <w:r w:rsidRPr="008226CB">
        <w:t xml:space="preserve"> training for healthcare providers on Autistic and LGBTQIA+ diversity. Training should include communication adaptations, </w:t>
      </w:r>
      <w:r w:rsidR="00EF6FA0">
        <w:t>gender affirming</w:t>
      </w:r>
      <w:r w:rsidRPr="008226CB">
        <w:t xml:space="preserve"> care, awareness of minority stress, and strategies to prevent diagnostic overshadowing. Promote reflection on discriminatory practices such as denial of care or </w:t>
      </w:r>
      <w:r w:rsidR="00481414" w:rsidRPr="008226CB">
        <w:t>infantilisation and</w:t>
      </w:r>
      <w:r w:rsidRPr="008226CB">
        <w:t xml:space="preserve"> support ongoing professional development in inclusive healthcare.  </w:t>
      </w:r>
    </w:p>
    <w:p w14:paraId="5FFA2803" w14:textId="77777777" w:rsidR="23B0F567" w:rsidRPr="008226CB" w:rsidRDefault="11868351" w:rsidP="00FC75AA">
      <w:pPr>
        <w:numPr>
          <w:ilvl w:val="0"/>
          <w:numId w:val="24"/>
        </w:numPr>
      </w:pPr>
      <w:r>
        <w:t>Adapt Service Environments for Accessibility and Inclusion:</w:t>
      </w:r>
      <w:r w:rsidR="23B0F567">
        <w:br/>
      </w:r>
      <w:r w:rsidR="278584C2">
        <w:t xml:space="preserve">Apply universal design principles, informed by frameworks such as the Sensory Needs, Predictability, Acceptance, Communication, and Empathy framework, to create sensory sensitive, flexible, and accessible healthcare environments. Incorporate visible indicators of inclusivity, including </w:t>
      </w:r>
      <w:r w:rsidR="278584C2">
        <w:lastRenderedPageBreak/>
        <w:t>inclusive forms, symbols, and resources that affirm Autistic and LGBTQIA+ identities</w:t>
      </w:r>
      <w:r w:rsidR="071C1A6B">
        <w:t xml:space="preserve"> </w:t>
      </w:r>
      <w:r w:rsidR="6353057C" w:rsidRPr="002F7E97">
        <w:rPr>
          <w:color w:val="000000"/>
        </w:rPr>
        <w:t>(Doherty et al., 2023).</w:t>
      </w:r>
      <w:r>
        <w:t xml:space="preserve"> Simplify systems and offer flexible options, such as online booking and varied communication methods, to reduce logistical barriers.</w:t>
      </w:r>
    </w:p>
    <w:p w14:paraId="1ADDED6F" w14:textId="77777777" w:rsidR="23B0F567" w:rsidRPr="008226CB" w:rsidRDefault="23B0F567" w:rsidP="00FC75AA">
      <w:pPr>
        <w:numPr>
          <w:ilvl w:val="0"/>
          <w:numId w:val="24"/>
        </w:numPr>
      </w:pPr>
      <w:r w:rsidRPr="008226CB">
        <w:t>Address Structural and Financial Barriers:</w:t>
      </w:r>
      <w:r>
        <w:br/>
      </w:r>
      <w:r w:rsidRPr="008226CB">
        <w:t xml:space="preserve">Ensure equitable access to autism and </w:t>
      </w:r>
      <w:r w:rsidR="00EF6FA0">
        <w:t>gender affirming</w:t>
      </w:r>
      <w:r w:rsidRPr="008226CB">
        <w:t xml:space="preserve"> care by integrating dual-identity pathways and reducing wait times. Establish public neuroaffirmative and gender-informed assessment services, and review existing policies to eliminate discrimination, denial of care, or infantilisation based on Autistic or LGBTQIA+ identities.</w:t>
      </w:r>
    </w:p>
    <w:p w14:paraId="4EEA75D8" w14:textId="77777777" w:rsidR="23B0F567" w:rsidRPr="008226CB" w:rsidRDefault="23B0F567" w:rsidP="00FC75AA">
      <w:pPr>
        <w:numPr>
          <w:ilvl w:val="0"/>
          <w:numId w:val="24"/>
        </w:numPr>
      </w:pPr>
      <w:r w:rsidRPr="008226CB">
        <w:t>Improve Data Collection and Monitoring:</w:t>
      </w:r>
      <w:r>
        <w:br/>
      </w:r>
      <w:r w:rsidRPr="008226CB">
        <w:t>Collect and analyse data disaggregated by Neurodivergence and sexual and gender identity to identify inequities, track progress, and inform inclusive policy and service design. Protect participants’ privacy and consent, recognising the potential risks of disclosure for this population.</w:t>
      </w:r>
    </w:p>
    <w:p w14:paraId="13B7B3FE" w14:textId="77777777" w:rsidR="23B0F567" w:rsidRPr="008226CB" w:rsidRDefault="23B0F567" w:rsidP="00FC75AA">
      <w:pPr>
        <w:numPr>
          <w:ilvl w:val="0"/>
          <w:numId w:val="24"/>
        </w:numPr>
      </w:pPr>
      <w:r w:rsidRPr="008226CB">
        <w:t>Embed Lived Experience through Co-Production:</w:t>
      </w:r>
      <w:r>
        <w:br/>
      </w:r>
      <w:r w:rsidRPr="008226CB">
        <w:t>Involve LGBTQIA+ Autistic individuals as equal partners in designing, delivering, and evaluating healthcare services and training programmes. Use participatory and peer-led approaches to ensure services reflect lived experience and real-world needs. Recognise co-production as essential to rebuilding trust, fostering engagement, and addressing historical exclusion.</w:t>
      </w:r>
    </w:p>
    <w:p w14:paraId="0980C68F" w14:textId="77777777" w:rsidR="23B0F567" w:rsidRPr="008226CB" w:rsidRDefault="23B0F567" w:rsidP="00FC75AA">
      <w:pPr>
        <w:numPr>
          <w:ilvl w:val="0"/>
          <w:numId w:val="24"/>
        </w:numPr>
      </w:pPr>
      <w:r w:rsidRPr="008226CB">
        <w:t xml:space="preserve">Implement Intersectional Policy Approaches: </w:t>
      </w:r>
      <w:r>
        <w:br/>
      </w:r>
      <w:r w:rsidRPr="008226CB">
        <w:t>Revise national and local health and inclusion strategies to explicitly recognise people with intersecting Autistic and LGBTQIA+ identities. Integrate these considerations across all policy and planning frameworks, moving beyond siloed approaches. Draw on international models that show how intersectional policies can reduce inequities and improve health outcomes.</w:t>
      </w:r>
    </w:p>
    <w:p w14:paraId="2C4E00AA" w14:textId="77777777" w:rsidR="471B26DB" w:rsidRPr="008226CB" w:rsidRDefault="23B0F567" w:rsidP="00FC75AA">
      <w:pPr>
        <w:numPr>
          <w:ilvl w:val="0"/>
          <w:numId w:val="24"/>
        </w:numPr>
      </w:pPr>
      <w:r w:rsidRPr="008226CB">
        <w:t>Promote Research and Evaluation:</w:t>
      </w:r>
      <w:r>
        <w:br/>
      </w:r>
      <w:r w:rsidRPr="008226CB">
        <w:t xml:space="preserve">Prioritise research assessing the effectiveness of interventions designed for LGBTQIA+ Autistic people </w:t>
      </w:r>
      <w:r w:rsidR="00DB345C">
        <w:t>to improve healthcare access and utilisation</w:t>
      </w:r>
      <w:r w:rsidR="005B6662">
        <w:t xml:space="preserve">, </w:t>
      </w:r>
      <w:r w:rsidRPr="008226CB">
        <w:t>and expand investigation into systemic facilitators of equitable care to complement the current focus on barriers.</w:t>
      </w:r>
    </w:p>
    <w:p w14:paraId="477C53BF" w14:textId="77777777" w:rsidR="00DD7359" w:rsidRPr="00DD7359" w:rsidRDefault="1DDF76F4" w:rsidP="00FC75AA">
      <w:pPr>
        <w:pStyle w:val="Heading2"/>
      </w:pPr>
      <w:bookmarkStart w:id="39" w:name="_Toc1293683392"/>
      <w:bookmarkStart w:id="40" w:name="_Toc211371231"/>
      <w:bookmarkStart w:id="41" w:name="_Toc214026531"/>
      <w:r>
        <w:t>Conclusion</w:t>
      </w:r>
      <w:bookmarkEnd w:id="39"/>
      <w:bookmarkEnd w:id="40"/>
      <w:bookmarkEnd w:id="41"/>
    </w:p>
    <w:p w14:paraId="5819B626" w14:textId="4BA7F3FE" w:rsidR="00481414" w:rsidRDefault="3F5C484A" w:rsidP="00B14618">
      <w:r>
        <w:t xml:space="preserve">Healthcare disparities for </w:t>
      </w:r>
      <w:r w:rsidR="7411829E">
        <w:t>LGBTQIA+</w:t>
      </w:r>
      <w:r w:rsidR="6AE15F24">
        <w:t xml:space="preserve"> </w:t>
      </w:r>
      <w:r w:rsidR="1A2104AA">
        <w:t>A</w:t>
      </w:r>
      <w:r w:rsidR="6AE15F24">
        <w:t>utistic</w:t>
      </w:r>
      <w:r>
        <w:t xml:space="preserve"> people arise from structural exclusion rather than individual limitations. Intersectionally-informed policies, services designed with lived experience at their centre, and inclusive, co-</w:t>
      </w:r>
      <w:r>
        <w:lastRenderedPageBreak/>
        <w:t xml:space="preserve">produced approaches offer the greatest potential to reduce barriers, strengthen facilitators, and improve health equity </w:t>
      </w:r>
      <w:r w:rsidR="5EEF0996">
        <w:t>and outcomes</w:t>
      </w:r>
      <w:r>
        <w:t xml:space="preserve"> for this population.</w:t>
      </w:r>
      <w:r w:rsidR="00C02636">
        <w:br w:type="page"/>
      </w:r>
      <w:r w:rsidR="004E4756">
        <w:rPr>
          <w:noProof/>
        </w:rPr>
        <w:drawing>
          <wp:anchor distT="0" distB="0" distL="114300" distR="114300" simplePos="0" relativeHeight="251659264" behindDoc="0" locked="0" layoutInCell="1" allowOverlap="1" wp14:anchorId="65E8D884" wp14:editId="25BF4CC5">
            <wp:simplePos x="0" y="0"/>
            <wp:positionH relativeFrom="margin">
              <wp:posOffset>-1160780</wp:posOffset>
            </wp:positionH>
            <wp:positionV relativeFrom="paragraph">
              <wp:posOffset>-962660</wp:posOffset>
            </wp:positionV>
            <wp:extent cx="7810500" cy="10414635"/>
            <wp:effectExtent l="0" t="0" r="0" b="0"/>
            <wp:wrapNone/>
            <wp:docPr id="7"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00" cy="1041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3F455" w14:textId="7DFADC9B" w:rsidR="00B14618" w:rsidRDefault="3C92F21B" w:rsidP="00A03B95">
      <w:pPr>
        <w:pStyle w:val="Heading1"/>
      </w:pPr>
      <w:bookmarkStart w:id="42" w:name="_Toc1472758744"/>
      <w:bookmarkStart w:id="43" w:name="_Toc211371232"/>
      <w:bookmarkStart w:id="44" w:name="_Toc214026532"/>
      <w:r>
        <w:lastRenderedPageBreak/>
        <w:t>Section</w:t>
      </w:r>
      <w:r w:rsidR="335C8B69">
        <w:t xml:space="preserve"> 1 </w:t>
      </w:r>
      <w:r w:rsidR="0C2239E1">
        <w:t>Background</w:t>
      </w:r>
      <w:bookmarkEnd w:id="42"/>
      <w:bookmarkEnd w:id="43"/>
      <w:bookmarkEnd w:id="44"/>
    </w:p>
    <w:p w14:paraId="31312776" w14:textId="77777777" w:rsidR="000E5B3A" w:rsidRDefault="000E5B3A" w:rsidP="00FC75AA">
      <w:r>
        <w:t>LGBTQIA+ individuals experience significant health disparities in comparison to their cisgender and heterosexual peers.</w:t>
      </w:r>
      <w:r w:rsidR="00406C58" w:rsidRPr="00406C58">
        <w:rPr>
          <w:color w:val="000000"/>
          <w:vertAlign w:val="superscript"/>
        </w:rPr>
        <w:t>8–11</w:t>
      </w:r>
      <w:r>
        <w:t xml:space="preserve"> Evidence indicates these disparities manifest as higher rates of mental health diagnoses</w:t>
      </w:r>
      <w:r w:rsidRPr="00DF2698">
        <w:t>,</w:t>
      </w:r>
      <w:r w:rsidR="00406C58" w:rsidRPr="00406C58">
        <w:rPr>
          <w:color w:val="000000"/>
          <w:vertAlign w:val="superscript"/>
        </w:rPr>
        <w:t>12</w:t>
      </w:r>
      <w:r w:rsidRPr="00DF2698">
        <w:t xml:space="preserve"> substance</w:t>
      </w:r>
      <w:r>
        <w:t xml:space="preserve"> use,</w:t>
      </w:r>
      <w:r w:rsidR="00406C58" w:rsidRPr="00406C58">
        <w:rPr>
          <w:color w:val="000000"/>
          <w:vertAlign w:val="superscript"/>
        </w:rPr>
        <w:t>8</w:t>
      </w:r>
      <w:r>
        <w:t xml:space="preserve"> and poorer health outcomes overall</w:t>
      </w:r>
      <w:r w:rsidR="0945DAC2">
        <w:t>.</w:t>
      </w:r>
      <w:r w:rsidR="00406C58" w:rsidRPr="00406C58">
        <w:rPr>
          <w:color w:val="000000"/>
          <w:vertAlign w:val="superscript"/>
        </w:rPr>
        <w:t>9,13–15</w:t>
      </w:r>
      <w:r w:rsidR="0097494A">
        <w:rPr>
          <w:color w:val="000000"/>
          <w:vertAlign w:val="superscript"/>
        </w:rPr>
        <w:t xml:space="preserve"> </w:t>
      </w:r>
      <w:r>
        <w:t>Research also reports a high rate of negative healthcare experiences: a lack of affirming care and identity-based prejudice contribute to mistrust of providers and avoidance of care</w:t>
      </w:r>
      <w:r w:rsidR="6BC4C29F">
        <w:t>,</w:t>
      </w:r>
      <w:r w:rsidR="00406C58" w:rsidRPr="00406C58">
        <w:rPr>
          <w:color w:val="000000"/>
          <w:vertAlign w:val="superscript"/>
        </w:rPr>
        <w:t>16,17</w:t>
      </w:r>
      <w:r>
        <w:t xml:space="preserve"> culminating in unmet healthcare needs</w:t>
      </w:r>
      <w:r w:rsidR="0A0465E3">
        <w:t>.</w:t>
      </w:r>
      <w:r w:rsidR="00406C58" w:rsidRPr="00406C58">
        <w:rPr>
          <w:color w:val="000000"/>
          <w:vertAlign w:val="superscript"/>
        </w:rPr>
        <w:t>11,13,14,18</w:t>
      </w:r>
      <w:r w:rsidR="02304491">
        <w:t xml:space="preserve"> </w:t>
      </w:r>
    </w:p>
    <w:p w14:paraId="45C3B7C1" w14:textId="77777777" w:rsidR="000E5B3A" w:rsidRDefault="000E5B3A" w:rsidP="00FC75AA">
      <w:r>
        <w:t>The experiences of people who identify as LGBTQIA+ are shaped by stigma, discrimination and systemic barriers</w:t>
      </w:r>
      <w:r w:rsidR="00A01C80">
        <w:t>,</w:t>
      </w:r>
      <w:r>
        <w:t xml:space="preserve"> and the same is true for Autistic people, who are also subject to notable disparities in health</w:t>
      </w:r>
      <w:r w:rsidR="4E0E510E">
        <w:t>.</w:t>
      </w:r>
      <w:r w:rsidR="00406C58" w:rsidRPr="00406C58">
        <w:rPr>
          <w:color w:val="000000"/>
          <w:vertAlign w:val="superscript"/>
        </w:rPr>
        <w:t>15,19–22</w:t>
      </w:r>
      <w:r w:rsidR="09B92498" w:rsidRPr="40F52016">
        <w:rPr>
          <w:rStyle w:val="SuperscriptRefChar"/>
        </w:rPr>
        <w:t xml:space="preserve"> </w:t>
      </w:r>
      <w:r>
        <w:t>Research indicates that Autistic people experience reduced access to services, delayed diagnoses and poorer health outcomes than their non-Autistic peers</w:t>
      </w:r>
      <w:r w:rsidR="4DF1ACBD">
        <w:t>,</w:t>
      </w:r>
      <w:r w:rsidR="00406C58" w:rsidRPr="00406C58">
        <w:rPr>
          <w:color w:val="000000"/>
          <w:vertAlign w:val="superscript"/>
        </w:rPr>
        <w:t>20,21</w:t>
      </w:r>
      <w:r>
        <w:t xml:space="preserve"> including significantly shorter life expectancies</w:t>
      </w:r>
      <w:r w:rsidR="767F13BB">
        <w:t>.</w:t>
      </w:r>
      <w:r w:rsidR="00406C58" w:rsidRPr="00406C58">
        <w:rPr>
          <w:color w:val="000000"/>
          <w:vertAlign w:val="superscript"/>
        </w:rPr>
        <w:t>19,22</w:t>
      </w:r>
      <w:r>
        <w:t xml:space="preserve"> Issues such as limited or lacking provider knowledge, communication differences and sensory barriers contribute to negative experiences and unmet needs</w:t>
      </w:r>
      <w:r w:rsidR="13758B46">
        <w:t>.</w:t>
      </w:r>
      <w:r w:rsidR="00406C58" w:rsidRPr="00406C58">
        <w:rPr>
          <w:color w:val="000000"/>
          <w:vertAlign w:val="superscript"/>
        </w:rPr>
        <w:t>19,21,23,24</w:t>
      </w:r>
    </w:p>
    <w:p w14:paraId="006D3172" w14:textId="77777777" w:rsidR="005F6A3A" w:rsidRPr="0058420D" w:rsidRDefault="070E9B8B" w:rsidP="00FC75AA">
      <w:pPr>
        <w:rPr>
          <w:color w:val="000000"/>
          <w:vertAlign w:val="superscript"/>
        </w:rPr>
      </w:pPr>
      <w:r>
        <w:t>T</w:t>
      </w:r>
      <w:r w:rsidR="7052995C">
        <w:t xml:space="preserve">hese disparities are not driven </w:t>
      </w:r>
      <w:r w:rsidR="68972A5E">
        <w:t xml:space="preserve">solely </w:t>
      </w:r>
      <w:r w:rsidR="7052995C">
        <w:t>by individual health needs but by systemic failures and relational barriers</w:t>
      </w:r>
      <w:r w:rsidR="6FD57F47">
        <w:t>.</w:t>
      </w:r>
      <w:r w:rsidR="6353057C" w:rsidRPr="002F7E97">
        <w:rPr>
          <w:color w:val="000000"/>
          <w:vertAlign w:val="superscript"/>
        </w:rPr>
        <w:t>10,11,17,25</w:t>
      </w:r>
      <w:r w:rsidR="2FE194AD" w:rsidRPr="002F7E97">
        <w:rPr>
          <w:color w:val="000000"/>
          <w:vertAlign w:val="superscript"/>
        </w:rPr>
        <w:t xml:space="preserve"> </w:t>
      </w:r>
      <w:r w:rsidR="7052995C">
        <w:t>Relational misunderstandings between Autistic and non-Autistic people</w:t>
      </w:r>
      <w:r w:rsidR="70693CB7">
        <w:t xml:space="preserve"> have been</w:t>
      </w:r>
      <w:r w:rsidR="7052995C">
        <w:t xml:space="preserve"> </w:t>
      </w:r>
      <w:r w:rsidR="746A2BD6">
        <w:t xml:space="preserve">described </w:t>
      </w:r>
      <w:r w:rsidR="7052995C">
        <w:t xml:space="preserve">as </w:t>
      </w:r>
      <w:r w:rsidR="455E70EF">
        <w:t>a bidirectional communicative mismatch</w:t>
      </w:r>
      <w:r w:rsidR="7052995C">
        <w:t>, conceptualised as the “double empathy problem</w:t>
      </w:r>
      <w:r w:rsidR="7E4742B3">
        <w:t>.</w:t>
      </w:r>
      <w:r w:rsidR="7052995C">
        <w:t>”</w:t>
      </w:r>
      <w:r w:rsidR="6353057C" w:rsidRPr="002F7E97">
        <w:rPr>
          <w:color w:val="000000"/>
          <w:vertAlign w:val="superscript"/>
        </w:rPr>
        <w:t>26</w:t>
      </w:r>
      <w:r w:rsidR="7052995C" w:rsidRPr="002F7E97">
        <w:rPr>
          <w:color w:val="000000"/>
          <w:vertAlign w:val="superscript"/>
        </w:rPr>
        <w:t xml:space="preserve"> </w:t>
      </w:r>
      <w:r w:rsidR="06DE13C3">
        <w:t xml:space="preserve">Communication challenges arise between </w:t>
      </w:r>
      <w:r w:rsidR="5491DA2B">
        <w:t>Autistic and non-Autistic people because their social styles, sensory experiences and communicative norms differ, not because one side is inherently deficient. Refram</w:t>
      </w:r>
      <w:r w:rsidR="3AC89545">
        <w:t>ing</w:t>
      </w:r>
      <w:r w:rsidR="5491DA2B">
        <w:t xml:space="preserve"> the issue as a relational and contextual barrier</w:t>
      </w:r>
      <w:r w:rsidR="18B2061C">
        <w:t xml:space="preserve"> shifts the focus towards </w:t>
      </w:r>
      <w:r w:rsidR="5491DA2B">
        <w:t xml:space="preserve">adaptations and </w:t>
      </w:r>
      <w:r w:rsidR="7402AAFA">
        <w:t>system-level</w:t>
      </w:r>
      <w:r w:rsidR="5491DA2B">
        <w:t xml:space="preserve"> changes</w:t>
      </w:r>
      <w:r w:rsidR="20F2D2B3">
        <w:t xml:space="preserve"> and away from</w:t>
      </w:r>
      <w:r w:rsidR="5491DA2B">
        <w:t xml:space="preserve"> </w:t>
      </w:r>
      <w:r w:rsidR="3A77AF68">
        <w:t>a</w:t>
      </w:r>
      <w:r w:rsidR="5491DA2B">
        <w:t>ttempts to “fix” Autistic people.</w:t>
      </w:r>
    </w:p>
    <w:p w14:paraId="780E9D14" w14:textId="77777777" w:rsidR="005F6A3A" w:rsidRPr="002F7E97" w:rsidRDefault="00160E23" w:rsidP="00FC75AA">
      <w:pPr>
        <w:rPr>
          <w:color w:val="000000"/>
          <w:vertAlign w:val="superscript"/>
        </w:rPr>
      </w:pPr>
      <w:r>
        <w:t xml:space="preserve">Extending </w:t>
      </w:r>
      <w:r w:rsidR="000802A9">
        <w:t>this idea to a “triple empathy problem”</w:t>
      </w:r>
      <w:r w:rsidR="00406C58" w:rsidRPr="00406C58">
        <w:rPr>
          <w:color w:val="000000"/>
          <w:vertAlign w:val="superscript"/>
        </w:rPr>
        <w:t>22</w:t>
      </w:r>
      <w:r w:rsidR="004F097F">
        <w:rPr>
          <w:color w:val="000000"/>
          <w:vertAlign w:val="superscript"/>
        </w:rPr>
        <w:t xml:space="preserve"> </w:t>
      </w:r>
      <w:r w:rsidR="004F097F">
        <w:t xml:space="preserve">locates healthcare institutions as a third site of empathic failure. </w:t>
      </w:r>
      <w:r w:rsidR="00AB7BD0">
        <w:t>Rigid systems</w:t>
      </w:r>
      <w:r w:rsidR="00D04B8E">
        <w:t xml:space="preserve"> and clinician inexperience</w:t>
      </w:r>
      <w:r w:rsidR="00AB7BD0">
        <w:t xml:space="preserve"> </w:t>
      </w:r>
      <w:r w:rsidR="00347243">
        <w:t>compound</w:t>
      </w:r>
      <w:r w:rsidR="00D04B8E">
        <w:t xml:space="preserve"> interpersonal mi</w:t>
      </w:r>
      <w:r w:rsidR="00C674B2">
        <w:t xml:space="preserve">smatches, </w:t>
      </w:r>
      <w:r w:rsidR="001B29CC">
        <w:t>further undermining access to equitable care.</w:t>
      </w:r>
      <w:r w:rsidR="00406C58" w:rsidRPr="00406C58">
        <w:rPr>
          <w:color w:val="000000"/>
          <w:vertAlign w:val="superscript"/>
        </w:rPr>
        <w:t>22</w:t>
      </w:r>
      <w:r w:rsidR="002D5B48">
        <w:t xml:space="preserve"> </w:t>
      </w:r>
      <w:r w:rsidR="009E03D5">
        <w:t>This pattern is supported by recent systematic reviews</w:t>
      </w:r>
      <w:r w:rsidR="00406C58" w:rsidRPr="00406C58">
        <w:rPr>
          <w:color w:val="000000"/>
          <w:vertAlign w:val="superscript"/>
        </w:rPr>
        <w:t>27,28</w:t>
      </w:r>
      <w:r w:rsidR="00CB428E">
        <w:t xml:space="preserve"> </w:t>
      </w:r>
      <w:r w:rsidR="00061ADE">
        <w:t>which identify co</w:t>
      </w:r>
      <w:r w:rsidR="0075292E">
        <w:t xml:space="preserve">mmunication barriers and </w:t>
      </w:r>
      <w:r w:rsidR="001B198C">
        <w:t>poor clinician knowledge and confidence</w:t>
      </w:r>
      <w:r w:rsidR="00406C58" w:rsidRPr="00406C58">
        <w:rPr>
          <w:color w:val="000000"/>
          <w:vertAlign w:val="superscript"/>
        </w:rPr>
        <w:t>28</w:t>
      </w:r>
      <w:r w:rsidR="002D5B48">
        <w:t xml:space="preserve"> </w:t>
      </w:r>
      <w:r w:rsidR="001B198C">
        <w:t>as major obstacles to care</w:t>
      </w:r>
      <w:r w:rsidR="00C31479">
        <w:t xml:space="preserve"> for Autistic people, particularly for those who are Autistic and trans or gender-diverse</w:t>
      </w:r>
      <w:r w:rsidR="001C1459">
        <w:t>.</w:t>
      </w:r>
      <w:r w:rsidR="00406C58" w:rsidRPr="00406C58">
        <w:rPr>
          <w:color w:val="000000"/>
          <w:vertAlign w:val="superscript"/>
        </w:rPr>
        <w:t>27,28</w:t>
      </w:r>
      <w:r w:rsidR="68F666F9">
        <w:t xml:space="preserve"> </w:t>
      </w:r>
      <w:r w:rsidR="3C45951E">
        <w:t>Such systemic failures contribute directly to the elevated rates of premature mortality among Autistic people.</w:t>
      </w:r>
      <w:r w:rsidR="00406C58" w:rsidRPr="00406C58">
        <w:rPr>
          <w:color w:val="000000"/>
          <w:vertAlign w:val="superscript"/>
        </w:rPr>
        <w:t>19,22</w:t>
      </w:r>
    </w:p>
    <w:p w14:paraId="63AD1116" w14:textId="77777777" w:rsidR="00C409B9" w:rsidRDefault="009B3726" w:rsidP="00FC75AA">
      <w:r>
        <w:t xml:space="preserve">These systemic inequities have implications not only for health outcomes, but for rights-based healthcare obligations. </w:t>
      </w:r>
      <w:r w:rsidR="008375CD">
        <w:t>T</w:t>
      </w:r>
      <w:r>
        <w:t>he UN Convention on the Rights of Persons with Disabilities</w:t>
      </w:r>
      <w:r w:rsidR="00406C58" w:rsidRPr="00406C58">
        <w:rPr>
          <w:color w:val="000000"/>
          <w:vertAlign w:val="superscript"/>
        </w:rPr>
        <w:t>29</w:t>
      </w:r>
      <w:r>
        <w:t xml:space="preserve"> </w:t>
      </w:r>
      <w:r w:rsidR="000A1B71">
        <w:t xml:space="preserve">guarantees </w:t>
      </w:r>
      <w:r w:rsidR="008A2CEE">
        <w:t>equality</w:t>
      </w:r>
      <w:r w:rsidR="006D49B6">
        <w:t>,</w:t>
      </w:r>
      <w:r w:rsidR="006D49B6" w:rsidRPr="006D49B6">
        <w:rPr>
          <w:color w:val="000000"/>
          <w:vertAlign w:val="superscript"/>
        </w:rPr>
        <w:t xml:space="preserve"> </w:t>
      </w:r>
      <w:r w:rsidR="00406C58" w:rsidRPr="00406C58">
        <w:rPr>
          <w:color w:val="000000"/>
          <w:vertAlign w:val="superscript"/>
        </w:rPr>
        <w:t>30,31</w:t>
      </w:r>
      <w:r w:rsidR="008A2CEE">
        <w:t xml:space="preserve"> </w:t>
      </w:r>
      <w:r w:rsidR="006D49B6">
        <w:t>accessibility,</w:t>
      </w:r>
      <w:r w:rsidR="00406C58" w:rsidRPr="00406C58">
        <w:rPr>
          <w:color w:val="000000"/>
          <w:vertAlign w:val="superscript"/>
        </w:rPr>
        <w:t>32</w:t>
      </w:r>
      <w:r w:rsidR="006D49B6" w:rsidRPr="00FA2EA2">
        <w:t xml:space="preserve"> </w:t>
      </w:r>
      <w:r w:rsidR="00FA2EA2">
        <w:t>non-discriminatory access to health services,</w:t>
      </w:r>
      <w:r w:rsidR="00406C58" w:rsidRPr="00406C58">
        <w:rPr>
          <w:color w:val="000000"/>
          <w:vertAlign w:val="superscript"/>
        </w:rPr>
        <w:t>33</w:t>
      </w:r>
      <w:r w:rsidR="00FA2EA2">
        <w:t xml:space="preserve"> and equal recognition before the law.</w:t>
      </w:r>
      <w:r w:rsidR="00406C58" w:rsidRPr="00406C58">
        <w:rPr>
          <w:color w:val="000000"/>
          <w:vertAlign w:val="superscript"/>
        </w:rPr>
        <w:t>34</w:t>
      </w:r>
      <w:r w:rsidR="008335E6">
        <w:rPr>
          <w:color w:val="000000"/>
          <w:vertAlign w:val="superscript"/>
        </w:rPr>
        <w:t xml:space="preserve"> </w:t>
      </w:r>
      <w:r w:rsidR="006D49B6">
        <w:t>T</w:t>
      </w:r>
      <w:r w:rsidR="6B1BA10D">
        <w:t xml:space="preserve">he highest </w:t>
      </w:r>
      <w:r w:rsidR="6B1BA10D">
        <w:lastRenderedPageBreak/>
        <w:t>attainable standard of health</w:t>
      </w:r>
      <w:r w:rsidR="006D49B6" w:rsidRPr="006D49B6">
        <w:t xml:space="preserve"> </w:t>
      </w:r>
      <w:r w:rsidR="006D49B6">
        <w:t>without discrimination</w:t>
      </w:r>
      <w:r w:rsidR="006D49B6" w:rsidRPr="006D49B6">
        <w:rPr>
          <w:color w:val="000000"/>
          <w:vertAlign w:val="superscript"/>
        </w:rPr>
        <w:t xml:space="preserve"> </w:t>
      </w:r>
      <w:r w:rsidR="00406C58" w:rsidRPr="00406C58">
        <w:rPr>
          <w:color w:val="000000"/>
          <w:vertAlign w:val="superscript"/>
        </w:rPr>
        <w:t>33</w:t>
      </w:r>
      <w:r w:rsidR="6B1BA10D">
        <w:t xml:space="preserve"> includ</w:t>
      </w:r>
      <w:r w:rsidR="006D49B6">
        <w:t>es</w:t>
      </w:r>
      <w:r w:rsidR="6B1BA10D">
        <w:t xml:space="preserve"> access to gender-sensitive sexual and reproductive healthcare. </w:t>
      </w:r>
      <w:r w:rsidR="1E023A0E">
        <w:t>These needs are frequently neglected across both Autistic and LGBTQIA+ populations due to stigmatisation, societal discomfort, and limited provider understanding</w:t>
      </w:r>
      <w:r w:rsidR="5E36B5BF">
        <w:t>,</w:t>
      </w:r>
      <w:r w:rsidR="00406C58" w:rsidRPr="00406C58">
        <w:rPr>
          <w:color w:val="000000"/>
          <w:vertAlign w:val="superscript"/>
        </w:rPr>
        <w:t>11,35</w:t>
      </w:r>
      <w:r w:rsidR="1E023A0E">
        <w:t xml:space="preserve"> </w:t>
      </w:r>
      <w:r w:rsidR="679CD64A">
        <w:t xml:space="preserve">exemplifying the value of an intersectional approach to this area of healthcare. </w:t>
      </w:r>
      <w:r w:rsidR="1E023A0E">
        <w:t>Where LGBTQIA+ people have been stereotyped as hypersexual or deviant</w:t>
      </w:r>
      <w:r w:rsidR="049A2C2A">
        <w:t>,</w:t>
      </w:r>
      <w:r w:rsidR="00406C58" w:rsidRPr="00406C58">
        <w:rPr>
          <w:color w:val="000000"/>
          <w:vertAlign w:val="superscript"/>
        </w:rPr>
        <w:t>36</w:t>
      </w:r>
      <w:r w:rsidR="1E023A0E">
        <w:t xml:space="preserve"> the sexuality of Autistic people has often been ignored or pathologised</w:t>
      </w:r>
      <w:r w:rsidR="36872084">
        <w:t>.</w:t>
      </w:r>
      <w:r w:rsidR="00406C58" w:rsidRPr="00406C58">
        <w:rPr>
          <w:color w:val="000000"/>
          <w:vertAlign w:val="superscript"/>
        </w:rPr>
        <w:t>37,38</w:t>
      </w:r>
      <w:r w:rsidR="1E023A0E">
        <w:t xml:space="preserve"> At the intersection, Autistic LGBTQIA+ individuals can therefore occupy a liminal clinical position, neither fitting prevailing stereotypes nor being recognised as having legitimate sexual health needs</w:t>
      </w:r>
      <w:r w:rsidR="1207F09F">
        <w:t xml:space="preserve"> and</w:t>
      </w:r>
      <w:r w:rsidR="1E023A0E">
        <w:t xml:space="preserve"> </w:t>
      </w:r>
      <w:r w:rsidR="72B3733D">
        <w:t>leaving</w:t>
      </w:r>
      <w:r w:rsidR="1E023A0E">
        <w:t xml:space="preserve"> providers ill-equipped to respond</w:t>
      </w:r>
      <w:r w:rsidR="30BB0746">
        <w:t>.</w:t>
      </w:r>
      <w:r w:rsidR="2A73F0FB">
        <w:t xml:space="preserve"> </w:t>
      </w:r>
    </w:p>
    <w:p w14:paraId="017551F0" w14:textId="77777777" w:rsidR="1FCB921D" w:rsidRPr="002F7E97" w:rsidRDefault="6F18B97C" w:rsidP="00FC75AA">
      <w:pPr>
        <w:rPr>
          <w:color w:val="000000"/>
          <w:vertAlign w:val="superscript"/>
        </w:rPr>
      </w:pPr>
      <w:r>
        <w:t>T</w:t>
      </w:r>
      <w:r w:rsidR="1E023A0E">
        <w:t xml:space="preserve">hese overlapping gaps </w:t>
      </w:r>
      <w:r w:rsidR="64199FE0">
        <w:t xml:space="preserve">can also </w:t>
      </w:r>
      <w:r w:rsidR="1E023A0E">
        <w:t>worsen mental health outcomes</w:t>
      </w:r>
      <w:r w:rsidR="1A6DCAA5">
        <w:t>,</w:t>
      </w:r>
      <w:r w:rsidR="1E023A0E">
        <w:t xml:space="preserve"> particularly for Autistic people with gender dysphoria</w:t>
      </w:r>
      <w:r w:rsidR="499418E0">
        <w:t>,</w:t>
      </w:r>
      <w:r w:rsidR="00406C58" w:rsidRPr="00406C58">
        <w:rPr>
          <w:color w:val="000000"/>
          <w:vertAlign w:val="superscript"/>
        </w:rPr>
        <w:t>39</w:t>
      </w:r>
      <w:r w:rsidR="1E023A0E">
        <w:t xml:space="preserve"> where risk and service needs are further modified by factors such as age, attraction to multiple genders, and non-binary identity</w:t>
      </w:r>
      <w:r w:rsidR="222CDB07">
        <w:t>.</w:t>
      </w:r>
      <w:r w:rsidR="00406C58" w:rsidRPr="00406C58">
        <w:rPr>
          <w:color w:val="000000"/>
          <w:vertAlign w:val="superscript"/>
        </w:rPr>
        <w:t>12,14,40</w:t>
      </w:r>
      <w:r w:rsidR="1FCB921D">
        <w:t>A recent systematic review further found that Autistic LGBTQIA+ people experience particularly poor mental health outcomes compared to those belonging to only one group</w:t>
      </w:r>
      <w:r w:rsidR="001A7C19">
        <w:t>,</w:t>
      </w:r>
      <w:r w:rsidR="00406C58" w:rsidRPr="00406C58">
        <w:rPr>
          <w:color w:val="000000"/>
          <w:vertAlign w:val="superscript"/>
        </w:rPr>
        <w:t>15</w:t>
      </w:r>
      <w:r w:rsidR="1FCB921D">
        <w:t xml:space="preserve"> likely due to the compounding stressors of these intersecting identities.</w:t>
      </w:r>
    </w:p>
    <w:p w14:paraId="0CD5089B" w14:textId="77777777" w:rsidR="005F6A3A" w:rsidRPr="002F7E97" w:rsidRDefault="005F6A3A" w:rsidP="00FC75AA">
      <w:pPr>
        <w:rPr>
          <w:color w:val="000000"/>
          <w:vertAlign w:val="superscript"/>
        </w:rPr>
      </w:pPr>
      <w:r>
        <w:t xml:space="preserve">Approaching </w:t>
      </w:r>
      <w:r w:rsidR="473F9FBB">
        <w:t xml:space="preserve">these </w:t>
      </w:r>
      <w:r w:rsidR="162FB08A">
        <w:t xml:space="preserve">disparities </w:t>
      </w:r>
      <w:r>
        <w:t xml:space="preserve">from an </w:t>
      </w:r>
      <w:bookmarkStart w:id="45" w:name="_Hlk210140883"/>
      <w:r>
        <w:t xml:space="preserve">intersectional framework </w:t>
      </w:r>
      <w:bookmarkEnd w:id="45"/>
      <w:r>
        <w:t xml:space="preserve">is crucial </w:t>
      </w:r>
      <w:r w:rsidR="7EACFCCA">
        <w:t xml:space="preserve">as </w:t>
      </w:r>
      <w:r>
        <w:t xml:space="preserve">it </w:t>
      </w:r>
      <w:r w:rsidR="72C6D0DB">
        <w:t xml:space="preserve">allows consideration of the ways </w:t>
      </w:r>
      <w:r w:rsidR="19A0FCF5">
        <w:t>that</w:t>
      </w:r>
      <w:r>
        <w:t xml:space="preserve"> multiple social identities and systems of power (e.g., neurodivergence, sexuality, gender, race) interact to produce distinct experiences and outcomes.</w:t>
      </w:r>
      <w:r w:rsidR="00406C58" w:rsidRPr="00406C58">
        <w:rPr>
          <w:color w:val="000000"/>
          <w:vertAlign w:val="superscript"/>
        </w:rPr>
        <w:t>41</w:t>
      </w:r>
      <w:r w:rsidR="248C4250" w:rsidRPr="40F52016">
        <w:rPr>
          <w:rStyle w:val="SuperscriptRefChar"/>
        </w:rPr>
        <w:t xml:space="preserve"> </w:t>
      </w:r>
      <w:r>
        <w:t xml:space="preserve">Intersectionality enables the analysis of the </w:t>
      </w:r>
      <w:r w:rsidR="37440BD8">
        <w:t>mechanisms</w:t>
      </w:r>
      <w:r w:rsidR="48FAD8BC">
        <w:t xml:space="preserve"> by which</w:t>
      </w:r>
      <w:r>
        <w:t xml:space="preserve"> intertwined forms of marginalisation compound health risks and shape access to care</w:t>
      </w:r>
      <w:r w:rsidR="29E30D9E">
        <w:t>, and</w:t>
      </w:r>
      <w:r w:rsidR="089C7CA5">
        <w:t xml:space="preserve"> r</w:t>
      </w:r>
      <w:r>
        <w:t>ecent methodological discussions highlight its importance for quantitative and neurodiversity-related work.</w:t>
      </w:r>
      <w:r w:rsidR="00406C58" w:rsidRPr="00406C58">
        <w:rPr>
          <w:color w:val="000000"/>
          <w:vertAlign w:val="superscript"/>
        </w:rPr>
        <w:t>42,43</w:t>
      </w:r>
    </w:p>
    <w:p w14:paraId="63B7E06C" w14:textId="77777777" w:rsidR="6DFC9501" w:rsidRDefault="0D34DD7F" w:rsidP="00FC75AA">
      <w:r>
        <w:t>The minority stress model, which describes the health impacts of chronic stigma, social stress and discrimination on marginalised groups,</w:t>
      </w:r>
      <w:r w:rsidR="6353057C" w:rsidRPr="002F7E97">
        <w:rPr>
          <w:color w:val="000000"/>
          <w:vertAlign w:val="superscript"/>
        </w:rPr>
        <w:t>44</w:t>
      </w:r>
      <w:r>
        <w:t xml:space="preserve"> is frequently referenced in the literature exploring LGBTQIA+ and Autistic health. </w:t>
      </w:r>
      <w:r w:rsidR="0C044F3A">
        <w:t>Taken together,</w:t>
      </w:r>
      <w:r w:rsidR="143784C0">
        <w:t xml:space="preserve"> </w:t>
      </w:r>
      <w:r w:rsidR="499AF61B">
        <w:t>these approaches</w:t>
      </w:r>
      <w:r w:rsidR="0C044F3A">
        <w:t xml:space="preserve"> </w:t>
      </w:r>
      <w:r w:rsidR="7C383911">
        <w:t xml:space="preserve">and </w:t>
      </w:r>
      <w:r w:rsidR="0C044F3A">
        <w:t xml:space="preserve">frameworks </w:t>
      </w:r>
      <w:r w:rsidR="499AF61B">
        <w:t xml:space="preserve">clarify </w:t>
      </w:r>
      <w:r>
        <w:t xml:space="preserve">how </w:t>
      </w:r>
      <w:r w:rsidR="0C044F3A">
        <w:t xml:space="preserve">overlapping forms of marginalisation, such as </w:t>
      </w:r>
      <w:r>
        <w:t>ableism, cisheteronormativity</w:t>
      </w:r>
      <w:r w:rsidR="0C044F3A">
        <w:t>, and diagnostic bias compound</w:t>
      </w:r>
      <w:r>
        <w:t xml:space="preserve"> health </w:t>
      </w:r>
      <w:r w:rsidR="0C044F3A">
        <w:t>risks</w:t>
      </w:r>
      <w:r>
        <w:t xml:space="preserve"> and disengagement from care among Autistic LGBTQIA+ </w:t>
      </w:r>
      <w:r w:rsidR="0C044F3A">
        <w:t>people.</w:t>
      </w:r>
      <w:r w:rsidR="6353057C" w:rsidRPr="002F7E97">
        <w:rPr>
          <w:color w:val="000000"/>
          <w:vertAlign w:val="superscript"/>
        </w:rPr>
        <w:t>25,43–46</w:t>
      </w:r>
      <w:r w:rsidR="2F4E727F">
        <w:t xml:space="preserve"> </w:t>
      </w:r>
    </w:p>
    <w:p w14:paraId="20298AD5" w14:textId="77777777" w:rsidR="001C0899" w:rsidRDefault="5D7B9365" w:rsidP="00FC75AA">
      <w:r>
        <w:t xml:space="preserve">Despite </w:t>
      </w:r>
      <w:r w:rsidR="08AA92D4">
        <w:t xml:space="preserve">the </w:t>
      </w:r>
      <w:r>
        <w:t xml:space="preserve">evidence of overlapping disparities, a paucity of research </w:t>
      </w:r>
      <w:r w:rsidR="7D59EA73">
        <w:t>directly</w:t>
      </w:r>
      <w:r>
        <w:t xml:space="preserve"> examines </w:t>
      </w:r>
      <w:r w:rsidR="14633DB9">
        <w:t>how these</w:t>
      </w:r>
      <w:r>
        <w:t xml:space="preserve"> mechanisms </w:t>
      </w:r>
      <w:r w:rsidR="14633DB9">
        <w:t>interact in healthcare contexts and</w:t>
      </w:r>
      <w:r>
        <w:t xml:space="preserve"> the unique healthcare needs and experiences of people who are both Autistic and LGBTQIA+. The lack of focused, intersectional examination of how neurodivergence and sexual/gender minority statuses combine to shape healthcare access and outcomes is the gap that motivates this review.</w:t>
      </w:r>
    </w:p>
    <w:p w14:paraId="74BFC546" w14:textId="77777777" w:rsidR="00706951" w:rsidRDefault="4D9D5F9F" w:rsidP="00FC75AA">
      <w:pPr>
        <w:pStyle w:val="Heading2"/>
      </w:pPr>
      <w:bookmarkStart w:id="46" w:name="_Toc1834150386"/>
      <w:bookmarkStart w:id="47" w:name="_Toc211371233"/>
      <w:bookmarkStart w:id="48" w:name="_Toc214026533"/>
      <w:r>
        <w:lastRenderedPageBreak/>
        <w:t>Aim</w:t>
      </w:r>
      <w:r w:rsidR="4ADA502B">
        <w:t>s</w:t>
      </w:r>
      <w:bookmarkEnd w:id="46"/>
      <w:bookmarkEnd w:id="47"/>
      <w:bookmarkEnd w:id="48"/>
    </w:p>
    <w:p w14:paraId="7BFFFB99" w14:textId="77777777" w:rsidR="00706951" w:rsidRDefault="00F46136" w:rsidP="00FC75AA">
      <w:r w:rsidRPr="40F52016">
        <w:rPr>
          <w:lang w:val="en-GB"/>
        </w:rPr>
        <w:t xml:space="preserve">The aim of this review is to explore international </w:t>
      </w:r>
      <w:r w:rsidR="0DEB4496" w:rsidRPr="40F52016">
        <w:rPr>
          <w:lang w:val="en-GB"/>
        </w:rPr>
        <w:t xml:space="preserve">peer-reviewed </w:t>
      </w:r>
      <w:r w:rsidRPr="40F52016">
        <w:rPr>
          <w:lang w:val="en-GB"/>
        </w:rPr>
        <w:t>and grey literature to identify</w:t>
      </w:r>
      <w:r>
        <w:t xml:space="preserve"> </w:t>
      </w:r>
      <w:r w:rsidRPr="40F52016">
        <w:rPr>
          <w:lang w:val="en-GB"/>
        </w:rPr>
        <w:t>experienced health disparities and barriers and facilitators to accessing care for </w:t>
      </w:r>
      <w:r w:rsidR="253D2082" w:rsidRPr="40F52016">
        <w:rPr>
          <w:lang w:val="en-GB"/>
        </w:rPr>
        <w:t>LGBTQIA+</w:t>
      </w:r>
      <w:r w:rsidR="0882A86E" w:rsidRPr="40F52016">
        <w:rPr>
          <w:lang w:val="en-GB"/>
        </w:rPr>
        <w:t xml:space="preserve"> </w:t>
      </w:r>
      <w:r w:rsidR="38918DEB" w:rsidRPr="40F52016">
        <w:rPr>
          <w:lang w:val="en-GB"/>
        </w:rPr>
        <w:t>A</w:t>
      </w:r>
      <w:r w:rsidR="0882A86E" w:rsidRPr="40F52016">
        <w:rPr>
          <w:lang w:val="en-GB"/>
        </w:rPr>
        <w:t>utistic</w:t>
      </w:r>
      <w:r w:rsidRPr="40F52016">
        <w:rPr>
          <w:lang w:val="en-GB"/>
        </w:rPr>
        <w:t xml:space="preserve"> individuals</w:t>
      </w:r>
      <w:r w:rsidR="00BB5D59" w:rsidRPr="40F52016">
        <w:rPr>
          <w:lang w:val="en-GB"/>
        </w:rPr>
        <w:t>.</w:t>
      </w:r>
      <w:r w:rsidRPr="40F52016">
        <w:rPr>
          <w:lang w:val="en-GB"/>
        </w:rPr>
        <w:t> </w:t>
      </w:r>
      <w:r>
        <w:t> </w:t>
      </w:r>
    </w:p>
    <w:p w14:paraId="26640F73" w14:textId="77777777" w:rsidR="00706951" w:rsidRPr="00706951" w:rsidRDefault="4D9D5F9F" w:rsidP="00FC75AA">
      <w:pPr>
        <w:pStyle w:val="Heading2"/>
      </w:pPr>
      <w:bookmarkStart w:id="49" w:name="_Toc1052326102"/>
      <w:bookmarkStart w:id="50" w:name="_Toc211371234"/>
      <w:bookmarkStart w:id="51" w:name="_Toc214026534"/>
      <w:r>
        <w:t>Objectives</w:t>
      </w:r>
      <w:bookmarkEnd w:id="49"/>
      <w:bookmarkEnd w:id="50"/>
      <w:bookmarkEnd w:id="51"/>
    </w:p>
    <w:p w14:paraId="568AC333" w14:textId="77777777" w:rsidR="003C746D" w:rsidRDefault="2C3057A1" w:rsidP="00FC75AA">
      <w:pPr>
        <w:rPr>
          <w:lang w:val="en-GB"/>
        </w:rPr>
      </w:pPr>
      <w:r w:rsidRPr="40F52016">
        <w:rPr>
          <w:lang w:val="en-GB"/>
        </w:rPr>
        <w:t>Consistent with UNCRPD commitments to accessibility,</w:t>
      </w:r>
      <w:r w:rsidR="00406C58" w:rsidRPr="00406C58">
        <w:rPr>
          <w:color w:val="000000"/>
          <w:vertAlign w:val="superscript"/>
          <w:lang w:val="en-GB"/>
        </w:rPr>
        <w:t>32</w:t>
      </w:r>
      <w:r w:rsidRPr="40F52016">
        <w:rPr>
          <w:lang w:val="en-GB"/>
        </w:rPr>
        <w:t xml:space="preserve"> </w:t>
      </w:r>
      <w:r w:rsidR="00D16B81">
        <w:rPr>
          <w:lang w:val="en-GB"/>
        </w:rPr>
        <w:t>inclusion</w:t>
      </w:r>
      <w:r w:rsidR="00406C58" w:rsidRPr="00406C58">
        <w:rPr>
          <w:color w:val="000000"/>
          <w:vertAlign w:val="superscript"/>
          <w:lang w:val="en-GB"/>
        </w:rPr>
        <w:t>30</w:t>
      </w:r>
      <w:r w:rsidRPr="40F52016">
        <w:rPr>
          <w:lang w:val="en-GB"/>
        </w:rPr>
        <w:t xml:space="preserve"> and data collection</w:t>
      </w:r>
      <w:r w:rsidR="00410892">
        <w:rPr>
          <w:lang w:val="en-GB"/>
        </w:rPr>
        <w:t>,</w:t>
      </w:r>
      <w:r w:rsidR="00406C58" w:rsidRPr="00406C58">
        <w:rPr>
          <w:color w:val="000000"/>
          <w:vertAlign w:val="superscript"/>
          <w:lang w:val="en-GB"/>
        </w:rPr>
        <w:t>47,48</w:t>
      </w:r>
      <w:r w:rsidRPr="40F52016">
        <w:rPr>
          <w:lang w:val="en-GB"/>
        </w:rPr>
        <w:t xml:space="preserve"> this review emphasises the need for disaggregated monitoring and co-produced service design to address intersecting barriers experienced by Autistic LGBTQIA+ people. </w:t>
      </w:r>
      <w:r w:rsidR="00F46136" w:rsidRPr="40F52016">
        <w:rPr>
          <w:lang w:val="en-GB"/>
        </w:rPr>
        <w:t>The objectives include: (i) identifying the health disparities</w:t>
      </w:r>
      <w:r w:rsidR="00F46136">
        <w:t> </w:t>
      </w:r>
      <w:r w:rsidR="00F46136" w:rsidRPr="40F52016">
        <w:rPr>
          <w:lang w:val="en-GB"/>
        </w:rPr>
        <w:t xml:space="preserve">experienced by </w:t>
      </w:r>
      <w:r w:rsidR="139EF3D8" w:rsidRPr="40F52016">
        <w:rPr>
          <w:lang w:val="en-GB"/>
        </w:rPr>
        <w:t>LGBTQIA+</w:t>
      </w:r>
      <w:r w:rsidR="0882A86E" w:rsidRPr="40F52016">
        <w:rPr>
          <w:lang w:val="en-GB"/>
        </w:rPr>
        <w:t xml:space="preserve"> </w:t>
      </w:r>
      <w:r w:rsidR="28CC5731" w:rsidRPr="40F52016">
        <w:rPr>
          <w:lang w:val="en-GB"/>
        </w:rPr>
        <w:t>A</w:t>
      </w:r>
      <w:r w:rsidR="0882A86E" w:rsidRPr="40F52016">
        <w:rPr>
          <w:lang w:val="en-GB"/>
        </w:rPr>
        <w:t>utistic</w:t>
      </w:r>
      <w:r w:rsidR="00F46136" w:rsidRPr="40F52016">
        <w:rPr>
          <w:lang w:val="en-GB"/>
        </w:rPr>
        <w:t xml:space="preserve"> people, (ii) exploring the barriers </w:t>
      </w:r>
    </w:p>
    <w:p w14:paraId="609A8CC1" w14:textId="77777777" w:rsidR="003C746D" w:rsidRDefault="003C746D">
      <w:pPr>
        <w:spacing w:after="0"/>
        <w:rPr>
          <w:lang w:val="en-GB"/>
        </w:rPr>
      </w:pPr>
      <w:r>
        <w:rPr>
          <w:lang w:val="en-GB"/>
        </w:rPr>
        <w:br w:type="page"/>
      </w:r>
    </w:p>
    <w:p w14:paraId="67B173C9" w14:textId="45D20B7C" w:rsidR="3A3A8981" w:rsidRDefault="003C746D" w:rsidP="00FC75AA">
      <w:r>
        <w:rPr>
          <w:noProof/>
        </w:rPr>
        <w:lastRenderedPageBreak/>
        <w:drawing>
          <wp:anchor distT="0" distB="0" distL="114300" distR="114300" simplePos="0" relativeHeight="251654144" behindDoc="0" locked="0" layoutInCell="1" allowOverlap="1" wp14:anchorId="30C72B67" wp14:editId="36F0DAAA">
            <wp:simplePos x="0" y="0"/>
            <wp:positionH relativeFrom="page">
              <wp:posOffset>-40005</wp:posOffset>
            </wp:positionH>
            <wp:positionV relativeFrom="paragraph">
              <wp:posOffset>-899972</wp:posOffset>
            </wp:positionV>
            <wp:extent cx="7797800" cy="11035030"/>
            <wp:effectExtent l="0" t="0" r="0" b="0"/>
            <wp:wrapNone/>
            <wp:docPr id="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7800" cy="1103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6" w:rsidRPr="40F52016">
        <w:rPr>
          <w:lang w:val="en-GB"/>
        </w:rPr>
        <w:t>and facilitators</w:t>
      </w:r>
      <w:r w:rsidR="00F46136">
        <w:t xml:space="preserve"> </w:t>
      </w:r>
      <w:r w:rsidR="00F46136" w:rsidRPr="40F52016">
        <w:rPr>
          <w:lang w:val="en-GB"/>
        </w:rPr>
        <w:t xml:space="preserve">to care experienced by </w:t>
      </w:r>
      <w:r w:rsidR="139EF3D8" w:rsidRPr="40F52016">
        <w:rPr>
          <w:lang w:val="en-GB"/>
        </w:rPr>
        <w:t>LGBTQIA+</w:t>
      </w:r>
      <w:r w:rsidR="0882A86E" w:rsidRPr="40F52016">
        <w:rPr>
          <w:lang w:val="en-GB"/>
        </w:rPr>
        <w:t xml:space="preserve"> </w:t>
      </w:r>
      <w:r w:rsidR="50D156C9" w:rsidRPr="40F52016">
        <w:rPr>
          <w:lang w:val="en-GB"/>
        </w:rPr>
        <w:t>A</w:t>
      </w:r>
      <w:r w:rsidR="0882A86E" w:rsidRPr="40F52016">
        <w:rPr>
          <w:lang w:val="en-GB"/>
        </w:rPr>
        <w:t>utistic</w:t>
      </w:r>
      <w:r w:rsidR="00F46136" w:rsidRPr="40F52016">
        <w:rPr>
          <w:lang w:val="en-GB"/>
        </w:rPr>
        <w:t xml:space="preserve"> people, </w:t>
      </w:r>
      <w:bookmarkStart w:id="52" w:name="_Hlk210131118"/>
      <w:r w:rsidR="00F46136" w:rsidRPr="40F52016">
        <w:rPr>
          <w:lang w:val="en-GB"/>
        </w:rPr>
        <w:t>(iii) describe interventions created to improve the experience of the</w:t>
      </w:r>
      <w:r w:rsidR="00F46136">
        <w:t> </w:t>
      </w:r>
      <w:r w:rsidR="02BB5016" w:rsidRPr="40F52016">
        <w:rPr>
          <w:lang w:val="en-GB"/>
        </w:rPr>
        <w:t>LGBTQIA+</w:t>
      </w:r>
      <w:r w:rsidR="0882A86E" w:rsidRPr="40F52016">
        <w:rPr>
          <w:lang w:val="en-GB"/>
        </w:rPr>
        <w:t xml:space="preserve"> </w:t>
      </w:r>
      <w:r w:rsidR="05FD9083" w:rsidRPr="40F52016">
        <w:rPr>
          <w:lang w:val="en-GB"/>
        </w:rPr>
        <w:t>A</w:t>
      </w:r>
      <w:r w:rsidR="0882A86E" w:rsidRPr="40F52016">
        <w:rPr>
          <w:lang w:val="en-GB"/>
        </w:rPr>
        <w:t>utistic</w:t>
      </w:r>
      <w:r w:rsidR="00F46136" w:rsidRPr="40F52016">
        <w:rPr>
          <w:lang w:val="en-GB"/>
        </w:rPr>
        <w:t xml:space="preserve"> community, </w:t>
      </w:r>
      <w:bookmarkEnd w:id="52"/>
      <w:r w:rsidR="00F46136" w:rsidRPr="40F52016">
        <w:rPr>
          <w:lang w:val="en-GB"/>
        </w:rPr>
        <w:t>and (iv) outline knowledge gaps to inform policy</w:t>
      </w:r>
      <w:r w:rsidR="00F46136">
        <w:t> </w:t>
      </w:r>
      <w:r w:rsidR="00F46136" w:rsidRPr="40F52016">
        <w:rPr>
          <w:lang w:val="en-GB"/>
        </w:rPr>
        <w:t xml:space="preserve">and practice for healthcare and supports for </w:t>
      </w:r>
      <w:r w:rsidR="2B096BFD" w:rsidRPr="40F52016">
        <w:rPr>
          <w:lang w:val="en-GB"/>
        </w:rPr>
        <w:t>LGBTQIA+</w:t>
      </w:r>
      <w:r w:rsidR="0882A86E" w:rsidRPr="40F52016">
        <w:rPr>
          <w:lang w:val="en-GB"/>
        </w:rPr>
        <w:t xml:space="preserve"> </w:t>
      </w:r>
      <w:r w:rsidR="513CA81E" w:rsidRPr="40F52016">
        <w:rPr>
          <w:lang w:val="en-GB"/>
        </w:rPr>
        <w:t>A</w:t>
      </w:r>
      <w:r w:rsidR="0882A86E" w:rsidRPr="40F52016">
        <w:rPr>
          <w:lang w:val="en-GB"/>
        </w:rPr>
        <w:t>utistic</w:t>
      </w:r>
      <w:r w:rsidR="00F46136" w:rsidRPr="40F52016">
        <w:rPr>
          <w:lang w:val="en-GB"/>
        </w:rPr>
        <w:t xml:space="preserve"> individuals.</w:t>
      </w:r>
      <w:r w:rsidR="00F46136">
        <w:t> </w:t>
      </w:r>
    </w:p>
    <w:p w14:paraId="1DB3CB06" w14:textId="4FF003E3" w:rsidR="35B1F5D1" w:rsidRDefault="005A279E" w:rsidP="005A279E">
      <w:pPr>
        <w:spacing w:after="0"/>
      </w:pPr>
      <w:r>
        <w:br w:type="page"/>
      </w:r>
    </w:p>
    <w:p w14:paraId="7CBB3E50" w14:textId="77777777" w:rsidR="00170EBA" w:rsidRDefault="3C92F21B" w:rsidP="00A03B95">
      <w:pPr>
        <w:pStyle w:val="Heading1"/>
      </w:pPr>
      <w:bookmarkStart w:id="53" w:name="_Toc239615299"/>
      <w:bookmarkStart w:id="54" w:name="_Toc211371235"/>
      <w:bookmarkStart w:id="55" w:name="_Toc214026535"/>
      <w:r>
        <w:lastRenderedPageBreak/>
        <w:t>Section</w:t>
      </w:r>
      <w:r w:rsidR="335C8B69">
        <w:t xml:space="preserve"> 2 </w:t>
      </w:r>
      <w:r w:rsidR="7012E4E2">
        <w:t>Methodology</w:t>
      </w:r>
      <w:bookmarkEnd w:id="53"/>
      <w:bookmarkEnd w:id="54"/>
      <w:bookmarkEnd w:id="55"/>
    </w:p>
    <w:p w14:paraId="3652891C" w14:textId="77777777" w:rsidR="00170EBA" w:rsidRDefault="7012E4E2" w:rsidP="00FC75AA">
      <w:pPr>
        <w:pStyle w:val="Heading2"/>
      </w:pPr>
      <w:bookmarkStart w:id="56" w:name="_Toc313101683"/>
      <w:bookmarkStart w:id="57" w:name="_Toc211371236"/>
      <w:bookmarkStart w:id="58" w:name="_Toc214026536"/>
      <w:r>
        <w:t>Design</w:t>
      </w:r>
      <w:bookmarkEnd w:id="56"/>
      <w:bookmarkEnd w:id="57"/>
      <w:bookmarkEnd w:id="58"/>
    </w:p>
    <w:p w14:paraId="1762CF5E" w14:textId="77777777" w:rsidR="00FD75EB" w:rsidRDefault="00102E95" w:rsidP="00FC75AA">
      <w:pPr>
        <w:rPr>
          <w:rStyle w:val="FootnoteReference"/>
        </w:rPr>
      </w:pPr>
      <w:r>
        <w:t>A scoping review was conducted using the Joanna Briggs Institute</w:t>
      </w:r>
      <w:r w:rsidR="00406C58" w:rsidRPr="00406C58">
        <w:rPr>
          <w:color w:val="000000"/>
          <w:vertAlign w:val="superscript"/>
        </w:rPr>
        <w:t>5</w:t>
      </w:r>
      <w:r>
        <w:t xml:space="preserve"> guidelines,</w:t>
      </w:r>
      <w:r w:rsidR="00476DE5">
        <w:t xml:space="preserve"> reported in line with the PRISMA-ScR checklist</w:t>
      </w:r>
      <w:r w:rsidR="00406C58" w:rsidRPr="00406C58">
        <w:rPr>
          <w:rStyle w:val="CommentReference"/>
          <w:color w:val="000000"/>
          <w:vertAlign w:val="superscript"/>
        </w:rPr>
        <w:t>49</w:t>
      </w:r>
      <w:r w:rsidR="02304491">
        <w:t xml:space="preserve"> </w:t>
      </w:r>
      <w:r w:rsidR="0050040F">
        <w:t>and adopted a convergent segregated analysis approach</w:t>
      </w:r>
      <w:r w:rsidR="00406C58" w:rsidRPr="00406C58">
        <w:rPr>
          <w:color w:val="000000"/>
          <w:vertAlign w:val="superscript"/>
        </w:rPr>
        <w:t>50</w:t>
      </w:r>
      <w:r w:rsidR="0050040F">
        <w:t xml:space="preserve"> with narrative summaries.  </w:t>
      </w:r>
    </w:p>
    <w:p w14:paraId="44B9F49B" w14:textId="77777777" w:rsidR="00F81CCA" w:rsidRDefault="00F81CCA" w:rsidP="00FC75AA">
      <w:pPr>
        <w:pStyle w:val="Heading3"/>
      </w:pPr>
      <w:bookmarkStart w:id="59" w:name="_Toc211371237"/>
      <w:r>
        <w:t>PPI Involvement</w:t>
      </w:r>
      <w:bookmarkEnd w:id="59"/>
    </w:p>
    <w:p w14:paraId="2CE9C5A3" w14:textId="77777777" w:rsidR="00F81CCA" w:rsidRDefault="00F81CCA" w:rsidP="00FC75AA">
      <w:r>
        <w:t>Autistic people were centrally involved in this project to ensure that the research was informed by lived experience and grounded in the priorities of the community it seeks to represent. Involvement was organised through an advisory group comprising LGBTQIA+ Autistic adults,</w:t>
      </w:r>
      <w:r w:rsidR="00A06E62">
        <w:t xml:space="preserve"> and representatives of NeuroPride Ireland and Thriving Autistic,</w:t>
      </w:r>
      <w:r>
        <w:t xml:space="preserve"> who contributed at multiple stages of the project. This involvement was guided by participatory and ethical research principles, ensuring accessibility, informed consent, and respect for neurodivergent communication preferences. </w:t>
      </w:r>
    </w:p>
    <w:p w14:paraId="1F4FC433" w14:textId="77777777" w:rsidR="00F81CCA" w:rsidRDefault="00F81CCA" w:rsidP="00FC75AA">
      <w:r>
        <w:t>Advisory group members informed the development of the scoping review questions, the creation of a lived experience informed search strategy, the interpretation of findings, and the design of the wider project’s work packages. Their input also shaped plans for accessible dissemination, including a plain language summary and an animated video to share findings with LGBTQIA+ Autistic communities, policymakers, and practitioners.</w:t>
      </w:r>
    </w:p>
    <w:p w14:paraId="5226A507" w14:textId="77777777" w:rsidR="00453616" w:rsidRDefault="68FCC199" w:rsidP="00FC75AA">
      <w:pPr>
        <w:pStyle w:val="Heading2"/>
      </w:pPr>
      <w:bookmarkStart w:id="60" w:name="_Toc211371238"/>
      <w:bookmarkStart w:id="61" w:name="_Toc214026537"/>
      <w:r>
        <w:t>Protocol</w:t>
      </w:r>
      <w:bookmarkEnd w:id="60"/>
      <w:bookmarkEnd w:id="61"/>
    </w:p>
    <w:p w14:paraId="2F95E8D7" w14:textId="77777777" w:rsidR="00FD75EB" w:rsidRDefault="00FD75EB" w:rsidP="00FC75AA">
      <w:r>
        <w:t>A protocol was developed and published</w:t>
      </w:r>
      <w:r w:rsidR="3AAC5B29" w:rsidRPr="35B1F5D1">
        <w:rPr>
          <w:rStyle w:val="FootnoteReference"/>
        </w:rPr>
        <w:t>4</w:t>
      </w:r>
      <w:r>
        <w:t xml:space="preserve"> for this review through Open Science Framework </w:t>
      </w:r>
      <w:r w:rsidR="21EBD6BB">
        <w:t>and is available at</w:t>
      </w:r>
      <w:r>
        <w:t xml:space="preserve"> </w:t>
      </w:r>
      <w:hyperlink r:id="rId16" w:tgtFrame="_self" w:history="1">
        <w:r w:rsidR="00F46136">
          <w:rPr>
            <w:rStyle w:val="Hyperlink"/>
            <w:rFonts w:ascii="Open Sans" w:hAnsi="Open Sans" w:cs="Open Sans"/>
            <w:color w:val="337AB7"/>
            <w:sz w:val="21"/>
            <w:szCs w:val="21"/>
            <w:shd w:val="clear" w:color="auto" w:fill="FFFFFF"/>
          </w:rPr>
          <w:t>https://doi.org/10.17605/OSF.IO/SHBT4</w:t>
        </w:r>
      </w:hyperlink>
      <w:r>
        <w:t>.</w:t>
      </w:r>
    </w:p>
    <w:p w14:paraId="25125E24" w14:textId="77777777" w:rsidR="00453616" w:rsidRDefault="68FCC199" w:rsidP="00FC75AA">
      <w:pPr>
        <w:pStyle w:val="Heading2"/>
      </w:pPr>
      <w:bookmarkStart w:id="62" w:name="_Toc211371239"/>
      <w:bookmarkStart w:id="63" w:name="_Toc214026538"/>
      <w:r>
        <w:t>Eligibility Criteria</w:t>
      </w:r>
      <w:bookmarkEnd w:id="62"/>
      <w:bookmarkEnd w:id="63"/>
    </w:p>
    <w:p w14:paraId="4CB26358" w14:textId="77777777" w:rsidR="00217524" w:rsidRDefault="00217524" w:rsidP="00FC75AA">
      <w:r>
        <w:t xml:space="preserve">Study eligibility for this review was determined in advance using the </w:t>
      </w:r>
      <w:r w:rsidR="00E5709A">
        <w:t>Sample, Phenomenon of Interest, Design, Evaluation, Research</w:t>
      </w:r>
      <w:r>
        <w:t xml:space="preserve"> framework</w:t>
      </w:r>
      <w:r w:rsidR="7362CE80">
        <w:t>.</w:t>
      </w:r>
      <w:r w:rsidR="00406C58" w:rsidRPr="00406C58">
        <w:rPr>
          <w:color w:val="000000"/>
          <w:vertAlign w:val="superscript"/>
        </w:rPr>
        <w:t>51</w:t>
      </w:r>
      <w:r>
        <w:t xml:space="preserve"> The review included studies examining the healthcare experiences of individuals identifying as both </w:t>
      </w:r>
      <w:r w:rsidR="5C64CAD9">
        <w:t>LGBTQIA+</w:t>
      </w:r>
      <w:r w:rsidR="625E0BD1">
        <w:t xml:space="preserve"> and </w:t>
      </w:r>
      <w:r w:rsidR="6F22485B">
        <w:t>A</w:t>
      </w:r>
      <w:r w:rsidR="625E0BD1">
        <w:t>utistic.</w:t>
      </w:r>
      <w:r>
        <w:t xml:space="preserve"> Eligible studies contained participants of any age or gender identity and </w:t>
      </w:r>
      <w:r w:rsidR="00844F4D">
        <w:t>focused</w:t>
      </w:r>
      <w:r>
        <w:t xml:space="preserve"> on</w:t>
      </w:r>
      <w:r w:rsidR="005C04DD">
        <w:t xml:space="preserve"> health disparities or</w:t>
      </w:r>
      <w:r>
        <w:t xml:space="preserve"> healthcare interactions, including but not limited to mental health, primary care, sexual health, and specialist services. </w:t>
      </w:r>
    </w:p>
    <w:p w14:paraId="7299FFC2" w14:textId="77777777" w:rsidR="00CC7382" w:rsidRDefault="6E6464D0" w:rsidP="00FC75AA">
      <w:r>
        <w:t xml:space="preserve">Studies were excluded if they addressed only </w:t>
      </w:r>
      <w:r w:rsidR="58CB1639">
        <w:t>LGBTQIA+</w:t>
      </w:r>
      <w:r>
        <w:t xml:space="preserve"> or only </w:t>
      </w:r>
      <w:r w:rsidR="05658DAE">
        <w:t>A</w:t>
      </w:r>
      <w:r w:rsidR="23C7053D">
        <w:t>utistic</w:t>
      </w:r>
      <w:r>
        <w:t xml:space="preserve"> populations, or if they did not examine healthcare experiences or interventions directly related to healthcare interactions. In addition, commentary, editorials, reviews, books, and theses or dissertations were excluded. </w:t>
      </w:r>
      <w:r w:rsidR="00CC7382">
        <w:t xml:space="preserve">Any review studies </w:t>
      </w:r>
      <w:r w:rsidR="00CC7382">
        <w:lastRenderedPageBreak/>
        <w:t>which aligned with eligibility criteria was hand searched to identify additional studies for inclusion.</w:t>
      </w:r>
    </w:p>
    <w:p w14:paraId="18F598AF" w14:textId="77777777" w:rsidR="00453616" w:rsidRDefault="6E6464D0" w:rsidP="00FC75AA">
      <w:pPr>
        <w:rPr>
          <w:highlight w:val="yellow"/>
        </w:rPr>
      </w:pPr>
      <w:r>
        <w:t xml:space="preserve">Full details of the eligibility criteria are presented in </w:t>
      </w:r>
      <w:r w:rsidR="00AC6D0B">
        <w:t>Appendix</w:t>
      </w:r>
      <w:r w:rsidR="16488CED">
        <w:t xml:space="preserve"> </w:t>
      </w:r>
      <w:r w:rsidR="004F193E">
        <w:t xml:space="preserve">Table </w:t>
      </w:r>
      <w:r w:rsidR="16488CED">
        <w:t>1</w:t>
      </w:r>
      <w:r w:rsidR="447C7F8E">
        <w:t>.</w:t>
      </w:r>
    </w:p>
    <w:p w14:paraId="20EF37EF" w14:textId="77777777" w:rsidR="00453616" w:rsidRDefault="02EA5500" w:rsidP="00FC75AA">
      <w:pPr>
        <w:pStyle w:val="Heading2"/>
      </w:pPr>
      <w:bookmarkStart w:id="64" w:name="_Toc211371240"/>
      <w:bookmarkStart w:id="65" w:name="_Toc214026539"/>
      <w:r>
        <w:t>Information Sources</w:t>
      </w:r>
      <w:bookmarkEnd w:id="64"/>
      <w:bookmarkEnd w:id="65"/>
    </w:p>
    <w:p w14:paraId="144194CF" w14:textId="77777777" w:rsidR="00DA1B17" w:rsidRPr="002F7E97" w:rsidRDefault="002A3600" w:rsidP="00FC75AA">
      <w:pPr>
        <w:rPr>
          <w:color w:val="000000"/>
          <w:vertAlign w:val="superscript"/>
        </w:rPr>
      </w:pPr>
      <w:r>
        <w:t>A systematic search was carried out across several academic databases, including Academic Search Complete, CINAHL Plus with Full Text, SOCIndex, PubMed, APA PsycArticles, APA PsycInfo, and Scopus. To maximise coverage, journals identified as having a substantial publication record on autistic research</w:t>
      </w:r>
      <w:r w:rsidR="004F193E">
        <w:t xml:space="preserve"> were </w:t>
      </w:r>
      <w:r w:rsidR="0035027A">
        <w:t>individually searched.</w:t>
      </w:r>
      <w:r w:rsidR="00406C58" w:rsidRPr="00406C58">
        <w:rPr>
          <w:rStyle w:val="CommentReference"/>
          <w:color w:val="000000"/>
          <w:vertAlign w:val="superscript"/>
        </w:rPr>
        <w:t>51</w:t>
      </w:r>
    </w:p>
    <w:p w14:paraId="32F67987" w14:textId="77777777" w:rsidR="002A3600" w:rsidRPr="002A3600" w:rsidRDefault="00DA1B17" w:rsidP="00FC75AA">
      <w:r>
        <w:t xml:space="preserve">A search was also conducted within the following grey literature databases: </w:t>
      </w:r>
      <w:r w:rsidR="008B45C5">
        <w:t>Bielefeld Academic Search Engine</w:t>
      </w:r>
      <w:r>
        <w:t xml:space="preserve">, WorldCat and Google Scholar. </w:t>
      </w:r>
      <w:r w:rsidR="002A3600">
        <w:t>Additionally, drawing on the bibliometric analysis</w:t>
      </w:r>
      <w:r w:rsidR="67AF4709">
        <w:t>,</w:t>
      </w:r>
      <w:r w:rsidR="00406C58" w:rsidRPr="00406C58">
        <w:rPr>
          <w:color w:val="000000"/>
          <w:vertAlign w:val="superscript"/>
        </w:rPr>
        <w:t>52</w:t>
      </w:r>
      <w:r w:rsidR="002A3600" w:rsidRPr="40F52016">
        <w:rPr>
          <w:rStyle w:val="SuperscriptRefChar"/>
        </w:rPr>
        <w:t xml:space="preserve"> </w:t>
      </w:r>
      <w:r w:rsidR="002A3600">
        <w:t xml:space="preserve">countries with a significant body of autistic research were identified. </w:t>
      </w:r>
      <w:r>
        <w:t>The g</w:t>
      </w:r>
      <w:r w:rsidR="002A3600">
        <w:t xml:space="preserve">overnment health departments, academic institutions, and community-based organisations engaged with </w:t>
      </w:r>
      <w:r w:rsidR="647714D7">
        <w:t>LGBTQIA+</w:t>
      </w:r>
      <w:r w:rsidR="47076FBD">
        <w:t xml:space="preserve"> </w:t>
      </w:r>
      <w:r w:rsidR="107BF7B4">
        <w:t>A</w:t>
      </w:r>
      <w:r w:rsidR="47076FBD">
        <w:t>utistic</w:t>
      </w:r>
      <w:r w:rsidR="002A3600">
        <w:t xml:space="preserve"> populations in these countries</w:t>
      </w:r>
      <w:r>
        <w:t xml:space="preserve"> were identified and a targeted website search undertaken</w:t>
      </w:r>
      <w:r w:rsidR="002A3600">
        <w:t>.  Further guidance was sought from PPI Contributors, Neuro</w:t>
      </w:r>
      <w:r w:rsidR="00BE5006">
        <w:t xml:space="preserve"> </w:t>
      </w:r>
      <w:r w:rsidR="002A3600">
        <w:t>Pride Ireland and Thriving Autistic, who highlighted additional countries and organisations that warranted inclusion.</w:t>
      </w:r>
      <w:r w:rsidR="51886D20">
        <w:t xml:space="preserve"> A full list is presented in </w:t>
      </w:r>
      <w:r w:rsidR="00AC6D0B">
        <w:t>Appendix</w:t>
      </w:r>
      <w:r w:rsidR="51886D20">
        <w:t xml:space="preserve"> </w:t>
      </w:r>
      <w:r w:rsidR="004F193E">
        <w:t xml:space="preserve">Table </w:t>
      </w:r>
      <w:r w:rsidR="00B42A7A">
        <w:t>2</w:t>
      </w:r>
      <w:r w:rsidR="51886D20">
        <w:t>.</w:t>
      </w:r>
    </w:p>
    <w:p w14:paraId="34A10FF4" w14:textId="77777777" w:rsidR="0052331E" w:rsidRDefault="002A3600" w:rsidP="00FC75AA">
      <w:r>
        <w:t>In accordance with</w:t>
      </w:r>
      <w:r w:rsidR="00DA1B17">
        <w:t xml:space="preserve"> identified guidelines</w:t>
      </w:r>
      <w:r w:rsidR="4D08949B">
        <w:t>,</w:t>
      </w:r>
      <w:r w:rsidR="00406C58" w:rsidRPr="00406C58">
        <w:rPr>
          <w:color w:val="000000"/>
          <w:vertAlign w:val="superscript"/>
        </w:rPr>
        <w:t>53</w:t>
      </w:r>
      <w:r w:rsidR="00BE2F0A">
        <w:t xml:space="preserve"> </w:t>
      </w:r>
      <w:r>
        <w:t xml:space="preserve">clinical trial registries were also searched. These included ClinicalTrials.gov, the EU Clinical Trials Register, and the International Clinical Trials Registry Platform (ICTRP). The inclusion of these registries ensured that both ongoing and completed studies, which may not yet have appeared in peer-reviewed outlets, were captured. </w:t>
      </w:r>
      <w:bookmarkStart w:id="66" w:name="_Hlk211003978"/>
      <w:r>
        <w:t xml:space="preserve">This approach </w:t>
      </w:r>
      <w:r w:rsidR="00DB4AB2">
        <w:t xml:space="preserve">aimed to assist, where possible, </w:t>
      </w:r>
      <w:r>
        <w:t>the identification of current and emerging interventions, offering a more comprehensive picture of developments designed to improve healthcare experiences and reduce inequalities</w:t>
      </w:r>
      <w:bookmarkEnd w:id="66"/>
      <w:r>
        <w:t>.</w:t>
      </w:r>
    </w:p>
    <w:p w14:paraId="21EDCA4D" w14:textId="77777777" w:rsidR="00AD40FC" w:rsidRDefault="02EA5500" w:rsidP="00FC75AA">
      <w:pPr>
        <w:pStyle w:val="Heading2"/>
      </w:pPr>
      <w:bookmarkStart w:id="67" w:name="_Toc211371241"/>
      <w:bookmarkStart w:id="68" w:name="_Toc214026540"/>
      <w:r>
        <w:t>Search</w:t>
      </w:r>
      <w:bookmarkEnd w:id="67"/>
      <w:bookmarkEnd w:id="68"/>
    </w:p>
    <w:p w14:paraId="3A76AA77" w14:textId="77777777" w:rsidR="00487A3D" w:rsidRDefault="00487A3D" w:rsidP="00FC75AA">
      <w:r>
        <w:t>An initial scoping search of the literature was conducted to identify relevant keywords. These keywords included: LGBTQI+; Autism; and Health. Synonyms of these terms were identified and cross checked by members of the research team and PPI advisory group. Following this a meeting with a search librarian was arranged to review the search strategy in its entirety. Feedback was incorporated to the search strategy following this meeting and a subsequent PRESS Checklist</w:t>
      </w:r>
      <w:r w:rsidR="00406C58" w:rsidRPr="00406C58">
        <w:rPr>
          <w:color w:val="000000"/>
          <w:vertAlign w:val="superscript"/>
        </w:rPr>
        <w:t>54</w:t>
      </w:r>
      <w:r>
        <w:t xml:space="preserve"> was completed by a member of the research team who was not involved in the creation of the search strategy. Further feedback was incorporated at this </w:t>
      </w:r>
      <w:r w:rsidR="002F2C15">
        <w:t>stage,</w:t>
      </w:r>
      <w:r>
        <w:t xml:space="preserve"> and the search strategy finalised. This can be found in </w:t>
      </w:r>
      <w:r w:rsidR="00702C1F">
        <w:t xml:space="preserve">Appendix </w:t>
      </w:r>
      <w:r w:rsidR="00B42A7A">
        <w:t>Table 1.</w:t>
      </w:r>
      <w:r>
        <w:t xml:space="preserve"> </w:t>
      </w:r>
    </w:p>
    <w:p w14:paraId="75765D6F" w14:textId="77777777" w:rsidR="00487A3D" w:rsidRDefault="00487A3D" w:rsidP="00FC75AA">
      <w:r>
        <w:lastRenderedPageBreak/>
        <w:t xml:space="preserve">The </w:t>
      </w:r>
      <w:r w:rsidR="00DA1B17">
        <w:t>scoping searches</w:t>
      </w:r>
      <w:r>
        <w:t xml:space="preserve"> were subsequently </w:t>
      </w:r>
      <w:r w:rsidR="00DA1B17">
        <w:t>conducted</w:t>
      </w:r>
      <w:r>
        <w:t xml:space="preserve"> on </w:t>
      </w:r>
      <w:r w:rsidR="00DA1B17">
        <w:t>July 10</w:t>
      </w:r>
      <w:r w:rsidR="00DA1B17" w:rsidRPr="00DA1B17">
        <w:rPr>
          <w:vertAlign w:val="superscript"/>
        </w:rPr>
        <w:t>th</w:t>
      </w:r>
      <w:r w:rsidR="36F5187E">
        <w:t>, 2025</w:t>
      </w:r>
      <w:r w:rsidR="29881061">
        <w:t>.</w:t>
      </w:r>
      <w:r>
        <w:t xml:space="preserve"> Smart searching techniques, truncation and phrase searching, were employed in conjunction with Boolean Operators, AND, OR. </w:t>
      </w:r>
      <w:r w:rsidR="003E3495">
        <w:t xml:space="preserve">Medical Subject </w:t>
      </w:r>
      <w:r w:rsidR="003E3495" w:rsidRPr="009D0924">
        <w:t>Headings</w:t>
      </w:r>
      <w:r>
        <w:t xml:space="preserve"> were searched and combined where possible. No limits were applied to ensure brevity of the subject area. Hand searching and citation chasing was completed.</w:t>
      </w:r>
    </w:p>
    <w:p w14:paraId="58EB7318" w14:textId="77777777" w:rsidR="00487A3D" w:rsidRDefault="00487A3D" w:rsidP="00FC75AA">
      <w:r>
        <w:t xml:space="preserve">Grey literature databases </w:t>
      </w:r>
      <w:r w:rsidR="0052331E">
        <w:t>were searched using the keywords, synonyms and smart searching techniques where possible. An additional targeted search of pre-identified key websites was conducted using the keywords.</w:t>
      </w:r>
    </w:p>
    <w:p w14:paraId="5BAB3EA7" w14:textId="77777777" w:rsidR="00487A3D" w:rsidRDefault="0052331E" w:rsidP="00FC75AA">
      <w:r>
        <w:t>An additional search of clinical trial registries was also conducted</w:t>
      </w:r>
      <w:r w:rsidR="2687C8ED">
        <w:t>.</w:t>
      </w:r>
      <w:r w:rsidR="00406C58" w:rsidRPr="00406C58">
        <w:rPr>
          <w:color w:val="000000"/>
          <w:vertAlign w:val="superscript"/>
        </w:rPr>
        <w:t>53</w:t>
      </w:r>
      <w:r w:rsidR="2687C8ED" w:rsidRPr="40F52016">
        <w:rPr>
          <w:rStyle w:val="SuperscriptRefChar"/>
        </w:rPr>
        <w:t xml:space="preserve"> </w:t>
      </w:r>
      <w:r>
        <w:t xml:space="preserve">As per these guidelines the following key terms were searched: LGBTQIA+, Autism, and Health. </w:t>
      </w:r>
    </w:p>
    <w:p w14:paraId="538F6BD3" w14:textId="77777777" w:rsidR="00AD40FC" w:rsidRDefault="02EA5500" w:rsidP="00FC75AA">
      <w:pPr>
        <w:pStyle w:val="Heading2"/>
      </w:pPr>
      <w:bookmarkStart w:id="69" w:name="_Toc211371242"/>
      <w:bookmarkStart w:id="70" w:name="_Toc214026541"/>
      <w:r>
        <w:t>Selection of Sources of Evidence</w:t>
      </w:r>
      <w:bookmarkEnd w:id="69"/>
      <w:bookmarkEnd w:id="70"/>
    </w:p>
    <w:p w14:paraId="402871B7" w14:textId="77777777" w:rsidR="003B0F3A" w:rsidRDefault="003B0F3A" w:rsidP="00FC75AA">
      <w:r>
        <w:t>All records were imported to Covidence</w:t>
      </w:r>
      <w:r w:rsidR="00406C58" w:rsidRPr="00406C58">
        <w:rPr>
          <w:color w:val="000000"/>
          <w:vertAlign w:val="superscript"/>
        </w:rPr>
        <w:t>55</w:t>
      </w:r>
      <w:r w:rsidR="00EC32B4">
        <w:t xml:space="preserve"> a record management software that supports screening and extraction. Initially a Title and Abstract screening procedure was conducted by members of the research team whereby each record required two independent votes to proceed. Any conflicts that occurred between the researchers during screening was resolved by a third researcher not involved in the original decision. Following this screening stage a subsequent Full Text screening stage was conducted whereby two members of the research team were required to review the full text of a record independently and decide if it meets the predetermined eligibility criteria. </w:t>
      </w:r>
    </w:p>
    <w:p w14:paraId="6A9F612E" w14:textId="77777777" w:rsidR="00AD40FC" w:rsidRDefault="02EA5500" w:rsidP="00FC75AA">
      <w:pPr>
        <w:pStyle w:val="Heading2"/>
      </w:pPr>
      <w:bookmarkStart w:id="71" w:name="_Toc211371243"/>
      <w:bookmarkStart w:id="72" w:name="_Toc214026542"/>
      <w:r>
        <w:t>Data Charting</w:t>
      </w:r>
      <w:bookmarkEnd w:id="71"/>
      <w:bookmarkEnd w:id="72"/>
    </w:p>
    <w:p w14:paraId="7F600A88" w14:textId="77777777" w:rsidR="001063E4" w:rsidRDefault="60251647" w:rsidP="00FC75AA">
      <w:r>
        <w:t>Data from the included studies were charted using a standardised extraction table. The table captured key study characteristics, including author, year, country, sample size and identity descriptors, study design and analytic approach. Key findings were also categorised in this table based on the review objectives, under headings health disparities</w:t>
      </w:r>
      <w:r w:rsidR="67909C25">
        <w:t xml:space="preserve"> and</w:t>
      </w:r>
      <w:r w:rsidR="00A37F5C">
        <w:t xml:space="preserve"> </w:t>
      </w:r>
      <w:r>
        <w:t xml:space="preserve">barriers and facilitators. </w:t>
      </w:r>
      <w:r w:rsidR="008B55CF">
        <w:t xml:space="preserve">An additional column was created for interventions however </w:t>
      </w:r>
      <w:r w:rsidR="00C4236B">
        <w:t xml:space="preserve">no data was identified for extraction to this section. </w:t>
      </w:r>
      <w:r>
        <w:t xml:space="preserve">Initial extraction was carried out by four members of the team, and a subsequent cross checking of the entries to ensure accuracy and consistency. Details of extraction can be found in </w:t>
      </w:r>
      <w:r w:rsidR="004F193E">
        <w:t xml:space="preserve">Appendix </w:t>
      </w:r>
      <w:r w:rsidR="16488CED">
        <w:t>Table 3</w:t>
      </w:r>
      <w:r w:rsidR="2986BC80">
        <w:t>.</w:t>
      </w:r>
    </w:p>
    <w:p w14:paraId="22810808" w14:textId="77777777" w:rsidR="00AD40FC" w:rsidRDefault="02EA5500" w:rsidP="00FC75AA">
      <w:pPr>
        <w:pStyle w:val="Heading2"/>
      </w:pPr>
      <w:bookmarkStart w:id="73" w:name="_Toc211371244"/>
      <w:bookmarkStart w:id="74" w:name="_Toc214026543"/>
      <w:r>
        <w:t>Critical Appraisal</w:t>
      </w:r>
      <w:bookmarkEnd w:id="73"/>
      <w:bookmarkEnd w:id="74"/>
    </w:p>
    <w:p w14:paraId="4B1DE1DD" w14:textId="77777777" w:rsidR="00E05009" w:rsidRDefault="00E05009" w:rsidP="00FC75AA">
      <w:r>
        <w:t>The Mixed Methods Appraisal Tool</w:t>
      </w:r>
      <w:r w:rsidR="00406C58" w:rsidRPr="00406C58">
        <w:rPr>
          <w:color w:val="000000"/>
          <w:vertAlign w:val="superscript"/>
        </w:rPr>
        <w:t>56</w:t>
      </w:r>
      <w:r>
        <w:t xml:space="preserve"> was employed to evaluate empirical studies encompassing qualitative, quantitative, and mixed</w:t>
      </w:r>
      <w:r w:rsidR="4BE8813D">
        <w:t xml:space="preserve"> </w:t>
      </w:r>
      <w:r>
        <w:t xml:space="preserve">methods designs. The </w:t>
      </w:r>
      <w:r w:rsidR="00F009DE">
        <w:t>Mixed Methods Appraisal Tool</w:t>
      </w:r>
      <w:r>
        <w:t xml:space="preserve"> enabled the assessment of domains such as the suitability of the research design, the rigour of data collection and analysis, and the alignment between research aims and reported findings.</w:t>
      </w:r>
      <w:r w:rsidR="007B7F7A">
        <w:t xml:space="preserve"> </w:t>
      </w:r>
      <w:r w:rsidR="0087511F">
        <w:t xml:space="preserve">In line with the </w:t>
      </w:r>
      <w:r w:rsidR="006C4B7F">
        <w:t xml:space="preserve">guidelines </w:t>
      </w:r>
      <w:r w:rsidR="006C4B7F">
        <w:lastRenderedPageBreak/>
        <w:t>of the appraisal tool</w:t>
      </w:r>
      <w:r w:rsidR="00646C53">
        <w:t>,</w:t>
      </w:r>
      <w:r w:rsidR="00406C58" w:rsidRPr="00406C58">
        <w:rPr>
          <w:color w:val="000000"/>
          <w:vertAlign w:val="superscript"/>
        </w:rPr>
        <w:t>56,57</w:t>
      </w:r>
      <w:r w:rsidR="0087511F">
        <w:t xml:space="preserve"> </w:t>
      </w:r>
      <w:r w:rsidR="00DA0CA1">
        <w:t xml:space="preserve">studies were assessed on each domain </w:t>
      </w:r>
      <w:r w:rsidR="001175EF">
        <w:t xml:space="preserve">and were not </w:t>
      </w:r>
      <w:r w:rsidR="007071B9">
        <w:t>cumulatively as</w:t>
      </w:r>
      <w:r w:rsidR="0028082D">
        <w:t xml:space="preserve">signed ratings such as </w:t>
      </w:r>
      <w:r w:rsidR="006066B9">
        <w:t xml:space="preserve">low, medium, or high quality. </w:t>
      </w:r>
      <w:r w:rsidR="009C73A4">
        <w:t xml:space="preserve">Studies </w:t>
      </w:r>
      <w:r w:rsidR="00F65F83">
        <w:t>were not</w:t>
      </w:r>
      <w:r w:rsidR="009C73A4">
        <w:t xml:space="preserve"> excluded based on the outcomes of the </w:t>
      </w:r>
      <w:r w:rsidR="004A5F94">
        <w:t>Mixed Methods Appraisal Tool</w:t>
      </w:r>
      <w:r w:rsidR="009C73A4">
        <w:t xml:space="preserve"> items</w:t>
      </w:r>
      <w:r w:rsidR="00F65F83">
        <w:t>,</w:t>
      </w:r>
      <w:r w:rsidR="009C73A4">
        <w:t xml:space="preserve"> </w:t>
      </w:r>
      <w:r w:rsidR="00083399">
        <w:t>due to</w:t>
      </w:r>
      <w:r w:rsidR="00F65F83">
        <w:t xml:space="preserve"> the</w:t>
      </w:r>
      <w:r w:rsidR="009C73A4">
        <w:t xml:space="preserve"> overall expl</w:t>
      </w:r>
      <w:r w:rsidR="00083399">
        <w:t>or</w:t>
      </w:r>
      <w:r w:rsidR="009C73A4">
        <w:t>atory function of a scoping review.</w:t>
      </w:r>
      <w:r w:rsidR="00406C58" w:rsidRPr="00406C58">
        <w:rPr>
          <w:color w:val="000000"/>
          <w:vertAlign w:val="superscript"/>
        </w:rPr>
        <w:t>56,57</w:t>
      </w:r>
      <w:r w:rsidR="009C73A4">
        <w:t xml:space="preserve"> </w:t>
      </w:r>
      <w:r w:rsidR="00083399">
        <w:t>Instead, t</w:t>
      </w:r>
      <w:r w:rsidR="48F8E331">
        <w:t>he outcomes of the quality appraisals contextualise the quality of the studies, providi</w:t>
      </w:r>
      <w:r w:rsidR="5F8ABB0C">
        <w:t>ng</w:t>
      </w:r>
      <w:r w:rsidR="48F8E331">
        <w:t xml:space="preserve"> a descriptive overview of the methodological quality of the evidence base</w:t>
      </w:r>
      <w:r w:rsidR="55026557">
        <w:t xml:space="preserve">. </w:t>
      </w:r>
    </w:p>
    <w:p w14:paraId="546EB5A6" w14:textId="77777777" w:rsidR="00E05009" w:rsidRDefault="00E05009" w:rsidP="00FC75AA">
      <w:r>
        <w:t xml:space="preserve">For grey literature, the </w:t>
      </w:r>
      <w:r w:rsidR="00F009DE">
        <w:t xml:space="preserve">Authority, Accuracy, Coverage, Objectivity, Date, and Significance </w:t>
      </w:r>
      <w:r>
        <w:t>checklist</w:t>
      </w:r>
      <w:r w:rsidR="00406C58" w:rsidRPr="00406C58">
        <w:rPr>
          <w:color w:val="000000"/>
          <w:vertAlign w:val="superscript"/>
        </w:rPr>
        <w:t>58</w:t>
      </w:r>
      <w:r>
        <w:t xml:space="preserve"> was applied. This framework facilitated appraisal across six domains: Authority (credibility of the author or source), Accuracy (supporting evidence and referencing), Coverage (scope and comprehensiveness), Objectivity (potential bias and balance), Date (timeliness), and Significance (contribution and relevance to the field).</w:t>
      </w:r>
    </w:p>
    <w:p w14:paraId="363B7D64" w14:textId="77777777" w:rsidR="00AD40FC" w:rsidRPr="00453616" w:rsidRDefault="02EA5500" w:rsidP="00FC75AA">
      <w:pPr>
        <w:pStyle w:val="Heading2"/>
      </w:pPr>
      <w:bookmarkStart w:id="75" w:name="_Toc211371245"/>
      <w:bookmarkStart w:id="76" w:name="_Toc214026544"/>
      <w:r>
        <w:t>Synthesis</w:t>
      </w:r>
      <w:bookmarkEnd w:id="75"/>
      <w:bookmarkEnd w:id="76"/>
    </w:p>
    <w:p w14:paraId="2346483C" w14:textId="56D99AD9" w:rsidR="00DA1B17" w:rsidRPr="002F7E97" w:rsidRDefault="002F340A" w:rsidP="00FC75AA">
      <w:pPr>
        <w:rPr>
          <w:color w:val="000000"/>
          <w:vertAlign w:val="superscript"/>
        </w:rPr>
      </w:pPr>
      <w:bookmarkStart w:id="77" w:name="_Hlk210138861"/>
      <w:r>
        <w:t xml:space="preserve">A </w:t>
      </w:r>
      <w:bookmarkStart w:id="78" w:name="_Hlk210137847"/>
      <w:r>
        <w:t xml:space="preserve">convergent segregated approach </w:t>
      </w:r>
      <w:bookmarkEnd w:id="77"/>
      <w:r>
        <w:t xml:space="preserve">was employed to synthesise </w:t>
      </w:r>
      <w:bookmarkEnd w:id="78"/>
      <w:r>
        <w:t>the quantitative and qualitative evidence</w:t>
      </w:r>
      <w:r w:rsidR="42AA9B63">
        <w:t>.</w:t>
      </w:r>
      <w:r w:rsidR="00406C58" w:rsidRPr="00406C58">
        <w:rPr>
          <w:color w:val="000000"/>
          <w:vertAlign w:val="superscript"/>
        </w:rPr>
        <w:t>59</w:t>
      </w:r>
      <w:r>
        <w:t xml:space="preserve"> This method began with the independent synthesis of each data type, allowing the unique contributions of both qualitative and quantitative findings to be preserved</w:t>
      </w:r>
      <w:r w:rsidR="2B50A9B0">
        <w:t>.</w:t>
      </w:r>
      <w:r w:rsidR="00406C58" w:rsidRPr="00406C58">
        <w:rPr>
          <w:color w:val="000000"/>
          <w:vertAlign w:val="superscript"/>
        </w:rPr>
        <w:t>59</w:t>
      </w:r>
      <w:r>
        <w:t xml:space="preserve"> Given the heterogeneity across the included studies, a narrative summary was undertaken for both strands of evidence to ensure findings could be meaningfully represented. Once the separate narratives had been developed, the results were systematically compared to facilitate integration and highlight areas of convergence and divergence</w:t>
      </w:r>
      <w:r w:rsidR="5419A838">
        <w:t>.</w:t>
      </w:r>
      <w:r w:rsidR="00406C58" w:rsidRPr="00406C58">
        <w:rPr>
          <w:color w:val="000000"/>
          <w:vertAlign w:val="superscript"/>
        </w:rPr>
        <w:t>59</w:t>
      </w:r>
    </w:p>
    <w:p w14:paraId="5A4DF6A5" w14:textId="7DF59E6B" w:rsidR="005A279E" w:rsidRDefault="00F4278C" w:rsidP="00FC75AA">
      <w:r>
        <w:t>The convergent segregated approach</w:t>
      </w:r>
      <w:r w:rsidR="00406C58" w:rsidRPr="00406C58">
        <w:rPr>
          <w:color w:val="000000"/>
          <w:vertAlign w:val="superscript"/>
        </w:rPr>
        <w:t>59</w:t>
      </w:r>
      <w:r>
        <w:t xml:space="preserve"> enabled the integration of quantitative evidence on healthcare disparities with qualitative insights into lived experience, producing findings that are both empirically robust and contextually grounded. This synthesis strengthens the policy relevance of the research by generating actionable, equity-focused evidence to inform inclusive healthcare practice and reform.</w:t>
      </w:r>
    </w:p>
    <w:p w14:paraId="7BFBF167" w14:textId="3E111FCC" w:rsidR="00DA1B17" w:rsidRDefault="005A279E" w:rsidP="005A279E">
      <w:pPr>
        <w:spacing w:after="0"/>
      </w:pPr>
      <w:r>
        <w:br w:type="page"/>
      </w:r>
    </w:p>
    <w:p w14:paraId="0B68F7FA" w14:textId="31FD9F4A" w:rsidR="000F40A9" w:rsidRPr="001B5768" w:rsidRDefault="003C746D">
      <w:pPr>
        <w:spacing w:after="0"/>
      </w:pPr>
      <w:bookmarkStart w:id="79" w:name="_Toc1161215743"/>
      <w:bookmarkStart w:id="80" w:name="_Toc211371246"/>
      <w:r>
        <w:rPr>
          <w:noProof/>
        </w:rPr>
        <w:lastRenderedPageBreak/>
        <w:drawing>
          <wp:anchor distT="0" distB="0" distL="114300" distR="114300" simplePos="0" relativeHeight="251655168" behindDoc="0" locked="0" layoutInCell="1" allowOverlap="1" wp14:anchorId="63D8D406" wp14:editId="51016EF8">
            <wp:simplePos x="0" y="0"/>
            <wp:positionH relativeFrom="page">
              <wp:posOffset>-213227</wp:posOffset>
            </wp:positionH>
            <wp:positionV relativeFrom="paragraph">
              <wp:posOffset>-906100</wp:posOffset>
            </wp:positionV>
            <wp:extent cx="8026400" cy="11358880"/>
            <wp:effectExtent l="0" t="0" r="0" b="0"/>
            <wp:wrapNone/>
            <wp:docPr id="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0" cy="1135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68">
        <w:br w:type="page"/>
      </w:r>
    </w:p>
    <w:p w14:paraId="54FDF987" w14:textId="77777777" w:rsidR="00F6735D" w:rsidRDefault="42891151" w:rsidP="001B5768">
      <w:pPr>
        <w:pStyle w:val="Heading1"/>
        <w:ind w:left="0"/>
      </w:pPr>
      <w:bookmarkStart w:id="81" w:name="_Toc214026545"/>
      <w:r>
        <w:lastRenderedPageBreak/>
        <w:t>Section</w:t>
      </w:r>
      <w:r w:rsidR="335C8B69">
        <w:t xml:space="preserve"> 3 </w:t>
      </w:r>
      <w:r w:rsidR="3C92F21B">
        <w:t>Results</w:t>
      </w:r>
      <w:bookmarkEnd w:id="79"/>
      <w:bookmarkEnd w:id="80"/>
      <w:bookmarkEnd w:id="81"/>
    </w:p>
    <w:p w14:paraId="2E5A835D" w14:textId="77777777" w:rsidR="001C714B" w:rsidRDefault="4958B12B" w:rsidP="00FC75AA">
      <w:pPr>
        <w:pStyle w:val="Heading2"/>
      </w:pPr>
      <w:bookmarkStart w:id="82" w:name="_Toc812714791"/>
      <w:bookmarkStart w:id="83" w:name="_Toc211371247"/>
      <w:bookmarkStart w:id="84" w:name="_Toc214026546"/>
      <w:r>
        <w:t>Study Selection</w:t>
      </w:r>
      <w:bookmarkEnd w:id="82"/>
      <w:bookmarkEnd w:id="83"/>
      <w:bookmarkEnd w:id="84"/>
    </w:p>
    <w:p w14:paraId="616E6006" w14:textId="77777777" w:rsidR="00F6735D" w:rsidRDefault="356680B6" w:rsidP="00FC75AA">
      <w:r>
        <w:t>Following a comprehensive search</w:t>
      </w:r>
      <w:r w:rsidR="7C2CAC03">
        <w:t>,</w:t>
      </w:r>
      <w:r>
        <w:t xml:space="preserve"> 1</w:t>
      </w:r>
      <w:r w:rsidR="08503266">
        <w:t>,</w:t>
      </w:r>
      <w:r>
        <w:t xml:space="preserve">981 records were imported into Covidence. </w:t>
      </w:r>
      <w:r w:rsidR="659222B3">
        <w:t>Of these</w:t>
      </w:r>
      <w:r w:rsidR="28B9D2DA">
        <w:t>,</w:t>
      </w:r>
      <w:r w:rsidR="659222B3">
        <w:t xml:space="preserve"> 711 duplicates were removed by Covidence and a further 16 </w:t>
      </w:r>
      <w:r w:rsidR="38B8EAA3">
        <w:t xml:space="preserve">duplicates </w:t>
      </w:r>
      <w:r w:rsidR="659222B3">
        <w:t xml:space="preserve">were identified manually </w:t>
      </w:r>
      <w:r w:rsidR="332E2CD1">
        <w:t>via screening by members of the research team</w:t>
      </w:r>
      <w:r w:rsidR="659222B3">
        <w:t xml:space="preserve">. The remaining </w:t>
      </w:r>
      <w:r w:rsidR="568C45DF">
        <w:t>1</w:t>
      </w:r>
      <w:r w:rsidR="3D02ED20">
        <w:t>,</w:t>
      </w:r>
      <w:r w:rsidR="568C45DF">
        <w:t>254</w:t>
      </w:r>
      <w:r w:rsidR="659222B3">
        <w:t xml:space="preserve"> </w:t>
      </w:r>
      <w:r w:rsidR="6FF92AAD">
        <w:t>records</w:t>
      </w:r>
      <w:r w:rsidR="659222B3">
        <w:t xml:space="preserve"> were screened at Title and Abstract </w:t>
      </w:r>
      <w:r w:rsidR="375F3E88">
        <w:t xml:space="preserve">based on </w:t>
      </w:r>
      <w:r w:rsidR="456B9DAA">
        <w:t>pre-determined</w:t>
      </w:r>
      <w:r w:rsidR="375F3E88">
        <w:t xml:space="preserve"> eligibility criteria. </w:t>
      </w:r>
      <w:r w:rsidR="3F1D3100">
        <w:t xml:space="preserve">During this screening stage </w:t>
      </w:r>
      <w:r w:rsidR="4932F61A">
        <w:t>1</w:t>
      </w:r>
      <w:r w:rsidR="5596E6E6">
        <w:t>,</w:t>
      </w:r>
      <w:r w:rsidR="4932F61A">
        <w:t>143</w:t>
      </w:r>
      <w:r w:rsidR="3F1D3100">
        <w:t xml:space="preserve"> </w:t>
      </w:r>
      <w:r w:rsidR="6FF92AAD">
        <w:t>records</w:t>
      </w:r>
      <w:r w:rsidR="3F1D3100">
        <w:t xml:space="preserve"> were </w:t>
      </w:r>
      <w:r w:rsidR="1E14F532">
        <w:t>excluded</w:t>
      </w:r>
      <w:r w:rsidR="4D2940B3">
        <w:t xml:space="preserve"> and 111 records moved forward to the Full Text screening stage. </w:t>
      </w:r>
      <w:r w:rsidR="0A021E49">
        <w:t xml:space="preserve">This screening stage </w:t>
      </w:r>
      <w:r w:rsidR="408F3F7D">
        <w:t>saw</w:t>
      </w:r>
      <w:r w:rsidR="0A021E49">
        <w:t xml:space="preserve"> 79 additional records excluded due to not meeting the eligibility criteria.</w:t>
      </w:r>
      <w:r w:rsidR="3255E294">
        <w:t xml:space="preserve"> No further studies were identified through hand searching of identified review studies.</w:t>
      </w:r>
      <w:r w:rsidR="0A021E49">
        <w:t xml:space="preserve"> This resulted in 32 </w:t>
      </w:r>
      <w:r w:rsidR="6FF92AAD">
        <w:t>studies</w:t>
      </w:r>
      <w:r w:rsidR="0A021E49">
        <w:t xml:space="preserve"> being included </w:t>
      </w:r>
      <w:r w:rsidR="408F3F7D">
        <w:t xml:space="preserve">in the final review. Full details of the screening can be found in </w:t>
      </w:r>
      <w:r w:rsidR="2CF7957C">
        <w:t>Appendix</w:t>
      </w:r>
      <w:r w:rsidR="408F3F7D">
        <w:t xml:space="preserve"> </w:t>
      </w:r>
      <w:r w:rsidR="00B42A7A">
        <w:t>Figure 1.</w:t>
      </w:r>
    </w:p>
    <w:p w14:paraId="6266ACD4" w14:textId="77777777" w:rsidR="001C714B" w:rsidRPr="00F6735D" w:rsidRDefault="31C9BBBD" w:rsidP="00FC75AA">
      <w:pPr>
        <w:pStyle w:val="Heading2"/>
      </w:pPr>
      <w:bookmarkStart w:id="85" w:name="_Toc1318594886"/>
      <w:bookmarkStart w:id="86" w:name="_Toc211371248"/>
      <w:bookmarkStart w:id="87" w:name="_Toc214026547"/>
      <w:r>
        <w:t>Study Characteristics</w:t>
      </w:r>
      <w:bookmarkEnd w:id="85"/>
      <w:bookmarkEnd w:id="86"/>
      <w:bookmarkEnd w:id="87"/>
    </w:p>
    <w:p w14:paraId="18013B60" w14:textId="77777777" w:rsidR="00CA2F40" w:rsidRDefault="5E2192A8" w:rsidP="00FC75AA">
      <w:r>
        <w:t xml:space="preserve">Only one of the 32 included studies, published in 2024, was considered </w:t>
      </w:r>
      <w:r w:rsidR="35B5DDE9">
        <w:t>grey literature.</w:t>
      </w:r>
      <w:r w:rsidR="6353057C" w:rsidRPr="002F7E97">
        <w:rPr>
          <w:color w:val="000000"/>
          <w:vertAlign w:val="superscript"/>
        </w:rPr>
        <w:t>60</w:t>
      </w:r>
      <w:r w:rsidR="52DDC749">
        <w:t xml:space="preserve"> </w:t>
      </w:r>
      <w:r w:rsidR="35207825">
        <w:t>The included studies</w:t>
      </w:r>
      <w:r w:rsidR="02E3E66B">
        <w:t xml:space="preserve"> varied in their research design </w:t>
      </w:r>
      <w:r w:rsidR="7993E4EC">
        <w:t xml:space="preserve">with qualitative (n=20), </w:t>
      </w:r>
      <w:r w:rsidR="56304AB7">
        <w:t xml:space="preserve">quantitative (n=8), and </w:t>
      </w:r>
      <w:r w:rsidR="7834DCD7">
        <w:t>m</w:t>
      </w:r>
      <w:r w:rsidR="56304AB7">
        <w:t xml:space="preserve">ixed </w:t>
      </w:r>
      <w:r w:rsidR="7834DCD7">
        <w:t>m</w:t>
      </w:r>
      <w:r w:rsidR="56304AB7">
        <w:t>ethod (n=4)</w:t>
      </w:r>
      <w:r w:rsidR="7834DCD7">
        <w:t xml:space="preserve"> designs</w:t>
      </w:r>
      <w:r w:rsidR="56304AB7">
        <w:t xml:space="preserve"> being used. </w:t>
      </w:r>
      <w:r w:rsidR="71F43F13">
        <w:t>The</w:t>
      </w:r>
      <w:r w:rsidR="07816A03">
        <w:t xml:space="preserve"> majority of the studies were conducted in </w:t>
      </w:r>
      <w:r w:rsidR="2B941438">
        <w:t xml:space="preserve">single country sites including </w:t>
      </w:r>
      <w:r w:rsidR="07816A03">
        <w:t>the</w:t>
      </w:r>
      <w:r w:rsidR="5545B9FE">
        <w:t xml:space="preserve"> </w:t>
      </w:r>
      <w:r w:rsidR="20FA5ADB">
        <w:t>USA (n=15)</w:t>
      </w:r>
      <w:r w:rsidR="2B941438">
        <w:t>, t</w:t>
      </w:r>
      <w:r w:rsidR="580ED1F3">
        <w:t>he UK (n=9), Australia (n=4), Canada (n=1), Ireland (n=1)</w:t>
      </w:r>
      <w:r w:rsidR="2B941438">
        <w:t xml:space="preserve">. </w:t>
      </w:r>
      <w:r w:rsidR="5683EB8A">
        <w:t>The remaining studies were conducted in multi</w:t>
      </w:r>
      <w:r w:rsidR="10011B53">
        <w:t xml:space="preserve"> country sites included </w:t>
      </w:r>
      <w:r w:rsidR="6811F4AD">
        <w:t>UK, USA, Australia, Canada, Germany, Netherlands (n=1), and US</w:t>
      </w:r>
      <w:r w:rsidR="7ADFC9FE">
        <w:t>A</w:t>
      </w:r>
      <w:r w:rsidR="35207825">
        <w:t xml:space="preserve">, </w:t>
      </w:r>
      <w:r w:rsidR="6811F4AD">
        <w:t>Canada, UK, Germany</w:t>
      </w:r>
      <w:r w:rsidR="326CDCFE">
        <w:t xml:space="preserve">, </w:t>
      </w:r>
      <w:r w:rsidR="6811F4AD">
        <w:t xml:space="preserve">Norway, Australia, Netherlands (n=1). </w:t>
      </w:r>
    </w:p>
    <w:p w14:paraId="024F9D1B" w14:textId="77777777" w:rsidR="267172B8" w:rsidRDefault="267172B8" w:rsidP="00FC75AA">
      <w:r>
        <w:t>The publication date of the included studies ranged from 2019</w:t>
      </w:r>
      <w:r w:rsidR="00406C58" w:rsidRPr="00406C58">
        <w:rPr>
          <w:color w:val="000000"/>
          <w:vertAlign w:val="superscript"/>
        </w:rPr>
        <w:t>61</w:t>
      </w:r>
      <w:r>
        <w:t xml:space="preserve"> to 2025.</w:t>
      </w:r>
      <w:r w:rsidR="00406C58" w:rsidRPr="00406C58">
        <w:rPr>
          <w:color w:val="000000"/>
          <w:vertAlign w:val="superscript"/>
        </w:rPr>
        <w:t>62–64</w:t>
      </w:r>
      <w:r w:rsidR="52B01EFA">
        <w:t xml:space="preserve"> The median year of publication was 2023, the mean was 2023 (2022.4), and the most frequently occurring (mode) year was 2024.</w:t>
      </w:r>
    </w:p>
    <w:p w14:paraId="434AD65F" w14:textId="77777777" w:rsidR="00CA2F40" w:rsidRDefault="5B1725D7" w:rsidP="00FC75AA">
      <w:r>
        <w:t xml:space="preserve">The </w:t>
      </w:r>
      <w:bookmarkStart w:id="88" w:name="_Hlk210139796"/>
      <w:r>
        <w:t xml:space="preserve">primary population of focus </w:t>
      </w:r>
      <w:r w:rsidR="0BB55C62">
        <w:t xml:space="preserve">was </w:t>
      </w:r>
      <w:r w:rsidR="466A56DF">
        <w:t xml:space="preserve">transgender and gender diverse </w:t>
      </w:r>
      <w:bookmarkEnd w:id="88"/>
      <w:r w:rsidR="466A56DF">
        <w:t xml:space="preserve">(TGD) </w:t>
      </w:r>
      <w:r w:rsidR="2F0B25AA">
        <w:t>A</w:t>
      </w:r>
      <w:r w:rsidR="2703D25D">
        <w:t>utistic</w:t>
      </w:r>
      <w:r w:rsidR="466A56DF">
        <w:t xml:space="preserve"> adults (n=1</w:t>
      </w:r>
      <w:r w:rsidR="08912E1A">
        <w:t>4</w:t>
      </w:r>
      <w:r w:rsidR="466A56DF">
        <w:t xml:space="preserve">). Additionally, TGD </w:t>
      </w:r>
      <w:r w:rsidR="10DEDAFE">
        <w:t>A</w:t>
      </w:r>
      <w:r w:rsidR="2703D25D">
        <w:t>utistic</w:t>
      </w:r>
      <w:r w:rsidR="466A56DF">
        <w:t xml:space="preserve"> youth (n=7), LGBTQI</w:t>
      </w:r>
      <w:r w:rsidR="5F29FD26">
        <w:t>A</w:t>
      </w:r>
      <w:r w:rsidR="2703D25D">
        <w:t xml:space="preserve">+ </w:t>
      </w:r>
      <w:r w:rsidR="1646F401">
        <w:t>A</w:t>
      </w:r>
      <w:r w:rsidR="2703D25D">
        <w:t>utistic</w:t>
      </w:r>
      <w:r w:rsidR="466A56DF">
        <w:t xml:space="preserve"> people (n=6) and </w:t>
      </w:r>
      <w:r w:rsidR="1EB7143D">
        <w:t>A</w:t>
      </w:r>
      <w:r w:rsidR="2ACDBFC1">
        <w:t>utistic</w:t>
      </w:r>
      <w:r w:rsidR="48FFF836">
        <w:t xml:space="preserve"> people </w:t>
      </w:r>
      <w:r w:rsidR="6182D369">
        <w:t xml:space="preserve">where </w:t>
      </w:r>
      <w:r w:rsidR="04435989">
        <w:t>some participants identified as LGBTQI</w:t>
      </w:r>
      <w:r w:rsidR="04CE469A">
        <w:t>A</w:t>
      </w:r>
      <w:r w:rsidR="04435989">
        <w:t xml:space="preserve">+ </w:t>
      </w:r>
      <w:r w:rsidR="5D7E2DF6">
        <w:t xml:space="preserve">(n=5) were </w:t>
      </w:r>
      <w:r w:rsidR="3EB92E1D">
        <w:t xml:space="preserve">represented. </w:t>
      </w:r>
    </w:p>
    <w:p w14:paraId="290ED1E2" w14:textId="77777777" w:rsidR="76ABFA99" w:rsidRDefault="76ABFA99" w:rsidP="00FC75AA">
      <w:r>
        <w:t>The 32 studies spanned a range of healthcare settings, from system, policy and population</w:t>
      </w:r>
      <w:r w:rsidR="6E242CAC">
        <w:t xml:space="preserve"> </w:t>
      </w:r>
      <w:r>
        <w:t>level to</w:t>
      </w:r>
      <w:r w:rsidR="3C142E2E">
        <w:t xml:space="preserve"> non-service, community-based settings. </w:t>
      </w:r>
      <w:r w:rsidR="5EB6FFD4">
        <w:t>T</w:t>
      </w:r>
      <w:r w:rsidR="3C142E2E">
        <w:t>he studies set at the s</w:t>
      </w:r>
      <w:r w:rsidR="743BEBE1">
        <w:t>ystem, policy and population level (n=9)</w:t>
      </w:r>
      <w:r w:rsidR="3FF7BBC6">
        <w:t xml:space="preserve"> covered</w:t>
      </w:r>
      <w:r w:rsidR="743BEBE1">
        <w:t xml:space="preserve"> mental health</w:t>
      </w:r>
      <w:r w:rsidR="5A900355">
        <w:t xml:space="preserve"> services</w:t>
      </w:r>
      <w:r w:rsidR="008941ED">
        <w:t>,</w:t>
      </w:r>
      <w:r w:rsidR="00406C58" w:rsidRPr="00406C58">
        <w:rPr>
          <w:color w:val="000000"/>
          <w:vertAlign w:val="superscript"/>
        </w:rPr>
        <w:t>60,62,65</w:t>
      </w:r>
      <w:r w:rsidR="5A900355">
        <w:t xml:space="preserve"> general health services</w:t>
      </w:r>
      <w:r w:rsidR="008D02C3">
        <w:t>,</w:t>
      </w:r>
      <w:r w:rsidR="00406C58" w:rsidRPr="00406C58">
        <w:rPr>
          <w:color w:val="000000"/>
          <w:vertAlign w:val="superscript"/>
        </w:rPr>
        <w:t>60,65</w:t>
      </w:r>
      <w:r w:rsidR="270E5285">
        <w:t xml:space="preserve"> </w:t>
      </w:r>
      <w:r w:rsidR="5A900355">
        <w:t>service access</w:t>
      </w:r>
      <w:r w:rsidR="009E075F">
        <w:t>,</w:t>
      </w:r>
      <w:r w:rsidR="00406C58" w:rsidRPr="00406C58">
        <w:rPr>
          <w:color w:val="000000"/>
          <w:vertAlign w:val="superscript"/>
        </w:rPr>
        <w:t>65,66</w:t>
      </w:r>
      <w:r w:rsidR="5A900355">
        <w:t xml:space="preserve"> </w:t>
      </w:r>
      <w:r w:rsidR="767BDE88">
        <w:t>health outcomes</w:t>
      </w:r>
      <w:r w:rsidR="006D08FD">
        <w:t>,</w:t>
      </w:r>
      <w:r w:rsidR="00406C58" w:rsidRPr="00406C58">
        <w:rPr>
          <w:color w:val="000000"/>
          <w:vertAlign w:val="superscript"/>
        </w:rPr>
        <w:t>64,67</w:t>
      </w:r>
      <w:r w:rsidR="42CFF228">
        <w:t xml:space="preserve"> gender affirming care (GAC)</w:t>
      </w:r>
      <w:r w:rsidR="00091C75">
        <w:t>,</w:t>
      </w:r>
      <w:r w:rsidR="00406C58" w:rsidRPr="00406C58">
        <w:rPr>
          <w:color w:val="000000"/>
          <w:vertAlign w:val="superscript"/>
        </w:rPr>
        <w:t>62,66</w:t>
      </w:r>
      <w:r w:rsidR="42CFF228">
        <w:t xml:space="preserve"> unmet care needs</w:t>
      </w:r>
      <w:r w:rsidR="00A63250">
        <w:t>,</w:t>
      </w:r>
      <w:r w:rsidR="00406C58" w:rsidRPr="00406C58">
        <w:rPr>
          <w:color w:val="000000"/>
          <w:vertAlign w:val="superscript"/>
        </w:rPr>
        <w:t>68</w:t>
      </w:r>
      <w:r w:rsidR="767BDE88">
        <w:t xml:space="preserve"> </w:t>
      </w:r>
      <w:r w:rsidR="5A900355">
        <w:t>research priorities</w:t>
      </w:r>
      <w:r w:rsidR="008A30E1">
        <w:t>,</w:t>
      </w:r>
      <w:r w:rsidR="2F4FD1EA">
        <w:t xml:space="preserve"> </w:t>
      </w:r>
      <w:r w:rsidR="00406C58" w:rsidRPr="00406C58">
        <w:rPr>
          <w:color w:val="000000"/>
          <w:vertAlign w:val="superscript"/>
        </w:rPr>
        <w:t>69</w:t>
      </w:r>
      <w:r w:rsidR="474C2C7A">
        <w:t xml:space="preserve"> and</w:t>
      </w:r>
      <w:r w:rsidR="299DCB5F">
        <w:t xml:space="preserve"> </w:t>
      </w:r>
      <w:r w:rsidR="444377AE">
        <w:t>timing</w:t>
      </w:r>
      <w:r w:rsidR="0935F971">
        <w:t xml:space="preserve"> of Autism diagnoses</w:t>
      </w:r>
      <w:r w:rsidR="00B23D40">
        <w:t>.</w:t>
      </w:r>
      <w:r w:rsidR="00406C58" w:rsidRPr="00406C58">
        <w:rPr>
          <w:color w:val="000000"/>
          <w:vertAlign w:val="superscript"/>
        </w:rPr>
        <w:t>70</w:t>
      </w:r>
      <w:r w:rsidR="5A900355">
        <w:t xml:space="preserve"> </w:t>
      </w:r>
    </w:p>
    <w:p w14:paraId="38968DA3" w14:textId="77777777" w:rsidR="755BA2E1" w:rsidRDefault="00AD1758" w:rsidP="00FC75AA">
      <w:r>
        <w:t>The studies at the specialist or tertiary services level (n=12) covered</w:t>
      </w:r>
      <w:r w:rsidR="2E6140C3">
        <w:t xml:space="preserve"> gender dysphoria</w:t>
      </w:r>
      <w:r w:rsidR="00B825E3">
        <w:t>,</w:t>
      </w:r>
      <w:r w:rsidR="2E6140C3">
        <w:t xml:space="preserve"> </w:t>
      </w:r>
      <w:r w:rsidR="00406C58" w:rsidRPr="00406C58">
        <w:rPr>
          <w:color w:val="000000"/>
          <w:vertAlign w:val="superscript"/>
        </w:rPr>
        <w:t>71–75</w:t>
      </w:r>
      <w:r w:rsidR="5B306A70">
        <w:t xml:space="preserve"> gender-related healthcare</w:t>
      </w:r>
      <w:r w:rsidR="00FD27B6">
        <w:t>,</w:t>
      </w:r>
      <w:r w:rsidR="00406C58" w:rsidRPr="00406C58">
        <w:rPr>
          <w:color w:val="000000"/>
          <w:vertAlign w:val="superscript"/>
        </w:rPr>
        <w:t>76–78</w:t>
      </w:r>
      <w:r w:rsidR="5B306A70">
        <w:t xml:space="preserve"> service access</w:t>
      </w:r>
      <w:r w:rsidR="00326022">
        <w:t>,</w:t>
      </w:r>
      <w:r w:rsidR="00406C58" w:rsidRPr="00406C58">
        <w:rPr>
          <w:color w:val="000000"/>
          <w:vertAlign w:val="superscript"/>
        </w:rPr>
        <w:t>63,74,77</w:t>
      </w:r>
      <w:r w:rsidR="5B306A70">
        <w:t xml:space="preserve"> </w:t>
      </w:r>
      <w:r w:rsidR="2E533445">
        <w:t xml:space="preserve">healthcare </w:t>
      </w:r>
      <w:r w:rsidR="2E533445">
        <w:lastRenderedPageBreak/>
        <w:t>needs and preferences</w:t>
      </w:r>
      <w:r w:rsidR="009C2868">
        <w:t>,</w:t>
      </w:r>
      <w:r w:rsidR="00406C58" w:rsidRPr="00406C58">
        <w:rPr>
          <w:color w:val="000000"/>
          <w:vertAlign w:val="superscript"/>
        </w:rPr>
        <w:t>61,79</w:t>
      </w:r>
      <w:r w:rsidR="27D40A6D">
        <w:t xml:space="preserve"> disordered eating</w:t>
      </w:r>
      <w:r w:rsidR="00406C58" w:rsidRPr="00406C58">
        <w:rPr>
          <w:color w:val="000000"/>
          <w:vertAlign w:val="superscript"/>
        </w:rPr>
        <w:t>75</w:t>
      </w:r>
      <w:r w:rsidR="27206937">
        <w:t xml:space="preserve"> and</w:t>
      </w:r>
      <w:r w:rsidR="1061602A">
        <w:t xml:space="preserve"> chronic pain</w:t>
      </w:r>
      <w:r w:rsidR="00BC77FE">
        <w:t>.</w:t>
      </w:r>
      <w:r w:rsidR="00406C58" w:rsidRPr="00406C58">
        <w:rPr>
          <w:color w:val="000000"/>
          <w:vertAlign w:val="superscript"/>
        </w:rPr>
        <w:t>80</w:t>
      </w:r>
      <w:r w:rsidR="1061602A">
        <w:t xml:space="preserve"> </w:t>
      </w:r>
      <w:r w:rsidR="18848C55">
        <w:t>The studies at the primary care and community mental health level (n=4) covered general health services</w:t>
      </w:r>
      <w:r w:rsidR="006C31BA">
        <w:t>,</w:t>
      </w:r>
      <w:r w:rsidR="00406C58" w:rsidRPr="00406C58">
        <w:rPr>
          <w:color w:val="000000"/>
          <w:vertAlign w:val="superscript"/>
        </w:rPr>
        <w:t>81–83</w:t>
      </w:r>
      <w:r w:rsidR="18848C55">
        <w:t xml:space="preserve"> mental health services</w:t>
      </w:r>
      <w:r w:rsidR="00E36614">
        <w:t>,</w:t>
      </w:r>
      <w:r w:rsidR="00406C58" w:rsidRPr="00406C58">
        <w:rPr>
          <w:color w:val="000000"/>
          <w:vertAlign w:val="superscript"/>
        </w:rPr>
        <w:t>81–83</w:t>
      </w:r>
      <w:r w:rsidR="37350FC4">
        <w:t xml:space="preserve"> navigating health</w:t>
      </w:r>
      <w:r w:rsidR="00406C58" w:rsidRPr="00406C58">
        <w:rPr>
          <w:color w:val="000000"/>
          <w:vertAlign w:val="superscript"/>
        </w:rPr>
        <w:t>82,84</w:t>
      </w:r>
      <w:r w:rsidR="755BA2E1">
        <w:t xml:space="preserve"> and health outcomes</w:t>
      </w:r>
      <w:r w:rsidR="004F225C">
        <w:t>.</w:t>
      </w:r>
      <w:r w:rsidR="00406C58" w:rsidRPr="00406C58">
        <w:rPr>
          <w:color w:val="000000"/>
          <w:vertAlign w:val="superscript"/>
        </w:rPr>
        <w:t>84</w:t>
      </w:r>
      <w:r w:rsidR="00411AF1">
        <w:t xml:space="preserve"> </w:t>
      </w:r>
      <w:r w:rsidR="755BA2E1">
        <w:t xml:space="preserve">The studies at the non-service, community level (n=7) covered </w:t>
      </w:r>
      <w:r w:rsidR="5CF19E6F">
        <w:t>healthcare experiences</w:t>
      </w:r>
      <w:r w:rsidR="00A57B79">
        <w:t>,</w:t>
      </w:r>
      <w:r w:rsidR="00406C58" w:rsidRPr="00406C58">
        <w:rPr>
          <w:color w:val="000000"/>
          <w:vertAlign w:val="superscript"/>
        </w:rPr>
        <w:t>85</w:t>
      </w:r>
      <w:r w:rsidR="5CF19E6F">
        <w:t xml:space="preserve"> intersectional challenges</w:t>
      </w:r>
      <w:r w:rsidR="0063202F">
        <w:t>,</w:t>
      </w:r>
      <w:r w:rsidR="00406C58" w:rsidRPr="00406C58">
        <w:rPr>
          <w:color w:val="000000"/>
          <w:vertAlign w:val="superscript"/>
        </w:rPr>
        <w:t>78,86,87</w:t>
      </w:r>
      <w:r w:rsidR="5CF19E6F">
        <w:t xml:space="preserve"> resilience and resistance strategies</w:t>
      </w:r>
      <w:r w:rsidR="00733F3F">
        <w:t>,</w:t>
      </w:r>
      <w:r w:rsidR="00406C58" w:rsidRPr="00406C58">
        <w:rPr>
          <w:color w:val="000000"/>
          <w:vertAlign w:val="superscript"/>
        </w:rPr>
        <w:t>87,88</w:t>
      </w:r>
      <w:r w:rsidR="5CF19E6F">
        <w:t xml:space="preserve"> </w:t>
      </w:r>
      <w:r w:rsidR="32F217A2">
        <w:t>experiences of Autistic people not diagnosed in childhood</w:t>
      </w:r>
      <w:r w:rsidR="001A30CE">
        <w:t>,</w:t>
      </w:r>
      <w:r w:rsidR="00406C58" w:rsidRPr="00406C58">
        <w:rPr>
          <w:color w:val="000000"/>
          <w:vertAlign w:val="superscript"/>
        </w:rPr>
        <w:t>89</w:t>
      </w:r>
      <w:r w:rsidR="32F217A2">
        <w:t xml:space="preserve"> </w:t>
      </w:r>
      <w:r w:rsidR="60F5BB41">
        <w:t>gender-based impacts on health and wellbeing</w:t>
      </w:r>
      <w:r w:rsidR="008219B3">
        <w:t>,</w:t>
      </w:r>
      <w:r w:rsidR="00406C58" w:rsidRPr="00406C58">
        <w:rPr>
          <w:color w:val="000000"/>
          <w:vertAlign w:val="superscript"/>
        </w:rPr>
        <w:t>90</w:t>
      </w:r>
      <w:r w:rsidR="0384B767">
        <w:t xml:space="preserve"> gender dysphoria</w:t>
      </w:r>
      <w:r w:rsidR="00406C58" w:rsidRPr="00406C58">
        <w:rPr>
          <w:color w:val="000000"/>
          <w:vertAlign w:val="superscript"/>
        </w:rPr>
        <w:t>88</w:t>
      </w:r>
      <w:r w:rsidR="0384B767">
        <w:t xml:space="preserve"> </w:t>
      </w:r>
      <w:r w:rsidR="70406F5A">
        <w:t>and service access</w:t>
      </w:r>
      <w:r w:rsidR="008219B3">
        <w:t>.</w:t>
      </w:r>
      <w:r w:rsidR="70406F5A">
        <w:t xml:space="preserve"> </w:t>
      </w:r>
      <w:r w:rsidR="00406C58" w:rsidRPr="00406C58">
        <w:rPr>
          <w:color w:val="000000"/>
          <w:vertAlign w:val="superscript"/>
        </w:rPr>
        <w:t>78</w:t>
      </w:r>
    </w:p>
    <w:p w14:paraId="02C48B72" w14:textId="77777777" w:rsidR="00CA2F40" w:rsidRDefault="007D100E" w:rsidP="00FC75AA">
      <w:r>
        <w:t>Unfortunately,</w:t>
      </w:r>
      <w:r w:rsidR="3AAABCEF">
        <w:t xml:space="preserve"> no intervention</w:t>
      </w:r>
      <w:r>
        <w:t>-</w:t>
      </w:r>
      <w:r w:rsidR="3AAABCEF">
        <w:t xml:space="preserve">based studies were identified </w:t>
      </w:r>
      <w:r w:rsidR="2F2A8E58">
        <w:t xml:space="preserve">for inclusion </w:t>
      </w:r>
      <w:r w:rsidR="44E3E214">
        <w:t xml:space="preserve">in this review. </w:t>
      </w:r>
      <w:r w:rsidR="1FC01BFB">
        <w:t xml:space="preserve">Several studies </w:t>
      </w:r>
      <w:r w:rsidR="2F95453A">
        <w:t>us</w:t>
      </w:r>
      <w:r w:rsidR="1FC01BFB">
        <w:t xml:space="preserve">ed action research </w:t>
      </w:r>
      <w:r w:rsidR="4C8D2A63">
        <w:t>or participatory approaches</w:t>
      </w:r>
      <w:r w:rsidR="0B75003B">
        <w:t xml:space="preserve"> (n=4), which tended to centre lived experiences. Approaches included participatory workshops</w:t>
      </w:r>
      <w:r w:rsidR="008728A4">
        <w:t>,</w:t>
      </w:r>
      <w:r w:rsidR="00406C58" w:rsidRPr="00406C58">
        <w:rPr>
          <w:color w:val="000000"/>
          <w:vertAlign w:val="superscript"/>
        </w:rPr>
        <w:t>60,61</w:t>
      </w:r>
      <w:r w:rsidR="217A86F5">
        <w:t xml:space="preserve"> co-design workshops</w:t>
      </w:r>
      <w:r w:rsidR="008C4930">
        <w:t>,</w:t>
      </w:r>
      <w:r w:rsidR="00406C58" w:rsidRPr="00406C58">
        <w:rPr>
          <w:color w:val="000000"/>
          <w:vertAlign w:val="superscript"/>
        </w:rPr>
        <w:t>60</w:t>
      </w:r>
      <w:r w:rsidR="02A76090">
        <w:t xml:space="preserve"> </w:t>
      </w:r>
      <w:r w:rsidR="1B65EE16">
        <w:t xml:space="preserve">a </w:t>
      </w:r>
      <w:r w:rsidR="02A76090">
        <w:t>participatory action focus group</w:t>
      </w:r>
      <w:r w:rsidR="00406C58" w:rsidRPr="00406C58">
        <w:rPr>
          <w:color w:val="000000"/>
          <w:vertAlign w:val="superscript"/>
        </w:rPr>
        <w:t>78</w:t>
      </w:r>
      <w:r w:rsidR="02A76090">
        <w:t xml:space="preserve"> and </w:t>
      </w:r>
      <w:r w:rsidR="41F18351">
        <w:t>iterative stakeholder development of</w:t>
      </w:r>
      <w:r w:rsidR="45532AC0">
        <w:t xml:space="preserve"> a</w:t>
      </w:r>
      <w:r w:rsidR="41F18351">
        <w:t xml:space="preserve"> needs assessment</w:t>
      </w:r>
      <w:r w:rsidR="00460AF9">
        <w:t>.</w:t>
      </w:r>
      <w:r w:rsidR="00406C58" w:rsidRPr="00406C58">
        <w:rPr>
          <w:color w:val="000000"/>
          <w:vertAlign w:val="superscript"/>
        </w:rPr>
        <w:t>83</w:t>
      </w:r>
    </w:p>
    <w:p w14:paraId="4926571A" w14:textId="77777777" w:rsidR="00666520" w:rsidRPr="00F6735D" w:rsidRDefault="44148812" w:rsidP="00FC75AA">
      <w:pPr>
        <w:pStyle w:val="Heading2"/>
      </w:pPr>
      <w:bookmarkStart w:id="89" w:name="_Toc1176186777"/>
      <w:bookmarkStart w:id="90" w:name="_Toc211371249"/>
      <w:bookmarkStart w:id="91" w:name="_Toc214026548"/>
      <w:r>
        <w:t>Quality Appraisal</w:t>
      </w:r>
      <w:bookmarkEnd w:id="89"/>
      <w:bookmarkEnd w:id="90"/>
      <w:bookmarkEnd w:id="91"/>
    </w:p>
    <w:p w14:paraId="5EE84D3F" w14:textId="77777777" w:rsidR="00B65129" w:rsidRDefault="47F18A85" w:rsidP="7B7F598E">
      <w:r>
        <w:t>Of the 32 studies included, 31 were</w:t>
      </w:r>
      <w:r w:rsidR="3D6A6AA3">
        <w:t xml:space="preserve"> </w:t>
      </w:r>
      <w:r>
        <w:t>assessed using the Mixed Methods Appraisal Tool (MMAT)</w:t>
      </w:r>
      <w:r w:rsidR="6353057C" w:rsidRPr="002F7E97">
        <w:rPr>
          <w:color w:val="000000"/>
          <w:vertAlign w:val="superscript"/>
        </w:rPr>
        <w:t>56</w:t>
      </w:r>
      <w:r>
        <w:t xml:space="preserve"> quality appraisal tool, and one was assessed using the Authority, Accuracy, Coverage, Objectivity, Date, And Significance </w:t>
      </w:r>
      <w:r w:rsidR="6E9612CC">
        <w:t>(AACODS)</w:t>
      </w:r>
      <w:r>
        <w:t xml:space="preserve"> checklist.</w:t>
      </w:r>
      <w:r w:rsidR="6353057C" w:rsidRPr="002F7E97">
        <w:rPr>
          <w:color w:val="000000"/>
          <w:vertAlign w:val="superscript"/>
        </w:rPr>
        <w:t>58</w:t>
      </w:r>
      <w:r w:rsidR="02332D0D">
        <w:t>23</w:t>
      </w:r>
      <w:r w:rsidR="214B4FA3">
        <w:t xml:space="preserve"> receiv</w:t>
      </w:r>
      <w:r w:rsidR="62C5F8E5">
        <w:t>ed</w:t>
      </w:r>
      <w:r w:rsidR="214B4FA3">
        <w:t xml:space="preserve"> exclusively Yes outcomes across their relative parameters. </w:t>
      </w:r>
      <w:r w:rsidR="50837DBF">
        <w:t>A further</w:t>
      </w:r>
      <w:r w:rsidR="77878D38">
        <w:t xml:space="preserve"> </w:t>
      </w:r>
      <w:r w:rsidR="6A0FDB16">
        <w:t>seven</w:t>
      </w:r>
      <w:r w:rsidR="0406961D">
        <w:t xml:space="preserve"> received </w:t>
      </w:r>
      <w:r w:rsidR="6281D45C">
        <w:t>only one or two</w:t>
      </w:r>
      <w:r w:rsidR="0F9CD174">
        <w:t xml:space="preserve"> No or Can’t Tell outcom</w:t>
      </w:r>
      <w:r w:rsidR="5E59B564">
        <w:t xml:space="preserve">es. Three </w:t>
      </w:r>
      <w:r w:rsidR="0406961D">
        <w:t>rece</w:t>
      </w:r>
      <w:r w:rsidR="0C09FFEB">
        <w:t>ived</w:t>
      </w:r>
      <w:r w:rsidR="5E59B564">
        <w:t xml:space="preserve"> three or more No or Can’t Tell judgements. The details </w:t>
      </w:r>
      <w:r w:rsidR="735D4165">
        <w:t xml:space="preserve">of these studies can be found </w:t>
      </w:r>
      <w:r w:rsidR="5F8A950D">
        <w:t>in Appendi</w:t>
      </w:r>
      <w:r w:rsidR="3059BC50">
        <w:t>ces 4 through 6.</w:t>
      </w:r>
    </w:p>
    <w:p w14:paraId="10E861B3" w14:textId="77777777" w:rsidR="00B65129" w:rsidRDefault="0AF61E3C" w:rsidP="00FC75AA">
      <w:pPr>
        <w:pStyle w:val="Heading2"/>
      </w:pPr>
      <w:bookmarkStart w:id="92" w:name="_Toc578223024"/>
      <w:bookmarkStart w:id="93" w:name="_Toc211371252"/>
      <w:bookmarkStart w:id="94" w:name="_Toc214026549"/>
      <w:r>
        <w:t>Synthesis</w:t>
      </w:r>
      <w:bookmarkEnd w:id="92"/>
      <w:bookmarkEnd w:id="93"/>
      <w:bookmarkEnd w:id="94"/>
    </w:p>
    <w:p w14:paraId="3DF8D483" w14:textId="77777777" w:rsidR="0AF61E3C" w:rsidRDefault="0AF61E3C" w:rsidP="00FC75AA">
      <w:r>
        <w:t xml:space="preserve">In line with the </w:t>
      </w:r>
      <w:r w:rsidR="2418CC73">
        <w:t>convergent</w:t>
      </w:r>
      <w:r>
        <w:t xml:space="preserve"> segregated approach</w:t>
      </w:r>
      <w:r w:rsidR="31018202">
        <w:t>,</w:t>
      </w:r>
      <w:r w:rsidR="00406C58" w:rsidRPr="00406C58">
        <w:rPr>
          <w:color w:val="000000"/>
          <w:vertAlign w:val="superscript"/>
        </w:rPr>
        <w:t>59</w:t>
      </w:r>
      <w:r>
        <w:t xml:space="preserve"> the qualitative </w:t>
      </w:r>
      <w:r w:rsidR="34755FBA">
        <w:t xml:space="preserve">and quantitative findings are initially presented separately with an integration of </w:t>
      </w:r>
      <w:r w:rsidR="2418CC73">
        <w:t xml:space="preserve">converging and diverging findings presented subsequently. </w:t>
      </w:r>
      <w:r w:rsidR="34755FBA">
        <w:t xml:space="preserve"> </w:t>
      </w:r>
    </w:p>
    <w:p w14:paraId="0DFD802E" w14:textId="77777777" w:rsidR="79644E83" w:rsidRDefault="2F2FF144" w:rsidP="00FC75AA">
      <w:pPr>
        <w:pStyle w:val="Heading2"/>
      </w:pPr>
      <w:bookmarkStart w:id="95" w:name="_Toc211371253"/>
      <w:bookmarkStart w:id="96" w:name="_Toc214026550"/>
      <w:r>
        <w:t xml:space="preserve">Health </w:t>
      </w:r>
      <w:r w:rsidR="7BC6D154">
        <w:t>and Healthcare</w:t>
      </w:r>
      <w:r w:rsidR="01A3AA5F">
        <w:t xml:space="preserve"> </w:t>
      </w:r>
      <w:r>
        <w:t>Disparities</w:t>
      </w:r>
      <w:bookmarkEnd w:id="95"/>
      <w:bookmarkEnd w:id="96"/>
    </w:p>
    <w:p w14:paraId="512B2F57" w14:textId="77777777" w:rsidR="79644E83" w:rsidRDefault="79644E83" w:rsidP="00FC75AA">
      <w:pPr>
        <w:pStyle w:val="Heading3"/>
      </w:pPr>
      <w:bookmarkStart w:id="97" w:name="_Toc211371254"/>
      <w:r>
        <w:t>Qualitative Findings</w:t>
      </w:r>
      <w:bookmarkEnd w:id="97"/>
    </w:p>
    <w:p w14:paraId="00C3F327" w14:textId="77777777" w:rsidR="494FA350" w:rsidRDefault="494FA350" w:rsidP="00FC75AA">
      <w:r>
        <w:t xml:space="preserve">Qualitative findings related to health disparities experienced by LGBTQIA+ Autistic people were identified across 14 of the included studies, underscoring inequities in access, quality of care, and health outcomes. These disparities spanned across recognition and validation of identity, access to </w:t>
      </w:r>
      <w:r w:rsidR="00EF6FA0">
        <w:t>gender affirming</w:t>
      </w:r>
      <w:r>
        <w:t xml:space="preserve"> care, structural and financial barriers, and poorer physical and mental health outcomes.</w:t>
      </w:r>
    </w:p>
    <w:p w14:paraId="7853CAC6" w14:textId="77777777" w:rsidR="494FA350" w:rsidRDefault="494FA350" w:rsidP="00FC75AA">
      <w:r>
        <w:t xml:space="preserve">Higher unmet care needs were identified among Autistic LGBTQIA+ people, including refusal of services, inadequate availability of providers, and </w:t>
      </w:r>
      <w:r w:rsidR="1085496D">
        <w:t>the exclusion of relevant services from</w:t>
      </w:r>
      <w:r>
        <w:t xml:space="preserve"> insurance coverage</w:t>
      </w:r>
      <w:r w:rsidR="007F62C0">
        <w:t>, such as gender affirming care or diagnostic assessments</w:t>
      </w:r>
      <w:r>
        <w:t>.</w:t>
      </w:r>
      <w:r w:rsidR="00406C58" w:rsidRPr="00406C58">
        <w:rPr>
          <w:color w:val="000000"/>
          <w:vertAlign w:val="superscript"/>
        </w:rPr>
        <w:t>82,86</w:t>
      </w:r>
      <w:r w:rsidRPr="46B84060">
        <w:rPr>
          <w:rStyle w:val="SuperscriptRefChar"/>
        </w:rPr>
        <w:t xml:space="preserve"> </w:t>
      </w:r>
      <w:r>
        <w:t>Similarly, Hillier et al.</w:t>
      </w:r>
      <w:r w:rsidR="00406C58" w:rsidRPr="00406C58">
        <w:rPr>
          <w:color w:val="000000"/>
          <w:vertAlign w:val="superscript"/>
        </w:rPr>
        <w:t>86</w:t>
      </w:r>
      <w:r>
        <w:t xml:space="preserve"> noted significant difficulty in </w:t>
      </w:r>
      <w:r>
        <w:lastRenderedPageBreak/>
        <w:t>locating professionals who had the necessary competence to provide intersectionally-informed care. Autism CRC</w:t>
      </w:r>
      <w:r w:rsidR="00406C58" w:rsidRPr="00406C58">
        <w:rPr>
          <w:color w:val="000000"/>
          <w:vertAlign w:val="superscript"/>
        </w:rPr>
        <w:t>60</w:t>
      </w:r>
      <w:r>
        <w:t xml:space="preserve"> found that professionals were more likely to dismiss or minimise the accounts of Autistic LGBTQIA+ people, undermining trust in care relationships. </w:t>
      </w:r>
    </w:p>
    <w:p w14:paraId="41970332" w14:textId="77777777" w:rsidR="494FA350" w:rsidRPr="002F7E97" w:rsidRDefault="494FA350" w:rsidP="00FC75AA">
      <w:pPr>
        <w:rPr>
          <w:color w:val="000000"/>
          <w:vertAlign w:val="superscript"/>
        </w:rPr>
      </w:pPr>
      <w:r>
        <w:t>Additionally, inequitable access to gender affirming care was identified consistently by TGD Autistic individuals. TGD youth specifically faced inequitable recognition of their identities in comparison to their non-Autistic peers.</w:t>
      </w:r>
      <w:r w:rsidR="00406C58" w:rsidRPr="00406C58">
        <w:rPr>
          <w:color w:val="000000"/>
          <w:vertAlign w:val="superscript"/>
        </w:rPr>
        <w:t>71,72</w:t>
      </w:r>
      <w:r>
        <w:t xml:space="preserve"> TGD Autistic people more broadly experienced episodes of care denial due to misinterpretations of atypical communication styles.</w:t>
      </w:r>
      <w:r w:rsidR="00406C58" w:rsidRPr="00406C58">
        <w:rPr>
          <w:color w:val="000000"/>
          <w:vertAlign w:val="superscript"/>
        </w:rPr>
        <w:t>63</w:t>
      </w:r>
      <w:r>
        <w:t xml:space="preserve"> This is further compounded by some TGD Autistic people who perceived a denial of care due to having a diagnosis of autism. Cain and Velasco</w:t>
      </w:r>
      <w:r w:rsidR="00406C58" w:rsidRPr="00406C58">
        <w:rPr>
          <w:color w:val="000000"/>
          <w:vertAlign w:val="superscript"/>
        </w:rPr>
        <w:t>85</w:t>
      </w:r>
      <w:r>
        <w:t xml:space="preserve"> similarly reported that co-existing conditions, such as being overweight, were used to justify exclusion from </w:t>
      </w:r>
      <w:r w:rsidR="00EF6FA0">
        <w:t>gender affirming</w:t>
      </w:r>
      <w:r>
        <w:t xml:space="preserve"> care. This unequal access to gender affirming care resulted in heightened emotional distress and feelings of anger, jealousy and grief.</w:t>
      </w:r>
      <w:r w:rsidR="00406C58" w:rsidRPr="00406C58">
        <w:rPr>
          <w:color w:val="000000"/>
          <w:vertAlign w:val="superscript"/>
        </w:rPr>
        <w:t>83</w:t>
      </w:r>
    </w:p>
    <w:p w14:paraId="59625E85" w14:textId="77777777" w:rsidR="00704479" w:rsidRPr="002F7E97" w:rsidRDefault="494FA350" w:rsidP="00FC75AA">
      <w:pPr>
        <w:rPr>
          <w:color w:val="000000"/>
          <w:vertAlign w:val="superscript"/>
        </w:rPr>
      </w:pPr>
      <w:r>
        <w:t>Within countries with a two-tiered healthcare system,</w:t>
      </w:r>
      <w:r w:rsidR="007E3DC4">
        <w:t xml:space="preserve"> such as the USA,</w:t>
      </w:r>
      <w:r>
        <w:t xml:space="preserve"> financial barriers were often highlighted as significant barriers. TGD Autistic participants identified a lack of comprehensive insurance coverage which resulted in an inability to access care such as gender affirming care and autism diagnostic care.</w:t>
      </w:r>
      <w:r w:rsidR="00406C58" w:rsidRPr="00406C58">
        <w:rPr>
          <w:color w:val="000000"/>
          <w:vertAlign w:val="superscript"/>
        </w:rPr>
        <w:t>85,89</w:t>
      </w:r>
      <w:r>
        <w:t xml:space="preserve"> Adding to the issue of lack of insurance coverage was the additional geographical disparity of qualified providers, which resulted in financial implications due to travelling.</w:t>
      </w:r>
      <w:r w:rsidR="00406C58" w:rsidRPr="00406C58">
        <w:rPr>
          <w:color w:val="000000"/>
          <w:vertAlign w:val="superscript"/>
        </w:rPr>
        <w:t>89</w:t>
      </w:r>
      <w:r>
        <w:t xml:space="preserve"> Additionally, some participants were unable to relocate themselves due to long wait lists and the requirement to have an address within the catchment area.</w:t>
      </w:r>
      <w:r w:rsidR="00406C58" w:rsidRPr="00406C58">
        <w:rPr>
          <w:color w:val="000000"/>
          <w:vertAlign w:val="superscript"/>
        </w:rPr>
        <w:t>89</w:t>
      </w:r>
    </w:p>
    <w:p w14:paraId="2DD0E77D" w14:textId="77777777" w:rsidR="494FA350" w:rsidRDefault="1E595DA5" w:rsidP="00FC75AA">
      <w:r>
        <w:t>The compounded effects of stigma, exclusion, and structural inequities manifested in significant health disparities. Han et al.</w:t>
      </w:r>
      <w:r w:rsidR="00406C58" w:rsidRPr="00406C58">
        <w:rPr>
          <w:color w:val="000000"/>
          <w:vertAlign w:val="superscript"/>
        </w:rPr>
        <w:t>80</w:t>
      </w:r>
      <w:r>
        <w:t xml:space="preserve"> and Soto et al.</w:t>
      </w:r>
      <w:r w:rsidR="00406C58" w:rsidRPr="00406C58">
        <w:rPr>
          <w:color w:val="000000"/>
          <w:vertAlign w:val="superscript"/>
        </w:rPr>
        <w:t>67</w:t>
      </w:r>
      <w:r>
        <w:t xml:space="preserve"> both reported elevated stress among Autistic LGBTQIA+ individuals, with stress intensified by intersectional factors such as gender expansiveness or being an Autistic woman. Soto et al.</w:t>
      </w:r>
      <w:r w:rsidR="00406C58" w:rsidRPr="00406C58">
        <w:rPr>
          <w:color w:val="000000"/>
          <w:vertAlign w:val="superscript"/>
        </w:rPr>
        <w:t>67</w:t>
      </w:r>
      <w:r>
        <w:t xml:space="preserve"> further documented heightened suicidality among Autistic students with intersecting minority identities. Squires et al.</w:t>
      </w:r>
      <w:r w:rsidR="00406C58" w:rsidRPr="00406C58">
        <w:rPr>
          <w:color w:val="000000"/>
          <w:vertAlign w:val="superscript"/>
        </w:rPr>
        <w:t>74</w:t>
      </w:r>
      <w:r>
        <w:t xml:space="preserve"> identified increased substance use as a form of dissociation in response to healthcare exclusion</w:t>
      </w:r>
      <w:r w:rsidR="000DEBB5">
        <w:t xml:space="preserve"> among transgender young adults</w:t>
      </w:r>
      <w:r>
        <w:t>, while Grove et al.</w:t>
      </w:r>
      <w:r w:rsidR="00406C58" w:rsidRPr="00406C58">
        <w:rPr>
          <w:color w:val="000000"/>
          <w:vertAlign w:val="superscript"/>
        </w:rPr>
        <w:t>90</w:t>
      </w:r>
      <w:r w:rsidRPr="65236B7A">
        <w:rPr>
          <w:rStyle w:val="SuperscriptRefChar"/>
        </w:rPr>
        <w:t xml:space="preserve"> </w:t>
      </w:r>
      <w:r>
        <w:t>described avoidance of care which left some participants unaware of existing health conditions. Hall et al.</w:t>
      </w:r>
      <w:r w:rsidR="00406C58" w:rsidRPr="00406C58">
        <w:rPr>
          <w:color w:val="000000"/>
          <w:vertAlign w:val="superscript"/>
        </w:rPr>
        <w:t>82</w:t>
      </w:r>
      <w:r>
        <w:t xml:space="preserve"> provided additional evidence of disproportionately poor health, reporting higher rates of mental illness, more frequent poor physical health days, increased smoking, and substantial unmet healthcare needs among Autistic LGBTQIA+ individuals compared to peers.</w:t>
      </w:r>
    </w:p>
    <w:p w14:paraId="424D71B7" w14:textId="77777777" w:rsidR="79644E83" w:rsidRDefault="79644E83" w:rsidP="00FC75AA">
      <w:pPr>
        <w:pStyle w:val="Heading3"/>
      </w:pPr>
      <w:bookmarkStart w:id="98" w:name="_Toc211371255"/>
      <w:r>
        <w:t>Quantitative Findings</w:t>
      </w:r>
      <w:bookmarkEnd w:id="98"/>
    </w:p>
    <w:p w14:paraId="30104203" w14:textId="77777777" w:rsidR="75856F97" w:rsidRDefault="75856F97" w:rsidP="00FC75AA">
      <w:r>
        <w:t>Quantitative data related to health disparities were present across seven of the included studies.</w:t>
      </w:r>
      <w:r w:rsidR="00406C58" w:rsidRPr="00406C58">
        <w:rPr>
          <w:color w:val="000000"/>
          <w:vertAlign w:val="superscript"/>
        </w:rPr>
        <w:t>62,64–68,70</w:t>
      </w:r>
      <w:r>
        <w:t xml:space="preserve"> The predominant health disparities related to high levels </w:t>
      </w:r>
      <w:r>
        <w:lastRenderedPageBreak/>
        <w:t xml:space="preserve">of unmet healthcare needs, poorer health outcomes, diagnostic delays, barriers to care, and elevated risk of mental health distress and suicidality. </w:t>
      </w:r>
    </w:p>
    <w:p w14:paraId="7AC14055" w14:textId="77777777" w:rsidR="75856F97" w:rsidRPr="002F7E97" w:rsidRDefault="6FB63CBC" w:rsidP="00FC75AA">
      <w:pPr>
        <w:rPr>
          <w:color w:val="000000"/>
          <w:vertAlign w:val="superscript"/>
        </w:rPr>
      </w:pPr>
      <w:r>
        <w:t xml:space="preserve">High rates of unmet service needs are a key disparity. More than three-quarters of participants in one study reported at least one unmet service, with unmet counselling (45.7%), </w:t>
      </w:r>
      <w:r w:rsidR="2B28246A">
        <w:t>employment services</w:t>
      </w:r>
      <w:r>
        <w:t xml:space="preserve"> (56.5%), and medical services (46.3%) particularly prevalent. Non-binary Autistic participants were the most disadvantaged, with 90% reporting unmet services compared to 74.3% of men and 79.5% of women.</w:t>
      </w:r>
      <w:r w:rsidR="6353057C" w:rsidRPr="002F7E97">
        <w:rPr>
          <w:color w:val="000000"/>
          <w:vertAlign w:val="superscript"/>
        </w:rPr>
        <w:t>65</w:t>
      </w:r>
      <w:r>
        <w:t xml:space="preserve"> Similar findings were observed elsewhere, with LGBTQIA+ Autistic participants reporting significantly more unmet healthcare needs, particularly in relation to mental health services, prescriptions, and access to doctors.</w:t>
      </w:r>
      <w:r w:rsidR="6353057C" w:rsidRPr="002F7E97">
        <w:rPr>
          <w:color w:val="000000"/>
          <w:vertAlign w:val="superscript"/>
        </w:rPr>
        <w:t>68</w:t>
      </w:r>
    </w:p>
    <w:p w14:paraId="62CDF583" w14:textId="77777777" w:rsidR="75856F97" w:rsidRPr="002F7E97" w:rsidRDefault="6FB63CBC" w:rsidP="00FC75AA">
      <w:pPr>
        <w:rPr>
          <w:color w:val="000000"/>
          <w:vertAlign w:val="superscript"/>
        </w:rPr>
      </w:pPr>
      <w:r>
        <w:t>Of note, transgender Autistic participants reported an increased number of poor physical and mental health days than their straight</w:t>
      </w:r>
      <w:r w:rsidR="1E6501A9" w:rsidRPr="1182AD7C">
        <w:rPr>
          <w:rStyle w:val="CommentReference"/>
          <w:sz w:val="26"/>
          <w:szCs w:val="26"/>
        </w:rPr>
        <w:t xml:space="preserve">, </w:t>
      </w:r>
      <w:r>
        <w:t>cisgender Autistic peers.</w:t>
      </w:r>
      <w:r w:rsidR="6353057C" w:rsidRPr="002F7E97">
        <w:rPr>
          <w:color w:val="000000"/>
          <w:vertAlign w:val="superscript"/>
        </w:rPr>
        <w:t>68</w:t>
      </w:r>
      <w:r>
        <w:t xml:space="preserve">  Broader survey data highlight that nearly half of both self-identified (47.0%) and formally identified (43.9%) transgender Autistic participants rated their general health as fair or poor, compared with only a quarter of non-Autistic participants.</w:t>
      </w:r>
      <w:r w:rsidR="6353057C" w:rsidRPr="002F7E97">
        <w:rPr>
          <w:color w:val="000000"/>
          <w:vertAlign w:val="superscript"/>
        </w:rPr>
        <w:t>62</w:t>
      </w:r>
      <w:r>
        <w:t xml:space="preserve"> Adjusted analyses revealed that self-identified transgender Autistic people had over four times greater odds of reporting poor health than allistic peers, while diagnosed transgender Autistic people had more than double the odds. Rates of unmet healthcare needs were also higher: 60.9% of self-identified and 54.8% of formally identified transgender Autistic participants reported unmet healthcare needs, compared with 42.6% of </w:t>
      </w:r>
      <w:r w:rsidR="7497CA1F">
        <w:t xml:space="preserve">transgender </w:t>
      </w:r>
      <w:r>
        <w:t>non-Autistic individuals.</w:t>
      </w:r>
      <w:r w:rsidR="6353057C" w:rsidRPr="002F7E97">
        <w:rPr>
          <w:color w:val="000000"/>
          <w:vertAlign w:val="superscript"/>
        </w:rPr>
        <w:t>62</w:t>
      </w:r>
    </w:p>
    <w:p w14:paraId="12508D84" w14:textId="77777777" w:rsidR="75856F97" w:rsidRDefault="75856F97" w:rsidP="00FC75AA">
      <w:r>
        <w:t>Formally identified transgender Autistic participants were almost twice as likely, and self-identified transgender Autistic participants more than five times as likely, to report fair or poor mental health compared with non-Autistic participants.</w:t>
      </w:r>
      <w:r w:rsidR="00406C58" w:rsidRPr="00406C58">
        <w:rPr>
          <w:color w:val="000000"/>
          <w:vertAlign w:val="superscript"/>
        </w:rPr>
        <w:t>62</w:t>
      </w:r>
      <w:r>
        <w:t xml:space="preserve">  Large-scale analyses also show starkly elevated psychiatric diagnoses among Autistic participants</w:t>
      </w:r>
      <w:r w:rsidR="00187110">
        <w:t xml:space="preserve"> experiencing gender dysphoria,</w:t>
      </w:r>
      <w:r>
        <w:t xml:space="preserve"> including substantially higher odds of psychosis (OR=16.89), substance use disorder (OR=12.67), personality disorder (OR=10.96), and anxiety disorder (OR=8.00), alongside elevated rates of depression, PTSD, and eating disorders.</w:t>
      </w:r>
      <w:r w:rsidRPr="40F52016">
        <w:rPr>
          <w:rStyle w:val="SuperscriptRefChar"/>
        </w:rPr>
        <w:t>72</w:t>
      </w:r>
      <w:r>
        <w:t xml:space="preserve"> These mental health burdens translate into higher rates of suicidality, self-harm, and reckless behaviours among Autistic LGBTQIA+ participants.</w:t>
      </w:r>
      <w:r w:rsidR="00406C58" w:rsidRPr="00406C58">
        <w:rPr>
          <w:color w:val="000000"/>
          <w:vertAlign w:val="superscript"/>
        </w:rPr>
        <w:t>66,67</w:t>
      </w:r>
      <w:r w:rsidR="1418C73C">
        <w:t xml:space="preserve"> </w:t>
      </w:r>
    </w:p>
    <w:p w14:paraId="3751BC26" w14:textId="77777777" w:rsidR="75856F97" w:rsidRDefault="6FB63CBC" w:rsidP="00FC75AA">
      <w:pPr>
        <w:rPr>
          <w:rStyle w:val="SuperscriptRefChar"/>
        </w:rPr>
      </w:pPr>
      <w:r>
        <w:t xml:space="preserve">Although relatively few transgender Autistic participants were denied GAC explicitly because of autism (3.7% of diagnosed and 1.1% of self-identified participants), concealment of Autistic identity during </w:t>
      </w:r>
      <w:r w:rsidR="03A03450">
        <w:t xml:space="preserve">initial GAC </w:t>
      </w:r>
      <w:r>
        <w:t>assessments was common.</w:t>
      </w:r>
      <w:r w:rsidR="6353057C" w:rsidRPr="002F7E97">
        <w:rPr>
          <w:color w:val="000000"/>
          <w:vertAlign w:val="superscript"/>
        </w:rPr>
        <w:t>62</w:t>
      </w:r>
      <w:r w:rsidR="691CE0DD">
        <w:t xml:space="preserve"> </w:t>
      </w:r>
      <w:r>
        <w:t>A quarter of diagnosed and more than a third of self-identified transgender Autistic participants avoided disclosing autism to access GAC.</w:t>
      </w:r>
      <w:r w:rsidR="6353057C" w:rsidRPr="002F7E97">
        <w:rPr>
          <w:rStyle w:val="SuperscriptRefChar"/>
          <w:color w:val="000000"/>
        </w:rPr>
        <w:t>62</w:t>
      </w:r>
      <w:r>
        <w:t xml:space="preserve"> Financial barriers were also pronounced, with 45.6% of formally identified participants reporting difficulty affording GAC, compared with 32–33% of non-</w:t>
      </w:r>
      <w:r>
        <w:lastRenderedPageBreak/>
        <w:t>Autistic and self-identified participants. Furthermore, unmet need for hormones (68.3%) and surgery (73.5%) was significantly higher in Autistic compared to non-Autistic participants.</w:t>
      </w:r>
      <w:r w:rsidR="6353057C" w:rsidRPr="002F7E97">
        <w:rPr>
          <w:rStyle w:val="SuperscriptRefChar"/>
          <w:color w:val="000000"/>
        </w:rPr>
        <w:t>66</w:t>
      </w:r>
    </w:p>
    <w:p w14:paraId="55ABC450" w14:textId="77777777" w:rsidR="75856F97" w:rsidRDefault="75856F97" w:rsidP="00FC75AA">
      <w:r>
        <w:t>The timing of autism diagnosis is itself a health disparity. Gender-diverse Autistic individuals were diagnosed significantly later than cisgender Autistic individuals, by an average of 4–6 years across multiple datasets, with the delay particularly marked among those aged 11 years and older.</w:t>
      </w:r>
      <w:r w:rsidR="00406C58" w:rsidRPr="00406C58">
        <w:rPr>
          <w:rStyle w:val="SuperscriptRefChar"/>
          <w:color w:val="000000"/>
        </w:rPr>
        <w:t>70</w:t>
      </w:r>
      <w:r>
        <w:t xml:space="preserve"> This diagnostic delay has significant implications for access to early interventions, support, and recognition of needs.</w:t>
      </w:r>
    </w:p>
    <w:p w14:paraId="399707FB" w14:textId="77777777" w:rsidR="75856F97" w:rsidRDefault="75856F97" w:rsidP="00FC75AA">
      <w:r>
        <w:t>Transgender Autistic participants reported higher rates of misgendering by providers, with 20.8% of self-identified and 19.2% of diagnosed participants experiencing repeated misgendering by mental health providers, compared to 13.6% of non-Autistic peers.</w:t>
      </w:r>
      <w:r w:rsidRPr="6DC9B4DA">
        <w:rPr>
          <w:rStyle w:val="SuperscriptRefChar"/>
        </w:rPr>
        <w:t>70</w:t>
      </w:r>
      <w:r>
        <w:t xml:space="preserve"> They were also more likely to report that providers conflated their gender identity with mental health, or that they had to educate providers about their transgender and non-binary needs.</w:t>
      </w:r>
    </w:p>
    <w:p w14:paraId="7219F6A1" w14:textId="77777777" w:rsidR="75856F97" w:rsidRDefault="75856F97" w:rsidP="00FC75AA">
      <w:r>
        <w:t>Population-level analyses highlight the sheer scale of disparity experienced. Cisgender Autistic adults have 1.5 times higher odds of physical health conditions and five times higher odds of mental health conditions than cisgender non-Autistic adults.</w:t>
      </w:r>
      <w:r w:rsidR="00406C58" w:rsidRPr="00406C58">
        <w:rPr>
          <w:rStyle w:val="SuperscriptRefChar"/>
          <w:color w:val="000000"/>
        </w:rPr>
        <w:t>64</w:t>
      </w:r>
      <w:r>
        <w:t xml:space="preserve"> These disparities are further magnified for transgender and gender-diverse (TGD) Autistic adults, who have 2.3 times higher odds of physical health conditions and nearly eleven times higher odds of mental health conditions.</w:t>
      </w:r>
      <w:r w:rsidR="00406C58" w:rsidRPr="00406C58">
        <w:rPr>
          <w:rStyle w:val="SuperscriptRefChar"/>
          <w:color w:val="000000"/>
        </w:rPr>
        <w:t>64</w:t>
      </w:r>
      <w:r>
        <w:t xml:space="preserve"> For every ten cisgender non-Autistic adults reporting a mental health condition, fifty cisgender Autistic adults and 109 TGD Autistic adults reported one.</w:t>
      </w:r>
      <w:r w:rsidR="00406C58" w:rsidRPr="00406C58">
        <w:rPr>
          <w:rStyle w:val="SuperscriptRefChar"/>
          <w:color w:val="000000"/>
        </w:rPr>
        <w:t>64</w:t>
      </w:r>
    </w:p>
    <w:p w14:paraId="69178582" w14:textId="77777777" w:rsidR="79644E83" w:rsidRDefault="79644E83" w:rsidP="00FC75AA">
      <w:pPr>
        <w:pStyle w:val="Heading3"/>
      </w:pPr>
      <w:bookmarkStart w:id="99" w:name="_Toc211371256"/>
      <w:r>
        <w:t>Integrated Findings</w:t>
      </w:r>
      <w:bookmarkEnd w:id="99"/>
    </w:p>
    <w:p w14:paraId="4669B25B" w14:textId="77777777" w:rsidR="2617DE98" w:rsidRDefault="5DB49F1F" w:rsidP="00FC75AA">
      <w:r>
        <w:t>Both qualitative and quantitative findings converge to show disproportionate burdens of poor physical and mental health. Qualitative studies describe elevated stress, suicidality, substance use, and avoidance of care as responses to exclusion and discrimination.</w:t>
      </w:r>
      <w:r w:rsidR="00406C58" w:rsidRPr="00406C58">
        <w:rPr>
          <w:rStyle w:val="SuperscriptRefChar"/>
          <w:color w:val="000000"/>
        </w:rPr>
        <w:t>67,74,80,90</w:t>
      </w:r>
      <w:r w:rsidR="00F042CC">
        <w:rPr>
          <w:rStyle w:val="SuperscriptRefChar"/>
        </w:rPr>
        <w:t xml:space="preserve"> </w:t>
      </w:r>
      <w:r>
        <w:t>Quantitative evidence provides further depth: transgender Autistic participants reported significantly more poor health days than cisgender and straight Autistic peers, with self-identified transgender Autistic participants over four times more likely to report poor health than allistic peers.</w:t>
      </w:r>
      <w:r w:rsidR="00406C58" w:rsidRPr="00406C58">
        <w:rPr>
          <w:rStyle w:val="SuperscriptRefChar"/>
          <w:color w:val="000000"/>
        </w:rPr>
        <w:t>62</w:t>
      </w:r>
      <w:r>
        <w:t xml:space="preserve"> Mental health disparities are particularly acute, with odds ratios for psychiatric diagnoses including psychosis (OR=16.89), substance use disorder (OR=12.67), and anxiety disorder (OR=8.00) substantially elevated for Autistic LGBTQIA+ people.</w:t>
      </w:r>
      <w:r w:rsidR="00406C58" w:rsidRPr="00406C58">
        <w:rPr>
          <w:rStyle w:val="SuperscriptRefChar"/>
          <w:color w:val="000000"/>
        </w:rPr>
        <w:t>66</w:t>
      </w:r>
      <w:r w:rsidRPr="40F52016">
        <w:rPr>
          <w:rStyle w:val="SuperscriptRefChar"/>
        </w:rPr>
        <w:t xml:space="preserve"> </w:t>
      </w:r>
      <w:r>
        <w:t>Large-scale analyses show transgender and gender-diverse Autistic adults to have nearly eleven times higher odds of mental health conditions compared with cisgender non-Autistic adults.</w:t>
      </w:r>
      <w:r w:rsidR="00406C58" w:rsidRPr="00406C58">
        <w:rPr>
          <w:rStyle w:val="SuperscriptRefChar"/>
          <w:color w:val="000000"/>
        </w:rPr>
        <w:t>64</w:t>
      </w:r>
      <w:r w:rsidR="00A2075F">
        <w:t xml:space="preserve"> </w:t>
      </w:r>
      <w:r w:rsidR="2617DE98">
        <w:t xml:space="preserve">The integrated data creates a picture of substantial and multi-layered health disparities experienced by </w:t>
      </w:r>
      <w:r w:rsidR="2617DE98">
        <w:lastRenderedPageBreak/>
        <w:t xml:space="preserve">LGBTQIA+ Autistic people, with inequities manifesting across recognition and validation of identity, access to </w:t>
      </w:r>
      <w:r w:rsidR="00EF6FA0">
        <w:t>gender affirming</w:t>
      </w:r>
      <w:r w:rsidR="2617DE98">
        <w:t xml:space="preserve"> and autism-related care, systemic and financial barriers, and poorer health outcomes.</w:t>
      </w:r>
    </w:p>
    <w:p w14:paraId="5FEC16A3" w14:textId="77777777" w:rsidR="2617DE98" w:rsidRDefault="2617DE98" w:rsidP="00FC75AA">
      <w:r>
        <w:t>Qualitative evidence demonstrated that Autistic LGBTQIA+ people often encountered dismissal or trivialisation of their accounts,</w:t>
      </w:r>
      <w:r w:rsidR="00406C58" w:rsidRPr="00406C58">
        <w:rPr>
          <w:rStyle w:val="SuperscriptRefChar"/>
          <w:color w:val="000000"/>
        </w:rPr>
        <w:t>60,86</w:t>
      </w:r>
      <w:r>
        <w:t xml:space="preserve"> while quantitative findings demonstrate high rates of misgendering by providers, particularly among transgender Autistic participants.</w:t>
      </w:r>
      <w:r w:rsidR="00406C58" w:rsidRPr="00406C58">
        <w:rPr>
          <w:rStyle w:val="SuperscriptRefChar"/>
          <w:color w:val="000000"/>
        </w:rPr>
        <w:t>62</w:t>
      </w:r>
      <w:r>
        <w:t xml:space="preserve"> This lack of validation undermines trust, contributes to disengagement from care, and creates disparities in how Autistic LGBTQIA+ people experience healthcare compared with cisgender and/or non-Autistic peers.</w:t>
      </w:r>
    </w:p>
    <w:p w14:paraId="7F2D5349" w14:textId="77777777" w:rsidR="2617DE98" w:rsidRDefault="2617DE98" w:rsidP="00FC75AA">
      <w:pPr>
        <w:rPr>
          <w:rStyle w:val="SuperscriptRefChar"/>
        </w:rPr>
      </w:pPr>
      <w:r>
        <w:t>Qualitative evidence illustrates how communication barriers and autism-related needs are often overlooked in clinical contexts, resulting in delayed or denied access.</w:t>
      </w:r>
      <w:r w:rsidR="00406C58" w:rsidRPr="00406C58">
        <w:rPr>
          <w:rStyle w:val="SuperscriptRefChar"/>
          <w:color w:val="000000"/>
        </w:rPr>
        <w:t>63,71–73</w:t>
      </w:r>
      <w:r>
        <w:t xml:space="preserve"> Additionally, findings also indicated the need for TGD Autistic people to heavily mask or refrain from disclosing their Autistic identity to avoid care denial.</w:t>
      </w:r>
      <w:r w:rsidR="00406C58" w:rsidRPr="00406C58">
        <w:rPr>
          <w:rStyle w:val="SuperscriptRefChar"/>
          <w:color w:val="000000"/>
        </w:rPr>
        <w:t>73,77</w:t>
      </w:r>
      <w:r>
        <w:t xml:space="preserve"> Quantitative findings reinforce this, showing that although only a minority of transgender Autistic participants were denied GAC explicitly due to autism (3.7% diagnosed; 1.1% self-identified), concealment of autism during readiness assessments was widespread, with one-quarter of diagnosed and over one-third of self-identified Autistic participants avoiding disclosure to access care.</w:t>
      </w:r>
      <w:r w:rsidRPr="40F52016">
        <w:rPr>
          <w:rStyle w:val="SuperscriptRefChar"/>
        </w:rPr>
        <w:t xml:space="preserve"> </w:t>
      </w:r>
      <w:r w:rsidR="00406C58" w:rsidRPr="00406C58">
        <w:rPr>
          <w:rStyle w:val="SuperscriptRefChar"/>
          <w:color w:val="000000"/>
        </w:rPr>
        <w:t>62</w:t>
      </w:r>
      <w:r>
        <w:t xml:space="preserve"> High rates of unmet need for hormones (68.3%) and surgery (73.5%) further demonstrate the structural inequities shaping access to GAC.</w:t>
      </w:r>
      <w:r w:rsidRPr="40F52016">
        <w:rPr>
          <w:rStyle w:val="SuperscriptRefChar"/>
        </w:rPr>
        <w:t xml:space="preserve"> </w:t>
      </w:r>
      <w:r w:rsidR="00406C58" w:rsidRPr="00406C58">
        <w:rPr>
          <w:rStyle w:val="SuperscriptRefChar"/>
          <w:color w:val="000000"/>
        </w:rPr>
        <w:t>66</w:t>
      </w:r>
      <w:r w:rsidRPr="40F52016">
        <w:rPr>
          <w:rStyle w:val="SuperscriptRefChar"/>
        </w:rPr>
        <w:t xml:space="preserve"> </w:t>
      </w:r>
      <w:r>
        <w:t>Prolonged waiting lists, insurance exclusion, and financial constraints as major obstacles were also highlighted.</w:t>
      </w:r>
      <w:r w:rsidR="007C2439" w:rsidRPr="0060304B">
        <w:rPr>
          <w:color w:val="000000"/>
          <w:vertAlign w:val="superscript"/>
        </w:rPr>
        <w:t xml:space="preserve"> </w:t>
      </w:r>
      <w:r w:rsidR="00406C58" w:rsidRPr="00406C58">
        <w:rPr>
          <w:color w:val="000000"/>
          <w:sz w:val="22"/>
          <w:vertAlign w:val="superscript"/>
        </w:rPr>
        <w:t>82,85,89</w:t>
      </w:r>
      <w:r>
        <w:t xml:space="preserve"> This is substantiated by quantitative data which shows that more than three-quarters of Autistic LGBTQIA+ participants reported at least one unmet service need, with non-binary Autistic participants the most disadvantaged (90%) compared to men (74.3%) and women (79.5%).</w:t>
      </w:r>
      <w:r w:rsidR="00406C58" w:rsidRPr="00406C58">
        <w:rPr>
          <w:rStyle w:val="SuperscriptRefChar"/>
          <w:color w:val="000000"/>
        </w:rPr>
        <w:t>65</w:t>
      </w:r>
      <w:r>
        <w:t xml:space="preserve"> Similar patterns were observed in other datasets, with higher unmet healthcare needs particularly for mental health services, prescriptions, and primary care.</w:t>
      </w:r>
      <w:r w:rsidR="00406C58" w:rsidRPr="00406C58">
        <w:rPr>
          <w:color w:val="000000"/>
          <w:vertAlign w:val="superscript"/>
        </w:rPr>
        <w:t>66,68</w:t>
      </w:r>
      <w:r>
        <w:t xml:space="preserve"> These disparities extend to GAC, where 45.6% of diagnosed transgender Autistic participants reported difficulty affording treatment, significantly higher than non-Autistic peers.</w:t>
      </w:r>
      <w:r w:rsidR="00406C58" w:rsidRPr="00406C58">
        <w:rPr>
          <w:color w:val="000000"/>
          <w:vertAlign w:val="superscript"/>
        </w:rPr>
        <w:t>62</w:t>
      </w:r>
    </w:p>
    <w:p w14:paraId="08E12331" w14:textId="77777777" w:rsidR="2617DE98" w:rsidRDefault="2617DE98" w:rsidP="00FC75AA">
      <w:r>
        <w:t>Delays in autism diagnosis for gender-diverse Autistic people represent a further disparity. Quantitative data indicate that these individuals are diagnosed 4–6 years later on average compared with cisgender Autistic peers,</w:t>
      </w:r>
      <w:r w:rsidR="00406C58" w:rsidRPr="00406C58">
        <w:rPr>
          <w:rStyle w:val="SuperscriptRefChar"/>
          <w:color w:val="000000"/>
        </w:rPr>
        <w:t>66</w:t>
      </w:r>
      <w:r>
        <w:t xml:space="preserve"> limiting timely access to interventions and support. Qualitative studies echo this by documenting fragmented care pathways and systems ill-equipped to accommodate dual identities.</w:t>
      </w:r>
      <w:r w:rsidR="00406C58" w:rsidRPr="00406C58">
        <w:rPr>
          <w:rStyle w:val="SuperscriptRefChar"/>
          <w:color w:val="000000"/>
        </w:rPr>
        <w:t>73,79</w:t>
      </w:r>
    </w:p>
    <w:p w14:paraId="400FB218" w14:textId="77777777" w:rsidR="79644E83" w:rsidRDefault="79644E83" w:rsidP="00FC75AA">
      <w:pPr>
        <w:pStyle w:val="Heading2"/>
      </w:pPr>
      <w:bookmarkStart w:id="100" w:name="_Toc211371259"/>
      <w:bookmarkStart w:id="101" w:name="_Toc214026551"/>
      <w:r>
        <w:lastRenderedPageBreak/>
        <w:t xml:space="preserve">Barriers </w:t>
      </w:r>
      <w:r w:rsidR="01E2FA3C">
        <w:t>and Facilitators</w:t>
      </w:r>
      <w:bookmarkEnd w:id="100"/>
      <w:bookmarkEnd w:id="101"/>
    </w:p>
    <w:p w14:paraId="35300B66" w14:textId="77777777" w:rsidR="11579351" w:rsidRDefault="11579351" w:rsidP="00FC75AA">
      <w:pPr>
        <w:pStyle w:val="Heading3"/>
      </w:pPr>
      <w:bookmarkStart w:id="102" w:name="_Toc211371260"/>
      <w:r>
        <w:t xml:space="preserve">Qualitative </w:t>
      </w:r>
      <w:r w:rsidR="78EAD626">
        <w:t>Findings</w:t>
      </w:r>
      <w:bookmarkEnd w:id="102"/>
    </w:p>
    <w:p w14:paraId="0F32293D" w14:textId="77777777" w:rsidR="169A4EF0" w:rsidRDefault="169A4EF0" w:rsidP="00FC75AA">
      <w:r>
        <w:t xml:space="preserve">Qualitative findings relating to barriers and facilitators to </w:t>
      </w:r>
      <w:r w:rsidR="00D77DCE">
        <w:t>health</w:t>
      </w:r>
      <w:r>
        <w:t>care were identified across 22 of the included studies. These barriers related to lack of provider knowledge and skill, the impact of the intersection of Autistic and gender-diverse identities, and system level barriers. Facilitators included the presence of support structures, the creation of a safe, non-judgemental environment and the use of adaptive strategies for navigating healthcare systems.</w:t>
      </w:r>
    </w:p>
    <w:p w14:paraId="1264D331" w14:textId="77777777" w:rsidR="5ED4A319" w:rsidRDefault="5ED4A319" w:rsidP="00FC75AA">
      <w:pPr>
        <w:pStyle w:val="Heading4"/>
      </w:pPr>
      <w:r>
        <w:t>Barriers</w:t>
      </w:r>
    </w:p>
    <w:p w14:paraId="4106C3F6" w14:textId="77777777" w:rsidR="3604304F" w:rsidRPr="002F7E97" w:rsidRDefault="3604304F" w:rsidP="00FC75AA">
      <w:pPr>
        <w:rPr>
          <w:highlight w:val="lightGray"/>
        </w:rPr>
      </w:pPr>
      <w:r>
        <w:t>Provider knowledge and skills in supporting LGBTQIA+ Autistic people was a barrier that was repeatedly highlighted. Non-binary participants emphasised the need for provider education and training, related to how the intersection of autism and gender identity impacts participants’ healthcare journeys.</w:t>
      </w:r>
      <w:r w:rsidR="00406C58" w:rsidRPr="00406C58">
        <w:rPr>
          <w:color w:val="000000"/>
          <w:vertAlign w:val="superscript"/>
        </w:rPr>
        <w:t>69</w:t>
      </w:r>
      <w:r>
        <w:t xml:space="preserve"> Non-binary Autistic people also noted that, due to a lack of understanding of the specific needs of non-binary Autistic patients, disclosure of their non-binary identities was often deprioritised and not incorporated into their care provision.</w:t>
      </w:r>
      <w:r w:rsidR="00406C58" w:rsidRPr="00406C58">
        <w:rPr>
          <w:color w:val="000000"/>
          <w:vertAlign w:val="superscript"/>
        </w:rPr>
        <w:t>76</w:t>
      </w:r>
      <w:r>
        <w:t xml:space="preserve"> </w:t>
      </w:r>
      <w:r w:rsidRPr="0091499A">
        <w:t>As such, emphasis was placed on the need for providers to increase their professional competence in the area of dual identities, the use of correct terminology, and affirming language.</w:t>
      </w:r>
      <w:r w:rsidR="00406C58" w:rsidRPr="00406C58">
        <w:rPr>
          <w:color w:val="000000"/>
          <w:vertAlign w:val="superscript"/>
        </w:rPr>
        <w:t>87</w:t>
      </w:r>
      <w:r w:rsidRPr="0091499A">
        <w:t xml:space="preserve"> Where an acknowledgement was made that modalities of treatment need to be adapted to ensure respect for dual identities, the need to acknowledge trauma-informed treatment approaches was highlighted.</w:t>
      </w:r>
      <w:r w:rsidR="00406C58" w:rsidRPr="00406C58">
        <w:rPr>
          <w:color w:val="000000"/>
          <w:vertAlign w:val="superscript"/>
        </w:rPr>
        <w:t>69</w:t>
      </w:r>
    </w:p>
    <w:p w14:paraId="3B9880F2" w14:textId="77777777" w:rsidR="3604304F" w:rsidRDefault="3604304F" w:rsidP="00FC75AA">
      <w:r>
        <w:t>Relating to providers’ knowledge, LGBTQIA+ Autistic people perceived that providers were unwilling or unable to adapt practices or make accommodations.</w:t>
      </w:r>
      <w:r w:rsidR="00406C58" w:rsidRPr="00406C58">
        <w:rPr>
          <w:rStyle w:val="SuperscriptRefChar"/>
          <w:color w:val="000000"/>
        </w:rPr>
        <w:t>60</w:t>
      </w:r>
      <w:r>
        <w:t xml:space="preserve"> This was particularly noted when providers were described as uncertain, dismissive or reluctant to acknowledge the limitations of their knowledge or skill when working with LGBTQIA+ Autistic people.</w:t>
      </w:r>
      <w:r w:rsidR="00406C58" w:rsidRPr="00406C58">
        <w:rPr>
          <w:rStyle w:val="SuperscriptRefChar"/>
          <w:color w:val="000000"/>
        </w:rPr>
        <w:t>61,79</w:t>
      </w:r>
      <w:r>
        <w:t xml:space="preserve"> These behaviours eroded trust between patients and providers and created a sense of invalidation and gaslighting among LGBTQIA+ Autistic patients.</w:t>
      </w:r>
      <w:r w:rsidR="00406C58" w:rsidRPr="00406C58">
        <w:rPr>
          <w:color w:val="000000"/>
          <w:vertAlign w:val="superscript"/>
        </w:rPr>
        <w:t>71,72,90,91</w:t>
      </w:r>
      <w:r w:rsidR="1418C73C">
        <w:t xml:space="preserve"> </w:t>
      </w:r>
    </w:p>
    <w:p w14:paraId="64978FD1" w14:textId="77777777" w:rsidR="3604304F" w:rsidRDefault="3604304F" w:rsidP="00FC75AA">
      <w:r>
        <w:t>When discussing the unwillingness of providers to adapt practices or make accommodations, a key area of concern that emerged related to communication. As a result of this lack of skill and knowledge, providers failed to adjust their communication styles which produced feelings of frustration for both patients and providers and compromised the assessment process.</w:t>
      </w:r>
      <w:r w:rsidRPr="6DC9B4DA">
        <w:rPr>
          <w:rStyle w:val="SuperscriptRefChar"/>
        </w:rPr>
        <w:t>51,59,64</w:t>
      </w:r>
      <w:r>
        <w:t xml:space="preserve"> This was evident in provider misinterpretation of alternative forms of Autistic communication</w:t>
      </w:r>
      <w:r w:rsidR="36F38FC6">
        <w:t>. Scripting, the use of rehearsed language, phrases, or routines by some Autistic people to navigate social situations,</w:t>
      </w:r>
      <w:r>
        <w:t xml:space="preserve"> or self-soothing</w:t>
      </w:r>
      <w:r w:rsidR="1F610628">
        <w:t>,</w:t>
      </w:r>
      <w:r w:rsidR="37A6FDF5">
        <w:t xml:space="preserve"> ways that Autistic people can regulate themselves to manage overwhelming feelings, sensations or environments, was perceived as</w:t>
      </w:r>
      <w:r>
        <w:t xml:space="preserve"> negative</w:t>
      </w:r>
      <w:r w:rsidR="21F72FB3">
        <w:t xml:space="preserve"> or disingen</w:t>
      </w:r>
      <w:r w:rsidR="00E9760C">
        <w:t>uous</w:t>
      </w:r>
      <w:r w:rsidR="78843436">
        <w:t>.</w:t>
      </w:r>
      <w:r>
        <w:t xml:space="preserve">  This resulted in detrimental outcomes such as delays or a reduction in care provision.</w:t>
      </w:r>
      <w:r w:rsidR="00406C58" w:rsidRPr="00406C58">
        <w:rPr>
          <w:rStyle w:val="SuperscriptRefChar"/>
          <w:color w:val="000000"/>
        </w:rPr>
        <w:t>63</w:t>
      </w:r>
      <w:r>
        <w:t xml:space="preserve"> </w:t>
      </w:r>
      <w:r>
        <w:lastRenderedPageBreak/>
        <w:t>Collectively, these findings indicate that insufficient knowledge and skills operated as a pervasive barrier across diverse contexts.</w:t>
      </w:r>
    </w:p>
    <w:p w14:paraId="25751ED7" w14:textId="77777777" w:rsidR="3604304F" w:rsidRDefault="3604304F" w:rsidP="00FC75AA">
      <w:r>
        <w:t>An additional barrier that was commonly reported was the experience of a dual identity within the healthcare environment. Having this dual identity manifested in participants feeling othered and having their identity as an autonomous decision-maker undermined.</w:t>
      </w:r>
      <w:r w:rsidR="00406C58" w:rsidRPr="00406C58">
        <w:rPr>
          <w:rStyle w:val="SuperscriptRefChar"/>
          <w:color w:val="000000"/>
        </w:rPr>
        <w:t>86</w:t>
      </w:r>
      <w:r>
        <w:t xml:space="preserve"> These challenges were particularly noted for the Autistic TGD youth cohort when compared with their non-Autistic peers.</w:t>
      </w:r>
      <w:r w:rsidR="00406C58" w:rsidRPr="00406C58">
        <w:rPr>
          <w:rStyle w:val="SuperscriptRefChar"/>
          <w:color w:val="000000"/>
        </w:rPr>
        <w:t>71,78</w:t>
      </w:r>
    </w:p>
    <w:p w14:paraId="192CF6C0" w14:textId="77777777" w:rsidR="3604304F" w:rsidRDefault="2DD0C175" w:rsidP="00FC75AA">
      <w:r>
        <w:t>Autism CRC</w:t>
      </w:r>
      <w:r w:rsidR="6353057C" w:rsidRPr="002F7E97">
        <w:rPr>
          <w:rStyle w:val="SuperscriptRefChar"/>
          <w:color w:val="000000"/>
        </w:rPr>
        <w:t>60</w:t>
      </w:r>
      <w:r>
        <w:t xml:space="preserve"> identified structural gaps in service provision, including barriers associated with disability services underpinned by religious affiliations, and a lack of intersectional approaches within healthcare. </w:t>
      </w:r>
      <w:r w:rsidR="5EEF81C4">
        <w:t xml:space="preserve">This was particularly noted by LGBTQIA+ Autistic individuals living in rural areas. Experiences included </w:t>
      </w:r>
      <w:r w:rsidR="6C83809C">
        <w:t xml:space="preserve">difficulties in accessing services and a subsequent </w:t>
      </w:r>
      <w:r w:rsidR="5A54AE89">
        <w:t xml:space="preserve">lack of supportive staff </w:t>
      </w:r>
      <w:r w:rsidR="2D26A81E">
        <w:t xml:space="preserve">throughout the service following access. </w:t>
      </w:r>
      <w:r w:rsidR="6353057C" w:rsidRPr="002F7E97">
        <w:rPr>
          <w:rStyle w:val="SuperscriptRefChar"/>
          <w:color w:val="000000"/>
        </w:rPr>
        <w:t>60</w:t>
      </w:r>
      <w:r w:rsidR="5A54AE89">
        <w:t xml:space="preserve"> </w:t>
      </w:r>
      <w:r>
        <w:t>Normative diagnostic models of autism were also implicated in exclusion. Putnam et al.</w:t>
      </w:r>
      <w:r w:rsidR="6353057C" w:rsidRPr="002F7E97">
        <w:rPr>
          <w:rStyle w:val="SuperscriptRefChar"/>
          <w:color w:val="000000"/>
        </w:rPr>
        <w:t>69</w:t>
      </w:r>
      <w:r>
        <w:t xml:space="preserve"> found that non-binary participants experienced invalidation when compared against male-centric standards of autism</w:t>
      </w:r>
      <w:r w:rsidR="45BDA45F">
        <w:t>.</w:t>
      </w:r>
      <w:r>
        <w:t xml:space="preserve"> </w:t>
      </w:r>
      <w:r w:rsidR="673B70C8">
        <w:t xml:space="preserve">Early criteria for Autism diagnoses were developed from predominantly male samples, </w:t>
      </w:r>
      <w:r w:rsidR="363D7257">
        <w:t>resulting in diagnostic tools that overlook or misinterpret presentations of Autism in women and gender-diverse people</w:t>
      </w:r>
      <w:r w:rsidR="503E91DD">
        <w:t>.</w:t>
      </w:r>
      <w:r w:rsidR="363D7257">
        <w:t xml:space="preserve"> </w:t>
      </w:r>
      <w:r w:rsidR="6353057C" w:rsidRPr="002F7E97">
        <w:rPr>
          <w:color w:val="000000"/>
          <w:vertAlign w:val="superscript"/>
        </w:rPr>
        <w:t>92</w:t>
      </w:r>
      <w:r w:rsidR="45D72738">
        <w:t xml:space="preserve"> Autistic women are more likely to mask or camouflage </w:t>
      </w:r>
      <w:r w:rsidR="781F1B60">
        <w:t>Autistic traits,</w:t>
      </w:r>
      <w:r w:rsidR="77E1B83B">
        <w:t xml:space="preserve"> often at the cost of mental distress, and</w:t>
      </w:r>
      <w:r w:rsidR="781F1B60">
        <w:t xml:space="preserve"> </w:t>
      </w:r>
      <w:r w:rsidR="05E4CDFB">
        <w:t xml:space="preserve">can </w:t>
      </w:r>
      <w:r w:rsidR="781F1B60">
        <w:t>appear to struggle less with social tasks</w:t>
      </w:r>
      <w:r w:rsidR="0EE6D3DB">
        <w:t>.</w:t>
      </w:r>
      <w:r w:rsidR="6353057C" w:rsidRPr="002F7E97">
        <w:rPr>
          <w:color w:val="000000"/>
          <w:vertAlign w:val="superscript"/>
        </w:rPr>
        <w:t>92</w:t>
      </w:r>
      <w:r w:rsidR="6A3111E1">
        <w:t xml:space="preserve"> Historically, this has led to lower rates of diagnosis, reflected </w:t>
      </w:r>
      <w:r w:rsidR="1412CA02">
        <w:t>by the findings of</w:t>
      </w:r>
      <w:r>
        <w:t xml:space="preserve"> Ardeleanu et al.</w:t>
      </w:r>
      <w:r w:rsidR="47C82C64">
        <w:t>,</w:t>
      </w:r>
      <w:r w:rsidR="6353057C" w:rsidRPr="002F7E97">
        <w:rPr>
          <w:rStyle w:val="SuperscriptRefChar"/>
          <w:color w:val="000000"/>
        </w:rPr>
        <w:t>89</w:t>
      </w:r>
      <w:r>
        <w:t xml:space="preserve"> </w:t>
      </w:r>
      <w:r w:rsidR="1337F815">
        <w:t xml:space="preserve">which </w:t>
      </w:r>
      <w:r>
        <w:t>report that those assigned female at birth were frequently undiagnosed or misdiagnosed due to gendered expectations.</w:t>
      </w:r>
    </w:p>
    <w:p w14:paraId="6D02D2A7" w14:textId="77777777" w:rsidR="3604304F" w:rsidRDefault="3604304F" w:rsidP="00FC75AA">
      <w:r>
        <w:t>Regarding management of dual identities, the extensive preparation undertaken by participants prior to appointments such as scripting and extensive research was identified.</w:t>
      </w:r>
      <w:r w:rsidR="00406C58" w:rsidRPr="00406C58">
        <w:rPr>
          <w:rStyle w:val="SuperscriptRefChar"/>
          <w:color w:val="000000"/>
        </w:rPr>
        <w:t>73</w:t>
      </w:r>
      <w:r>
        <w:t xml:space="preserve"> These tools were employed to mitigate fears of being denied care, and distress linked to opaque or unpredictable assessment and treatment processes.</w:t>
      </w:r>
      <w:r w:rsidR="00406C58" w:rsidRPr="00406C58">
        <w:rPr>
          <w:color w:val="000000"/>
          <w:vertAlign w:val="superscript"/>
        </w:rPr>
        <w:t>74</w:t>
      </w:r>
      <w:r>
        <w:t xml:space="preserve"> </w:t>
      </w:r>
    </w:p>
    <w:p w14:paraId="205845A2" w14:textId="77777777" w:rsidR="3604304F" w:rsidRDefault="3604304F" w:rsidP="00FC75AA">
      <w:r>
        <w:t>Glackin et al.</w:t>
      </w:r>
      <w:r w:rsidR="00406C58" w:rsidRPr="00406C58">
        <w:rPr>
          <w:rStyle w:val="SuperscriptRefChar"/>
          <w:color w:val="000000"/>
        </w:rPr>
        <w:t>79</w:t>
      </w:r>
      <w:r>
        <w:t xml:space="preserve"> observed that participants anticipated dismissal, particularly in relation to </w:t>
      </w:r>
      <w:r w:rsidR="00EF6FA0">
        <w:t>gender affirming</w:t>
      </w:r>
      <w:r>
        <w:t xml:space="preserve"> care, which necessitated exhausting self-advocacy and highlighted the absence of integrated approaches to assessment and treatment. Specifically related to gender affirming care (GAC), some participants described consenting to unwanted treatments due to fear of being denied care and exhausting self-advocacy as a result of the lack of appropriate adaptations.</w:t>
      </w:r>
      <w:r w:rsidR="00406C58" w:rsidRPr="00406C58">
        <w:rPr>
          <w:rStyle w:val="SuperscriptRefChar"/>
          <w:color w:val="000000"/>
        </w:rPr>
        <w:t>63</w:t>
      </w:r>
    </w:p>
    <w:p w14:paraId="75742028" w14:textId="77777777" w:rsidR="3604304F" w:rsidRDefault="3604304F" w:rsidP="00FC75AA">
      <w:r>
        <w:t>Following disclosure of autism, experiences of infantilisation were documented, with Autistic participants treated as incompetent or incapable.</w:t>
      </w:r>
      <w:r w:rsidR="00406C58" w:rsidRPr="00406C58">
        <w:rPr>
          <w:rStyle w:val="SuperscriptRefChar"/>
          <w:color w:val="000000"/>
        </w:rPr>
        <w:t>76</w:t>
      </w:r>
      <w:r>
        <w:t xml:space="preserve"> Similarly, Kearns et al.</w:t>
      </w:r>
      <w:r w:rsidR="00406C58" w:rsidRPr="00406C58">
        <w:rPr>
          <w:rStyle w:val="SuperscriptRefChar"/>
          <w:color w:val="000000"/>
        </w:rPr>
        <w:t>77</w:t>
      </w:r>
      <w:r>
        <w:t xml:space="preserve"> found that young people often concealed Neurodivergent diagnoses during assessments, perceiving them as barriers to accessing services particularly in </w:t>
      </w:r>
      <w:r>
        <w:lastRenderedPageBreak/>
        <w:t>gender affirming care.  Collectively, these findings underscore how the dual identity of being both Autistic and LGBTQIA+ operated not merely as an individual characteristic but as a structural barrier embedded within healthcare systems.</w:t>
      </w:r>
    </w:p>
    <w:p w14:paraId="0302833D" w14:textId="77777777" w:rsidR="3604304F" w:rsidRDefault="3604304F" w:rsidP="00FC75AA">
      <w:r>
        <w:t>Service and systemic conditions were also found to constitute substantial barriers to healthcare access. Healthcare systems were identified by participants as environments that were not structured to address the dual needs of LGBTQIA+ Autistic people.</w:t>
      </w:r>
      <w:r w:rsidR="00406C58" w:rsidRPr="00406C58">
        <w:rPr>
          <w:rStyle w:val="SuperscriptRefChar"/>
          <w:color w:val="000000"/>
        </w:rPr>
        <w:t>79</w:t>
      </w:r>
      <w:r>
        <w:t xml:space="preserve"> Oliver et al.</w:t>
      </w:r>
      <w:r w:rsidR="00406C58" w:rsidRPr="00406C58">
        <w:rPr>
          <w:rStyle w:val="SuperscriptRefChar"/>
          <w:color w:val="000000"/>
        </w:rPr>
        <w:t>88</w:t>
      </w:r>
      <w:r>
        <w:t xml:space="preserve"> highlighted the compounding effects of administrative burdens, overwhelming assessments, and protracted waiting lists, which contributed to psychological distress, self-blame, and regressive coping strategies. </w:t>
      </w:r>
    </w:p>
    <w:p w14:paraId="1271736F" w14:textId="77777777" w:rsidR="3604304F" w:rsidRDefault="3604304F" w:rsidP="00FC75AA">
      <w:r>
        <w:t>A significant point raised was the delays and fragmentation of the service provision.</w:t>
      </w:r>
      <w:r w:rsidR="00406C58" w:rsidRPr="00406C58">
        <w:rPr>
          <w:rStyle w:val="SuperscriptRefChar"/>
          <w:color w:val="000000"/>
        </w:rPr>
        <w:t>61,73,79</w:t>
      </w:r>
      <w:r>
        <w:t xml:space="preserve"> Delays were reported across autism diagnosis services and gender care services.</w:t>
      </w:r>
      <w:r w:rsidR="00406C58" w:rsidRPr="00406C58">
        <w:rPr>
          <w:rStyle w:val="SuperscriptRefChar"/>
          <w:color w:val="000000"/>
        </w:rPr>
        <w:t>79</w:t>
      </w:r>
      <w:r>
        <w:t xml:space="preserve"> As a result of these delays some gender-diverse Autistic people received their autism diagnosis after their gender dysphoria diagnosis which they felt impeded their ability to avail of autism-specific adaptations during their gender dysphoria assessment.</w:t>
      </w:r>
      <w:r w:rsidR="00406C58" w:rsidRPr="00406C58">
        <w:rPr>
          <w:rStyle w:val="SuperscriptRefChar"/>
          <w:color w:val="000000"/>
        </w:rPr>
        <w:t>73</w:t>
      </w:r>
      <w:r>
        <w:t xml:space="preserve"> Similarly, when diagnosis was obtained it was noted that services omitted part of participants diagnosis during referral, in this case when referring to gender services no autism diagnosis was identified and when referring to autism services no gender identity diagnosis was recorded.</w:t>
      </w:r>
      <w:r w:rsidR="00406C58" w:rsidRPr="00406C58">
        <w:rPr>
          <w:rStyle w:val="SuperscriptRefChar"/>
          <w:color w:val="000000"/>
        </w:rPr>
        <w:t>61</w:t>
      </w:r>
      <w:r>
        <w:t xml:space="preserve"> </w:t>
      </w:r>
    </w:p>
    <w:p w14:paraId="25662C9D" w14:textId="77777777" w:rsidR="3604304F" w:rsidRDefault="3604304F" w:rsidP="00FC75AA">
      <w:r>
        <w:t>Healthcare environments were repeatedly identified as sensory-unfriendly, with overstimulating waiting rooms and inflexible appointment structures that failed to accommodate the needs of Autistic people.</w:t>
      </w:r>
      <w:r w:rsidR="00406C58" w:rsidRPr="00406C58">
        <w:rPr>
          <w:rStyle w:val="SuperscriptRefChar"/>
          <w:color w:val="000000"/>
        </w:rPr>
        <w:t>71,72,91</w:t>
      </w:r>
      <w:r>
        <w:t xml:space="preserve"> McLean et al.</w:t>
      </w:r>
      <w:r w:rsidR="00406C58" w:rsidRPr="00406C58">
        <w:rPr>
          <w:rStyle w:val="SuperscriptRefChar"/>
          <w:color w:val="000000"/>
        </w:rPr>
        <w:t>84</w:t>
      </w:r>
      <w:r>
        <w:t xml:space="preserve"> further documented environmental triggers including fluorescent lighting, intrusive smells, and excessive noise, as well as the challenges posed by socially demanding healthcare settings. Additionally, services were noted to have limited communication modalities available such as an overreliance on telephone contact.</w:t>
      </w:r>
      <w:r w:rsidR="00406C58" w:rsidRPr="00406C58">
        <w:rPr>
          <w:rStyle w:val="SuperscriptRefChar"/>
          <w:color w:val="000000"/>
        </w:rPr>
        <w:t>76</w:t>
      </w:r>
    </w:p>
    <w:p w14:paraId="5BCA51DC" w14:textId="77777777" w:rsidR="5ED4A319" w:rsidRDefault="5ED4A319" w:rsidP="00FC75AA">
      <w:pPr>
        <w:pStyle w:val="Heading4"/>
      </w:pPr>
      <w:r>
        <w:t>Facilitators</w:t>
      </w:r>
    </w:p>
    <w:p w14:paraId="7BB3420E" w14:textId="77777777" w:rsidR="254B9206" w:rsidRDefault="254B9206" w:rsidP="00FC75AA">
      <w:r>
        <w:t>The presence of both formal and informal support systems within the healthcare environment were repeatedly identified as key facilitators of healthcare access. The presence of peer supporters and advocacy networks allowed for the navigation of complex and sometimes daunting systems.</w:t>
      </w:r>
      <w:r w:rsidR="00406C58" w:rsidRPr="00406C58">
        <w:rPr>
          <w:color w:val="000000"/>
          <w:vertAlign w:val="superscript"/>
        </w:rPr>
        <w:t>60,78,83</w:t>
      </w:r>
      <w:r w:rsidRPr="00386A55">
        <w:t xml:space="preserve"> </w:t>
      </w:r>
      <w:r>
        <w:t>Exposure to positive Autistic TGD role models in the care environment offered a sense of hope and validation to TGD Autistic people.</w:t>
      </w:r>
      <w:r w:rsidR="00406C58" w:rsidRPr="00406C58">
        <w:rPr>
          <w:color w:val="000000"/>
          <w:vertAlign w:val="superscript"/>
        </w:rPr>
        <w:t>83</w:t>
      </w:r>
      <w:r>
        <w:t xml:space="preserve"> Additionally, the availability of resources, such as Autism Connect, a dedicated autism health line, allowed LGBTQIA+ Autistic people to locate supportive providers who had the knowledge and skill to effectively work with individuals with this dual identity.</w:t>
      </w:r>
      <w:r w:rsidR="00406C58" w:rsidRPr="00406C58">
        <w:rPr>
          <w:color w:val="000000"/>
          <w:vertAlign w:val="superscript"/>
        </w:rPr>
        <w:t>60</w:t>
      </w:r>
      <w:r>
        <w:t xml:space="preserve"> Similarly, social supports, such as community, and peer level supports, as well as </w:t>
      </w:r>
      <w:r>
        <w:lastRenderedPageBreak/>
        <w:t xml:space="preserve">family members, partners and </w:t>
      </w:r>
      <w:r w:rsidR="00923A42">
        <w:t>healthcare</w:t>
      </w:r>
      <w:r>
        <w:t xml:space="preserve"> professionals, were identified as instrumental facilitators to accessing care.</w:t>
      </w:r>
      <w:r w:rsidR="00406C58" w:rsidRPr="00406C58">
        <w:rPr>
          <w:color w:val="000000"/>
          <w:vertAlign w:val="superscript"/>
        </w:rPr>
        <w:t>78,84</w:t>
      </w:r>
      <w:r>
        <w:t xml:space="preserve"> When engaging with services, LGBTQIA+ Autistic people valued attributes such as kindness, empathic listening, and non-judgemental dialogue in healthcare providers.</w:t>
      </w:r>
      <w:r w:rsidR="00406C58" w:rsidRPr="00406C58">
        <w:rPr>
          <w:color w:val="000000"/>
          <w:vertAlign w:val="superscript"/>
        </w:rPr>
        <w:t>76,88</w:t>
      </w:r>
      <w:r>
        <w:t xml:space="preserve"> These qualities reduced distress and, in some cases, enabled pathways to diagnosis. These supported pathways provided participants with the ability to receive a formal autism diagnosis which for some was seen as a key facilitator, not just in legitimising their healthcare needs and enabling access to additional supports, but to making sense of their dual identity</w:t>
      </w:r>
      <w:r w:rsidR="00321278">
        <w:t>.</w:t>
      </w:r>
      <w:r w:rsidR="00406C58" w:rsidRPr="00406C58">
        <w:rPr>
          <w:color w:val="000000"/>
          <w:vertAlign w:val="superscript"/>
        </w:rPr>
        <w:t>76</w:t>
      </w:r>
    </w:p>
    <w:p w14:paraId="26FA0AD3" w14:textId="77777777" w:rsidR="254B9206" w:rsidRDefault="51C7ED74" w:rsidP="00FC75AA">
      <w:r>
        <w:t>Regarding service provision, the availability of alternative forms of appointment booking and the option to communicate via email were facilitators to reducing stress, minimising sensory barriers and enhancing accessibility.</w:t>
      </w:r>
      <w:r w:rsidR="00406C58" w:rsidRPr="00406C58">
        <w:rPr>
          <w:rStyle w:val="SuperscriptRefChar"/>
          <w:color w:val="000000"/>
        </w:rPr>
        <w:t>84</w:t>
      </w:r>
      <w:r>
        <w:t xml:space="preserve"> Strang et al.</w:t>
      </w:r>
      <w:r w:rsidR="00406C58" w:rsidRPr="00406C58">
        <w:rPr>
          <w:rStyle w:val="SuperscriptRefChar"/>
          <w:color w:val="000000"/>
        </w:rPr>
        <w:t>83</w:t>
      </w:r>
      <w:r>
        <w:t xml:space="preserve"> also reported these adaptations could have a positive impact on the ability of LGBTQIA+ Autistic people engaging with healthcare. </w:t>
      </w:r>
    </w:p>
    <w:p w14:paraId="617DFE51" w14:textId="77777777" w:rsidR="254B9206" w:rsidRDefault="51C7ED74" w:rsidP="00FC75AA">
      <w:r>
        <w:t>Masking of Autistic identities was noted as a pragmatic facilitator by participants, who felt that their access to and experience of care was improved.</w:t>
      </w:r>
      <w:r w:rsidRPr="65236B7A">
        <w:rPr>
          <w:rStyle w:val="SuperscriptRefChar"/>
        </w:rPr>
        <w:t xml:space="preserve">47 </w:t>
      </w:r>
      <w:r>
        <w:t>It must be acknowledged that this masking should not be an expected tool but arose from a feeling of necessity to avoid negative treatment and carries a significant personal and emotional cost to LGBTQIA+ Autistic people.</w:t>
      </w:r>
      <w:r w:rsidR="00406C58" w:rsidRPr="00406C58">
        <w:rPr>
          <w:rStyle w:val="SuperscriptRefChar"/>
          <w:color w:val="000000"/>
        </w:rPr>
        <w:t>63</w:t>
      </w:r>
    </w:p>
    <w:p w14:paraId="39925613" w14:textId="77777777" w:rsidR="11579351" w:rsidRDefault="11579351" w:rsidP="00FC75AA">
      <w:pPr>
        <w:pStyle w:val="Heading3"/>
      </w:pPr>
      <w:bookmarkStart w:id="103" w:name="_Toc211371261"/>
      <w:r>
        <w:t>Quantitative Findings</w:t>
      </w:r>
      <w:bookmarkEnd w:id="103"/>
    </w:p>
    <w:p w14:paraId="3DFCD8EA" w14:textId="77777777" w:rsidR="227DF010" w:rsidRDefault="227DF010" w:rsidP="00FC75AA">
      <w:r>
        <w:t>Quantitative findings related to barriers were identified across two studies</w:t>
      </w:r>
      <w:r w:rsidR="00BF5252">
        <w:t xml:space="preserve"> and related only to TGD Autistic </w:t>
      </w:r>
      <w:r w:rsidR="00073141">
        <w:t>individuals</w:t>
      </w:r>
      <w:r>
        <w:t>.</w:t>
      </w:r>
      <w:r w:rsidR="00406C58" w:rsidRPr="00406C58">
        <w:rPr>
          <w:rStyle w:val="SuperscriptRefChar"/>
          <w:color w:val="000000"/>
        </w:rPr>
        <w:t>64,65</w:t>
      </w:r>
      <w:r>
        <w:t xml:space="preserve"> Facilitators were identified in one included study.</w:t>
      </w:r>
      <w:r w:rsidR="00406C58" w:rsidRPr="00406C58">
        <w:rPr>
          <w:color w:val="000000"/>
          <w:vertAlign w:val="superscript"/>
        </w:rPr>
        <w:t>68</w:t>
      </w:r>
      <w:r>
        <w:t xml:space="preserve"> Barriers included structural and logistical barriers, provider specific barriers, experiential and communication barriers and insurance disparities. Facilitators included impact of legal and societal processes.</w:t>
      </w:r>
    </w:p>
    <w:p w14:paraId="281A63D3" w14:textId="77777777" w:rsidR="46514FE6" w:rsidRDefault="301755D1" w:rsidP="00FC75AA">
      <w:pPr>
        <w:pStyle w:val="Heading4"/>
      </w:pPr>
      <w:r>
        <w:t>Barriers</w:t>
      </w:r>
    </w:p>
    <w:p w14:paraId="17744ED3" w14:textId="77777777" w:rsidR="0B12408A" w:rsidRDefault="0B12408A" w:rsidP="00FC75AA">
      <w:r>
        <w:t>Structural barriers are prominent in shaping healthcare access. Logistic challenges such as scheduling appointments and securing transportation disproportionately affect non-binary Autistic people, with significantly higher rates of reported difficulty compared to cisgender men and women.</w:t>
      </w:r>
      <w:r w:rsidR="00406C58" w:rsidRPr="00406C58">
        <w:rPr>
          <w:rStyle w:val="SuperscriptRefChar"/>
          <w:color w:val="000000"/>
        </w:rPr>
        <w:t>65</w:t>
      </w:r>
      <w:r>
        <w:t xml:space="preserve"> Limited availability of </w:t>
      </w:r>
      <w:r w:rsidR="00392971">
        <w:t xml:space="preserve">healthcare </w:t>
      </w:r>
      <w:r>
        <w:t>providers compounds these barriers, with non-binary participants nearly twice as likely as cisgender men to report insufficient healthcare professionals in their area. Women also experienced greater difficulty than men, underscoring gendered disparities within Autistic populations.</w:t>
      </w:r>
      <w:r w:rsidR="00406C58" w:rsidRPr="00406C58">
        <w:rPr>
          <w:rStyle w:val="SuperscriptRefChar"/>
          <w:color w:val="000000"/>
        </w:rPr>
        <w:t>65</w:t>
      </w:r>
      <w:r>
        <w:t xml:space="preserve"> Financial barriers further restrict access. Cost of services and lack of insurance coverage were more frequently cited by women and non-binary participants than men, with both groups showing significantly higher odds of reporting financial obstacles.</w:t>
      </w:r>
      <w:r w:rsidR="00406C58" w:rsidRPr="00406C58">
        <w:rPr>
          <w:rStyle w:val="SuperscriptRefChar"/>
          <w:color w:val="000000"/>
        </w:rPr>
        <w:t>65</w:t>
      </w:r>
      <w:r>
        <w:t xml:space="preserve"> These findings suggest that intersecting marginalisations amplify the economic vulnerability of TGD Autistic people when seeking care.</w:t>
      </w:r>
    </w:p>
    <w:p w14:paraId="6400BED4" w14:textId="77777777" w:rsidR="0B12408A" w:rsidRDefault="0B12408A" w:rsidP="00FC75AA">
      <w:r>
        <w:lastRenderedPageBreak/>
        <w:t>Provider attitudes and willingness to engage with Autistic populations also present barriers. A subset of participants reported being refused care outright due to their autism diagnosis or co-occurring mental health diagnoses. Although less common, these experiences were disproportionately reported by non-binary Autistic individuals, reinforcing the compounded exclusions faced by those at the intersection of autism, mental health, and gender diversity.</w:t>
      </w:r>
      <w:r w:rsidR="00406C58" w:rsidRPr="00406C58">
        <w:rPr>
          <w:rStyle w:val="SuperscriptRefChar"/>
          <w:color w:val="000000"/>
        </w:rPr>
        <w:t>65</w:t>
      </w:r>
    </w:p>
    <w:p w14:paraId="0BA5C47A" w14:textId="77777777" w:rsidR="0B12408A" w:rsidRDefault="0B12408A" w:rsidP="00FC75AA">
      <w:r>
        <w:t>Experiential data reveal particularly stark inequities for TGD Autistic people. Across 50 of 51 domains, both cisgender and TGD Autistic adults reported poorer healthcare experiences than cisgender non-autistic adults.</w:t>
      </w:r>
      <w:r w:rsidR="00406C58" w:rsidRPr="00406C58">
        <w:rPr>
          <w:rStyle w:val="SuperscriptRefChar"/>
          <w:color w:val="000000"/>
        </w:rPr>
        <w:t>64</w:t>
      </w:r>
      <w:r w:rsidRPr="6DC9B4DA">
        <w:rPr>
          <w:rStyle w:val="SuperscriptRefChar"/>
        </w:rPr>
        <w:t xml:space="preserve"> </w:t>
      </w:r>
      <w:r>
        <w:t>Within these findings, TGD Autistic individuals reported significantly higher rates of anxiety in healthcare contexts, being three to eleven times more likely to experience anxiety than cisgender non-Autistic adults. Shutdowns and meltdowns also occurred at markedly higher levels, with TGD Autistic adults five to ten times more likely to report these experiences.</w:t>
      </w:r>
      <w:r w:rsidR="00406C58" w:rsidRPr="00406C58">
        <w:rPr>
          <w:rStyle w:val="SuperscriptRefChar"/>
          <w:color w:val="000000"/>
        </w:rPr>
        <w:t>64</w:t>
      </w:r>
      <w:r>
        <w:t xml:space="preserve"> Communication difficulties further exacerbate these inequities. Only 13% of TGD Autistic adults reported being able to describe pain levels effectively, compared with 19% of cisgender Autistic adults, and both groups fared substantially worse than cisgender non-Autistic adults. Similarly, only 14% of TGD Autistic participants reported being able to understand healthcare professionals, compared with 20% of cisgender Autistic adults.</w:t>
      </w:r>
      <w:r w:rsidR="00406C58" w:rsidRPr="00406C58">
        <w:rPr>
          <w:rStyle w:val="SuperscriptRefChar"/>
          <w:color w:val="000000"/>
        </w:rPr>
        <w:t>64</w:t>
      </w:r>
      <w:r w:rsidRPr="6DC9B4DA">
        <w:rPr>
          <w:rStyle w:val="SuperscriptRefChar"/>
        </w:rPr>
        <w:t xml:space="preserve"> </w:t>
      </w:r>
      <w:r>
        <w:t>These findings emphasise that even within Autistic populations, TGD individuals face greater disadvantages in communicating health needs and navigating care.</w:t>
      </w:r>
    </w:p>
    <w:p w14:paraId="716F40A7" w14:textId="77777777" w:rsidR="0B12408A" w:rsidRDefault="0B12408A" w:rsidP="00FC75AA">
      <w:r>
        <w:t>Despite reporting more negative healthcare experiences, TGD Autistic adults were more likely than cisgender Autistic adults to have health insurance.</w:t>
      </w:r>
      <w:r w:rsidR="00406C58" w:rsidRPr="00406C58">
        <w:rPr>
          <w:rStyle w:val="SuperscriptRefChar"/>
          <w:color w:val="000000"/>
        </w:rPr>
        <w:t>64</w:t>
      </w:r>
      <w:r>
        <w:t xml:space="preserve"> This paradox highlights that while structural access to insurance may be higher, experiential barriers related to communication, anxiety, and advocacy persist, resulting in poorer health outcomes.</w:t>
      </w:r>
    </w:p>
    <w:p w14:paraId="541039AF" w14:textId="77777777" w:rsidR="79644E83" w:rsidRDefault="79644E83" w:rsidP="00FC75AA">
      <w:pPr>
        <w:pStyle w:val="Heading4"/>
      </w:pPr>
      <w:r>
        <w:t>Facilitators</w:t>
      </w:r>
    </w:p>
    <w:p w14:paraId="0D81C186" w14:textId="77777777" w:rsidR="5FFD354A" w:rsidRPr="002F7E97" w:rsidRDefault="5FFD354A" w:rsidP="00FC75AA">
      <w:pPr>
        <w:rPr>
          <w:color w:val="000000"/>
          <w:vertAlign w:val="superscript"/>
        </w:rPr>
      </w:pPr>
      <w:r>
        <w:t>While much of the literature highlights barriers, emerging evidence also points to structural and social facilitators that can reduce unmet healthcare needs for LGBTQIA+ Autistic people. For example, Wallisch et al.</w:t>
      </w:r>
      <w:r w:rsidRPr="40F52016">
        <w:rPr>
          <w:rStyle w:val="SuperscriptRefChar"/>
        </w:rPr>
        <w:t xml:space="preserve"> </w:t>
      </w:r>
      <w:r w:rsidR="00406C58" w:rsidRPr="00406C58">
        <w:rPr>
          <w:rStyle w:val="SuperscriptRefChar"/>
          <w:color w:val="000000"/>
        </w:rPr>
        <w:t>68</w:t>
      </w:r>
      <w:r>
        <w:t xml:space="preserve"> found that anti-discrimination healthcare legislation was associated with significantly fewer unmet needs, with those living in regions with stronger protections being 0.60 times less likely to report gaps in care. This underscores the role of inclusive legal frameworks in shaping equitable healthcare access and mitigating systemic exclusion. Interestingly, the study also reported that living below the federal poverty line was associated with fewer unmet needs, with individuals in this category being 0.51 times less likely to experience such barriers. While initially counterintuitive, this finding may reflect eligibility for social welfare programmes or subsidised healthcare, suggesting that structural supports can act as protective </w:t>
      </w:r>
      <w:r>
        <w:lastRenderedPageBreak/>
        <w:t>factors. Together, these findings indicate that policy-level protections and targeted supports can serve as important facilitators of healthcare access for LGBTQIA+ Autistic populations.</w:t>
      </w:r>
      <w:r w:rsidR="00406C58" w:rsidRPr="00406C58">
        <w:rPr>
          <w:color w:val="000000"/>
          <w:vertAlign w:val="superscript"/>
        </w:rPr>
        <w:t>68</w:t>
      </w:r>
    </w:p>
    <w:p w14:paraId="45E9E814" w14:textId="77777777" w:rsidR="6CC13E39" w:rsidRDefault="6CC13E39" w:rsidP="00FC75AA">
      <w:pPr>
        <w:pStyle w:val="Heading3"/>
      </w:pPr>
      <w:bookmarkStart w:id="104" w:name="_Toc211371262"/>
      <w:r>
        <w:t>Integrated Findings</w:t>
      </w:r>
      <w:bookmarkEnd w:id="104"/>
    </w:p>
    <w:p w14:paraId="39791C29" w14:textId="77777777" w:rsidR="5EF6D9E5" w:rsidRDefault="5EF6D9E5" w:rsidP="00FC75AA">
      <w:r>
        <w:t>The identified findings converge to demonstrate that Autistic LGBTQIA+ individuals face persistent and compounded barriers to healthcare access, with few systemic facilitators documented. Barriers were evident at provider, systemic, and experiential levels, with intersecting Autistic and LGBTQIA+ identities amplifying marginalisation.</w:t>
      </w:r>
    </w:p>
    <w:p w14:paraId="763A2303" w14:textId="77777777" w:rsidR="5EF6D9E5" w:rsidRDefault="5EF6D9E5" w:rsidP="00FC75AA">
      <w:r>
        <w:t>A lack of provider knowledge and skill in healthcare provision for those with dual LGBTQIA+ and Autistic identities was well documented.</w:t>
      </w:r>
      <w:r w:rsidR="00406C58" w:rsidRPr="00406C58">
        <w:rPr>
          <w:rStyle w:val="SuperscriptRefChar"/>
          <w:color w:val="000000"/>
        </w:rPr>
        <w:t>60,69</w:t>
      </w:r>
      <w:r>
        <w:t xml:space="preserve"> This deficit extended to communication practices, with providers failing to or being unwilling to adopt practices to accommodate Autistic communication styles.</w:t>
      </w:r>
      <w:r w:rsidR="00406C58" w:rsidRPr="00406C58">
        <w:rPr>
          <w:rStyle w:val="SuperscriptRefChar"/>
          <w:color w:val="000000"/>
        </w:rPr>
        <w:t>63,71,72,91</w:t>
      </w:r>
      <w:r>
        <w:t xml:space="preserve"> This dual identity demonstrated further compounding whereby participants felt “othered” or disempowered in clinical encounters, with disclosure of either Autistic or LGBTQIA+ identity often perceived as high-risk and potentially leading to infantilisation, dismissal, or denial of </w:t>
      </w:r>
      <w:r w:rsidR="00EF6FA0">
        <w:t>gender affirming</w:t>
      </w:r>
      <w:r>
        <w:t xml:space="preserve"> care.</w:t>
      </w:r>
      <w:r w:rsidR="00406C58" w:rsidRPr="00406C58">
        <w:rPr>
          <w:rStyle w:val="SuperscriptRefChar"/>
          <w:color w:val="000000"/>
        </w:rPr>
        <w:t>76,79</w:t>
      </w:r>
      <w:r>
        <w:t xml:space="preserve"> This is supported by the quantitative data which identifies Autistic individuals, especially non-binary and gender-diverse participants, as being disproportionately refused care or encountering dismissive provider attitudes, with non-binary Autistic people significantly more likely to report being denied services compared with cisgender peers.</w:t>
      </w:r>
      <w:r w:rsidR="00406C58" w:rsidRPr="00406C58">
        <w:rPr>
          <w:rStyle w:val="SuperscriptRefChar"/>
          <w:color w:val="000000"/>
        </w:rPr>
        <w:t>65</w:t>
      </w:r>
      <w:r>
        <w:t xml:space="preserve"> Similarly, data showed heightened experiential inequities among TGD Autistic adults: they reported significantly greater anxiety in healthcare settings, were up to eleven times more likely to experience shutdowns or meltdowns, and were less able to communicate pain or understand providers compared with both cisgender Autistic and non-Autistic adults.</w:t>
      </w:r>
      <w:r w:rsidR="00406C58" w:rsidRPr="00406C58">
        <w:rPr>
          <w:rStyle w:val="SuperscriptRefChar"/>
          <w:color w:val="000000"/>
        </w:rPr>
        <w:t>64</w:t>
      </w:r>
      <w:r>
        <w:t xml:space="preserve"> Taken together, these findings underscore how intersectional marginalisation manifests both interpersonally, through stigma, invalidation, and dismissal, and experientially, through heightened anxiety and communicative exclusion.</w:t>
      </w:r>
    </w:p>
    <w:p w14:paraId="2F5E2D4A" w14:textId="77777777" w:rsidR="5EF6D9E5" w:rsidRDefault="5EF6D9E5" w:rsidP="00FC75AA">
      <w:r>
        <w:t>Fragmentation of services, lengthy delays, rigid systems, sensory-unfriendly environments, and burdensome administrative processes were consistently reported by LGBTQIA+ Autistic people.</w:t>
      </w:r>
      <w:r w:rsidRPr="6DC9B4DA">
        <w:rPr>
          <w:rStyle w:val="SuperscriptRefChar"/>
        </w:rPr>
        <w:t xml:space="preserve"> </w:t>
      </w:r>
      <w:r w:rsidR="00406C58" w:rsidRPr="00406C58">
        <w:rPr>
          <w:rStyle w:val="SuperscriptRefChar"/>
          <w:color w:val="000000"/>
        </w:rPr>
        <w:t>79,84,88</w:t>
      </w:r>
      <w:r>
        <w:t xml:space="preserve"> Furthermore, non-binary Autistic participants were significantly more likely than men to face logistical barriers such as difficulties scheduling appointments, finding providers, or affording services.</w:t>
      </w:r>
      <w:r w:rsidRPr="6DC9B4DA">
        <w:rPr>
          <w:rStyle w:val="SuperscriptRefChar"/>
        </w:rPr>
        <w:t xml:space="preserve"> </w:t>
      </w:r>
      <w:r w:rsidR="00406C58" w:rsidRPr="00406C58">
        <w:rPr>
          <w:rStyle w:val="SuperscriptRefChar"/>
          <w:color w:val="000000"/>
        </w:rPr>
        <w:t>65</w:t>
      </w:r>
      <w:r>
        <w:t xml:space="preserve"> Financial barriers, including inadequate insurance coverage and high service costs, further compounded inequities, particularly for non-binary Autistic people.</w:t>
      </w:r>
      <w:r w:rsidRPr="6DC9B4DA">
        <w:rPr>
          <w:rStyle w:val="SuperscriptRefChar"/>
        </w:rPr>
        <w:t xml:space="preserve"> </w:t>
      </w:r>
      <w:r w:rsidR="00406C58" w:rsidRPr="00406C58">
        <w:rPr>
          <w:rStyle w:val="SuperscriptRefChar"/>
          <w:color w:val="000000"/>
        </w:rPr>
        <w:t>65</w:t>
      </w:r>
      <w:r>
        <w:t xml:space="preserve"> This convergence suggests that while some individuals may technically have access to insurance,</w:t>
      </w:r>
      <w:r w:rsidRPr="6DC9B4DA">
        <w:rPr>
          <w:rStyle w:val="SuperscriptRefChar"/>
        </w:rPr>
        <w:t xml:space="preserve"> </w:t>
      </w:r>
      <w:r w:rsidR="00406C58" w:rsidRPr="00406C58">
        <w:rPr>
          <w:rStyle w:val="SuperscriptRefChar"/>
          <w:color w:val="000000"/>
        </w:rPr>
        <w:t>64</w:t>
      </w:r>
      <w:r>
        <w:t xml:space="preserve"> systemic and financial barriers render services at times inaccessible.</w:t>
      </w:r>
    </w:p>
    <w:p w14:paraId="4AFC4BD2" w14:textId="77777777" w:rsidR="5EF6D9E5" w:rsidRDefault="5EF6D9E5" w:rsidP="00FC75AA">
      <w:r>
        <w:lastRenderedPageBreak/>
        <w:t>In contrast, facilitators were almost exclusively reported in qualitative studies. These included the presence of peer and advocacy networks, empathetic and affirming providers, and system-level adaptations such as online booking or email communication with clinicians.</w:t>
      </w:r>
      <w:r w:rsidR="00406C58" w:rsidRPr="00406C58">
        <w:rPr>
          <w:rStyle w:val="SuperscriptRefChar"/>
          <w:color w:val="000000"/>
        </w:rPr>
        <w:t>60,78,84</w:t>
      </w:r>
      <w:r>
        <w:t xml:space="preserve"> Providers who employed inclusive language, asked directly about autistic support needs, and adapted communication styles were perceived as enablers of trust and engagement.</w:t>
      </w:r>
      <w:r w:rsidR="00406C58" w:rsidRPr="00406C58">
        <w:rPr>
          <w:rStyle w:val="SuperscriptRefChar"/>
          <w:color w:val="000000"/>
        </w:rPr>
        <w:t>76,83</w:t>
      </w:r>
      <w:r>
        <w:t xml:space="preserve"> Of the few facilitators identified within quantitative research, the key results included a reduction in likelihood of experiencing unmet healthcare needs in countries with more anti-discrimination laws and when LGBTQIA+ Autistic people were not in a precarious financial situation.</w:t>
      </w:r>
      <w:r w:rsidR="00406C58" w:rsidRPr="00406C58">
        <w:rPr>
          <w:rStyle w:val="SuperscriptRefChar"/>
          <w:color w:val="000000"/>
        </w:rPr>
        <w:t>68</w:t>
      </w:r>
      <w:r w:rsidRPr="6DC9B4DA">
        <w:rPr>
          <w:rStyle w:val="SuperscriptRefChar"/>
        </w:rPr>
        <w:t xml:space="preserve"> </w:t>
      </w:r>
      <w:r>
        <w:t>However, some facilitators, such as masking or concealing diagnoses, reflected adaptive strategies borne of necessity, indicating that many facilitators were compensatory rather than structural. The limited exploration of facilitators in the quantitative literature highlights a critical gap: while negative outcomes and barriers are well-documented across methodologies, systemic facilitators remain underexplored and undermeasured.</w:t>
      </w:r>
    </w:p>
    <w:p w14:paraId="4BF58C42" w14:textId="77777777" w:rsidR="51830172" w:rsidRDefault="51830172" w:rsidP="00FC75AA">
      <w:pPr>
        <w:pStyle w:val="Heading2"/>
      </w:pPr>
      <w:bookmarkStart w:id="105" w:name="_Toc211371263"/>
      <w:bookmarkStart w:id="106" w:name="_Toc214026552"/>
      <w:r>
        <w:t>Summary of Results</w:t>
      </w:r>
      <w:bookmarkEnd w:id="105"/>
      <w:bookmarkEnd w:id="106"/>
    </w:p>
    <w:p w14:paraId="26129911" w14:textId="0A4CC4F0" w:rsidR="001B5768" w:rsidRDefault="3F8F9C7E" w:rsidP="00FC75AA">
      <w:r>
        <w:t xml:space="preserve">The integration of findings across barriers, facilitators, and health disparities demonstrates that LGBTQIA+ Autistic people face profound and intersecting inequities in healthcare. Barriers operate at multiple levels, provider knowledge deficits, invalidation of dual identities, inhospitable sensory and systemic environments, financial constraints, and rigid diagnostic or service pathways, which collectively restrict access to affirming care. These barriers contribute directly to health disparities, including delayed or denied access to </w:t>
      </w:r>
      <w:r w:rsidR="00EF6FA0">
        <w:t>gender affirming</w:t>
      </w:r>
      <w:r>
        <w:t xml:space="preserve"> care, high rates of unmet service needs, later autism diagnoses, and disproportionately poor physical and mental health outcomes, with particularly stark inequities for transgender and non-binary Autistic individuals. At the same time, facilitators highlight the potential for change: supportive networks, affirming providers, inclusive communication, Autistic-informed adaptations and systemic adjustments, such as anti-discrimination laws and equitable provision of resources, can mitigate barriers and promote equitable engagement. Together, these integrated findings underscore that health disparities are not inevitable but arise from structural exclusion and lack of adaptation, suggesting that targeted, </w:t>
      </w:r>
      <w:r w:rsidR="00E9760C">
        <w:t>intersectionally</w:t>
      </w:r>
      <w:r w:rsidR="000A1A95">
        <w:t>-</w:t>
      </w:r>
      <w:r w:rsidR="00E9760C">
        <w:t>informed</w:t>
      </w:r>
      <w:r>
        <w:t xml:space="preserve"> interventions hold promise for reducing inequities and improving health outcomes for this population.</w:t>
      </w:r>
    </w:p>
    <w:p w14:paraId="3286F9E4" w14:textId="7A2E9A6D" w:rsidR="00D36ACA" w:rsidRDefault="001B5768" w:rsidP="001B5768">
      <w:pPr>
        <w:spacing w:after="0"/>
      </w:pPr>
      <w:r>
        <w:br w:type="page"/>
      </w:r>
    </w:p>
    <w:p w14:paraId="7F2D7C10" w14:textId="68E7385D" w:rsidR="001B5768" w:rsidRPr="001B5768" w:rsidRDefault="003C746D" w:rsidP="001B5768">
      <w:bookmarkStart w:id="107" w:name="_Toc1190427049"/>
      <w:bookmarkStart w:id="108" w:name="_Toc211371264"/>
      <w:r>
        <w:rPr>
          <w:noProof/>
        </w:rPr>
        <w:lastRenderedPageBreak/>
        <w:drawing>
          <wp:anchor distT="0" distB="0" distL="114300" distR="114300" simplePos="0" relativeHeight="251656192" behindDoc="0" locked="0" layoutInCell="1" allowOverlap="1" wp14:anchorId="104AE092" wp14:editId="733CCAC9">
            <wp:simplePos x="0" y="0"/>
            <wp:positionH relativeFrom="page">
              <wp:posOffset>-39266</wp:posOffset>
            </wp:positionH>
            <wp:positionV relativeFrom="paragraph">
              <wp:posOffset>-917029</wp:posOffset>
            </wp:positionV>
            <wp:extent cx="7912100" cy="11196955"/>
            <wp:effectExtent l="0" t="0" r="0" b="0"/>
            <wp:wrapNone/>
            <wp:docPr id="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2100" cy="1119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68">
        <w:br w:type="page"/>
      </w:r>
    </w:p>
    <w:p w14:paraId="0EFD62A8" w14:textId="77777777" w:rsidR="00F562A5" w:rsidRDefault="42891151" w:rsidP="00F562A5">
      <w:pPr>
        <w:pStyle w:val="Heading1"/>
      </w:pPr>
      <w:bookmarkStart w:id="109" w:name="_Toc214026553"/>
      <w:r>
        <w:lastRenderedPageBreak/>
        <w:t>Section</w:t>
      </w:r>
      <w:r w:rsidR="335C8B69">
        <w:t xml:space="preserve"> 4 </w:t>
      </w:r>
      <w:r w:rsidR="3C92F21B">
        <w:t>Discussion &amp; Recommendations</w:t>
      </w:r>
      <w:bookmarkEnd w:id="107"/>
      <w:bookmarkEnd w:id="108"/>
      <w:bookmarkEnd w:id="109"/>
    </w:p>
    <w:p w14:paraId="29BE8FCA" w14:textId="77777777" w:rsidR="00822584" w:rsidRDefault="4CAD052E" w:rsidP="00FC75AA">
      <w:pPr>
        <w:pStyle w:val="Heading2"/>
      </w:pPr>
      <w:bookmarkStart w:id="110" w:name="_Toc2087263940"/>
      <w:bookmarkStart w:id="111" w:name="_Toc211371265"/>
      <w:bookmarkStart w:id="112" w:name="_Toc214026554"/>
      <w:r>
        <w:t>Discussion</w:t>
      </w:r>
      <w:bookmarkEnd w:id="110"/>
      <w:bookmarkEnd w:id="111"/>
      <w:bookmarkEnd w:id="112"/>
    </w:p>
    <w:p w14:paraId="0E9EFA2C" w14:textId="77777777" w:rsidR="00836DF2" w:rsidRPr="00C920B4" w:rsidRDefault="009853E2" w:rsidP="00FC75AA">
      <w:r>
        <w:t xml:space="preserve">This review demonstrates that LGBTQIA+ </w:t>
      </w:r>
      <w:r w:rsidR="6BD24B4F">
        <w:t>A</w:t>
      </w:r>
      <w:r w:rsidR="2D7A78A0">
        <w:t>utistic</w:t>
      </w:r>
      <w:r>
        <w:t xml:space="preserve"> people experience profound inequities in healthcare that stem not only from interpersonal and systemic barriers but also from the structural invisibility of their intersecting identities within policy frameworks. </w:t>
      </w:r>
      <w:r w:rsidR="00A92D63" w:rsidRPr="00407CBA">
        <w:t xml:space="preserve">Although no intervention studies were identified within this review, </w:t>
      </w:r>
      <w:r w:rsidR="00C920B4" w:rsidRPr="00C920B4">
        <w:t>the following discussion draws on national and international policies, guidelines, and broader literature to interpret these findings and highlight implications for practice and policy development.</w:t>
      </w:r>
      <w:r w:rsidR="00C920B4">
        <w:t xml:space="preserve"> </w:t>
      </w:r>
      <w:r w:rsidR="008131FB">
        <w:t xml:space="preserve">Additionally, </w:t>
      </w:r>
      <w:r w:rsidR="00A92D63" w:rsidRPr="00407CBA">
        <w:t>much of the existing evidence focuses on T</w:t>
      </w:r>
      <w:r w:rsidR="002A35C9" w:rsidRPr="00407CBA">
        <w:t>GD</w:t>
      </w:r>
      <w:r w:rsidR="00A92D63" w:rsidRPr="00407CBA">
        <w:t xml:space="preserve"> Autistic populations, reflecting emerging recognition of the high rates of co-occurrence between gender diversity and autism. Large-scale population research has found that TGD individuals are between three and six times more likely to be Autistic than their cisgender peers</w:t>
      </w:r>
      <w:r w:rsidR="00AA2035" w:rsidRPr="00407CBA">
        <w:t>.</w:t>
      </w:r>
      <w:r w:rsidR="00406C58" w:rsidRPr="00406C58">
        <w:rPr>
          <w:color w:val="000000"/>
          <w:vertAlign w:val="superscript"/>
        </w:rPr>
        <w:t>93</w:t>
      </w:r>
      <w:r w:rsidR="00407CBA" w:rsidRPr="00A92D63">
        <w:rPr>
          <w:highlight w:val="yellow"/>
        </w:rPr>
        <w:t xml:space="preserve"> </w:t>
      </w:r>
    </w:p>
    <w:p w14:paraId="03F02FE5" w14:textId="77777777" w:rsidR="009853E2" w:rsidRDefault="009853E2" w:rsidP="00FC75AA">
      <w:r>
        <w:t xml:space="preserve">In the Irish context, the </w:t>
      </w:r>
      <w:r w:rsidRPr="3A3A8981">
        <w:rPr>
          <w:i/>
          <w:iCs/>
        </w:rPr>
        <w:t>National LGBTI+ Inclusion Strategy</w:t>
      </w:r>
      <w:r w:rsidR="004362E9">
        <w:rPr>
          <w:i/>
          <w:iCs/>
        </w:rPr>
        <w:t xml:space="preserve"> II</w:t>
      </w:r>
      <w:r w:rsidRPr="3A3A8981">
        <w:rPr>
          <w:i/>
          <w:iCs/>
        </w:rPr>
        <w:t xml:space="preserve"> 202</w:t>
      </w:r>
      <w:r w:rsidR="00241F92">
        <w:rPr>
          <w:i/>
          <w:iCs/>
        </w:rPr>
        <w:t>4</w:t>
      </w:r>
      <w:r w:rsidRPr="3A3A8981">
        <w:rPr>
          <w:i/>
          <w:iCs/>
        </w:rPr>
        <w:t>–202</w:t>
      </w:r>
      <w:r w:rsidR="00241F92">
        <w:rPr>
          <w:i/>
          <w:iCs/>
        </w:rPr>
        <w:t>8</w:t>
      </w:r>
      <w:r w:rsidR="00406C58" w:rsidRPr="00406C58">
        <w:rPr>
          <w:rStyle w:val="SuperscriptRefChar"/>
          <w:color w:val="000000"/>
        </w:rPr>
        <w:t>94</w:t>
      </w:r>
      <w:r>
        <w:t xml:space="preserve"> makes important commitments to improving the inclusivity of public services, advancing data collection, and embedding co-production with LGBTQIA+ communities. However, while neurodiversity and disability are mentioned across Irish health strategies</w:t>
      </w:r>
      <w:r w:rsidR="3D543D87">
        <w:t>,</w:t>
      </w:r>
      <w:r w:rsidR="00406C58" w:rsidRPr="00406C58">
        <w:rPr>
          <w:rStyle w:val="SuperscriptRefChar"/>
          <w:color w:val="000000"/>
        </w:rPr>
        <w:t>95</w:t>
      </w:r>
      <w:r>
        <w:t xml:space="preserve"> there remains no explicit focus on LGBTQIA+ </w:t>
      </w:r>
      <w:r w:rsidR="5F5D034A">
        <w:t>A</w:t>
      </w:r>
      <w:r w:rsidR="2D7A78A0">
        <w:t>utistic</w:t>
      </w:r>
      <w:r>
        <w:t xml:space="preserve"> people. </w:t>
      </w:r>
      <w:bookmarkStart w:id="113" w:name="_Hlk210144507"/>
      <w:r>
        <w:t xml:space="preserve">This omission contrasts with international developments, particularly in countries such as the UK, Canada, and Australia, where autism strategies and LGBTIQ+ health frameworks increasingly acknowledge the intersection of gender, sexuality, and </w:t>
      </w:r>
      <w:r w:rsidR="000E20B9">
        <w:t>n</w:t>
      </w:r>
      <w:r>
        <w:t>eurodivergence as a site of compounded vulnerability</w:t>
      </w:r>
      <w:r w:rsidR="139BCE7D">
        <w:t>.</w:t>
      </w:r>
      <w:r w:rsidR="00406C58" w:rsidRPr="00406C58">
        <w:rPr>
          <w:rStyle w:val="SuperscriptRefChar"/>
          <w:color w:val="000000"/>
        </w:rPr>
        <w:t>95–98</w:t>
      </w:r>
    </w:p>
    <w:bookmarkEnd w:id="113"/>
    <w:p w14:paraId="306A29BA" w14:textId="77777777" w:rsidR="009853E2" w:rsidRPr="009853E2" w:rsidRDefault="009853E2" w:rsidP="00FC75AA">
      <w:r w:rsidRPr="009853E2">
        <w:t xml:space="preserve">The absence of systematic data collection further compounds </w:t>
      </w:r>
      <w:r w:rsidR="05788434">
        <w:t>structural</w:t>
      </w:r>
      <w:r w:rsidR="2D7A78A0">
        <w:t xml:space="preserve"> invisibility.</w:t>
      </w:r>
      <w:r w:rsidRPr="009853E2">
        <w:t xml:space="preserve"> Health systems in Ireland and elsewhere rarely collect information on both </w:t>
      </w:r>
      <w:r w:rsidR="000E20B9">
        <w:t>n</w:t>
      </w:r>
      <w:r w:rsidRPr="009853E2">
        <w:t>eurodivergence and sexual or gender identity, meaning that disparities remain under-recognised and under-researched. International guidance emphasises the importance of disaggregated data for identifying inequities and guiding interventions</w:t>
      </w:r>
      <w:r w:rsidR="0125BA79">
        <w:t>.</w:t>
      </w:r>
      <w:r w:rsidR="00406C58" w:rsidRPr="00406C58">
        <w:rPr>
          <w:rStyle w:val="SuperscriptRefChar"/>
          <w:color w:val="000000"/>
        </w:rPr>
        <w:t>99,100</w:t>
      </w:r>
      <w:r w:rsidRPr="009853E2">
        <w:t xml:space="preserve"> Without such data, policymakers cannot monitor outcomes for LGBTQIA+ </w:t>
      </w:r>
      <w:r w:rsidR="39276F8C">
        <w:t>A</w:t>
      </w:r>
      <w:r w:rsidR="2D7A78A0">
        <w:t>utistic</w:t>
      </w:r>
      <w:r w:rsidRPr="009853E2">
        <w:t xml:space="preserve"> people, perpetuating a cycle of invisibility.</w:t>
      </w:r>
    </w:p>
    <w:p w14:paraId="73CF8D9F" w14:textId="77777777" w:rsidR="00510BC4" w:rsidRDefault="62B4AEF5" w:rsidP="00FC75AA">
      <w:r>
        <w:t>In addition to data gaps, diagnostic frameworks themselves represent a critical site of inequity. Autism diagnostic criteria remain structured through cis</w:t>
      </w:r>
      <w:r w:rsidR="2E397D28">
        <w:t>hetero</w:t>
      </w:r>
      <w:r>
        <w:t>normative assumptions, historically privileging cisgender male presentations</w:t>
      </w:r>
      <w:r w:rsidR="36886A04">
        <w:t>.</w:t>
      </w:r>
      <w:r w:rsidR="00406C58" w:rsidRPr="00406C58">
        <w:rPr>
          <w:color w:val="000000"/>
          <w:sz w:val="22"/>
          <w:vertAlign w:val="superscript"/>
        </w:rPr>
        <w:t>101</w:t>
      </w:r>
      <w:r w:rsidR="5D617E4A" w:rsidRPr="002F7E97">
        <w:rPr>
          <w:rStyle w:val="SuperscriptRefChar"/>
          <w:color w:val="000000"/>
        </w:rPr>
        <w:t xml:space="preserve"> </w:t>
      </w:r>
      <w:r w:rsidR="5D617E4A">
        <w:t>A systematic review of the co-occurrence of gender dysphoria and autism found higher rates of autistic traits and ASD diagnoses among children and adolescents referred for gender services, with limited but suggestive evidence of similar patterns in adults</w:t>
      </w:r>
      <w:r w:rsidR="00A15834">
        <w:t>,</w:t>
      </w:r>
      <w:r w:rsidR="5D617E4A">
        <w:t xml:space="preserve"> evidence that reinforces the need to consider gender and neurodivergence together in diagnostic pathways</w:t>
      </w:r>
      <w:r w:rsidR="001A7C19">
        <w:t>.</w:t>
      </w:r>
      <w:r w:rsidR="00406C58" w:rsidRPr="00406C58">
        <w:rPr>
          <w:color w:val="000000"/>
          <w:vertAlign w:val="superscript"/>
        </w:rPr>
        <w:t>102</w:t>
      </w:r>
      <w:r>
        <w:t xml:space="preserve"> For </w:t>
      </w:r>
      <w:r w:rsidR="00192D02">
        <w:t xml:space="preserve">TGD </w:t>
      </w:r>
      <w:r w:rsidR="0CF98A2A">
        <w:t>A</w:t>
      </w:r>
      <w:r w:rsidR="67CECCAE">
        <w:t>utistic</w:t>
      </w:r>
      <w:r>
        <w:t xml:space="preserve"> </w:t>
      </w:r>
      <w:r>
        <w:lastRenderedPageBreak/>
        <w:t>people, this contributes to significant diagnostic delays, often four to six years later than their cisgender peers</w:t>
      </w:r>
      <w:r w:rsidR="5E22867D">
        <w:t>.</w:t>
      </w:r>
      <w:r w:rsidR="00406C58" w:rsidRPr="00406C58">
        <w:rPr>
          <w:rStyle w:val="SuperscriptRefChar"/>
          <w:color w:val="000000"/>
        </w:rPr>
        <w:t>93</w:t>
      </w:r>
      <w:r>
        <w:t xml:space="preserve"> Such delays curtail timely access to supports and exacerbate health disparities, including poorer mental health and heightened vulnerability in healthcare encounters</w:t>
      </w:r>
      <w:r w:rsidR="0A00ED80">
        <w:t>.</w:t>
      </w:r>
      <w:r w:rsidR="00406C58" w:rsidRPr="00406C58">
        <w:rPr>
          <w:rStyle w:val="SuperscriptRefChar"/>
          <w:color w:val="000000"/>
        </w:rPr>
        <w:t>103</w:t>
      </w:r>
      <w:r>
        <w:t xml:space="preserve"> </w:t>
      </w:r>
    </w:p>
    <w:p w14:paraId="7C7910C8" w14:textId="77777777" w:rsidR="009853E2" w:rsidRPr="009853E2" w:rsidRDefault="62B4AEF5" w:rsidP="00FC75AA">
      <w:r>
        <w:t xml:space="preserve">Importantly, diagnosis functions as both a facilitator and a barrier depending on the care context. For many </w:t>
      </w:r>
      <w:r w:rsidR="338BDC8A">
        <w:t>A</w:t>
      </w:r>
      <w:r w:rsidR="67CECCAE">
        <w:t>utistic</w:t>
      </w:r>
      <w:r>
        <w:t xml:space="preserve"> people, formal diagnosis enables access to services, legal protections, and self-understanding</w:t>
      </w:r>
      <w:r w:rsidR="302A503C">
        <w:t>.</w:t>
      </w:r>
      <w:r w:rsidR="00406C58" w:rsidRPr="00406C58">
        <w:rPr>
          <w:rStyle w:val="SuperscriptRefChar"/>
          <w:color w:val="000000"/>
        </w:rPr>
        <w:t>104</w:t>
      </w:r>
      <w:r>
        <w:t xml:space="preserve"> Yet for TGD </w:t>
      </w:r>
      <w:r w:rsidR="75013B46">
        <w:t>A</w:t>
      </w:r>
      <w:r w:rsidR="67CECCAE">
        <w:t>utistic</w:t>
      </w:r>
      <w:r>
        <w:t xml:space="preserve"> people, diagnosis can act as an obstacle, particularly in </w:t>
      </w:r>
      <w:r w:rsidR="00EF6FA0">
        <w:t>gender affirming</w:t>
      </w:r>
      <w:r>
        <w:t xml:space="preserve"> care, where it has been misused to delay or deny treatment</w:t>
      </w:r>
      <w:r w:rsidR="59476300">
        <w:t>.</w:t>
      </w:r>
      <w:r w:rsidR="00406C58" w:rsidRPr="00406C58">
        <w:rPr>
          <w:color w:val="000000"/>
          <w:sz w:val="22"/>
          <w:vertAlign w:val="superscript"/>
        </w:rPr>
        <w:t>105,106</w:t>
      </w:r>
      <w:r>
        <w:t xml:space="preserve"> This duality illustrates how diagnostic recognition is not a neutral process but one that can reproduce inequity when embedded within gatekeeping structures.</w:t>
      </w:r>
    </w:p>
    <w:p w14:paraId="4B85CAF5" w14:textId="77777777" w:rsidR="009853E2" w:rsidRPr="009853E2" w:rsidRDefault="009853E2" w:rsidP="00FC75AA">
      <w:r w:rsidRPr="009853E2">
        <w:t xml:space="preserve">These disparities are further magnified by the distinction between those with formal diagnoses and those who self-identify as </w:t>
      </w:r>
      <w:r w:rsidR="3923E7B9">
        <w:t>A</w:t>
      </w:r>
      <w:r w:rsidR="2D7A78A0">
        <w:t>utistic.</w:t>
      </w:r>
      <w:r w:rsidRPr="009853E2">
        <w:t xml:space="preserve"> While self-identification is increasingly validated within </w:t>
      </w:r>
      <w:r w:rsidR="3FE39905">
        <w:t>N</w:t>
      </w:r>
      <w:r w:rsidR="2D7A78A0">
        <w:t>eurodiversity</w:t>
      </w:r>
      <w:r w:rsidRPr="009853E2">
        <w:t xml:space="preserve"> scholarship as a legitimate expression of identity</w:t>
      </w:r>
      <w:r w:rsidR="36CA0366">
        <w:t>,</w:t>
      </w:r>
      <w:r w:rsidR="00406C58" w:rsidRPr="00406C58">
        <w:rPr>
          <w:rStyle w:val="SuperscriptRefChar"/>
          <w:color w:val="000000"/>
        </w:rPr>
        <w:t>107,108</w:t>
      </w:r>
      <w:r w:rsidRPr="009853E2">
        <w:t xml:space="preserve"> service systems typically privilege medical diagnosis as the only valid route to access. This reliance entrenches structural disadvantage, particularly for TGD </w:t>
      </w:r>
      <w:r w:rsidR="1D43F4E4">
        <w:t>A</w:t>
      </w:r>
      <w:r w:rsidR="2D7A78A0">
        <w:t>utistic</w:t>
      </w:r>
      <w:r w:rsidRPr="009853E2">
        <w:t xml:space="preserve"> people who face higher barriers to diagnostic recognition. The outcome is a layered exclusion: individuals who are already marginalised through gender and sexual diversity are simultaneously denied recognition of their neurodivergence, restricting their ability to access both autism-related supports and LGBTQIA+-affirming care.</w:t>
      </w:r>
    </w:p>
    <w:p w14:paraId="66C7EE0C" w14:textId="77777777" w:rsidR="009853E2" w:rsidRPr="009853E2" w:rsidRDefault="42E3036F" w:rsidP="00FC75AA">
      <w:r>
        <w:t xml:space="preserve">These patterns illustrate how policy commitments to inclusivity in Ireland, while positive, remain limited in their intersectional reach. The </w:t>
      </w:r>
      <w:r w:rsidRPr="1182AD7C">
        <w:rPr>
          <w:i/>
          <w:iCs/>
        </w:rPr>
        <w:t>National LGBTI+ Inclusion Strategy</w:t>
      </w:r>
      <w:r>
        <w:t xml:space="preserve"> acknowledges the importance of co-production and embedding lived experience in service design, but this </w:t>
      </w:r>
      <w:r w:rsidR="3DCE309C">
        <w:t>doesn’t always acknowledge the intersectional identities of</w:t>
      </w:r>
      <w:r>
        <w:t xml:space="preserve"> LGBTQIA+ </w:t>
      </w:r>
      <w:r w:rsidR="32CEB893">
        <w:t>A</w:t>
      </w:r>
      <w:r w:rsidR="29ED8670">
        <w:t>utistic</w:t>
      </w:r>
      <w:r>
        <w:t xml:space="preserve"> people. </w:t>
      </w:r>
      <w:bookmarkStart w:id="114" w:name="_Hlk210144580"/>
      <w:r>
        <w:t xml:space="preserve">International guidance, such as Australia’s </w:t>
      </w:r>
      <w:r w:rsidRPr="1182AD7C">
        <w:rPr>
          <w:i/>
          <w:iCs/>
        </w:rPr>
        <w:t>LGBTIQ+ Health and Wellbeing Action Plan</w:t>
      </w:r>
      <w:r w:rsidR="6353057C" w:rsidRPr="002F7E97">
        <w:rPr>
          <w:rStyle w:val="SuperscriptRefChar"/>
          <w:color w:val="000000"/>
        </w:rPr>
        <w:t>98</w:t>
      </w:r>
      <w:r>
        <w:t xml:space="preserve"> and the UK’s </w:t>
      </w:r>
      <w:r w:rsidRPr="1182AD7C">
        <w:rPr>
          <w:i/>
          <w:iCs/>
        </w:rPr>
        <w:t>National Autism Strategy</w:t>
      </w:r>
      <w:r w:rsidR="5F44A569" w:rsidRPr="1182AD7C">
        <w:rPr>
          <w:i/>
          <w:iCs/>
        </w:rPr>
        <w:t>,</w:t>
      </w:r>
      <w:r w:rsidR="6353057C" w:rsidRPr="002F7E97">
        <w:rPr>
          <w:rStyle w:val="SuperscriptRefChar"/>
          <w:color w:val="000000"/>
        </w:rPr>
        <w:t>96</w:t>
      </w:r>
      <w:r>
        <w:t xml:space="preserve"> has begun to move towards intersectional recognition, albeit unevenly</w:t>
      </w:r>
      <w:bookmarkEnd w:id="114"/>
      <w:r>
        <w:t>. A consistent theme across jurisdictions is that without explicit attention to intersecting identities, strategies risk reinforcing single-axis approaches that leave those at the margins underserved.</w:t>
      </w:r>
    </w:p>
    <w:p w14:paraId="1F04226B" w14:textId="77777777" w:rsidR="009853E2" w:rsidRPr="009853E2" w:rsidRDefault="009853E2" w:rsidP="00FC75AA">
      <w:r w:rsidRPr="009853E2">
        <w:t xml:space="preserve">Finally, there is growing consensus across both Irish and international health policy that co-production with service users must be central to equitable reform. Embedding LGBTQIA+ </w:t>
      </w:r>
      <w:r w:rsidR="235D854B">
        <w:t>A</w:t>
      </w:r>
      <w:r w:rsidR="2D7A78A0">
        <w:t>utistic</w:t>
      </w:r>
      <w:r w:rsidRPr="009853E2">
        <w:t xml:space="preserve"> voices in policy design</w:t>
      </w:r>
      <w:r w:rsidR="062C3127">
        <w:t>, implementation</w:t>
      </w:r>
      <w:r w:rsidRPr="009853E2">
        <w:t xml:space="preserve"> and evaluation would act as a corrective to their historical exclusion and help reconfigure systems that are too often structured around normative assumptions</w:t>
      </w:r>
      <w:r w:rsidR="3E50E85E">
        <w:t>.</w:t>
      </w:r>
      <w:r w:rsidR="00406C58" w:rsidRPr="00406C58">
        <w:rPr>
          <w:rStyle w:val="SuperscriptRefChar"/>
          <w:color w:val="000000"/>
        </w:rPr>
        <w:t>109,110</w:t>
      </w:r>
      <w:r w:rsidRPr="009853E2">
        <w:t xml:space="preserve"> </w:t>
      </w:r>
      <w:r w:rsidR="615D7C28">
        <w:t>Recent evidence on supporting trans autistic school-aged youth highlights practical measures that align with co-production principles</w:t>
      </w:r>
      <w:r w:rsidR="0053501B">
        <w:t xml:space="preserve">, </w:t>
      </w:r>
      <w:r w:rsidR="615D7C28">
        <w:t xml:space="preserve">clinician adaptations for communication and executive-function support, mental-health </w:t>
      </w:r>
      <w:r w:rsidR="615D7C28">
        <w:lastRenderedPageBreak/>
        <w:t>interventions that address internalised distress, and school policies that embed gender affirmation to prevent bullying and promote wellbeing</w:t>
      </w:r>
      <w:r w:rsidR="00E358FA">
        <w:t>.</w:t>
      </w:r>
      <w:r w:rsidR="00406C58" w:rsidRPr="00406C58">
        <w:rPr>
          <w:color w:val="000000"/>
          <w:vertAlign w:val="superscript"/>
        </w:rPr>
        <w:t>111</w:t>
      </w:r>
      <w:r w:rsidR="615D7C28">
        <w:t xml:space="preserve"> These examples show how co-produced, tailored supports can translate high-level commitments into everyday practice.</w:t>
      </w:r>
      <w:r w:rsidR="00341C59">
        <w:t xml:space="preserve"> T</w:t>
      </w:r>
      <w:r w:rsidRPr="009853E2">
        <w:t xml:space="preserve">his must extend beyond consultation to genuine power-sharing, ensuring that the lived expertise of LGBTQIA+ </w:t>
      </w:r>
      <w:r w:rsidR="67AFEB51">
        <w:t>A</w:t>
      </w:r>
      <w:r w:rsidR="2D7A78A0">
        <w:t>utistic</w:t>
      </w:r>
      <w:r w:rsidRPr="009853E2">
        <w:t xml:space="preserve"> people informs not only the identification of barriers but also the co-creation of structural solutions.</w:t>
      </w:r>
    </w:p>
    <w:p w14:paraId="7CA93776" w14:textId="77777777" w:rsidR="009853E2" w:rsidRPr="009853E2" w:rsidRDefault="3AED3316" w:rsidP="00FC75AA">
      <w:r>
        <w:t>Taken together, this discussion situates the findings of pervasive health disparities within a broader policy context, demonstrating that invisibility is perpetuated not only by data gaps but also by cis</w:t>
      </w:r>
      <w:r w:rsidR="57744A80">
        <w:t>hetero</w:t>
      </w:r>
      <w:r>
        <w:t xml:space="preserve">normative diagnostic frameworks and exclusionary service logics. Addressing these inequities requires targeted, </w:t>
      </w:r>
      <w:r w:rsidR="2D6EFEBB">
        <w:t>intersectionally</w:t>
      </w:r>
      <w:r w:rsidR="0348AA78">
        <w:t>-</w:t>
      </w:r>
      <w:r w:rsidR="2D6EFEBB">
        <w:t>informed</w:t>
      </w:r>
      <w:r>
        <w:t xml:space="preserve"> reforms that dismantle diagnostic gatekeeping, legitimise self-identification, and embed LGBTQIA+ </w:t>
      </w:r>
      <w:r w:rsidR="5D444603">
        <w:t>A</w:t>
      </w:r>
      <w:r w:rsidR="372E9514">
        <w:t>utistic</w:t>
      </w:r>
      <w:r>
        <w:t xml:space="preserve"> people at the centre of service design. Without such measures, Irish commitments to inclusion will continue to fall short when compared to emerging international practice.</w:t>
      </w:r>
    </w:p>
    <w:p w14:paraId="02C1ACD9" w14:textId="77777777" w:rsidR="00170EBA" w:rsidRDefault="05AF89AA" w:rsidP="00FC75AA">
      <w:pPr>
        <w:pStyle w:val="Heading2"/>
      </w:pPr>
      <w:bookmarkStart w:id="115" w:name="_Toc720233770"/>
      <w:bookmarkStart w:id="116" w:name="_Toc211371266"/>
      <w:bookmarkStart w:id="117" w:name="_Toc214026555"/>
      <w:r>
        <w:t>Recommendations</w:t>
      </w:r>
      <w:bookmarkEnd w:id="115"/>
      <w:bookmarkEnd w:id="116"/>
      <w:bookmarkEnd w:id="117"/>
    </w:p>
    <w:p w14:paraId="5B10A16D" w14:textId="77777777" w:rsidR="00DB5569" w:rsidRPr="00DB5569" w:rsidRDefault="11F593F0" w:rsidP="00FC75AA">
      <w:r>
        <w:t>Based on the integrated findings of this review, the following recommendations</w:t>
      </w:r>
      <w:r w:rsidR="6A78A773">
        <w:t>, which generally fall under the remit of the HSE, the Department of Health, and the the Department of Children, Disability and Equal</w:t>
      </w:r>
      <w:r w:rsidR="115AE934">
        <w:t>ity,</w:t>
      </w:r>
      <w:r>
        <w:t xml:space="preserve"> are proposed to improve healthcare access, equity, and outcomes for LGBTQIA+ </w:t>
      </w:r>
      <w:r w:rsidR="61A2BCB8">
        <w:t>A</w:t>
      </w:r>
      <w:r w:rsidR="25A68538">
        <w:t>utistic</w:t>
      </w:r>
      <w:r>
        <w:t xml:space="preserve"> individuals:</w:t>
      </w:r>
    </w:p>
    <w:p w14:paraId="280DACF7" w14:textId="77777777" w:rsidR="00DB5569" w:rsidRPr="00DB5569" w:rsidRDefault="05AF89AA" w:rsidP="00FC75AA">
      <w:pPr>
        <w:pStyle w:val="Heading3"/>
      </w:pPr>
      <w:bookmarkStart w:id="118" w:name="_Toc211371267"/>
      <w:r>
        <w:t>1. Enhance Provider Competence and Intersectional Awareness</w:t>
      </w:r>
      <w:bookmarkEnd w:id="118"/>
    </w:p>
    <w:p w14:paraId="2FB14C75" w14:textId="77777777" w:rsidR="00DB5569" w:rsidRPr="00DB5569" w:rsidRDefault="4D081C47" w:rsidP="00FC75AA">
      <w:pPr>
        <w:numPr>
          <w:ilvl w:val="0"/>
          <w:numId w:val="17"/>
        </w:numPr>
      </w:pPr>
      <w:r>
        <w:t>Develop and roll out</w:t>
      </w:r>
      <w:r w:rsidR="11F593F0">
        <w:t xml:space="preserve">, </w:t>
      </w:r>
      <w:r w:rsidR="2D6EFEBB">
        <w:t>intersectionally</w:t>
      </w:r>
      <w:r w:rsidR="0348AA78">
        <w:t>-</w:t>
      </w:r>
      <w:r w:rsidR="2D6EFEBB">
        <w:t>informed</w:t>
      </w:r>
      <w:r w:rsidR="22E6734F">
        <w:t xml:space="preserve">, </w:t>
      </w:r>
      <w:r w:rsidR="25EDF9DB">
        <w:t>LGBTQIA+ Autistic-</w:t>
      </w:r>
      <w:r w:rsidR="22E6734F">
        <w:t>led</w:t>
      </w:r>
      <w:r w:rsidR="11F593F0">
        <w:t xml:space="preserve"> training for healthcare providers that addresses both </w:t>
      </w:r>
      <w:r w:rsidR="7E6C2C85">
        <w:t>Autistic</w:t>
      </w:r>
      <w:r w:rsidR="11F593F0">
        <w:t xml:space="preserve"> and LGBTQIA+ diversity.</w:t>
      </w:r>
    </w:p>
    <w:p w14:paraId="3FCEFE58" w14:textId="77777777" w:rsidR="00DB5569" w:rsidRPr="00DB5569" w:rsidRDefault="00DB5569" w:rsidP="00FC75AA">
      <w:pPr>
        <w:numPr>
          <w:ilvl w:val="0"/>
          <w:numId w:val="17"/>
        </w:numPr>
      </w:pPr>
      <w:r w:rsidRPr="00DB5569">
        <w:t xml:space="preserve">Training should include communication adaptations for </w:t>
      </w:r>
      <w:r w:rsidR="3D77494B">
        <w:t>A</w:t>
      </w:r>
      <w:r w:rsidR="039AA018">
        <w:t>utistic</w:t>
      </w:r>
      <w:r w:rsidRPr="00DB5569">
        <w:t xml:space="preserve"> patients, </w:t>
      </w:r>
      <w:r w:rsidR="00EF6FA0">
        <w:t>gender affirming</w:t>
      </w:r>
      <w:r w:rsidRPr="00DB5569">
        <w:t xml:space="preserve"> care practices, awareness of minority stress, and strategies to prevent diagnostic overshadowing.</w:t>
      </w:r>
    </w:p>
    <w:p w14:paraId="030047A5" w14:textId="77777777" w:rsidR="0EF33AEB" w:rsidRDefault="0EF33AEB" w:rsidP="00FC75AA">
      <w:pPr>
        <w:numPr>
          <w:ilvl w:val="0"/>
          <w:numId w:val="17"/>
        </w:numPr>
      </w:pPr>
      <w:r>
        <w:t>Emphasise the imp</w:t>
      </w:r>
      <w:r w:rsidR="373F4E38">
        <w:t>or</w:t>
      </w:r>
      <w:r>
        <w:t>tance of recognising and addressing discriminatory practices, including denial of care, infantilisation, or other forms of bias related to either identity.</w:t>
      </w:r>
    </w:p>
    <w:p w14:paraId="3CC937F8" w14:textId="77777777" w:rsidR="00DB5569" w:rsidRPr="00DB5569" w:rsidRDefault="00DB5569" w:rsidP="00FC75AA">
      <w:pPr>
        <w:numPr>
          <w:ilvl w:val="0"/>
          <w:numId w:val="17"/>
        </w:numPr>
      </w:pPr>
      <w:r w:rsidRPr="00DB5569">
        <w:t>Encourage ongoing professional development to maintain awareness of evolving best practices in inclusive healthcare.</w:t>
      </w:r>
    </w:p>
    <w:p w14:paraId="0E74F353" w14:textId="77777777" w:rsidR="00DB5569" w:rsidRPr="00DB5569" w:rsidRDefault="05AF89AA" w:rsidP="00FC75AA">
      <w:pPr>
        <w:pStyle w:val="Heading3"/>
      </w:pPr>
      <w:bookmarkStart w:id="119" w:name="_Toc211371268"/>
      <w:r>
        <w:t>2. Adapt Service Environments for Accessibility and Inclusion</w:t>
      </w:r>
      <w:bookmarkEnd w:id="119"/>
    </w:p>
    <w:p w14:paraId="37A7738C" w14:textId="77777777" w:rsidR="00DB5569" w:rsidRPr="00DB5569" w:rsidRDefault="00DB5569" w:rsidP="00FC75AA">
      <w:pPr>
        <w:numPr>
          <w:ilvl w:val="0"/>
          <w:numId w:val="18"/>
        </w:numPr>
      </w:pPr>
      <w:r w:rsidRPr="00DB5569">
        <w:t>Apply universal design principles</w:t>
      </w:r>
      <w:r w:rsidR="60118434">
        <w:t xml:space="preserve">, informed by </w:t>
      </w:r>
      <w:r w:rsidR="00B45579">
        <w:t>additional</w:t>
      </w:r>
      <w:r w:rsidR="60118434">
        <w:t xml:space="preserve"> </w:t>
      </w:r>
      <w:r w:rsidR="006E4969">
        <w:t>frameworks such as the</w:t>
      </w:r>
      <w:r w:rsidR="60118434">
        <w:t xml:space="preserve"> </w:t>
      </w:r>
      <w:r w:rsidR="00384FD8">
        <w:t xml:space="preserve">Sensory Needs, Predictability, Acceptance, Communication and </w:t>
      </w:r>
      <w:r w:rsidR="001F7107">
        <w:t>Empathy</w:t>
      </w:r>
      <w:r w:rsidR="001F7107" w:rsidDel="00384FD8">
        <w:t xml:space="preserve"> </w:t>
      </w:r>
      <w:r w:rsidR="001F7107">
        <w:t>framework</w:t>
      </w:r>
      <w:r w:rsidR="00406C58" w:rsidRPr="00406C58">
        <w:rPr>
          <w:color w:val="000000"/>
          <w:vertAlign w:val="superscript"/>
        </w:rPr>
        <w:t>7</w:t>
      </w:r>
      <w:r w:rsidR="60118434">
        <w:t xml:space="preserve"> </w:t>
      </w:r>
      <w:r w:rsidRPr="00DB5569">
        <w:t xml:space="preserve">to healthcare settings, including sensory-sensitive </w:t>
      </w:r>
      <w:r w:rsidRPr="00DB5569">
        <w:lastRenderedPageBreak/>
        <w:t>environments, flexible scheduling, and multiple communication modalities (e.g., email, telehealth, visual aids).</w:t>
      </w:r>
    </w:p>
    <w:p w14:paraId="2E0884C6" w14:textId="77777777" w:rsidR="00DB5569" w:rsidRPr="00DB5569" w:rsidRDefault="00DB5569" w:rsidP="00FC75AA">
      <w:pPr>
        <w:numPr>
          <w:ilvl w:val="0"/>
          <w:numId w:val="18"/>
        </w:numPr>
      </w:pPr>
      <w:r w:rsidRPr="00DB5569">
        <w:t xml:space="preserve">Introduce visible signs of inclusivity, such as inclusive </w:t>
      </w:r>
      <w:r w:rsidR="000D5BE0">
        <w:t>and Universally-Designed</w:t>
      </w:r>
      <w:r w:rsidRPr="00DB5569">
        <w:t xml:space="preserve"> intake forms, symbols, and accessible resources that affirm both </w:t>
      </w:r>
      <w:r w:rsidR="004D555A">
        <w:t>Autistic</w:t>
      </w:r>
      <w:r w:rsidRPr="00DB5569">
        <w:t xml:space="preserve"> and LGBTQIA+ identities.</w:t>
      </w:r>
    </w:p>
    <w:p w14:paraId="17DA5B47" w14:textId="77777777" w:rsidR="00DB5569" w:rsidRPr="00DB5569" w:rsidRDefault="00DB5569" w:rsidP="00FC75AA">
      <w:pPr>
        <w:numPr>
          <w:ilvl w:val="0"/>
          <w:numId w:val="18"/>
        </w:numPr>
      </w:pPr>
      <w:r w:rsidRPr="00DB5569">
        <w:t>Develop system-level adaptations, such as online appointment booking and simplified administrative processes, to reduce logistical barriers.</w:t>
      </w:r>
    </w:p>
    <w:p w14:paraId="2EEC60E0" w14:textId="77777777" w:rsidR="00DB5569" w:rsidRPr="00DB5569" w:rsidRDefault="05AF89AA" w:rsidP="00FC75AA">
      <w:pPr>
        <w:pStyle w:val="Heading3"/>
      </w:pPr>
      <w:bookmarkStart w:id="120" w:name="_Toc211371269"/>
      <w:r>
        <w:t>3. Address Structural and Financial Barriers</w:t>
      </w:r>
      <w:bookmarkEnd w:id="120"/>
    </w:p>
    <w:p w14:paraId="3D4D400D" w14:textId="77777777" w:rsidR="00DB5569" w:rsidRPr="00DB5569" w:rsidRDefault="00DB5569" w:rsidP="00FC75AA">
      <w:pPr>
        <w:numPr>
          <w:ilvl w:val="0"/>
          <w:numId w:val="19"/>
        </w:numPr>
      </w:pPr>
      <w:r w:rsidRPr="00DB5569">
        <w:t xml:space="preserve">Ensure equitable access to </w:t>
      </w:r>
      <w:r w:rsidR="00EF6FA0">
        <w:t>gender affirming</w:t>
      </w:r>
      <w:r w:rsidRPr="00DB5569">
        <w:t xml:space="preserve"> and autism-related care</w:t>
      </w:r>
      <w:r w:rsidR="001C626C">
        <w:t>.</w:t>
      </w:r>
    </w:p>
    <w:p w14:paraId="579F01EC" w14:textId="77777777" w:rsidR="00DB5569" w:rsidRDefault="00DB5569" w:rsidP="00FC75AA">
      <w:pPr>
        <w:numPr>
          <w:ilvl w:val="0"/>
          <w:numId w:val="19"/>
        </w:numPr>
      </w:pPr>
      <w:r w:rsidRPr="00DB5569">
        <w:t>Minimise wait times for assessments and services through integrated care pathways that recognise dual identities</w:t>
      </w:r>
      <w:r w:rsidR="004433FC">
        <w:t xml:space="preserve">, both self-identified and </w:t>
      </w:r>
      <w:r w:rsidR="00A91516">
        <w:t>formally identified</w:t>
      </w:r>
      <w:r w:rsidRPr="00DB5569">
        <w:t>.</w:t>
      </w:r>
    </w:p>
    <w:p w14:paraId="0A19945A" w14:textId="77777777" w:rsidR="00A91516" w:rsidRPr="00DB5569" w:rsidRDefault="00A91516" w:rsidP="00FC75AA">
      <w:pPr>
        <w:numPr>
          <w:ilvl w:val="0"/>
          <w:numId w:val="19"/>
        </w:numPr>
      </w:pPr>
      <w:r>
        <w:t>Prioritise the introduction of public pathways to neuroaffirmative and gender-informed autism assessment for adults nationally as a cross-cutting protective factor against disparity of access to healthcare services and related negative health outcomes.</w:t>
      </w:r>
    </w:p>
    <w:p w14:paraId="125CFD77" w14:textId="77777777" w:rsidR="5759D878" w:rsidRDefault="5759D878" w:rsidP="00FC75AA">
      <w:pPr>
        <w:numPr>
          <w:ilvl w:val="0"/>
          <w:numId w:val="19"/>
        </w:numPr>
      </w:pPr>
      <w:r>
        <w:t>Review policies and practices to ensure they do not deny care, discriminate o</w:t>
      </w:r>
      <w:r w:rsidR="42FD26D9">
        <w:t>r</w:t>
      </w:r>
      <w:r>
        <w:t xml:space="preserve"> </w:t>
      </w:r>
      <w:r w:rsidR="036A1926">
        <w:t>infantilise</w:t>
      </w:r>
      <w:r>
        <w:t xml:space="preserve"> individuals based on Autistic or LGBTQIA+ identities.</w:t>
      </w:r>
    </w:p>
    <w:p w14:paraId="14747D9F" w14:textId="77777777" w:rsidR="00DB5569" w:rsidRPr="00DB5569" w:rsidRDefault="05AF89AA" w:rsidP="00FC75AA">
      <w:pPr>
        <w:pStyle w:val="Heading3"/>
      </w:pPr>
      <w:bookmarkStart w:id="121" w:name="_Toc211371270"/>
      <w:r>
        <w:t>4. Improve Data Collection and Monitoring</w:t>
      </w:r>
      <w:bookmarkEnd w:id="121"/>
    </w:p>
    <w:p w14:paraId="540409DD" w14:textId="77777777" w:rsidR="00DB5569" w:rsidRPr="00DB5569" w:rsidRDefault="00DB5569" w:rsidP="00FC75AA">
      <w:pPr>
        <w:numPr>
          <w:ilvl w:val="0"/>
          <w:numId w:val="20"/>
        </w:numPr>
      </w:pPr>
      <w:r w:rsidRPr="00DB5569">
        <w:t xml:space="preserve">Collect disaggregated data on both </w:t>
      </w:r>
      <w:r w:rsidR="1490B634">
        <w:t>N</w:t>
      </w:r>
      <w:r w:rsidR="039AA018">
        <w:t>eurodivergence</w:t>
      </w:r>
      <w:r w:rsidRPr="00DB5569">
        <w:t xml:space="preserve"> and sexual and gender identity in healthcare systems and population health surveys.</w:t>
      </w:r>
    </w:p>
    <w:p w14:paraId="39FB399A" w14:textId="77777777" w:rsidR="00DB5569" w:rsidRPr="00DB5569" w:rsidRDefault="00DB5569" w:rsidP="00FC75AA">
      <w:pPr>
        <w:numPr>
          <w:ilvl w:val="0"/>
          <w:numId w:val="20"/>
        </w:numPr>
      </w:pPr>
      <w:r w:rsidRPr="00DB5569">
        <w:t>Use this data to identify disparities, track progress, and inform policy and service development.</w:t>
      </w:r>
    </w:p>
    <w:p w14:paraId="75DDAC5F" w14:textId="77777777" w:rsidR="00DB5569" w:rsidRPr="00DB5569" w:rsidRDefault="00DB5569" w:rsidP="00FC75AA">
      <w:pPr>
        <w:numPr>
          <w:ilvl w:val="0"/>
          <w:numId w:val="20"/>
        </w:numPr>
      </w:pPr>
      <w:r w:rsidRPr="00DB5569">
        <w:t>Ensure privacy and consent processes are robust, recognising potential risks associated with disclosure for this population.</w:t>
      </w:r>
    </w:p>
    <w:p w14:paraId="542ABA23" w14:textId="77777777" w:rsidR="00DB5569" w:rsidRPr="00DB5569" w:rsidRDefault="05AF89AA" w:rsidP="00FC75AA">
      <w:pPr>
        <w:pStyle w:val="Heading3"/>
      </w:pPr>
      <w:bookmarkStart w:id="122" w:name="_Toc211371271"/>
      <w:r>
        <w:t>5. Embed Lived Experience through Co-Production</w:t>
      </w:r>
      <w:bookmarkEnd w:id="122"/>
    </w:p>
    <w:p w14:paraId="0633B3D9" w14:textId="77777777" w:rsidR="000E20B9" w:rsidRPr="00DB5569" w:rsidRDefault="585404FA" w:rsidP="00FC75AA">
      <w:pPr>
        <w:numPr>
          <w:ilvl w:val="0"/>
          <w:numId w:val="21"/>
        </w:numPr>
      </w:pPr>
      <w:r>
        <w:t>Ensure</w:t>
      </w:r>
      <w:r w:rsidR="00DB5569" w:rsidRPr="00DB5569">
        <w:t xml:space="preserve"> LGBTQIA+ </w:t>
      </w:r>
      <w:r w:rsidR="5D80E8D3">
        <w:t>A</w:t>
      </w:r>
      <w:r w:rsidR="039AA018">
        <w:t>utistic</w:t>
      </w:r>
      <w:r w:rsidR="00DB5569" w:rsidRPr="00DB5569">
        <w:t xml:space="preserve"> individuals </w:t>
      </w:r>
      <w:r w:rsidR="0DD1F04D">
        <w:t xml:space="preserve">are equal partners </w:t>
      </w:r>
      <w:r w:rsidR="00DB5569" w:rsidRPr="00DB5569">
        <w:t>in the design, delivery, and evaluation of healthcare services</w:t>
      </w:r>
      <w:r w:rsidR="6C91145C">
        <w:t xml:space="preserve"> and professional training programmes</w:t>
      </w:r>
      <w:r w:rsidR="000E20B9">
        <w:t>.</w:t>
      </w:r>
    </w:p>
    <w:p w14:paraId="08874B3A" w14:textId="77777777" w:rsidR="00DB5569" w:rsidRPr="00DB5569" w:rsidRDefault="00DB5569" w:rsidP="00FC75AA">
      <w:pPr>
        <w:numPr>
          <w:ilvl w:val="0"/>
          <w:numId w:val="21"/>
        </w:numPr>
      </w:pPr>
      <w:r w:rsidRPr="00DB5569">
        <w:t>Employ participatory models, including peer-led initiatives, to ensure that services are responsive to real-world needs.</w:t>
      </w:r>
    </w:p>
    <w:p w14:paraId="495D96CF" w14:textId="77777777" w:rsidR="00DB5569" w:rsidRPr="00DB5569" w:rsidRDefault="00DB5569" w:rsidP="00FC75AA">
      <w:pPr>
        <w:numPr>
          <w:ilvl w:val="0"/>
          <w:numId w:val="21"/>
        </w:numPr>
      </w:pPr>
      <w:r w:rsidRPr="00DB5569">
        <w:lastRenderedPageBreak/>
        <w:t xml:space="preserve">Recognise co-production as a corrective mechanism for historical exclusion and as a </w:t>
      </w:r>
      <w:r w:rsidR="00456078">
        <w:t>way</w:t>
      </w:r>
      <w:r w:rsidRPr="00DB5569">
        <w:t xml:space="preserve"> to </w:t>
      </w:r>
      <w:r w:rsidR="00456078">
        <w:t>re</w:t>
      </w:r>
      <w:r w:rsidRPr="00DB5569">
        <w:t>build trust, engagement, and equity.</w:t>
      </w:r>
    </w:p>
    <w:p w14:paraId="266F5985" w14:textId="77777777" w:rsidR="00DB5569" w:rsidRPr="00DB5569" w:rsidRDefault="05AF89AA" w:rsidP="00FC75AA">
      <w:pPr>
        <w:pStyle w:val="Heading3"/>
      </w:pPr>
      <w:bookmarkStart w:id="123" w:name="_Toc211371272"/>
      <w:r>
        <w:t>6. Implement Intersectional Policy Approaches</w:t>
      </w:r>
      <w:bookmarkEnd w:id="123"/>
    </w:p>
    <w:p w14:paraId="18CA0063" w14:textId="77777777" w:rsidR="00DB5569" w:rsidRPr="00DB5569" w:rsidRDefault="00DB5569" w:rsidP="00FC75AA">
      <w:pPr>
        <w:numPr>
          <w:ilvl w:val="0"/>
          <w:numId w:val="22"/>
        </w:numPr>
      </w:pPr>
      <w:r w:rsidRPr="00DB5569">
        <w:t xml:space="preserve">Revise national and local strategies to </w:t>
      </w:r>
      <w:r w:rsidR="00CE6226">
        <w:t xml:space="preserve">more </w:t>
      </w:r>
      <w:r w:rsidRPr="00DB5569">
        <w:t>explicitly include the needs of individuals with</w:t>
      </w:r>
      <w:r w:rsidR="00CE6226">
        <w:t xml:space="preserve"> dual identities</w:t>
      </w:r>
      <w:r w:rsidRPr="00DB5569">
        <w:t>.</w:t>
      </w:r>
    </w:p>
    <w:p w14:paraId="187D8ADE" w14:textId="77777777" w:rsidR="00DB5569" w:rsidRPr="00DB5569" w:rsidRDefault="00DB5569" w:rsidP="00FC75AA">
      <w:pPr>
        <w:numPr>
          <w:ilvl w:val="0"/>
          <w:numId w:val="22"/>
        </w:numPr>
      </w:pPr>
      <w:r w:rsidRPr="00DB5569">
        <w:t xml:space="preserve">Move beyond siloed approaches by integrating </w:t>
      </w:r>
      <w:r w:rsidR="004916FF">
        <w:t>Autistic</w:t>
      </w:r>
      <w:r w:rsidRPr="00DB5569">
        <w:t xml:space="preserve"> and LGBTQIA+ considerations across all healthcare planning and policy initiatives.</w:t>
      </w:r>
    </w:p>
    <w:p w14:paraId="23452344" w14:textId="77777777" w:rsidR="00DB5569" w:rsidRPr="00DB5569" w:rsidRDefault="00DB5569" w:rsidP="00FC75AA">
      <w:pPr>
        <w:numPr>
          <w:ilvl w:val="0"/>
          <w:numId w:val="22"/>
        </w:numPr>
      </w:pPr>
      <w:r w:rsidRPr="00DB5569">
        <w:t>Draw on international best practices that demonstrate how intersectional frameworks can reduce inequities and improve health outcomes.</w:t>
      </w:r>
    </w:p>
    <w:p w14:paraId="2E66BF85" w14:textId="77777777" w:rsidR="00DB5569" w:rsidRPr="00DB5569" w:rsidRDefault="05AF89AA" w:rsidP="00FC75AA">
      <w:pPr>
        <w:pStyle w:val="Heading3"/>
      </w:pPr>
      <w:bookmarkStart w:id="124" w:name="_Toc211371273"/>
      <w:r>
        <w:t>7. Promote Research and Evaluation</w:t>
      </w:r>
      <w:bookmarkEnd w:id="124"/>
    </w:p>
    <w:p w14:paraId="36CE26A9" w14:textId="77777777" w:rsidR="00DB5569" w:rsidRPr="00DB5569" w:rsidRDefault="00DB5569" w:rsidP="00FC75AA">
      <w:pPr>
        <w:numPr>
          <w:ilvl w:val="0"/>
          <w:numId w:val="23"/>
        </w:numPr>
      </w:pPr>
      <w:r>
        <w:t>Prioritise research that evaluates the effectiveness of interventions</w:t>
      </w:r>
      <w:r w:rsidR="6795AD74">
        <w:t xml:space="preserve"> related to healthcare access and experiences and health outcomes,</w:t>
      </w:r>
      <w:r>
        <w:t xml:space="preserve"> designed for LGBTQIA+ </w:t>
      </w:r>
      <w:r w:rsidR="7ADB5016">
        <w:t>A</w:t>
      </w:r>
      <w:r w:rsidR="039AA018">
        <w:t>utistic</w:t>
      </w:r>
      <w:r>
        <w:t xml:space="preserve"> populations.</w:t>
      </w:r>
    </w:p>
    <w:p w14:paraId="1DADF6F7" w14:textId="77777777" w:rsidR="00170EBA" w:rsidRDefault="00DB5569" w:rsidP="00FC75AA">
      <w:pPr>
        <w:numPr>
          <w:ilvl w:val="0"/>
          <w:numId w:val="23"/>
        </w:numPr>
      </w:pPr>
      <w:r w:rsidRPr="00DB5569">
        <w:t xml:space="preserve">Investigate systemic facilitators of </w:t>
      </w:r>
      <w:r w:rsidR="000A0895">
        <w:t>health</w:t>
      </w:r>
      <w:r w:rsidRPr="00DB5569">
        <w:t>care</w:t>
      </w:r>
      <w:r w:rsidR="00D47145">
        <w:t xml:space="preserve"> access, </w:t>
      </w:r>
      <w:r w:rsidR="000C1E65">
        <w:t>and utilisation</w:t>
      </w:r>
      <w:r w:rsidRPr="00DB5569">
        <w:t xml:space="preserve"> to co</w:t>
      </w:r>
      <w:r w:rsidR="00371AED">
        <w:t>mbat</w:t>
      </w:r>
      <w:r w:rsidRPr="00DB5569">
        <w:t xml:space="preserve"> the well-documented barriers</w:t>
      </w:r>
      <w:r w:rsidR="5A2104AD">
        <w:t xml:space="preserve"> for LGBTQIA+ Autistic individuals</w:t>
      </w:r>
      <w:r w:rsidRPr="00DB5569">
        <w:t>.</w:t>
      </w:r>
    </w:p>
    <w:p w14:paraId="35E825D7" w14:textId="77777777" w:rsidR="00170EBA" w:rsidRPr="00A91516" w:rsidRDefault="496C9DC1" w:rsidP="00FC75AA">
      <w:pPr>
        <w:pStyle w:val="Heading2"/>
      </w:pPr>
      <w:bookmarkStart w:id="125" w:name="_Toc1485777656"/>
      <w:bookmarkStart w:id="126" w:name="_Toc211371274"/>
      <w:bookmarkStart w:id="127" w:name="_Toc214026556"/>
      <w:r>
        <w:t>Limitations</w:t>
      </w:r>
      <w:bookmarkEnd w:id="125"/>
      <w:bookmarkEnd w:id="126"/>
      <w:bookmarkEnd w:id="127"/>
    </w:p>
    <w:p w14:paraId="26008738" w14:textId="0EEC9F39" w:rsidR="001B5768" w:rsidRDefault="4D08A065" w:rsidP="00FC75AA">
      <w:r>
        <w:t xml:space="preserve">The findings of this review must be interpreted in the context of some limitations. The majority of included studies were conducted in countries which are identified as high </w:t>
      </w:r>
      <w:r w:rsidR="13945289">
        <w:t>income and</w:t>
      </w:r>
      <w:r>
        <w:t xml:space="preserve"> have predominantly white populations</w:t>
      </w:r>
      <w:r w:rsidR="58B5F2D2">
        <w:t>,</w:t>
      </w:r>
      <w:r>
        <w:t xml:space="preserve"> thereby limiting the transferability of findings to </w:t>
      </w:r>
      <w:r w:rsidR="5B3680BA">
        <w:t>low-income</w:t>
      </w:r>
      <w:r>
        <w:t xml:space="preserve"> countries or LGBTQIA+ Autistic people who are not white. Additionally, the majority of the studies focused on the TGD population which limits the application of these findings to the LGB or Intersex community more broadly. Finally, while not an imposed limitation all identified studies were in the English language which could potentially indicate an inadvertent publication bias.</w:t>
      </w:r>
    </w:p>
    <w:p w14:paraId="7D502836" w14:textId="66113E5F" w:rsidR="001B5768" w:rsidRDefault="001B5768">
      <w:pPr>
        <w:spacing w:after="0"/>
      </w:pPr>
      <w:r>
        <w:br w:type="page"/>
      </w:r>
    </w:p>
    <w:p w14:paraId="07239AA7" w14:textId="3E92A8CA" w:rsidR="001B5768" w:rsidRPr="001B5768" w:rsidRDefault="003C746D" w:rsidP="001B5768">
      <w:pPr>
        <w:spacing w:after="0"/>
      </w:pPr>
      <w:r>
        <w:rPr>
          <w:noProof/>
        </w:rPr>
        <w:lastRenderedPageBreak/>
        <w:drawing>
          <wp:anchor distT="0" distB="0" distL="114300" distR="114300" simplePos="0" relativeHeight="251658240" behindDoc="0" locked="0" layoutInCell="1" allowOverlap="1" wp14:anchorId="2395F438" wp14:editId="61609DEE">
            <wp:simplePos x="0" y="0"/>
            <wp:positionH relativeFrom="margin">
              <wp:posOffset>-1158948</wp:posOffset>
            </wp:positionH>
            <wp:positionV relativeFrom="margin">
              <wp:posOffset>-903768</wp:posOffset>
            </wp:positionV>
            <wp:extent cx="7840345" cy="10998835"/>
            <wp:effectExtent l="0" t="0" r="8255" b="0"/>
            <wp:wrapSquare wrapText="bothSides"/>
            <wp:docPr id="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40345" cy="1099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68">
        <w:br w:type="page"/>
      </w:r>
      <w:bookmarkStart w:id="128" w:name="_Toc179670665"/>
      <w:bookmarkStart w:id="129" w:name="_Toc211371275"/>
    </w:p>
    <w:p w14:paraId="7BF0B608" w14:textId="77777777" w:rsidR="00326EDA" w:rsidRPr="00326EDA" w:rsidRDefault="65C0ACD9" w:rsidP="00326EDA">
      <w:pPr>
        <w:pStyle w:val="Heading1"/>
        <w:rPr>
          <w:rFonts w:eastAsia="Gill Sans MT" w:cs="Gill Sans MT"/>
        </w:rPr>
      </w:pPr>
      <w:bookmarkStart w:id="130" w:name="_Toc214026557"/>
      <w:r>
        <w:lastRenderedPageBreak/>
        <w:t>References</w:t>
      </w:r>
      <w:bookmarkEnd w:id="128"/>
      <w:bookmarkEnd w:id="129"/>
      <w:bookmarkEnd w:id="130"/>
    </w:p>
    <w:p w14:paraId="5C84480A" w14:textId="77777777" w:rsidR="000C38C7" w:rsidRDefault="000C38C7">
      <w:pPr>
        <w:autoSpaceDE w:val="0"/>
        <w:autoSpaceDN w:val="0"/>
        <w:ind w:hanging="640"/>
        <w:divId w:val="338696376"/>
        <w:rPr>
          <w:sz w:val="24"/>
        </w:rPr>
      </w:pPr>
      <w:r>
        <w:t xml:space="preserve">1. </w:t>
      </w:r>
      <w:r>
        <w:tab/>
        <w:t xml:space="preserve">Botha M, Hanlon J, Williams GL. Does Language Matter? Identity-First Versus Person-First Language Use in Autism Research: A Response to Vivanti. J Autism Dev Disord. 2023 Feb 20;53(2):870–8. </w:t>
      </w:r>
    </w:p>
    <w:p w14:paraId="59CCA0A4" w14:textId="77777777" w:rsidR="000C38C7" w:rsidRDefault="000C38C7">
      <w:pPr>
        <w:autoSpaceDE w:val="0"/>
        <w:autoSpaceDN w:val="0"/>
        <w:ind w:hanging="640"/>
        <w:divId w:val="1894195775"/>
      </w:pPr>
      <w:r>
        <w:t xml:space="preserve">2. </w:t>
      </w:r>
      <w:r>
        <w:tab/>
        <w:t xml:space="preserve">Catala A, Faucher L, Poirier P. Autism, epistemic injustice, and epistemic disablement: a relational account of epistemic agency. Synthese. 2021 Dec 11;199(3–4):9013–39. </w:t>
      </w:r>
    </w:p>
    <w:p w14:paraId="1A3B9AD5" w14:textId="77777777" w:rsidR="000C38C7" w:rsidRDefault="000C38C7">
      <w:pPr>
        <w:autoSpaceDE w:val="0"/>
        <w:autoSpaceDN w:val="0"/>
        <w:ind w:hanging="640"/>
        <w:divId w:val="847524663"/>
      </w:pPr>
      <w:r>
        <w:t xml:space="preserve">3. </w:t>
      </w:r>
      <w:r>
        <w:tab/>
        <w:t xml:space="preserve">Mallipeddi N V., VanDaalen RA. Intersectionality Within Critical Autism Studies: A Narrative Review. Autism in Adulthood. 2022 Dec 1;4(4):281–9. </w:t>
      </w:r>
    </w:p>
    <w:p w14:paraId="7BAF9C64" w14:textId="77777777" w:rsidR="000C38C7" w:rsidRDefault="000C38C7">
      <w:pPr>
        <w:autoSpaceDE w:val="0"/>
        <w:autoSpaceDN w:val="0"/>
        <w:ind w:hanging="640"/>
        <w:divId w:val="1928685849"/>
      </w:pPr>
      <w:r>
        <w:t xml:space="preserve">4. </w:t>
      </w:r>
      <w:r>
        <w:tab/>
        <w:t>Peters MD, Godfrey C, McInerney P, Munn Z, Tricco AC, Khalil H. Scoping reviews. In: Aromataris E, Lockwood C, Porritt K, Pilla B, Jordan Z, editors. JBI Manual for Evidence Synthesis [Internet]. JBI; 2024 [cited 2025 Oct 18]. Available from: https://synthesismanual.jbi.global</w:t>
      </w:r>
    </w:p>
    <w:p w14:paraId="1B0F9F51" w14:textId="77777777" w:rsidR="000C38C7" w:rsidRDefault="000C38C7">
      <w:pPr>
        <w:autoSpaceDE w:val="0"/>
        <w:autoSpaceDN w:val="0"/>
        <w:ind w:hanging="640"/>
        <w:divId w:val="395780406"/>
      </w:pPr>
      <w:r>
        <w:t xml:space="preserve">5. </w:t>
      </w:r>
      <w:r>
        <w:tab/>
        <w:t xml:space="preserve">Peters MDJ, Marnie C, Tricco AC, Pollock D, Munn Z, Alexander L, et al. Updated methodological guidance for the conduct of scoping reviews. JBI Evid Synth. 2020 Oct;18(10):2119–26. </w:t>
      </w:r>
    </w:p>
    <w:p w14:paraId="415FAAFC" w14:textId="77777777" w:rsidR="000C38C7" w:rsidRDefault="000C38C7">
      <w:pPr>
        <w:autoSpaceDE w:val="0"/>
        <w:autoSpaceDN w:val="0"/>
        <w:ind w:hanging="640"/>
        <w:divId w:val="2102098779"/>
      </w:pPr>
      <w:r>
        <w:t xml:space="preserve">6. </w:t>
      </w:r>
      <w:r>
        <w:tab/>
        <w:t>Biskupovic Goulding R, Gorman E, Noone C, Gleeson E, Spray J, Taylor A, et al. Literature review on autism, LGBTQ+ identities and health [Internet]. 2025 [cited 2025 Oct 17]. Available from: osf.io/4e3dt</w:t>
      </w:r>
    </w:p>
    <w:p w14:paraId="0E2F671B" w14:textId="77777777" w:rsidR="000C38C7" w:rsidRDefault="000C38C7">
      <w:pPr>
        <w:autoSpaceDE w:val="0"/>
        <w:autoSpaceDN w:val="0"/>
        <w:ind w:hanging="640"/>
        <w:divId w:val="528690718"/>
      </w:pPr>
      <w:r>
        <w:t xml:space="preserve">7. </w:t>
      </w:r>
      <w:r>
        <w:tab/>
        <w:t xml:space="preserve">Doherty M, McCowan S, Shaw SC. Autistic SPACE: a novel framework for meeting the needs of autistic people in healthcare settings. Br J Hosp Med. 2023 Apr 2;84(4):1–9. </w:t>
      </w:r>
    </w:p>
    <w:p w14:paraId="4B933D51" w14:textId="77777777" w:rsidR="000C38C7" w:rsidRDefault="000C38C7">
      <w:pPr>
        <w:autoSpaceDE w:val="0"/>
        <w:autoSpaceDN w:val="0"/>
        <w:ind w:hanging="640"/>
        <w:divId w:val="547954318"/>
      </w:pPr>
      <w:r>
        <w:t xml:space="preserve">8. </w:t>
      </w:r>
      <w:r>
        <w:tab/>
        <w:t xml:space="preserve">Gmelin JOH, De Vries YA, Baams L, Aguilar-Gaxiola S, Alonso J, Borges G, et al. Increased risks for mental disorders among LGB individuals: cross-national evidence from the World Mental Health Surveys. Soc Psychiatry Psychiatr Epidemiol. 2022 Nov 19;57(11):2319–32. </w:t>
      </w:r>
    </w:p>
    <w:p w14:paraId="6AA42357" w14:textId="77777777" w:rsidR="000C38C7" w:rsidRDefault="000C38C7">
      <w:pPr>
        <w:autoSpaceDE w:val="0"/>
        <w:autoSpaceDN w:val="0"/>
        <w:ind w:hanging="640"/>
        <w:divId w:val="1200510018"/>
      </w:pPr>
      <w:r>
        <w:t xml:space="preserve">9. </w:t>
      </w:r>
      <w:r>
        <w:tab/>
        <w:t xml:space="preserve">Lund EM, Burgess CM. Sexual and Gender Minority Health Care Disparities. Primary Care: Clinics in Office Practice. 2021 Jun;48(2):179–89. </w:t>
      </w:r>
    </w:p>
    <w:p w14:paraId="35ECB56B" w14:textId="77777777" w:rsidR="000C38C7" w:rsidRDefault="000C38C7">
      <w:pPr>
        <w:autoSpaceDE w:val="0"/>
        <w:autoSpaceDN w:val="0"/>
        <w:ind w:hanging="640"/>
        <w:divId w:val="443430025"/>
      </w:pPr>
      <w:r>
        <w:lastRenderedPageBreak/>
        <w:t xml:space="preserve">10. </w:t>
      </w:r>
      <w:r>
        <w:tab/>
        <w:t>Mezzalira S, Carone N, Bochicchio V, Cruciani G, Quintigliano M, Scandurra C. The Healthcare Experiences of LGBT</w:t>
      </w:r>
      <w:r>
        <w:rPr>
          <w:rFonts w:ascii="Arial" w:hAnsi="Arial" w:cs="Arial"/>
        </w:rPr>
        <w:t> </w:t>
      </w:r>
      <w:r>
        <w:t>+</w:t>
      </w:r>
      <w:r>
        <w:rPr>
          <w:rFonts w:ascii="Arial" w:hAnsi="Arial" w:cs="Arial"/>
        </w:rPr>
        <w:t> </w:t>
      </w:r>
      <w:r>
        <w:t>Individuals in Europe: A Systematic Review. Sexuality Research and Social Policy. 2025 Sep 26;22(3):1668</w:t>
      </w:r>
      <w:r>
        <w:rPr>
          <w:rFonts w:cs="Gill Sans MT"/>
        </w:rPr>
        <w:t>–</w:t>
      </w:r>
      <w:r>
        <w:t xml:space="preserve">86. </w:t>
      </w:r>
    </w:p>
    <w:p w14:paraId="54F8AA87" w14:textId="77777777" w:rsidR="000C38C7" w:rsidRDefault="000C38C7">
      <w:pPr>
        <w:autoSpaceDE w:val="0"/>
        <w:autoSpaceDN w:val="0"/>
        <w:ind w:hanging="640"/>
        <w:divId w:val="10493962"/>
      </w:pPr>
      <w:r>
        <w:t xml:space="preserve">11. </w:t>
      </w:r>
      <w:r>
        <w:tab/>
        <w:t xml:space="preserve">Rees SN, Crowe M, Harris S. The lesbian, gay, bisexual and transgender communities’ mental health care needs and experiences of mental health services: An integrative review of qualitative studies. J Psychiatr Ment Health Nurs. 2021 Aug 19;28(4):578–89. </w:t>
      </w:r>
    </w:p>
    <w:p w14:paraId="62B2E305" w14:textId="77777777" w:rsidR="000C38C7" w:rsidRDefault="000C38C7">
      <w:pPr>
        <w:autoSpaceDE w:val="0"/>
        <w:autoSpaceDN w:val="0"/>
        <w:ind w:hanging="640"/>
        <w:divId w:val="1302149956"/>
      </w:pPr>
      <w:r>
        <w:t xml:space="preserve">12. </w:t>
      </w:r>
      <w:r>
        <w:tab/>
        <w:t xml:space="preserve">O’Shea J, Jenkins R, Nicholls D, Downs J, Hudson LD. Prevalence, severity and risk factors for mental disorders among sexual and gender minority young people: a systematic review of systematic reviews and meta-analyses. Eur Child Adolesc Psychiatry. 2025 Mar 14;34(3):959–82. </w:t>
      </w:r>
    </w:p>
    <w:p w14:paraId="03BC18D4" w14:textId="77777777" w:rsidR="000C38C7" w:rsidRDefault="000C38C7">
      <w:pPr>
        <w:autoSpaceDE w:val="0"/>
        <w:autoSpaceDN w:val="0"/>
        <w:ind w:hanging="640"/>
        <w:divId w:val="1192258315"/>
      </w:pPr>
      <w:r>
        <w:t xml:space="preserve">13. </w:t>
      </w:r>
      <w:r>
        <w:tab/>
        <w:t xml:space="preserve">Kneale D, Henley J, Thomas J, French R. Inequalities in older LGBT people’s health and care needs in the United Kingdom: a systematic scoping review. Ageing Soc. 2021 Mar 11;41(3):493–515. </w:t>
      </w:r>
    </w:p>
    <w:p w14:paraId="6211209B" w14:textId="77777777" w:rsidR="000C38C7" w:rsidRDefault="000C38C7">
      <w:pPr>
        <w:autoSpaceDE w:val="0"/>
        <w:autoSpaceDN w:val="0"/>
        <w:ind w:hanging="640"/>
        <w:divId w:val="866527149"/>
      </w:pPr>
      <w:r>
        <w:t xml:space="preserve">14. </w:t>
      </w:r>
      <w:r>
        <w:tab/>
        <w:t xml:space="preserve">Pharr JR. Health Disparities Among Lesbian, Gay, Bisexual, Transgender, and Nonbinary Adults 50 Years Old and Older in the United States. LGBT Health. 2021 Oct 1;8(7):473–85. </w:t>
      </w:r>
    </w:p>
    <w:p w14:paraId="461CBEDD" w14:textId="77777777" w:rsidR="000C38C7" w:rsidRDefault="000C38C7">
      <w:pPr>
        <w:autoSpaceDE w:val="0"/>
        <w:autoSpaceDN w:val="0"/>
        <w:ind w:hanging="640"/>
        <w:divId w:val="39285764"/>
      </w:pPr>
      <w:r>
        <w:t xml:space="preserve">15. </w:t>
      </w:r>
      <w:r>
        <w:tab/>
        <w:t xml:space="preserve">Simpson A, Van Rensburg M, Ding L, Rydzewska E. The prevalence of coexisting mental health conditions in gender diverse autistic people: A systematic review. Res Autism Spectr Disord. 2024 Aug;116:102427. </w:t>
      </w:r>
    </w:p>
    <w:p w14:paraId="57D2F4FB" w14:textId="77777777" w:rsidR="000C38C7" w:rsidRDefault="000C38C7">
      <w:pPr>
        <w:autoSpaceDE w:val="0"/>
        <w:autoSpaceDN w:val="0"/>
        <w:ind w:hanging="640"/>
        <w:divId w:val="1237669565"/>
      </w:pPr>
      <w:r>
        <w:t xml:space="preserve">16. </w:t>
      </w:r>
      <w:r>
        <w:tab/>
        <w:t xml:space="preserve">Barquinero Campodarve A, Täuber S, Armenta Gutierrez B. Experiences of Discrimination and LGBTQ+ Healthcare Avoidance. Tijdschrift voor Genderstudies. 2025 Apr 1;28(1):23–49. </w:t>
      </w:r>
    </w:p>
    <w:p w14:paraId="530D3313" w14:textId="77777777" w:rsidR="000C38C7" w:rsidRDefault="000C38C7">
      <w:pPr>
        <w:autoSpaceDE w:val="0"/>
        <w:autoSpaceDN w:val="0"/>
        <w:ind w:hanging="640"/>
        <w:divId w:val="633802209"/>
      </w:pPr>
      <w:r>
        <w:t xml:space="preserve">17. </w:t>
      </w:r>
      <w:r>
        <w:tab/>
        <w:t>Brown LK, Veinot TC. Discrimination in Healthcare and &lt;scp&gt;LGBTQ&lt;/scp&gt; + Information and Care</w:t>
      </w:r>
      <w:r>
        <w:rPr>
          <w:rFonts w:ascii="Cambria Math" w:hAnsi="Cambria Math" w:cs="Cambria Math"/>
        </w:rPr>
        <w:t>‐</w:t>
      </w:r>
      <w:r>
        <w:t>seeking Behaviors. Proceedings of the Association for Information Science and Technology. 2021 Oct 13;58(1):405</w:t>
      </w:r>
      <w:r>
        <w:rPr>
          <w:rFonts w:cs="Gill Sans MT"/>
        </w:rPr>
        <w:t>–</w:t>
      </w:r>
      <w:r>
        <w:t xml:space="preserve">9. </w:t>
      </w:r>
    </w:p>
    <w:p w14:paraId="3C6D3D57" w14:textId="77777777" w:rsidR="000C38C7" w:rsidRDefault="000C38C7">
      <w:pPr>
        <w:autoSpaceDE w:val="0"/>
        <w:autoSpaceDN w:val="0"/>
        <w:ind w:hanging="640"/>
        <w:divId w:val="1926567503"/>
      </w:pPr>
      <w:r>
        <w:t xml:space="preserve">18. </w:t>
      </w:r>
      <w:r>
        <w:tab/>
        <w:t>Casanova-Perez R, Apodaca C, Bascom E, Mohanraj D, Lane C, Vidyarthi D, et al. Broken down by bias: Healthcare biases experienced by BIPOC and LGBTQ+ patients. In AMIA Annual Conference Symposium Proceedings; 2022 [cited 2025 Oct 17]. p. 275–84. Available from: https://pmc.ncbi.nlm.nih.gov/articles/PMC8861755/pdf/3576813.pdf</w:t>
      </w:r>
    </w:p>
    <w:p w14:paraId="45D6F97D" w14:textId="77777777" w:rsidR="000C38C7" w:rsidRDefault="000C38C7">
      <w:pPr>
        <w:autoSpaceDE w:val="0"/>
        <w:autoSpaceDN w:val="0"/>
        <w:ind w:hanging="640"/>
        <w:divId w:val="426736141"/>
      </w:pPr>
      <w:r>
        <w:lastRenderedPageBreak/>
        <w:t xml:space="preserve">19. </w:t>
      </w:r>
      <w:r>
        <w:tab/>
        <w:t xml:space="preserve">Doherty M, Neilson S, O’Sullivan J, Carravallah L, Johnson M, Cullen W, et al. Barriers to healthcare and self-reported adverse outcomes for autistic adults: a cross-sectional study. BMJ Open. 2022 Feb 22;12(2):e056904. </w:t>
      </w:r>
    </w:p>
    <w:p w14:paraId="632E03CE" w14:textId="77777777" w:rsidR="000C38C7" w:rsidRDefault="000C38C7">
      <w:pPr>
        <w:autoSpaceDE w:val="0"/>
        <w:autoSpaceDN w:val="0"/>
        <w:ind w:hanging="640"/>
        <w:divId w:val="147290947"/>
      </w:pPr>
      <w:r>
        <w:t xml:space="preserve">20. </w:t>
      </w:r>
      <w:r>
        <w:tab/>
        <w:t xml:space="preserve">Mason D, Ingham B, Urbanowicz A, Michael C, Birtles H, Woodbury-Smith M, et al. A Systematic Review of What Barriers and Facilitators Prevent and Enable Physical Healthcare Services Access for Autistic Adults. J Autism Dev Disord. 2019 Aug 23;49(8):3387–400. </w:t>
      </w:r>
    </w:p>
    <w:p w14:paraId="7754D60A" w14:textId="77777777" w:rsidR="000C38C7" w:rsidRDefault="000C38C7">
      <w:pPr>
        <w:autoSpaceDE w:val="0"/>
        <w:autoSpaceDN w:val="0"/>
        <w:ind w:hanging="640"/>
        <w:divId w:val="1156532938"/>
      </w:pPr>
      <w:r>
        <w:t xml:space="preserve">21. </w:t>
      </w:r>
      <w:r>
        <w:tab/>
        <w:t xml:space="preserve">Sidhu HK, Greene MC. A scoping review of disparities in health and health-care service provisions experienced by adults with autism spectrum disorder. Advances in Autism. 2023 Jan 18;9(1):82–93. </w:t>
      </w:r>
    </w:p>
    <w:p w14:paraId="0CA44688" w14:textId="77777777" w:rsidR="000C38C7" w:rsidRDefault="000C38C7">
      <w:pPr>
        <w:autoSpaceDE w:val="0"/>
        <w:autoSpaceDN w:val="0"/>
        <w:ind w:hanging="640"/>
        <w:divId w:val="460924065"/>
      </w:pPr>
      <w:r>
        <w:t xml:space="preserve">22. </w:t>
      </w:r>
      <w:r>
        <w:tab/>
        <w:t xml:space="preserve">Shaw SC, Carravallah L, Johnson M, O’Sullivan J, Chown N, Neilson S, et al. Barriers to healthcare and a ‘triple empathy problem’ may lead to adverse outcomes for autistic adults: A qualitative study. Autism. 2024 Jul 17;28(7):1746–57. </w:t>
      </w:r>
    </w:p>
    <w:p w14:paraId="15327D7D" w14:textId="77777777" w:rsidR="000C38C7" w:rsidRDefault="000C38C7">
      <w:pPr>
        <w:autoSpaceDE w:val="0"/>
        <w:autoSpaceDN w:val="0"/>
        <w:ind w:hanging="640"/>
        <w:divId w:val="745415020"/>
      </w:pPr>
      <w:r>
        <w:t xml:space="preserve">23. </w:t>
      </w:r>
      <w:r>
        <w:tab/>
        <w:t xml:space="preserve">Grant A, Turner S, Shaw SCK, Williams K, Morgan H, Ellis R, et al. “I am afraid of being treated badly if I show it”: A cross-sectional study of healthcare accessibility and Autism Health Passports among UK Autistic adults. PLoS One. 2024 May 29;19(5):e0303873. </w:t>
      </w:r>
    </w:p>
    <w:p w14:paraId="4D04F316" w14:textId="77777777" w:rsidR="000C38C7" w:rsidRDefault="000C38C7">
      <w:pPr>
        <w:autoSpaceDE w:val="0"/>
        <w:autoSpaceDN w:val="0"/>
        <w:ind w:hanging="640"/>
        <w:divId w:val="1867982064"/>
      </w:pPr>
      <w:r>
        <w:t xml:space="preserve">24. </w:t>
      </w:r>
      <w:r>
        <w:tab/>
        <w:t xml:space="preserve">Raymaker DM, McDonald KE, Ashkenazy E, Gerrity M, Baggs AM, Kripke C, et al. Barriers to healthcare: Instrument development and comparison between autistic adults and adults with and without other disabilities. Autism. 2017 Nov 22;21(8):972–84. </w:t>
      </w:r>
    </w:p>
    <w:p w14:paraId="51EE6231" w14:textId="77777777" w:rsidR="000C38C7" w:rsidRDefault="000C38C7">
      <w:pPr>
        <w:autoSpaceDE w:val="0"/>
        <w:autoSpaceDN w:val="0"/>
        <w:ind w:hanging="640"/>
        <w:divId w:val="1911579573"/>
      </w:pPr>
      <w:r>
        <w:t xml:space="preserve">25. </w:t>
      </w:r>
      <w:r>
        <w:tab/>
        <w:t xml:space="preserve">Cherney JL. Ableism and Intersectionality: A Rhetorical Analysis. In: The Palgrave Handbook of Disability and Communication. Cham: Springer International Publishing; 2023. p. 99–111. </w:t>
      </w:r>
    </w:p>
    <w:p w14:paraId="4139CB6A" w14:textId="77777777" w:rsidR="000C38C7" w:rsidRDefault="000C38C7">
      <w:pPr>
        <w:autoSpaceDE w:val="0"/>
        <w:autoSpaceDN w:val="0"/>
        <w:ind w:hanging="640"/>
        <w:divId w:val="1783181223"/>
      </w:pPr>
      <w:r>
        <w:t xml:space="preserve">26. </w:t>
      </w:r>
      <w:r>
        <w:tab/>
        <w:t>M Milton DE. The double empathy problem. In: International Conference on ‘Neurodiversity: A Paradigm Shift In Higher Education &amp; Employment [Internet]. Dublin; 2020 [cited 2025 Oct 17]. Available from: https://kar.kent.ac.uk/84693/1/DEP%20Maynooth%202020.pdf</w:t>
      </w:r>
    </w:p>
    <w:p w14:paraId="613D84A3" w14:textId="77777777" w:rsidR="000C38C7" w:rsidRDefault="000C38C7">
      <w:pPr>
        <w:autoSpaceDE w:val="0"/>
        <w:autoSpaceDN w:val="0"/>
        <w:ind w:hanging="640"/>
        <w:divId w:val="772091938"/>
      </w:pPr>
      <w:r>
        <w:t xml:space="preserve">27. </w:t>
      </w:r>
      <w:r>
        <w:tab/>
        <w:t xml:space="preserve">Bouzy J, Brunelle J, Cohen D, Condat A. Transidentities and autism spectrum disorder: A systematic review. Psychiatry Res. 2023 May;323:115176. </w:t>
      </w:r>
    </w:p>
    <w:p w14:paraId="101646F9" w14:textId="77777777" w:rsidR="000C38C7" w:rsidRDefault="000C38C7">
      <w:pPr>
        <w:autoSpaceDE w:val="0"/>
        <w:autoSpaceDN w:val="0"/>
        <w:ind w:hanging="640"/>
        <w:divId w:val="754011374"/>
      </w:pPr>
      <w:r>
        <w:lastRenderedPageBreak/>
        <w:t xml:space="preserve">28. </w:t>
      </w:r>
      <w:r>
        <w:tab/>
        <w:t xml:space="preserve">Glanville B, Oates J, Foley KR, Hurem A, Osmetti L, Allen K. Harmonizing Identities: A Scoping Review on Voice and Communication Supports and Challenges for Autistic Trans and Gender Diverse Individuals. J Autism Dev Disord. 2025 Mar 3; </w:t>
      </w:r>
    </w:p>
    <w:p w14:paraId="41AD6532" w14:textId="77777777" w:rsidR="000C38C7" w:rsidRDefault="000C38C7">
      <w:pPr>
        <w:autoSpaceDE w:val="0"/>
        <w:autoSpaceDN w:val="0"/>
        <w:ind w:hanging="640"/>
        <w:divId w:val="1890217858"/>
      </w:pPr>
      <w:r>
        <w:t xml:space="preserve">29. </w:t>
      </w:r>
      <w:r>
        <w:tab/>
        <w:t>National Disability Authority. United Nations Convention on the Rights of Persons with Disabilities [Internet]. NDA. 2025 [cited 2025 Oct 18]. Available from: https://nda.ie/disability-policy/uncrpd</w:t>
      </w:r>
    </w:p>
    <w:p w14:paraId="3410057C" w14:textId="77777777" w:rsidR="000C38C7" w:rsidRDefault="000C38C7">
      <w:pPr>
        <w:autoSpaceDE w:val="0"/>
        <w:autoSpaceDN w:val="0"/>
        <w:ind w:hanging="640"/>
        <w:divId w:val="856777454"/>
      </w:pPr>
      <w:r>
        <w:t xml:space="preserve">30. </w:t>
      </w:r>
      <w:r>
        <w:tab/>
        <w:t>Department of Economic and Social Affairs. Article 3 - General principles [Internet]. United Nations. [cited 2025 Oct 18]. Available from: https://social.desa.un.org/issues/disability/crpd/article-3-general-principles</w:t>
      </w:r>
    </w:p>
    <w:p w14:paraId="65AF231D" w14:textId="77777777" w:rsidR="000C38C7" w:rsidRDefault="000C38C7">
      <w:pPr>
        <w:autoSpaceDE w:val="0"/>
        <w:autoSpaceDN w:val="0"/>
        <w:ind w:hanging="640"/>
        <w:divId w:val="249431179"/>
      </w:pPr>
      <w:r>
        <w:t xml:space="preserve">31. </w:t>
      </w:r>
      <w:r>
        <w:tab/>
        <w:t>Department of Economic and Social Affairs. Article 5 - Equality and non-discrimination [Internet]. United Nations. [cited 2025 Oct 18]. Available from: https://social.desa.un.org/issues/disability/crpd/article-5-equality-and-non-discrimination</w:t>
      </w:r>
    </w:p>
    <w:p w14:paraId="0AE2EACD" w14:textId="77777777" w:rsidR="000C38C7" w:rsidRDefault="000C38C7">
      <w:pPr>
        <w:autoSpaceDE w:val="0"/>
        <w:autoSpaceDN w:val="0"/>
        <w:ind w:hanging="640"/>
        <w:divId w:val="1775856452"/>
      </w:pPr>
      <w:r>
        <w:t xml:space="preserve">32. </w:t>
      </w:r>
      <w:r>
        <w:tab/>
        <w:t>Department of Economic and Social Affairs. Article 9 - Accessibility [Internet]. United Nations. [cited 2025 Oct 18]. Available from: https://social.desa.un.org/issues/disability/crpd/article-9-accessibility</w:t>
      </w:r>
    </w:p>
    <w:p w14:paraId="3E567717" w14:textId="77777777" w:rsidR="000C38C7" w:rsidRDefault="000C38C7">
      <w:pPr>
        <w:autoSpaceDE w:val="0"/>
        <w:autoSpaceDN w:val="0"/>
        <w:ind w:hanging="640"/>
        <w:divId w:val="1269855388"/>
      </w:pPr>
      <w:r>
        <w:t xml:space="preserve">33. </w:t>
      </w:r>
      <w:r>
        <w:tab/>
        <w:t>Department of Economic and Social Affairs. Article 25 - Health [Internet]. United Nations. [cited 2025 Oct 18]. Available from: https://social.desa.un.org/issues/disability/crpd/article-25-health</w:t>
      </w:r>
    </w:p>
    <w:p w14:paraId="1623852D" w14:textId="77777777" w:rsidR="000C38C7" w:rsidRDefault="000C38C7">
      <w:pPr>
        <w:autoSpaceDE w:val="0"/>
        <w:autoSpaceDN w:val="0"/>
        <w:ind w:hanging="640"/>
        <w:divId w:val="1418288128"/>
      </w:pPr>
      <w:r>
        <w:t xml:space="preserve">34. </w:t>
      </w:r>
      <w:r>
        <w:tab/>
        <w:t>Department of Economic and Social Affairs. Article 12 - Equal recognition before the law [Internet]. United Nations. [cited 2025 Oct 18]. Available from: https://social.desa.un.org/issues/disability/crpd/article-12-equal-recognition-before-the-law</w:t>
      </w:r>
    </w:p>
    <w:p w14:paraId="6BB8BE53" w14:textId="77777777" w:rsidR="000C38C7" w:rsidRDefault="000C38C7">
      <w:pPr>
        <w:autoSpaceDE w:val="0"/>
        <w:autoSpaceDN w:val="0"/>
        <w:ind w:hanging="640"/>
        <w:divId w:val="286396421"/>
      </w:pPr>
      <w:r>
        <w:t xml:space="preserve">35. </w:t>
      </w:r>
      <w:r>
        <w:tab/>
        <w:t xml:space="preserve">MacKenzie A. Prejudicial stereotypes and testimonial injustice: Autism, sexuality and sex education. Int J Educ Res. 2018;89:110–8. </w:t>
      </w:r>
    </w:p>
    <w:p w14:paraId="296A7216" w14:textId="77777777" w:rsidR="000C38C7" w:rsidRDefault="000C38C7">
      <w:pPr>
        <w:autoSpaceDE w:val="0"/>
        <w:autoSpaceDN w:val="0"/>
        <w:ind w:hanging="640"/>
        <w:divId w:val="1666129580"/>
      </w:pPr>
      <w:r>
        <w:t xml:space="preserve">36. </w:t>
      </w:r>
      <w:r>
        <w:tab/>
        <w:t xml:space="preserve">Fingerhut AW, Martos AJ, Choi SK, Abdou CM. Healthcare Stereotype Threat and Health Outcomes Among LGB Individuals. Annals of Behavioral Medicine. 2022 Jun 29;56(6):562–72. </w:t>
      </w:r>
    </w:p>
    <w:p w14:paraId="73A77A40" w14:textId="77777777" w:rsidR="000C38C7" w:rsidRDefault="000C38C7">
      <w:pPr>
        <w:autoSpaceDE w:val="0"/>
        <w:autoSpaceDN w:val="0"/>
        <w:ind w:hanging="640"/>
        <w:divId w:val="1936597970"/>
      </w:pPr>
      <w:r>
        <w:t xml:space="preserve">37. </w:t>
      </w:r>
      <w:r>
        <w:tab/>
        <w:t xml:space="preserve">Dewinter J, Onaiwu MG, Massolo ML, Caplan R, Van Beneden E, Brörmann N, et al. Short report: Recommendations for education, clinical practice, research, and policy on promoting well-being in </w:t>
      </w:r>
      <w:r>
        <w:lastRenderedPageBreak/>
        <w:t xml:space="preserve">autistic youth and adults through a positive focus on sexuality and gender diversity. Autism. 2024 Mar 2;28(3):770–9. </w:t>
      </w:r>
    </w:p>
    <w:p w14:paraId="7B09D54B" w14:textId="77777777" w:rsidR="000C38C7" w:rsidRDefault="000C38C7">
      <w:pPr>
        <w:autoSpaceDE w:val="0"/>
        <w:autoSpaceDN w:val="0"/>
        <w:ind w:hanging="640"/>
        <w:divId w:val="107626199"/>
      </w:pPr>
      <w:r>
        <w:t xml:space="preserve">38. </w:t>
      </w:r>
      <w:r>
        <w:tab/>
        <w:t xml:space="preserve">Santinele Martino A. Cripping sexualities: An analytic review of theoretical and empirical writing on the intersection of disabilities and sexualities. Sociol Compass. 2017 May 2;11(5). </w:t>
      </w:r>
    </w:p>
    <w:p w14:paraId="43489BC0" w14:textId="77777777" w:rsidR="000C38C7" w:rsidRDefault="000C38C7">
      <w:pPr>
        <w:autoSpaceDE w:val="0"/>
        <w:autoSpaceDN w:val="0"/>
        <w:ind w:hanging="640"/>
        <w:divId w:val="990600623"/>
      </w:pPr>
      <w:r>
        <w:t xml:space="preserve">39. </w:t>
      </w:r>
      <w:r>
        <w:tab/>
        <w:t xml:space="preserve">Kahn NF, Sequeira GM, Garrison MM, Orlich F, Christakis DA, Aye T, et al. Co-occurring Autism Spectrum Disorder and Gender Dysphoria in Adolescents. Pediatrics. 2023 Aug 1;152(2). </w:t>
      </w:r>
    </w:p>
    <w:p w14:paraId="538BF82E" w14:textId="77777777" w:rsidR="000C38C7" w:rsidRDefault="000C38C7">
      <w:pPr>
        <w:autoSpaceDE w:val="0"/>
        <w:autoSpaceDN w:val="0"/>
        <w:ind w:hanging="640"/>
        <w:divId w:val="1826824794"/>
      </w:pPr>
      <w:r>
        <w:t xml:space="preserve">40. </w:t>
      </w:r>
      <w:r>
        <w:tab/>
        <w:t xml:space="preserve">Bränström R, Pachankis JE. Sexual Orientation Differences in Age of First Treatment for a Mental Health Diagnosis: A Population-Based Study of Childhood and Adolescence. J Am Acad Child Adolesc Psychiatry. 2025 May;64(5):602–11. </w:t>
      </w:r>
    </w:p>
    <w:p w14:paraId="3BBCD7F9" w14:textId="77777777" w:rsidR="000C38C7" w:rsidRDefault="000C38C7">
      <w:pPr>
        <w:autoSpaceDE w:val="0"/>
        <w:autoSpaceDN w:val="0"/>
        <w:ind w:hanging="640"/>
        <w:divId w:val="512039845"/>
      </w:pPr>
      <w:r>
        <w:t xml:space="preserve">41. </w:t>
      </w:r>
      <w:r>
        <w:tab/>
        <w:t>Crenshaw K. Demarginalizing the Intersection of Race and Sex: A Black Feminist Critique of Antidiscrimination Doctrine, Feminist Theory and Antiracist Politics. University of Chicago Legal Forum [Internet]. 1989;(1). Available from: http://chicagounbound.uchicago.edu/uclfhttp://chicagounbound.uchicago.edu/uclf/vol1989/iss1/8</w:t>
      </w:r>
    </w:p>
    <w:p w14:paraId="56B64E70" w14:textId="77777777" w:rsidR="000C38C7" w:rsidRDefault="000C38C7">
      <w:pPr>
        <w:autoSpaceDE w:val="0"/>
        <w:autoSpaceDN w:val="0"/>
        <w:ind w:hanging="640"/>
        <w:divId w:val="1314488208"/>
      </w:pPr>
      <w:r>
        <w:t xml:space="preserve">42. </w:t>
      </w:r>
      <w:r>
        <w:tab/>
        <w:t xml:space="preserve">Bauer GR, Churchill SM, Mahendran M, Walwyn C, Lizotte D, Villa-Rueda AA. Intersectionality in quantitative research: A systematic review of its emergence and applications of theory and methods. SSM Popul Health. 2021 Jun;14:100798. </w:t>
      </w:r>
    </w:p>
    <w:p w14:paraId="2AEBF681" w14:textId="77777777" w:rsidR="000C38C7" w:rsidRDefault="000C38C7">
      <w:pPr>
        <w:autoSpaceDE w:val="0"/>
        <w:autoSpaceDN w:val="0"/>
        <w:ind w:hanging="640"/>
        <w:divId w:val="2012949815"/>
      </w:pPr>
      <w:r>
        <w:t xml:space="preserve">43. </w:t>
      </w:r>
      <w:r>
        <w:tab/>
        <w:t xml:space="preserve">Lai MC. Editorial: Towards an Intersectional Understanding of Sexual Identity, Mental Health, Neurodivergence, and Beyond. J Am Acad Child Adolesc Psychiatry. 2025 May;64(5):558–60. </w:t>
      </w:r>
    </w:p>
    <w:p w14:paraId="395C8835" w14:textId="77777777" w:rsidR="000C38C7" w:rsidRDefault="000C38C7">
      <w:pPr>
        <w:autoSpaceDE w:val="0"/>
        <w:autoSpaceDN w:val="0"/>
        <w:ind w:hanging="640"/>
        <w:divId w:val="487525510"/>
      </w:pPr>
      <w:r>
        <w:t xml:space="preserve">44. </w:t>
      </w:r>
      <w:r>
        <w:tab/>
        <w:t xml:space="preserve">Meyer IH. Prejudice, social stress, and mental health in lesbian, gay, and bisexual populations: Conceptual issues and research evidence. Psychol Bull. 2003 Sep;129(5):674–97. </w:t>
      </w:r>
    </w:p>
    <w:p w14:paraId="2DE22ED3" w14:textId="77777777" w:rsidR="000C38C7" w:rsidRDefault="000C38C7">
      <w:pPr>
        <w:autoSpaceDE w:val="0"/>
        <w:autoSpaceDN w:val="0"/>
        <w:ind w:hanging="640"/>
        <w:divId w:val="1486817833"/>
      </w:pPr>
      <w:r>
        <w:t xml:space="preserve">45. </w:t>
      </w:r>
      <w:r>
        <w:tab/>
        <w:t xml:space="preserve">Botha M, Frost DM. Extending the Minority Stress Model to Understand Mental Health Problems Experienced by the Autistic Population. Soc Ment Health. 2020 Mar 12;10(1):20–34. </w:t>
      </w:r>
    </w:p>
    <w:p w14:paraId="592B18C3" w14:textId="77777777" w:rsidR="000C38C7" w:rsidRDefault="000C38C7">
      <w:pPr>
        <w:autoSpaceDE w:val="0"/>
        <w:autoSpaceDN w:val="0"/>
        <w:ind w:hanging="640"/>
        <w:divId w:val="245192676"/>
      </w:pPr>
      <w:r>
        <w:t xml:space="preserve">46. </w:t>
      </w:r>
      <w:r>
        <w:tab/>
        <w:t xml:space="preserve">Frost DM, Meyer IH. Minority stress theory: Application, critique, and continued relevance. Curr Opin Psychol. 2023 Jun;51:101579. </w:t>
      </w:r>
    </w:p>
    <w:p w14:paraId="6561CEF3" w14:textId="77777777" w:rsidR="000C38C7" w:rsidRDefault="000C38C7">
      <w:pPr>
        <w:autoSpaceDE w:val="0"/>
        <w:autoSpaceDN w:val="0"/>
        <w:ind w:hanging="640"/>
        <w:divId w:val="1312248765"/>
      </w:pPr>
      <w:r>
        <w:lastRenderedPageBreak/>
        <w:t xml:space="preserve">47. </w:t>
      </w:r>
      <w:r>
        <w:tab/>
        <w:t xml:space="preserve">Department of Economic and Social Affairs. Article 31 - Statistics and data collection. United Nations. </w:t>
      </w:r>
    </w:p>
    <w:p w14:paraId="744D1F82" w14:textId="77777777" w:rsidR="000C38C7" w:rsidRDefault="000C38C7">
      <w:pPr>
        <w:autoSpaceDE w:val="0"/>
        <w:autoSpaceDN w:val="0"/>
        <w:ind w:hanging="640"/>
        <w:divId w:val="570505279"/>
      </w:pPr>
      <w:r>
        <w:t xml:space="preserve">48. </w:t>
      </w:r>
      <w:r>
        <w:tab/>
        <w:t>Department of Economic and Social Affairs. Article 33 - National implementation and monitoring [Internet]. United Nations. [cited 2025 Oct 18]. Available from: https://social.desa.un.org/issues/disability/crpd/article-33-national-implementation-and-monitoring</w:t>
      </w:r>
    </w:p>
    <w:p w14:paraId="4DBEB942" w14:textId="77777777" w:rsidR="000C38C7" w:rsidRDefault="000C38C7">
      <w:pPr>
        <w:autoSpaceDE w:val="0"/>
        <w:autoSpaceDN w:val="0"/>
        <w:ind w:hanging="640"/>
        <w:divId w:val="68312299"/>
      </w:pPr>
      <w:r>
        <w:t xml:space="preserve">49. </w:t>
      </w:r>
      <w:r>
        <w:tab/>
        <w:t xml:space="preserve">Tricco AC, Lillie E, Zarin W, O’Brien KK, Colquhoun H, Levac D, et al. PRISMA Extension for Scoping Reviews (PRISMA-ScR): Checklist and Explanation. Ann Intern Med. 2018 Oct 2;169(7):467–73. </w:t>
      </w:r>
    </w:p>
    <w:p w14:paraId="28D5FCB5" w14:textId="77777777" w:rsidR="000C38C7" w:rsidRDefault="000C38C7">
      <w:pPr>
        <w:autoSpaceDE w:val="0"/>
        <w:autoSpaceDN w:val="0"/>
        <w:ind w:hanging="640"/>
        <w:divId w:val="1585987441"/>
      </w:pPr>
      <w:r>
        <w:t xml:space="preserve">50. </w:t>
      </w:r>
      <w:r>
        <w:tab/>
        <w:t>Lizarondo L, Stern C, Carrier J, Godfrey C, Rieger K, Salmond S, et al. Mixed methods systematic reviews. In: Aromataris E, Lockwood C, Porritt K, Pilla B, Jordan Z, editors. JBI Manual for Evidence Synthesis [Internet]. JBI; 2024 [cited 2025 Oct 18]. Available from: https://doi.org/10.46658/JBIMES-24-07</w:t>
      </w:r>
    </w:p>
    <w:p w14:paraId="344C7C87" w14:textId="77777777" w:rsidR="000C38C7" w:rsidRDefault="000C38C7">
      <w:pPr>
        <w:autoSpaceDE w:val="0"/>
        <w:autoSpaceDN w:val="0"/>
        <w:ind w:hanging="640"/>
        <w:divId w:val="190991872"/>
      </w:pPr>
      <w:r>
        <w:t xml:space="preserve">51. </w:t>
      </w:r>
      <w:r>
        <w:tab/>
        <w:t xml:space="preserve">Cooke A, Smith D, Booth A. Beyond PICO. Qual Health Res. 2012 Oct 24;22(10):1435–43. </w:t>
      </w:r>
    </w:p>
    <w:p w14:paraId="75521989" w14:textId="77777777" w:rsidR="000C38C7" w:rsidRDefault="000C38C7">
      <w:pPr>
        <w:autoSpaceDE w:val="0"/>
        <w:autoSpaceDN w:val="0"/>
        <w:ind w:hanging="640"/>
        <w:divId w:val="1836804075"/>
      </w:pPr>
      <w:r>
        <w:t xml:space="preserve">52. </w:t>
      </w:r>
      <w:r>
        <w:tab/>
        <w:t xml:space="preserve">Rong P, Fu Q, Zhang X, Liu H, Zhao S, Song X, et al. A bibliometrics analysis and visualization of autism spectrum disorder. Front Psychiatry. 2022 Jul 18;13. </w:t>
      </w:r>
    </w:p>
    <w:p w14:paraId="69AA9C72" w14:textId="77777777" w:rsidR="000C38C7" w:rsidRDefault="000C38C7">
      <w:pPr>
        <w:autoSpaceDE w:val="0"/>
        <w:autoSpaceDN w:val="0"/>
        <w:ind w:hanging="640"/>
        <w:divId w:val="1760714584"/>
      </w:pPr>
      <w:r>
        <w:t xml:space="preserve">53. </w:t>
      </w:r>
      <w:r>
        <w:tab/>
        <w:t xml:space="preserve">Hunter KE, Webster AC, Page MJ, Willson M, McDonald S, Berber S, et al. Searching clinical trials registers: guide for systematic reviewers. BMJ. 2022 Apr 26;e068791. </w:t>
      </w:r>
    </w:p>
    <w:p w14:paraId="5140AF09" w14:textId="77777777" w:rsidR="000C38C7" w:rsidRDefault="000C38C7">
      <w:pPr>
        <w:autoSpaceDE w:val="0"/>
        <w:autoSpaceDN w:val="0"/>
        <w:ind w:hanging="640"/>
        <w:divId w:val="1878812197"/>
      </w:pPr>
      <w:r>
        <w:t xml:space="preserve">54. </w:t>
      </w:r>
      <w:r>
        <w:tab/>
        <w:t xml:space="preserve">McGowan J, Sampson M, Salzwedel DM, Cogo E, Foerster V, Lefebvre C. PRESS Peer Review of Electronic Search Strategies: 2015 Guideline Statement. J Clin Epidemiol. 2016 Jul;75:40–6. </w:t>
      </w:r>
    </w:p>
    <w:p w14:paraId="3987BC25" w14:textId="77777777" w:rsidR="000C38C7" w:rsidRDefault="000C38C7">
      <w:pPr>
        <w:autoSpaceDE w:val="0"/>
        <w:autoSpaceDN w:val="0"/>
        <w:ind w:hanging="640"/>
        <w:divId w:val="33702559"/>
      </w:pPr>
      <w:r>
        <w:t xml:space="preserve">55. </w:t>
      </w:r>
      <w:r>
        <w:tab/>
        <w:t xml:space="preserve">Veritas Health Innovation. Covidence systematic review software. Melbourne: Veritas Health Innovation; 2025. </w:t>
      </w:r>
    </w:p>
    <w:p w14:paraId="2749A30C" w14:textId="77777777" w:rsidR="000C38C7" w:rsidRDefault="000C38C7">
      <w:pPr>
        <w:autoSpaceDE w:val="0"/>
        <w:autoSpaceDN w:val="0"/>
        <w:ind w:hanging="640"/>
        <w:divId w:val="615603557"/>
      </w:pPr>
      <w:r>
        <w:t xml:space="preserve">56. </w:t>
      </w:r>
      <w:r>
        <w:tab/>
        <w:t xml:space="preserve">Hong QN, Fàbregues S, Bartlett G, Boardman F, Cargo M, Dagenais P, et al. The Mixed Methods Appraisal Tool (MMAT) version 2018 for information professionals and researchers. Education for Information. 2018 Dec 18;34(4):285–91. </w:t>
      </w:r>
    </w:p>
    <w:p w14:paraId="4F00C166" w14:textId="77777777" w:rsidR="000C38C7" w:rsidRDefault="000C38C7">
      <w:pPr>
        <w:autoSpaceDE w:val="0"/>
        <w:autoSpaceDN w:val="0"/>
        <w:ind w:hanging="640"/>
        <w:divId w:val="1276207913"/>
      </w:pPr>
      <w:r>
        <w:t xml:space="preserve">57. </w:t>
      </w:r>
      <w:r>
        <w:tab/>
        <w:t xml:space="preserve">Levac D, Colquhoun H, O’Brien KK. Scoping studies: advancing the methodology. Implementation Science. 2010 Dec 20;5(1):69. </w:t>
      </w:r>
    </w:p>
    <w:p w14:paraId="6B084F2D" w14:textId="77777777" w:rsidR="000C38C7" w:rsidRDefault="000C38C7">
      <w:pPr>
        <w:autoSpaceDE w:val="0"/>
        <w:autoSpaceDN w:val="0"/>
        <w:ind w:hanging="640"/>
        <w:divId w:val="1398043210"/>
      </w:pPr>
      <w:r>
        <w:lastRenderedPageBreak/>
        <w:t xml:space="preserve">58. </w:t>
      </w:r>
      <w:r>
        <w:tab/>
        <w:t xml:space="preserve">Tyndall J. AACODS Checklist. Adelaide: Flinders University; 2010. </w:t>
      </w:r>
    </w:p>
    <w:p w14:paraId="38D26B7B" w14:textId="77777777" w:rsidR="000C38C7" w:rsidRDefault="000C38C7">
      <w:pPr>
        <w:autoSpaceDE w:val="0"/>
        <w:autoSpaceDN w:val="0"/>
        <w:ind w:hanging="640"/>
        <w:divId w:val="141584407"/>
      </w:pPr>
      <w:r>
        <w:t xml:space="preserve">59. </w:t>
      </w:r>
      <w:r>
        <w:tab/>
        <w:t xml:space="preserve">Stern C, Lizarondo L, Carrier J, Godfrey C, Rieger K, Salmond S, et al. Methodological guidance for the conduct of mixed methods systematic reviews. JBI Evid Synth. 2020 Oct;18(10):2108–18. </w:t>
      </w:r>
    </w:p>
    <w:p w14:paraId="7B722A84" w14:textId="77777777" w:rsidR="000C38C7" w:rsidRDefault="000C38C7">
      <w:pPr>
        <w:autoSpaceDE w:val="0"/>
        <w:autoSpaceDN w:val="0"/>
        <w:ind w:hanging="640"/>
        <w:divId w:val="54283623"/>
      </w:pPr>
      <w:r>
        <w:t xml:space="preserve">60. </w:t>
      </w:r>
      <w:r>
        <w:tab/>
        <w:t xml:space="preserve">Autism CRC. Report on research, co-design and community engagement to inform the National Roadmap to Improve the Health and Mental Health of Autistic People: Reimagining health services for Autistic people, their families and carers. . Brisbane; 2024. </w:t>
      </w:r>
    </w:p>
    <w:p w14:paraId="65D60C2D" w14:textId="77777777" w:rsidR="000C38C7" w:rsidRDefault="000C38C7">
      <w:pPr>
        <w:autoSpaceDE w:val="0"/>
        <w:autoSpaceDN w:val="0"/>
        <w:ind w:hanging="640"/>
        <w:divId w:val="875433089"/>
      </w:pPr>
      <w:r>
        <w:t xml:space="preserve">61. </w:t>
      </w:r>
      <w:r>
        <w:tab/>
        <w:t xml:space="preserve">Carlile A. The experiences of transgender and non-binary children and young people and their parents in healthcare settings in England, UK: Interviews with members of a family support group. Int J Transgend Health. 2020 Jan 2;21(1):16–32. </w:t>
      </w:r>
    </w:p>
    <w:p w14:paraId="5F9E0EDC" w14:textId="77777777" w:rsidR="000C38C7" w:rsidRDefault="000C38C7">
      <w:pPr>
        <w:autoSpaceDE w:val="0"/>
        <w:autoSpaceDN w:val="0"/>
        <w:ind w:hanging="640"/>
        <w:divId w:val="228655511"/>
      </w:pPr>
      <w:r>
        <w:t xml:space="preserve">62. </w:t>
      </w:r>
      <w:r>
        <w:tab/>
        <w:t xml:space="preserve">Adams N, Jacobsen K, Li L, Francino M, Rutherford L, Tei C, et al. Health and Health Care Access of Autistic Transgender and Nonbinary People in Canada: A Cross-Sectional Study. Autism in Adulthood. 2025 Feb 1;7(1):66–80. </w:t>
      </w:r>
    </w:p>
    <w:p w14:paraId="4DACF912" w14:textId="77777777" w:rsidR="000C38C7" w:rsidRDefault="000C38C7">
      <w:pPr>
        <w:autoSpaceDE w:val="0"/>
        <w:autoSpaceDN w:val="0"/>
        <w:ind w:hanging="640"/>
        <w:divId w:val="1387796525"/>
      </w:pPr>
      <w:r>
        <w:t xml:space="preserve">63. </w:t>
      </w:r>
      <w:r>
        <w:tab/>
        <w:t xml:space="preserve">Rios N. Accounting for neuronormativity in transgender medicine. Soc Sci Med. 2025 Feb;367:117802. </w:t>
      </w:r>
    </w:p>
    <w:p w14:paraId="7FDBF7A2" w14:textId="77777777" w:rsidR="000C38C7" w:rsidRDefault="000C38C7">
      <w:pPr>
        <w:autoSpaceDE w:val="0"/>
        <w:autoSpaceDN w:val="0"/>
        <w:ind w:hanging="640"/>
        <w:divId w:val="197159011"/>
      </w:pPr>
      <w:r>
        <w:t xml:space="preserve">64. </w:t>
      </w:r>
      <w:r>
        <w:tab/>
        <w:t xml:space="preserve">Green K, Weir E, Wright L, Allison C, Baron-Cohen S. Autistic and transgender/gender diverse people’s experiences of health and healthcare. Mol Autism. 2025 Jan 21;16(1):4. </w:t>
      </w:r>
    </w:p>
    <w:p w14:paraId="34B808B9" w14:textId="77777777" w:rsidR="000C38C7" w:rsidRDefault="000C38C7">
      <w:pPr>
        <w:autoSpaceDE w:val="0"/>
        <w:autoSpaceDN w:val="0"/>
        <w:ind w:hanging="640"/>
        <w:divId w:val="186989533"/>
      </w:pPr>
      <w:r>
        <w:t xml:space="preserve">65. </w:t>
      </w:r>
      <w:r>
        <w:tab/>
        <w:t xml:space="preserve">Koffer Miller KH, Cooper DS, Song W, Shea LL. Self-reported service needs and barriers reported by autistic adults: Differences by gender identity. Res Autism Spectr Disord. 2022 Apr;92:101916. </w:t>
      </w:r>
    </w:p>
    <w:p w14:paraId="13337940" w14:textId="77777777" w:rsidR="000C38C7" w:rsidRDefault="000C38C7">
      <w:pPr>
        <w:autoSpaceDE w:val="0"/>
        <w:autoSpaceDN w:val="0"/>
        <w:ind w:hanging="640"/>
        <w:divId w:val="1556773796"/>
      </w:pPr>
      <w:r>
        <w:t xml:space="preserve">66. </w:t>
      </w:r>
      <w:r>
        <w:tab/>
        <w:t xml:space="preserve">Strauss P, Cook A, Watson V, Winter S, Whitehouse A, Albrecht N, et al. Mental health difficulties among trans and gender diverse young people with an autism spectrum disorder (ASD): Findings from Trans Pathways. J Psychiatr Res. 2021 May;137:360–7. </w:t>
      </w:r>
    </w:p>
    <w:p w14:paraId="38BF5023" w14:textId="77777777" w:rsidR="000C38C7" w:rsidRDefault="000C38C7">
      <w:pPr>
        <w:autoSpaceDE w:val="0"/>
        <w:autoSpaceDN w:val="0"/>
        <w:ind w:hanging="640"/>
        <w:divId w:val="1846362645"/>
      </w:pPr>
      <w:r>
        <w:t xml:space="preserve">67. </w:t>
      </w:r>
      <w:r>
        <w:tab/>
        <w:t xml:space="preserve">Soto EF, Orantes D, Russo N, Antshel KM. Autism and sexual and gender minority identity in college students: Examination of self-reported rates, functional outcomes, and treatment engagement. Autism. 2024 Jun 29;28(6):1519–39. </w:t>
      </w:r>
    </w:p>
    <w:p w14:paraId="1E7217EC" w14:textId="77777777" w:rsidR="000C38C7" w:rsidRDefault="000C38C7">
      <w:pPr>
        <w:autoSpaceDE w:val="0"/>
        <w:autoSpaceDN w:val="0"/>
        <w:ind w:hanging="640"/>
        <w:divId w:val="2146462414"/>
      </w:pPr>
      <w:r>
        <w:lastRenderedPageBreak/>
        <w:t xml:space="preserve">68. </w:t>
      </w:r>
      <w:r>
        <w:tab/>
        <w:t xml:space="preserve">Wallisch A, Boyd BA, Hall JP, Kurth NK, Streed Jr CG, Mulcahy A, et al. Health Care Disparities Among Autistic LGBTQ+ People. Autism in Adulthood. 2023 Jun 1;5(2):165–74. </w:t>
      </w:r>
    </w:p>
    <w:p w14:paraId="1A0C7DF9" w14:textId="77777777" w:rsidR="000C38C7" w:rsidRDefault="000C38C7">
      <w:pPr>
        <w:autoSpaceDE w:val="0"/>
        <w:autoSpaceDN w:val="0"/>
        <w:ind w:hanging="640"/>
        <w:divId w:val="1204904123"/>
      </w:pPr>
      <w:r>
        <w:t xml:space="preserve">69. </w:t>
      </w:r>
      <w:r>
        <w:tab/>
        <w:t xml:space="preserve">Putnam OC, Eddy G, Goldblum J, Swisher M, Harrop C. How autistic adults’ priorities for autism research differ by gender identity: A mixed-methods study. Women’s Health. 2023 Jan 31;19. </w:t>
      </w:r>
    </w:p>
    <w:p w14:paraId="6C4966A3" w14:textId="77777777" w:rsidR="000C38C7" w:rsidRDefault="000C38C7">
      <w:pPr>
        <w:autoSpaceDE w:val="0"/>
        <w:autoSpaceDN w:val="0"/>
        <w:ind w:hanging="640"/>
        <w:divId w:val="1814175250"/>
      </w:pPr>
      <w:r>
        <w:t xml:space="preserve">70. </w:t>
      </w:r>
      <w:r>
        <w:tab/>
        <w:t xml:space="preserve">McQuaid GA, Ratto AB, Jack A, Khuu A, Smith J V, Duane SC, et al. Gender, assigned sex at birth, and gender diversity: Windows into diagnostic timing disparities in autism. Autism. 2024 Nov 8;28(11):2806–20. </w:t>
      </w:r>
    </w:p>
    <w:p w14:paraId="56F3695C" w14:textId="77777777" w:rsidR="000C38C7" w:rsidRDefault="000C38C7">
      <w:pPr>
        <w:autoSpaceDE w:val="0"/>
        <w:autoSpaceDN w:val="0"/>
        <w:ind w:hanging="640"/>
        <w:divId w:val="1223129806"/>
      </w:pPr>
      <w:r>
        <w:t xml:space="preserve">71. </w:t>
      </w:r>
      <w:r>
        <w:tab/>
        <w:t xml:space="preserve">Cooper K, Mandy W, Butler C, Russell A. Phenomenology of gender dysphoria in autism: a multiperspective qualitative analysis. Journal of Child Psychology and Psychiatry. 2023 Feb 12;64(2):265–76. </w:t>
      </w:r>
    </w:p>
    <w:p w14:paraId="531DC8DC" w14:textId="77777777" w:rsidR="000C38C7" w:rsidRDefault="000C38C7">
      <w:pPr>
        <w:autoSpaceDE w:val="0"/>
        <w:autoSpaceDN w:val="0"/>
        <w:ind w:hanging="640"/>
        <w:divId w:val="13390245"/>
      </w:pPr>
      <w:r>
        <w:t xml:space="preserve">72. </w:t>
      </w:r>
      <w:r>
        <w:tab/>
        <w:t xml:space="preserve">Cooper K, Butler C, Russell A, Mandy W. The lived experience of gender dysphoria in autistic young people: a phenomenological study with young people and their parents. Eur Child Adolesc Psychiatry. 2023 Sep 4;32(9):1655–66. </w:t>
      </w:r>
    </w:p>
    <w:p w14:paraId="38AF82FA" w14:textId="77777777" w:rsidR="000C38C7" w:rsidRDefault="000C38C7">
      <w:pPr>
        <w:autoSpaceDE w:val="0"/>
        <w:autoSpaceDN w:val="0"/>
        <w:ind w:hanging="640"/>
        <w:divId w:val="2070107900"/>
      </w:pPr>
      <w:r>
        <w:t xml:space="preserve">73. </w:t>
      </w:r>
      <w:r>
        <w:tab/>
        <w:t xml:space="preserve">Coleman-Smith RS, Smith R, Milne E, Thompson AR. ‘Conflict versus Congruence’: A Qualitative Study Exploring the Experience of Gender Dysphoria for Adults with Autism Spectrum Disorder. J Autism Dev Disord. 2020 Aug 13;50(8):2643–57. </w:t>
      </w:r>
    </w:p>
    <w:p w14:paraId="40408F9B" w14:textId="77777777" w:rsidR="000C38C7" w:rsidRDefault="000C38C7">
      <w:pPr>
        <w:autoSpaceDE w:val="0"/>
        <w:autoSpaceDN w:val="0"/>
        <w:ind w:hanging="640"/>
        <w:divId w:val="1067654838"/>
      </w:pPr>
      <w:r>
        <w:t xml:space="preserve">74. </w:t>
      </w:r>
      <w:r>
        <w:tab/>
        <w:t xml:space="preserve">Squires L, Laws A, Joubert HE, Greenhill B. “Grasping on a spider web of hope”: Psychological challenges and impact of waiting to access UK gender dysphoria Clinics on young adults. Int J Transgend Health. 2024 Oct 13;1–20. </w:t>
      </w:r>
    </w:p>
    <w:p w14:paraId="07D1FE89" w14:textId="77777777" w:rsidR="000C38C7" w:rsidRDefault="000C38C7">
      <w:pPr>
        <w:autoSpaceDE w:val="0"/>
        <w:autoSpaceDN w:val="0"/>
        <w:ind w:hanging="640"/>
        <w:divId w:val="356351377"/>
      </w:pPr>
      <w:r>
        <w:t xml:space="preserve">75. </w:t>
      </w:r>
      <w:r>
        <w:tab/>
        <w:t xml:space="preserve">Pham A, Kasenic A, Hayden L, Inwards-Breland DJ, Sumerwell C, Twible H, et al. A Case Series on Disordered Eating Among Transgender Youth With Autism Spectrum Disorder. Journal of Adolescent Health. 2021 Jun;68(6):1215–9. </w:t>
      </w:r>
    </w:p>
    <w:p w14:paraId="1E1E7D5A" w14:textId="77777777" w:rsidR="000C38C7" w:rsidRDefault="000C38C7">
      <w:pPr>
        <w:autoSpaceDE w:val="0"/>
        <w:autoSpaceDN w:val="0"/>
        <w:ind w:hanging="640"/>
        <w:divId w:val="2015107763"/>
      </w:pPr>
      <w:r>
        <w:t xml:space="preserve">76. </w:t>
      </w:r>
      <w:r>
        <w:tab/>
        <w:t xml:space="preserve">Bruce H, Munday K, Kapp SK. Exploring the Experiences of Autistic Transgender and Non-Binary Adults in Seeking Gender Identity Health Care. Autism in Adulthood. 2023 Jun 1;5(2):191–203. </w:t>
      </w:r>
    </w:p>
    <w:p w14:paraId="12BBA649" w14:textId="77777777" w:rsidR="000C38C7" w:rsidRDefault="000C38C7">
      <w:pPr>
        <w:autoSpaceDE w:val="0"/>
        <w:autoSpaceDN w:val="0"/>
        <w:ind w:hanging="640"/>
        <w:divId w:val="253587968"/>
      </w:pPr>
      <w:r>
        <w:t xml:space="preserve">77. </w:t>
      </w:r>
      <w:r>
        <w:tab/>
        <w:t xml:space="preserve">Kearns S, O’Shea D, Neff K. Factors that help and hinder transgender and nonbinary youth accessing gender care in Ireland: A </w:t>
      </w:r>
      <w:r>
        <w:lastRenderedPageBreak/>
        <w:t xml:space="preserve">multistakeholder exploration. Journal of Nursing Scholarship. 2024 Jan 16;56(1):60–75. </w:t>
      </w:r>
    </w:p>
    <w:p w14:paraId="43E70806" w14:textId="77777777" w:rsidR="000C38C7" w:rsidRDefault="000C38C7">
      <w:pPr>
        <w:autoSpaceDE w:val="0"/>
        <w:autoSpaceDN w:val="0"/>
        <w:ind w:hanging="640"/>
        <w:divId w:val="1009286426"/>
      </w:pPr>
      <w:r>
        <w:t xml:space="preserve">78. </w:t>
      </w:r>
      <w:r>
        <w:tab/>
        <w:t xml:space="preserve">O’Shea A, Latham JR, McNair R, Despott N, Rose M, Mountford R, et al. Experiences of LGBTIQA+ People with Disability in Healthcare and Community Services: Towards Embracing Multiple Identities. Int J Environ Res Public Health. 2020 Nov 2;17(21):8080. </w:t>
      </w:r>
    </w:p>
    <w:p w14:paraId="112BAF4A" w14:textId="77777777" w:rsidR="000C38C7" w:rsidRDefault="000C38C7">
      <w:pPr>
        <w:autoSpaceDE w:val="0"/>
        <w:autoSpaceDN w:val="0"/>
        <w:ind w:hanging="640"/>
        <w:divId w:val="462232023"/>
      </w:pPr>
      <w:r>
        <w:t xml:space="preserve">79. </w:t>
      </w:r>
      <w:r>
        <w:tab/>
        <w:t xml:space="preserve">Glackin A, Pearson A, Davis R. “You Are the Expert of Your Own Experience”: A Thematic Analysis of Experiences of Autism and Gender Diversity in Adulthood. Autism in Adulthood. 2024 Sep 1;6(3):300–11. </w:t>
      </w:r>
    </w:p>
    <w:p w14:paraId="53F06CF1" w14:textId="77777777" w:rsidR="000C38C7" w:rsidRDefault="000C38C7">
      <w:pPr>
        <w:autoSpaceDE w:val="0"/>
        <w:autoSpaceDN w:val="0"/>
        <w:ind w:hanging="640"/>
        <w:divId w:val="1069115258"/>
      </w:pPr>
      <w:r>
        <w:t xml:space="preserve">80. </w:t>
      </w:r>
      <w:r>
        <w:tab/>
        <w:t xml:space="preserve">Han GT, Heavner HS, Rains TR, Hoang AH, Stone AL. Chronic Pain in Autistic Youth: Clinical Prevalence and Reflections on Tailoring Evidence-Based Interventions from an Interdisciplinary Treatment Team. Children. 2024 Mar 6;11(3):312. </w:t>
      </w:r>
    </w:p>
    <w:p w14:paraId="49904932" w14:textId="77777777" w:rsidR="000C38C7" w:rsidRDefault="000C38C7">
      <w:pPr>
        <w:autoSpaceDE w:val="0"/>
        <w:autoSpaceDN w:val="0"/>
        <w:ind w:hanging="640"/>
        <w:divId w:val="2035030584"/>
      </w:pPr>
      <w:r>
        <w:t xml:space="preserve">81. </w:t>
      </w:r>
      <w:r>
        <w:tab/>
        <w:t xml:space="preserve">Ali D, O’Brien S, Hull L, Kenny L, Mandy W. ‘The key to this is not so much the technology. It’s the individual who is using the technology’: Perspectives on telehealth delivery for autistic adults during the COVID-19 pandemic. Autism. 2023 Feb 6;27(2):552–64. </w:t>
      </w:r>
    </w:p>
    <w:p w14:paraId="3F54CF5E" w14:textId="77777777" w:rsidR="000C38C7" w:rsidRDefault="000C38C7">
      <w:pPr>
        <w:autoSpaceDE w:val="0"/>
        <w:autoSpaceDN w:val="0"/>
        <w:ind w:hanging="640"/>
        <w:divId w:val="82185867"/>
      </w:pPr>
      <w:r>
        <w:t xml:space="preserve">82. </w:t>
      </w:r>
      <w:r>
        <w:tab/>
        <w:t xml:space="preserve">Hall JP, Batza K, Streed CG, Boyd BA, Kurth NK. Health Disparities Among Sexual and Gender Minorities with Autism Spectrum Disorder. J Autism Dev Disord. 2020 Aug 13;50(8):3071–7. </w:t>
      </w:r>
    </w:p>
    <w:p w14:paraId="33A41893" w14:textId="77777777" w:rsidR="000C38C7" w:rsidRDefault="000C38C7">
      <w:pPr>
        <w:autoSpaceDE w:val="0"/>
        <w:autoSpaceDN w:val="0"/>
        <w:ind w:hanging="640"/>
        <w:divId w:val="253129237"/>
      </w:pPr>
      <w:r>
        <w:t xml:space="preserve">83. </w:t>
      </w:r>
      <w:r>
        <w:tab/>
        <w:t xml:space="preserve">Strang JF, Knauss M, van der Miesen A, McGuire JK, Kenworthy L, Caplan R, et al. A Clinical Program for Transgender and Gender-Diverse Neurodiverse/Autistic Adolescents Developed through Community-Based Participatory Design. Journal of Clinical Child &amp; Adolescent Psychology. 2021 Nov 2;50(6):730–45. </w:t>
      </w:r>
    </w:p>
    <w:p w14:paraId="394F878F" w14:textId="77777777" w:rsidR="000C38C7" w:rsidRDefault="000C38C7">
      <w:pPr>
        <w:autoSpaceDE w:val="0"/>
        <w:autoSpaceDN w:val="0"/>
        <w:ind w:hanging="640"/>
        <w:divId w:val="347877585"/>
      </w:pPr>
      <w:r>
        <w:t xml:space="preserve">84. </w:t>
      </w:r>
      <w:r>
        <w:tab/>
        <w:t xml:space="preserve">McLean KJ, Haas M, Koenig J, Horvath M, Vigil M, Werner NE, et al. “I’m dealing with a health care system that doesn’t get it”: Barriers and facilitators to inclusive healthcare for autistic adults. Autism. 2024 Jun 12;28(6):1382–93. </w:t>
      </w:r>
    </w:p>
    <w:p w14:paraId="3B104FB8" w14:textId="77777777" w:rsidR="000C38C7" w:rsidRDefault="000C38C7">
      <w:pPr>
        <w:autoSpaceDE w:val="0"/>
        <w:autoSpaceDN w:val="0"/>
        <w:ind w:hanging="640"/>
        <w:divId w:val="286475229"/>
      </w:pPr>
      <w:r>
        <w:t xml:space="preserve">85. </w:t>
      </w:r>
      <w:r>
        <w:tab/>
        <w:t xml:space="preserve">Cain LK, Velasco JC. Stranded at the intersection of gender, sexuality, and autism: gray’s story. Disabil Soc. 2021 Mar 16;36(3):358–75. </w:t>
      </w:r>
    </w:p>
    <w:p w14:paraId="7BCF065B" w14:textId="77777777" w:rsidR="000C38C7" w:rsidRDefault="000C38C7">
      <w:pPr>
        <w:autoSpaceDE w:val="0"/>
        <w:autoSpaceDN w:val="0"/>
        <w:ind w:hanging="640"/>
        <w:divId w:val="566066345"/>
      </w:pPr>
      <w:r>
        <w:lastRenderedPageBreak/>
        <w:t xml:space="preserve">86. </w:t>
      </w:r>
      <w:r>
        <w:tab/>
        <w:t>Hillier A, Gallop N, Mendes E, Tellez D, Buckingham A, Nizami A, et al. LGBTQ</w:t>
      </w:r>
      <w:r>
        <w:rPr>
          <w:rFonts w:ascii="Arial" w:hAnsi="Arial" w:cs="Arial"/>
        </w:rPr>
        <w:t> </w:t>
      </w:r>
      <w:r>
        <w:t>+</w:t>
      </w:r>
      <w:r>
        <w:rPr>
          <w:rFonts w:ascii="Arial" w:hAnsi="Arial" w:cs="Arial"/>
        </w:rPr>
        <w:t> </w:t>
      </w:r>
      <w:r>
        <w:t>and autism spectrum disorder: Experiences and challenges. Int J Transgend Health. 2020 Jan 2;21(1):98</w:t>
      </w:r>
      <w:r>
        <w:rPr>
          <w:rFonts w:cs="Gill Sans MT"/>
        </w:rPr>
        <w:t>–</w:t>
      </w:r>
      <w:r>
        <w:t xml:space="preserve">110. </w:t>
      </w:r>
    </w:p>
    <w:p w14:paraId="5033B9F5" w14:textId="77777777" w:rsidR="000C38C7" w:rsidRDefault="000C38C7">
      <w:pPr>
        <w:autoSpaceDE w:val="0"/>
        <w:autoSpaceDN w:val="0"/>
        <w:ind w:hanging="640"/>
        <w:divId w:val="1317028884"/>
      </w:pPr>
      <w:r>
        <w:t xml:space="preserve">87. </w:t>
      </w:r>
      <w:r>
        <w:tab/>
        <w:t xml:space="preserve">Maroney MR, Horne SG. “Tuned into a different channel”: Autistic transgender adults’ experiences of intersectional stigma. J Couns Psychol. 2022 Nov;69(6):761–74. </w:t>
      </w:r>
    </w:p>
    <w:p w14:paraId="6B71D13B" w14:textId="77777777" w:rsidR="000C38C7" w:rsidRDefault="000C38C7">
      <w:pPr>
        <w:autoSpaceDE w:val="0"/>
        <w:autoSpaceDN w:val="0"/>
        <w:ind w:hanging="640"/>
        <w:divId w:val="236016176"/>
      </w:pPr>
      <w:r>
        <w:t xml:space="preserve">88. </w:t>
      </w:r>
      <w:r>
        <w:tab/>
        <w:t xml:space="preserve">Oliver M, Poysden Z, Crowe E, Parkin F, Mair APA, Hendry N, et al. “Just Listen to Me. Help Me Explore it.” An Interpretative Phenomenological Analysis Exploring Experiences of Gender Dysphoria, Identity And Resilience in Autistic Adolescents Assigned Female at Birth. J Autism Dev Disord. 2025 Jan 7; </w:t>
      </w:r>
    </w:p>
    <w:p w14:paraId="0874AD7D" w14:textId="77777777" w:rsidR="000C38C7" w:rsidRDefault="000C38C7">
      <w:pPr>
        <w:autoSpaceDE w:val="0"/>
        <w:autoSpaceDN w:val="0"/>
        <w:ind w:hanging="640"/>
        <w:divId w:val="1743016350"/>
      </w:pPr>
      <w:r>
        <w:t xml:space="preserve">89. </w:t>
      </w:r>
      <w:r>
        <w:tab/>
        <w:t xml:space="preserve">Ardeleanu K, Steinberg H, Garfield T, Voltaire S, Shea L, Brown M, et al. Self-identification of autism: Why some autistic adults lack a clinical diagnosis and why this matters for inclusion. Autism. 2025 Sep 18;29(9):2344–55. </w:t>
      </w:r>
    </w:p>
    <w:p w14:paraId="7F303AFF" w14:textId="77777777" w:rsidR="000C38C7" w:rsidRDefault="000C38C7">
      <w:pPr>
        <w:autoSpaceDE w:val="0"/>
        <w:autoSpaceDN w:val="0"/>
        <w:ind w:hanging="640"/>
        <w:divId w:val="1481773677"/>
      </w:pPr>
      <w:r>
        <w:t xml:space="preserve">90. </w:t>
      </w:r>
      <w:r>
        <w:tab/>
        <w:t xml:space="preserve">Grove R, Clapham H, Moodie T, Gurrin S, Hall G. ‘Living in a world that’s not about us’: The impact of everyday life on the health and wellbeing of autistic women and gender diverse people. Women’s Health. 2023 Jan 20;19. </w:t>
      </w:r>
    </w:p>
    <w:p w14:paraId="78543761" w14:textId="77777777" w:rsidR="000C38C7" w:rsidRDefault="000C38C7">
      <w:pPr>
        <w:autoSpaceDE w:val="0"/>
        <w:autoSpaceDN w:val="0"/>
        <w:ind w:hanging="640"/>
        <w:divId w:val="1448542854"/>
      </w:pPr>
      <w:r>
        <w:t xml:space="preserve">91. </w:t>
      </w:r>
      <w:r>
        <w:tab/>
        <w:t xml:space="preserve">Cooper K, Mandy W, Butler C, Russell A. The lived experience of gender dysphoria in autistic adults: An interpretative phenomenological analysis. Autism. 2022 May 11;26(4):963–74. </w:t>
      </w:r>
    </w:p>
    <w:p w14:paraId="51DD700F" w14:textId="77777777" w:rsidR="000C38C7" w:rsidRDefault="000C38C7">
      <w:pPr>
        <w:autoSpaceDE w:val="0"/>
        <w:autoSpaceDN w:val="0"/>
        <w:ind w:hanging="640"/>
        <w:divId w:val="379213664"/>
      </w:pPr>
      <w:r>
        <w:t xml:space="preserve">92. </w:t>
      </w:r>
      <w:r>
        <w:tab/>
        <w:t xml:space="preserve">Cruz S, Zubizarreta SCP, Costa AD, Araújo R, Martinho J, Tubío-Fungueiriño M, et al. Is There a Bias Towards Males in the Diagnosis of Autism? A Systematic Review and Meta-Analysis. Neuropsychol Rev. 2025 Mar 29;35(1):153–76. </w:t>
      </w:r>
    </w:p>
    <w:p w14:paraId="3720D7FA" w14:textId="77777777" w:rsidR="000C38C7" w:rsidRDefault="000C38C7">
      <w:pPr>
        <w:autoSpaceDE w:val="0"/>
        <w:autoSpaceDN w:val="0"/>
        <w:ind w:hanging="640"/>
        <w:divId w:val="735904426"/>
      </w:pPr>
      <w:r>
        <w:t xml:space="preserve">93. </w:t>
      </w:r>
      <w:r>
        <w:tab/>
        <w:t xml:space="preserve">Warrier V, Greenberg DM, Weir E, Buckingham C, Smith P, Lai MC, et al. Elevated rates of autism, other neurodevelopmental and psychiatric diagnoses, and autistic traits in transgender and gender-diverse individuals. Nat Commun. 2020 Aug 7;11(1):3959. </w:t>
      </w:r>
    </w:p>
    <w:p w14:paraId="020A5436" w14:textId="77777777" w:rsidR="000C38C7" w:rsidRDefault="000C38C7">
      <w:pPr>
        <w:autoSpaceDE w:val="0"/>
        <w:autoSpaceDN w:val="0"/>
        <w:ind w:hanging="640"/>
        <w:divId w:val="563877932"/>
      </w:pPr>
      <w:r>
        <w:t xml:space="preserve">94. </w:t>
      </w:r>
      <w:r>
        <w:tab/>
        <w:t>Department of Children EDI and Y. National LGBTI+ Inclusion Strategy 2023–2025 [Internet]. Dublin: Government of Ireland; 2023. Available from: https://www.gov.ie/</w:t>
      </w:r>
    </w:p>
    <w:p w14:paraId="614D4C8B" w14:textId="77777777" w:rsidR="000C38C7" w:rsidRDefault="000C38C7">
      <w:pPr>
        <w:autoSpaceDE w:val="0"/>
        <w:autoSpaceDN w:val="0"/>
        <w:ind w:hanging="640"/>
        <w:divId w:val="712268963"/>
      </w:pPr>
      <w:r>
        <w:lastRenderedPageBreak/>
        <w:t xml:space="preserve">95. </w:t>
      </w:r>
      <w:r>
        <w:tab/>
        <w:t>Department of Health. Sharing the Vision: A Mental Health Policy for Everyone [Internet]. Dublin: Government of Ireland; 2021. Available from: Department of Health</w:t>
      </w:r>
    </w:p>
    <w:p w14:paraId="6D7E61CA" w14:textId="77777777" w:rsidR="000C38C7" w:rsidRDefault="000C38C7">
      <w:pPr>
        <w:autoSpaceDE w:val="0"/>
        <w:autoSpaceDN w:val="0"/>
        <w:ind w:hanging="640"/>
        <w:divId w:val="749692245"/>
      </w:pPr>
      <w:r>
        <w:t xml:space="preserve">96. </w:t>
      </w:r>
      <w:r>
        <w:tab/>
        <w:t xml:space="preserve">Government Equalities Office. National LGBT Survey: Research Report. London; 2018. </w:t>
      </w:r>
    </w:p>
    <w:p w14:paraId="247A6571" w14:textId="77777777" w:rsidR="000C38C7" w:rsidRDefault="000C38C7">
      <w:pPr>
        <w:autoSpaceDE w:val="0"/>
        <w:autoSpaceDN w:val="0"/>
        <w:ind w:hanging="640"/>
        <w:divId w:val="2038575695"/>
      </w:pPr>
      <w:r>
        <w:t xml:space="preserve">97. </w:t>
      </w:r>
      <w:r>
        <w:tab/>
        <w:t>Canadian Institutes of Health Research. Strategic Plan 2021–2031: A Vision for a Healthier Future [Internet]. Ottawa; 2020 [cited 2025 Oct 17]. Available from: https://cihr-irsc.gc.ca/</w:t>
      </w:r>
    </w:p>
    <w:p w14:paraId="069258A0" w14:textId="77777777" w:rsidR="000C38C7" w:rsidRDefault="000C38C7">
      <w:pPr>
        <w:autoSpaceDE w:val="0"/>
        <w:autoSpaceDN w:val="0"/>
        <w:ind w:hanging="640"/>
        <w:divId w:val="883443684"/>
      </w:pPr>
      <w:r>
        <w:t xml:space="preserve">98. </w:t>
      </w:r>
      <w:r>
        <w:tab/>
        <w:t>Australian Government. National LGBTIQ+ Health and Wellbeing Action Plan 2020–2030 [Internet]. Canberra; 2021 [cited 2025 Oct 18]. Available from: https://www.health.gov.au/</w:t>
      </w:r>
    </w:p>
    <w:p w14:paraId="375EAAEC" w14:textId="77777777" w:rsidR="000C38C7" w:rsidRDefault="000C38C7">
      <w:pPr>
        <w:autoSpaceDE w:val="0"/>
        <w:autoSpaceDN w:val="0"/>
        <w:ind w:hanging="640"/>
        <w:divId w:val="22027088"/>
      </w:pPr>
      <w:r>
        <w:t xml:space="preserve">99. </w:t>
      </w:r>
      <w:r>
        <w:tab/>
        <w:t xml:space="preserve">Institute of Medicine. The Health of Lesbian, Gay, Bisexual, and Transgender People. Washington, D.C.: National Academies Press; 2011. </w:t>
      </w:r>
    </w:p>
    <w:p w14:paraId="45CFED6F" w14:textId="77777777" w:rsidR="000C38C7" w:rsidRDefault="000C38C7">
      <w:pPr>
        <w:autoSpaceDE w:val="0"/>
        <w:autoSpaceDN w:val="0"/>
        <w:ind w:hanging="640"/>
        <w:divId w:val="1195578250"/>
      </w:pPr>
      <w:r>
        <w:t xml:space="preserve">100. </w:t>
      </w:r>
      <w:r>
        <w:tab/>
        <w:t xml:space="preserve">European Union Agency for Fundamental Rights. A long way to go for LGBTI equality. Luxembourg; </w:t>
      </w:r>
    </w:p>
    <w:p w14:paraId="54D4A306" w14:textId="77777777" w:rsidR="000C38C7" w:rsidRDefault="000C38C7">
      <w:pPr>
        <w:autoSpaceDE w:val="0"/>
        <w:autoSpaceDN w:val="0"/>
        <w:ind w:hanging="640"/>
        <w:divId w:val="1588542077"/>
      </w:pPr>
      <w:r>
        <w:t xml:space="preserve">101. </w:t>
      </w:r>
      <w:r>
        <w:tab/>
        <w:t xml:space="preserve">Lai MC, Szatmari P. Sex and gender impacts on the behavioural presentation and recognition of autism. Curr Opin Psychiatry. 2020 Mar;33(2):117–23. </w:t>
      </w:r>
    </w:p>
    <w:p w14:paraId="7C7F0600" w14:textId="77777777" w:rsidR="000C38C7" w:rsidRDefault="000C38C7">
      <w:pPr>
        <w:autoSpaceDE w:val="0"/>
        <w:autoSpaceDN w:val="0"/>
        <w:ind w:hanging="640"/>
        <w:divId w:val="1532645074"/>
      </w:pPr>
      <w:r>
        <w:t xml:space="preserve">102. </w:t>
      </w:r>
      <w:r>
        <w:tab/>
        <w:t xml:space="preserve">Glidden D, Bouman WP, Jones BA, Arcelus J. Gender Dysphoria and Autism Spectrum Disorder: A Systematic Review of the Literature. Sex Med Rev. 2016 Jan;4(1):3–14. </w:t>
      </w:r>
    </w:p>
    <w:p w14:paraId="301632A0" w14:textId="6BA57E4C" w:rsidR="000C38C7" w:rsidRDefault="000C38C7">
      <w:pPr>
        <w:autoSpaceDE w:val="0"/>
        <w:autoSpaceDN w:val="0"/>
        <w:ind w:hanging="640"/>
        <w:divId w:val="1777409845"/>
      </w:pPr>
      <w:r>
        <w:t xml:space="preserve">103. </w:t>
      </w:r>
      <w:r>
        <w:tab/>
        <w:t xml:space="preserve">Strang JF, Kenworthy L, Dominska A, Sokoloff J, Kenealy LE, Berl M, et al. Increased Gender Variance in Autism Spectrum Disorders and Attention Deficit Hyperactivity Disorder. Arch Sex Behav. 2014 Oct 16;43(8):1525–33. </w:t>
      </w:r>
    </w:p>
    <w:p w14:paraId="5EA0EB15" w14:textId="77939A2D" w:rsidR="000C38C7" w:rsidRDefault="000C38C7">
      <w:pPr>
        <w:autoSpaceDE w:val="0"/>
        <w:autoSpaceDN w:val="0"/>
        <w:ind w:hanging="640"/>
        <w:divId w:val="224950269"/>
      </w:pPr>
      <w:r>
        <w:t xml:space="preserve">104. </w:t>
      </w:r>
      <w:r>
        <w:tab/>
        <w:t xml:space="preserve">Crane L, Adams F, Harper G, Welch J, Pellicano E. ‘Something needs to change’: Mental health experiences of young autistic adults in England. Autism. 2019 Feb 7;23(2):477–93. </w:t>
      </w:r>
    </w:p>
    <w:p w14:paraId="5E675EFE" w14:textId="77777777" w:rsidR="000C38C7" w:rsidRDefault="000C38C7">
      <w:pPr>
        <w:autoSpaceDE w:val="0"/>
        <w:autoSpaceDN w:val="0"/>
        <w:ind w:hanging="640"/>
        <w:divId w:val="1085300592"/>
      </w:pPr>
      <w:r>
        <w:t xml:space="preserve">105. </w:t>
      </w:r>
      <w:r>
        <w:tab/>
        <w:t xml:space="preserve">George R, Stokes MA. Sexual Orientation in Autism Spectrum Disorder. Autism Research. 2018 Jan 21;11(1):133–41. </w:t>
      </w:r>
    </w:p>
    <w:p w14:paraId="3EB4125C" w14:textId="77777777" w:rsidR="000C38C7" w:rsidRDefault="000C38C7">
      <w:pPr>
        <w:autoSpaceDE w:val="0"/>
        <w:autoSpaceDN w:val="0"/>
        <w:ind w:hanging="640"/>
        <w:divId w:val="762608091"/>
      </w:pPr>
      <w:r>
        <w:lastRenderedPageBreak/>
        <w:t xml:space="preserve">106. </w:t>
      </w:r>
      <w:r>
        <w:tab/>
        <w:t xml:space="preserve">Turban JL, van Schalkwyk GI. “Gender dysphoria” and autism spectrum disorder: Is the link real? J Am Acad Child Adolesc Psychiatry. 2018 Oct;57(1):8. </w:t>
      </w:r>
    </w:p>
    <w:p w14:paraId="1D313654" w14:textId="77777777" w:rsidR="000C38C7" w:rsidRDefault="000C38C7">
      <w:pPr>
        <w:autoSpaceDE w:val="0"/>
        <w:autoSpaceDN w:val="0"/>
        <w:ind w:hanging="640"/>
        <w:divId w:val="616181637"/>
      </w:pPr>
      <w:r>
        <w:t xml:space="preserve">107. </w:t>
      </w:r>
      <w:r>
        <w:tab/>
        <w:t>Milton D. Autistic expertise: A critical reflection on the production of knowledge in autism studies. Autonomy, the Critical Journal of Interdisciplinary Autism Studies [Internet]. 2014 [cited 2025 Oct 17];1(2). Available from: http://www.larry-arnold.net/Autonomy/index.php/autonomy/article/view/9</w:t>
      </w:r>
    </w:p>
    <w:p w14:paraId="03FE055E" w14:textId="77777777" w:rsidR="000C38C7" w:rsidRDefault="000C38C7">
      <w:pPr>
        <w:autoSpaceDE w:val="0"/>
        <w:autoSpaceDN w:val="0"/>
        <w:ind w:hanging="640"/>
        <w:divId w:val="1705208100"/>
      </w:pPr>
      <w:r>
        <w:t xml:space="preserve">108. </w:t>
      </w:r>
      <w:r>
        <w:tab/>
        <w:t xml:space="preserve">Botha M. utistic community connectedness as a predictor of mental health outcomes: Comparisons with non-Autistic controls. Autism. 2020;24(6):1527–37. </w:t>
      </w:r>
    </w:p>
    <w:p w14:paraId="43209A40" w14:textId="77777777" w:rsidR="000C38C7" w:rsidRDefault="000C38C7">
      <w:pPr>
        <w:autoSpaceDE w:val="0"/>
        <w:autoSpaceDN w:val="0"/>
        <w:ind w:hanging="640"/>
        <w:divId w:val="1928728605"/>
      </w:pPr>
      <w:r>
        <w:t xml:space="preserve">109. </w:t>
      </w:r>
      <w:r>
        <w:tab/>
        <w:t xml:space="preserve">Beresford P. All our welfare: Towards participatory social policy. Bristol: Policy Press; 2016. </w:t>
      </w:r>
    </w:p>
    <w:p w14:paraId="54CA5E71" w14:textId="77777777" w:rsidR="000C38C7" w:rsidRDefault="000C38C7">
      <w:pPr>
        <w:autoSpaceDE w:val="0"/>
        <w:autoSpaceDN w:val="0"/>
        <w:ind w:hanging="640"/>
        <w:divId w:val="1049106461"/>
      </w:pPr>
      <w:r>
        <w:t xml:space="preserve">110. </w:t>
      </w:r>
      <w:r>
        <w:tab/>
        <w:t xml:space="preserve">Shakespeare T, Ndagire F, Seketi QE. Triple jeopardy: Disabled people and the COVID-19 pandemic. The Lancet. 2019;396(10244):1331–3. </w:t>
      </w:r>
    </w:p>
    <w:p w14:paraId="7296030B" w14:textId="0205AF0C" w:rsidR="000C38C7" w:rsidRDefault="000C38C7">
      <w:pPr>
        <w:autoSpaceDE w:val="0"/>
        <w:autoSpaceDN w:val="0"/>
        <w:ind w:hanging="640"/>
        <w:divId w:val="1826311701"/>
      </w:pPr>
      <w:r>
        <w:t xml:space="preserve">111. </w:t>
      </w:r>
      <w:r>
        <w:tab/>
        <w:t xml:space="preserve">Manley J, Brownlow C, Brömdal A. Supporting the health and wellbeing of trans autistic school-aged youth: a systematic literature review. Int J Transgend Health. 2024 Jul 2;25(3):439–55. </w:t>
      </w:r>
    </w:p>
    <w:p w14:paraId="7FFFAFB5" w14:textId="77777777" w:rsidR="000C38C7" w:rsidRDefault="000C38C7">
      <w:pPr>
        <w:autoSpaceDE w:val="0"/>
        <w:autoSpaceDN w:val="0"/>
        <w:ind w:hanging="640"/>
        <w:divId w:val="1824856214"/>
      </w:pPr>
      <w:r>
        <w:t xml:space="preserve">112. </w:t>
      </w:r>
      <w:r>
        <w:tab/>
        <w:t xml:space="preserve">Barnett JP. Intersectional harassment and deviant embodiment among Autistic adults: (dis)ability, gender and sexuality. Cult Health Sex. 2017 Nov 2;19(11):1210–24. </w:t>
      </w:r>
    </w:p>
    <w:p w14:paraId="0F04B68E" w14:textId="77777777" w:rsidR="00CF4FF7" w:rsidRDefault="000C38C7" w:rsidP="008D47CD">
      <w:pPr>
        <w:autoSpaceDE w:val="0"/>
        <w:autoSpaceDN w:val="0"/>
        <w:divId w:val="2001736527"/>
      </w:pPr>
      <w:r>
        <w:t> </w:t>
      </w:r>
    </w:p>
    <w:p w14:paraId="42DC2C8B" w14:textId="43D83A80" w:rsidR="001B5768" w:rsidRDefault="001B5768">
      <w:pPr>
        <w:spacing w:after="0"/>
        <w:rPr>
          <w:rFonts w:eastAsia="Gill Sans MT" w:cs="Gill Sans MT"/>
        </w:rPr>
      </w:pPr>
      <w:r>
        <w:rPr>
          <w:rFonts w:eastAsia="Gill Sans MT" w:cs="Gill Sans MT"/>
        </w:rPr>
        <w:br w:type="page"/>
      </w:r>
    </w:p>
    <w:p w14:paraId="13A5AADD" w14:textId="594907C1" w:rsidR="00B3136D" w:rsidRPr="00C14B17" w:rsidRDefault="003C746D" w:rsidP="00C14B17">
      <w:pPr>
        <w:spacing w:after="0" w:line="257" w:lineRule="auto"/>
        <w:rPr>
          <w:rFonts w:eastAsia="Gill Sans MT" w:cs="Gill Sans MT"/>
        </w:rPr>
      </w:pPr>
      <w:bookmarkStart w:id="131" w:name="_Toc664936555"/>
      <w:bookmarkStart w:id="132" w:name="_Toc211371276"/>
      <w:r>
        <w:rPr>
          <w:noProof/>
        </w:rPr>
        <w:lastRenderedPageBreak/>
        <w:drawing>
          <wp:anchor distT="0" distB="0" distL="114300" distR="114300" simplePos="0" relativeHeight="251657216" behindDoc="0" locked="0" layoutInCell="1" allowOverlap="1" wp14:anchorId="4AC6BE24" wp14:editId="545A761A">
            <wp:simplePos x="0" y="0"/>
            <wp:positionH relativeFrom="margin">
              <wp:posOffset>-1148317</wp:posOffset>
            </wp:positionH>
            <wp:positionV relativeFrom="margin">
              <wp:posOffset>-903767</wp:posOffset>
            </wp:positionV>
            <wp:extent cx="7797800" cy="11035030"/>
            <wp:effectExtent l="0" t="0" r="0" b="0"/>
            <wp:wrapSquare wrapText="bothSides"/>
            <wp:docPr id="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97800" cy="1103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136D">
        <w:br w:type="page"/>
      </w:r>
    </w:p>
    <w:p w14:paraId="55989602" w14:textId="77777777" w:rsidR="00A7568D" w:rsidRDefault="03B620D0" w:rsidP="00A164A8">
      <w:pPr>
        <w:pStyle w:val="Heading1"/>
      </w:pPr>
      <w:bookmarkStart w:id="133" w:name="_Toc214026558"/>
      <w:r>
        <w:lastRenderedPageBreak/>
        <w:t>Appendi</w:t>
      </w:r>
      <w:r w:rsidR="3CF29CC6">
        <w:t>ces</w:t>
      </w:r>
      <w:bookmarkEnd w:id="131"/>
      <w:bookmarkEnd w:id="132"/>
      <w:bookmarkEnd w:id="133"/>
    </w:p>
    <w:p w14:paraId="59BFADA1" w14:textId="3CF77FEC" w:rsidR="76D915DF" w:rsidRDefault="63D5C316" w:rsidP="1182AD7C">
      <w:pPr>
        <w:pStyle w:val="Heading2"/>
      </w:pPr>
      <w:bookmarkStart w:id="134" w:name="_Toc214026559"/>
      <w:r>
        <w:t xml:space="preserve">Appendix </w:t>
      </w:r>
      <w:bookmarkEnd w:id="134"/>
      <w:r w:rsidR="009779CB">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49"/>
        <w:gridCol w:w="2212"/>
        <w:gridCol w:w="2475"/>
      </w:tblGrid>
      <w:tr w:rsidR="00B42A7A" w:rsidRPr="0083122D" w14:paraId="14856AED" w14:textId="77777777" w:rsidTr="002F7E97">
        <w:trPr>
          <w:trHeight w:val="300"/>
          <w:tblHeader/>
        </w:trPr>
        <w:tc>
          <w:tcPr>
            <w:tcW w:w="2157" w:type="dxa"/>
          </w:tcPr>
          <w:p w14:paraId="2974F0B3" w14:textId="77777777" w:rsidR="00B42A7A" w:rsidRPr="002F7E97" w:rsidRDefault="00B42A7A" w:rsidP="00B14618">
            <w:pPr>
              <w:rPr>
                <w:b/>
                <w:bCs/>
              </w:rPr>
            </w:pPr>
          </w:p>
        </w:tc>
        <w:tc>
          <w:tcPr>
            <w:tcW w:w="2157" w:type="dxa"/>
          </w:tcPr>
          <w:p w14:paraId="0642DC7F" w14:textId="77777777" w:rsidR="00B42A7A" w:rsidRPr="002F7E97" w:rsidRDefault="00B42A7A" w:rsidP="00B14618">
            <w:pPr>
              <w:rPr>
                <w:b/>
                <w:bCs/>
              </w:rPr>
            </w:pPr>
            <w:r w:rsidRPr="002F7E97">
              <w:rPr>
                <w:b/>
                <w:bCs/>
              </w:rPr>
              <w:t>Inclusion Criteria</w:t>
            </w:r>
          </w:p>
        </w:tc>
        <w:tc>
          <w:tcPr>
            <w:tcW w:w="2158" w:type="dxa"/>
          </w:tcPr>
          <w:p w14:paraId="4E11A2F7" w14:textId="77777777" w:rsidR="00B42A7A" w:rsidRPr="002F7E97" w:rsidRDefault="00B42A7A" w:rsidP="00B14618">
            <w:pPr>
              <w:rPr>
                <w:b/>
                <w:bCs/>
              </w:rPr>
            </w:pPr>
            <w:r w:rsidRPr="002F7E97">
              <w:rPr>
                <w:b/>
                <w:bCs/>
              </w:rPr>
              <w:t>Exclusion Criteria</w:t>
            </w:r>
          </w:p>
        </w:tc>
        <w:tc>
          <w:tcPr>
            <w:tcW w:w="2158" w:type="dxa"/>
          </w:tcPr>
          <w:p w14:paraId="15A5CBBA" w14:textId="77777777" w:rsidR="00B42A7A" w:rsidRPr="002F7E97" w:rsidRDefault="00B42A7A" w:rsidP="00B14618">
            <w:pPr>
              <w:rPr>
                <w:b/>
                <w:bCs/>
              </w:rPr>
            </w:pPr>
            <w:r w:rsidRPr="002F7E97">
              <w:rPr>
                <w:b/>
                <w:bCs/>
              </w:rPr>
              <w:t>Search Terms</w:t>
            </w:r>
          </w:p>
        </w:tc>
      </w:tr>
      <w:tr w:rsidR="00B42A7A" w14:paraId="5F0556B5" w14:textId="77777777" w:rsidTr="002F7E97">
        <w:tc>
          <w:tcPr>
            <w:tcW w:w="2157" w:type="dxa"/>
          </w:tcPr>
          <w:p w14:paraId="5D63BD18" w14:textId="77777777" w:rsidR="00B42A7A" w:rsidRPr="002F7E97" w:rsidRDefault="00B42A7A" w:rsidP="00B14618">
            <w:pPr>
              <w:rPr>
                <w:b/>
                <w:bCs/>
              </w:rPr>
            </w:pPr>
            <w:r w:rsidRPr="002F7E97">
              <w:rPr>
                <w:b/>
                <w:bCs/>
              </w:rPr>
              <w:t>Sample</w:t>
            </w:r>
          </w:p>
        </w:tc>
        <w:tc>
          <w:tcPr>
            <w:tcW w:w="2157" w:type="dxa"/>
          </w:tcPr>
          <w:p w14:paraId="565A27FF" w14:textId="77777777" w:rsidR="00B42A7A" w:rsidRPr="00B42A7A" w:rsidRDefault="00B42A7A" w:rsidP="002F7E97">
            <w:pPr>
              <w:shd w:val="clear" w:color="auto" w:fill="FFFFFF"/>
              <w:spacing w:after="0"/>
            </w:pPr>
            <w:r w:rsidRPr="00B42A7A">
              <w:t>LGBTQIA+ Autistic people</w:t>
            </w:r>
          </w:p>
          <w:p w14:paraId="5BBD3927" w14:textId="77777777" w:rsidR="00B42A7A" w:rsidRPr="00B42A7A" w:rsidRDefault="00B42A7A" w:rsidP="002F7E97">
            <w:pPr>
              <w:shd w:val="clear" w:color="auto" w:fill="FFFFFF"/>
              <w:spacing w:after="0"/>
            </w:pPr>
            <w:r w:rsidRPr="00B42A7A">
              <w:t>Studies which focus on autistic or LGBTQI+ solely whereby data for LGBTQI+ autistic people can be extracted.</w:t>
            </w:r>
          </w:p>
          <w:p w14:paraId="05466D01" w14:textId="77777777" w:rsidR="00B42A7A" w:rsidRDefault="00B42A7A" w:rsidP="00B14618"/>
        </w:tc>
        <w:tc>
          <w:tcPr>
            <w:tcW w:w="2158" w:type="dxa"/>
          </w:tcPr>
          <w:p w14:paraId="79D07F0D" w14:textId="77777777" w:rsidR="00B42A7A" w:rsidRPr="00B42A7A" w:rsidRDefault="00B42A7A" w:rsidP="002F7E97">
            <w:pPr>
              <w:shd w:val="clear" w:color="auto" w:fill="FFFFFF"/>
              <w:spacing w:after="0"/>
            </w:pPr>
            <w:r w:rsidRPr="00B42A7A">
              <w:t>LGBTQIA+ people only</w:t>
            </w:r>
          </w:p>
          <w:p w14:paraId="4EA6FEB2" w14:textId="77777777" w:rsidR="00B42A7A" w:rsidRPr="00B42A7A" w:rsidRDefault="00B42A7A" w:rsidP="002F7E97">
            <w:pPr>
              <w:shd w:val="clear" w:color="auto" w:fill="FFFFFF"/>
            </w:pPr>
            <w:r w:rsidRPr="00B42A7A">
              <w:t>Autistic people only</w:t>
            </w:r>
          </w:p>
          <w:p w14:paraId="7785DEEF" w14:textId="77777777" w:rsidR="00B42A7A" w:rsidRPr="00B42A7A" w:rsidRDefault="00B42A7A" w:rsidP="002F7E97">
            <w:pPr>
              <w:shd w:val="clear" w:color="auto" w:fill="FFFFFF"/>
            </w:pPr>
            <w:r w:rsidRPr="00B42A7A">
              <w:t xml:space="preserve">Cisgender &amp; </w:t>
            </w:r>
            <w:r w:rsidR="004B26BA">
              <w:t>h</w:t>
            </w:r>
            <w:r w:rsidRPr="00B42A7A">
              <w:t>eterosexual people</w:t>
            </w:r>
          </w:p>
          <w:p w14:paraId="65C662B8" w14:textId="77777777" w:rsidR="00B42A7A" w:rsidRPr="00B42A7A" w:rsidRDefault="00B42A7A" w:rsidP="002F7E97">
            <w:pPr>
              <w:shd w:val="clear" w:color="auto" w:fill="FFFFFF"/>
            </w:pPr>
            <w:r w:rsidRPr="00297C65">
              <w:t>Healthcare providers only</w:t>
            </w:r>
          </w:p>
          <w:p w14:paraId="06C61C44" w14:textId="77777777" w:rsidR="00B42A7A" w:rsidRDefault="00B42A7A" w:rsidP="00B14618"/>
        </w:tc>
        <w:tc>
          <w:tcPr>
            <w:tcW w:w="2158" w:type="dxa"/>
          </w:tcPr>
          <w:p w14:paraId="793713FF" w14:textId="77777777" w:rsidR="00B42A7A" w:rsidRDefault="00B42A7A" w:rsidP="00B42A7A">
            <w:r>
              <w:t xml:space="preserve">LGBTQI+ OR Neuroqueer OR LGBT+ OR LGBTI+ OR LGBTQIA+ OR lesbian* OR gay* OR bisexual* OR bicurious OR transgender* OR transsexual* OR “gender diverse” Or “gender non-conforming" OR “gender expansive” OR agender OR neutrois OR bigender OR trigender OR multi-gender OR “multi gender” OR queer OR Intersex OR DSD OR “disorders of sexual development” OR pansexual OR demisexual OR demigender OR omnisexual OR asexual OR non-binary OR “non binary” OR “cross sex” OR crossgender OR F2M OR M2F OR female-to-male OR male-to-female OR “gender </w:t>
            </w:r>
            <w:r>
              <w:lastRenderedPageBreak/>
              <w:t xml:space="preserve">change” OR “gender queer” OR “gender identity” OR “gender dysphoria” OR “gender reassign” OR “gender transition” OR GLBs OR GLBQ OR GLBT OR GLBTQ OR heteroflexible OR homosexual* OR lesbigay OR LGB OR LGBQ OR LGBS OR LGBT OR “men who have sex with men” OR MSM  OR “same gender loving” OR “same sex attracted” OR “same sex couple*” OR “same sex relations” OR “sex change”OR “sex reassign” OR “sex reversal” OR “sex transform” OR “sex transition” OR “sexual and gender minorit*” OR SGM OR “sexual identit*” OR “sexual minorit*” OR “sexual orientation” OR “sexual preference” OR “trans female” OR “trans male” OR “trans man” OR “trans men” OR “trans people” OR </w:t>
            </w:r>
            <w:r>
              <w:lastRenderedPageBreak/>
              <w:t>“trans person” OR “trans woman” OR trans-sexuality OR “trans queer” OR transqueer OR transvestite OR “women loving women” OR “women who have sex with women” OR WSW OR Two-Spirit OR “Two Spirit”</w:t>
            </w:r>
          </w:p>
          <w:p w14:paraId="51071FC9" w14:textId="77777777" w:rsidR="00B42A7A" w:rsidRDefault="00B42A7A" w:rsidP="00B42A7A">
            <w:r>
              <w:t>AND</w:t>
            </w:r>
          </w:p>
          <w:p w14:paraId="195B4F7E" w14:textId="77777777" w:rsidR="00B42A7A" w:rsidRDefault="00B42A7A" w:rsidP="00B42A7A">
            <w:r>
              <w:t>Autis* OR “Autism Spectrum Disorder” OR ASD OR Asperger* OR Neurodiver* OR “autis* disorder” OR “Aspergers Disorder” OR “pervasive developmental disorder” OR PDD-NOS OR "Kanner's syndrome" OR "neurodevelopmental disorder" OR "autism spectrum condition"</w:t>
            </w:r>
          </w:p>
        </w:tc>
      </w:tr>
      <w:tr w:rsidR="00B42A7A" w14:paraId="188894CA" w14:textId="77777777" w:rsidTr="002F7E97">
        <w:tc>
          <w:tcPr>
            <w:tcW w:w="2157" w:type="dxa"/>
          </w:tcPr>
          <w:p w14:paraId="6ADC57F6" w14:textId="77777777" w:rsidR="00B42A7A" w:rsidRPr="002F7E97" w:rsidRDefault="00B42A7A" w:rsidP="00B14618">
            <w:pPr>
              <w:rPr>
                <w:b/>
                <w:bCs/>
              </w:rPr>
            </w:pPr>
            <w:r w:rsidRPr="002F7E97">
              <w:rPr>
                <w:b/>
                <w:bCs/>
              </w:rPr>
              <w:lastRenderedPageBreak/>
              <w:t>Phenomenon of Interest</w:t>
            </w:r>
          </w:p>
        </w:tc>
        <w:tc>
          <w:tcPr>
            <w:tcW w:w="2157" w:type="dxa"/>
          </w:tcPr>
          <w:p w14:paraId="22275C06" w14:textId="77777777" w:rsidR="00B42A7A" w:rsidRPr="00B42A7A" w:rsidRDefault="00B42A7A" w:rsidP="00B42A7A">
            <w:r>
              <w:t>Studies or i</w:t>
            </w:r>
            <w:r w:rsidRPr="00B42A7A">
              <w:t xml:space="preserve">nterventions aiming to improve healthcare for </w:t>
            </w:r>
            <w:r w:rsidRPr="00B42A7A">
              <w:lastRenderedPageBreak/>
              <w:t>LGBTQI</w:t>
            </w:r>
            <w:r>
              <w:t>A</w:t>
            </w:r>
            <w:r w:rsidRPr="00B42A7A">
              <w:t xml:space="preserve">+ </w:t>
            </w:r>
            <w:r>
              <w:t>A</w:t>
            </w:r>
            <w:r w:rsidRPr="00B42A7A">
              <w:t>utistic people.</w:t>
            </w:r>
          </w:p>
          <w:p w14:paraId="5B021C22" w14:textId="77777777" w:rsidR="00B42A7A" w:rsidRDefault="00B42A7A" w:rsidP="00B14618">
            <w:r w:rsidRPr="00B42A7A">
              <w:t>Includes mental health, primary care, sexual health, or specialist services.</w:t>
            </w:r>
          </w:p>
        </w:tc>
        <w:tc>
          <w:tcPr>
            <w:tcW w:w="2158" w:type="dxa"/>
          </w:tcPr>
          <w:p w14:paraId="7AFE28E7" w14:textId="77777777" w:rsidR="00B42A7A" w:rsidRDefault="00B42A7A" w:rsidP="00B14618">
            <w:r>
              <w:lastRenderedPageBreak/>
              <w:t>Studies or interventions</w:t>
            </w:r>
            <w:r w:rsidRPr="00B42A7A">
              <w:t xml:space="preserve"> not focusing on healthcare barriers/facilitators </w:t>
            </w:r>
            <w:r w:rsidRPr="00B42A7A">
              <w:lastRenderedPageBreak/>
              <w:t>or disparities, or experiences.</w:t>
            </w:r>
          </w:p>
        </w:tc>
        <w:tc>
          <w:tcPr>
            <w:tcW w:w="2158" w:type="dxa"/>
          </w:tcPr>
          <w:p w14:paraId="03741CFC" w14:textId="77777777" w:rsidR="00B42A7A" w:rsidRDefault="00B42A7A" w:rsidP="00B14618">
            <w:r w:rsidRPr="00B42A7A">
              <w:lastRenderedPageBreak/>
              <w:t>Health OR “health care” OR “health service*” OR “health facilit*”</w:t>
            </w:r>
          </w:p>
        </w:tc>
      </w:tr>
      <w:tr w:rsidR="00B42A7A" w14:paraId="03C1A157" w14:textId="77777777" w:rsidTr="002F7E97">
        <w:tc>
          <w:tcPr>
            <w:tcW w:w="2157" w:type="dxa"/>
          </w:tcPr>
          <w:p w14:paraId="4AC0C76C" w14:textId="77777777" w:rsidR="00B42A7A" w:rsidRPr="002F7E97" w:rsidRDefault="00B42A7A" w:rsidP="00B14618">
            <w:pPr>
              <w:rPr>
                <w:b/>
                <w:bCs/>
              </w:rPr>
            </w:pPr>
            <w:r w:rsidRPr="002F7E97">
              <w:rPr>
                <w:b/>
                <w:bCs/>
              </w:rPr>
              <w:t>Design</w:t>
            </w:r>
          </w:p>
        </w:tc>
        <w:tc>
          <w:tcPr>
            <w:tcW w:w="2157" w:type="dxa"/>
          </w:tcPr>
          <w:p w14:paraId="60AF635B" w14:textId="77777777" w:rsidR="00B42A7A" w:rsidRDefault="00B42A7A" w:rsidP="00B14618">
            <w:r w:rsidRPr="00B42A7A">
              <w:t>Qualitative, Quantitative, mixed-methods, or participatory studies.</w:t>
            </w:r>
          </w:p>
        </w:tc>
        <w:tc>
          <w:tcPr>
            <w:tcW w:w="2158" w:type="dxa"/>
          </w:tcPr>
          <w:p w14:paraId="43839431" w14:textId="77777777" w:rsidR="00B42A7A" w:rsidRDefault="00B42A7A" w:rsidP="00B14618">
            <w:r w:rsidRPr="003A4C15">
              <w:t>Descriptive studies with no analytic component.</w:t>
            </w:r>
          </w:p>
        </w:tc>
        <w:tc>
          <w:tcPr>
            <w:tcW w:w="2158" w:type="dxa"/>
          </w:tcPr>
          <w:p w14:paraId="29D8F87D" w14:textId="77777777" w:rsidR="00B42A7A" w:rsidRDefault="00B42A7A" w:rsidP="00B14618">
            <w:r>
              <w:t>N/A</w:t>
            </w:r>
          </w:p>
        </w:tc>
      </w:tr>
      <w:tr w:rsidR="00B42A7A" w14:paraId="0E93FFE6" w14:textId="77777777" w:rsidTr="002F7E97">
        <w:tc>
          <w:tcPr>
            <w:tcW w:w="2157" w:type="dxa"/>
          </w:tcPr>
          <w:p w14:paraId="3657367C" w14:textId="77777777" w:rsidR="00B42A7A" w:rsidRPr="002F7E97" w:rsidRDefault="00B42A7A" w:rsidP="00B14618">
            <w:pPr>
              <w:rPr>
                <w:b/>
                <w:bCs/>
              </w:rPr>
            </w:pPr>
            <w:r w:rsidRPr="002F7E97">
              <w:rPr>
                <w:b/>
                <w:bCs/>
              </w:rPr>
              <w:t>Evaluation</w:t>
            </w:r>
          </w:p>
        </w:tc>
        <w:tc>
          <w:tcPr>
            <w:tcW w:w="2157" w:type="dxa"/>
          </w:tcPr>
          <w:p w14:paraId="4AD20F82" w14:textId="77777777" w:rsidR="00B42A7A" w:rsidRPr="00B42A7A" w:rsidRDefault="00B42A7A" w:rsidP="00B42A7A">
            <w:r w:rsidRPr="00B42A7A">
              <w:t>Focus on barriers, facilitators, discrimination, access, quality of care, identity-affirming practices, or healthcare outcomes as experienced by LGBTQI</w:t>
            </w:r>
            <w:r>
              <w:t>A</w:t>
            </w:r>
            <w:r w:rsidRPr="00B42A7A">
              <w:t>+ autistic people.</w:t>
            </w:r>
          </w:p>
          <w:p w14:paraId="77A9CD9B" w14:textId="77777777" w:rsidR="00B42A7A" w:rsidRDefault="00B42A7A" w:rsidP="00B14618">
            <w:r w:rsidRPr="00B42A7A">
              <w:t>Experiences, perceptions, and/or interactions with healthcare systems or providers.</w:t>
            </w:r>
          </w:p>
        </w:tc>
        <w:tc>
          <w:tcPr>
            <w:tcW w:w="2158" w:type="dxa"/>
          </w:tcPr>
          <w:p w14:paraId="4841BC47" w14:textId="77777777" w:rsidR="00B42A7A" w:rsidRPr="00B42A7A" w:rsidRDefault="00B42A7A" w:rsidP="00B42A7A">
            <w:r w:rsidRPr="00B42A7A">
              <w:t>Studies that do not explore experiences or interventions (e.g., prevalence, epidemiological data only).</w:t>
            </w:r>
          </w:p>
          <w:p w14:paraId="1CE0CB22" w14:textId="77777777" w:rsidR="00B42A7A" w:rsidRPr="00B42A7A" w:rsidRDefault="00B42A7A" w:rsidP="00B42A7A">
            <w:r w:rsidRPr="00B42A7A">
              <w:t>Studies not focused on healthcare experiences (e.g., education, employment, or housing experiences without a healthcare component).</w:t>
            </w:r>
          </w:p>
          <w:p w14:paraId="76DD9AEF" w14:textId="77777777" w:rsidR="00B42A7A" w:rsidRDefault="00B42A7A" w:rsidP="00B14618"/>
        </w:tc>
        <w:tc>
          <w:tcPr>
            <w:tcW w:w="2158" w:type="dxa"/>
          </w:tcPr>
          <w:p w14:paraId="2E8DBCE2" w14:textId="77777777" w:rsidR="00B42A7A" w:rsidRDefault="00B42A7A" w:rsidP="00B14618">
            <w:r>
              <w:t>N/A</w:t>
            </w:r>
          </w:p>
        </w:tc>
      </w:tr>
      <w:tr w:rsidR="00B42A7A" w14:paraId="288A39EA" w14:textId="77777777" w:rsidTr="002F7E97">
        <w:tc>
          <w:tcPr>
            <w:tcW w:w="2157" w:type="dxa"/>
          </w:tcPr>
          <w:p w14:paraId="5ECCCD34" w14:textId="77777777" w:rsidR="00B42A7A" w:rsidRPr="002F7E97" w:rsidRDefault="00B42A7A" w:rsidP="00B14618">
            <w:pPr>
              <w:rPr>
                <w:b/>
                <w:bCs/>
              </w:rPr>
            </w:pPr>
            <w:r w:rsidRPr="002F7E97">
              <w:rPr>
                <w:b/>
                <w:bCs/>
              </w:rPr>
              <w:lastRenderedPageBreak/>
              <w:t>Research</w:t>
            </w:r>
          </w:p>
        </w:tc>
        <w:tc>
          <w:tcPr>
            <w:tcW w:w="2157" w:type="dxa"/>
          </w:tcPr>
          <w:p w14:paraId="71E93BFF" w14:textId="77777777" w:rsidR="00B42A7A" w:rsidRDefault="00B42A7A" w:rsidP="00B14618">
            <w:r w:rsidRPr="00B42A7A">
              <w:t>Journal articles, Reports, Policies, and Guidelines.</w:t>
            </w:r>
          </w:p>
        </w:tc>
        <w:tc>
          <w:tcPr>
            <w:tcW w:w="2158" w:type="dxa"/>
          </w:tcPr>
          <w:p w14:paraId="1BAFAC5C" w14:textId="77777777" w:rsidR="00B42A7A" w:rsidRDefault="00B42A7A" w:rsidP="00B14618">
            <w:r w:rsidRPr="00B42A7A">
              <w:t xml:space="preserve">Commentary pieces, Opinion articles, Editorials, </w:t>
            </w:r>
            <w:r w:rsidRPr="00702C1F">
              <w:t>Systematic Reviews, Narrative Reviews,</w:t>
            </w:r>
            <w:r w:rsidRPr="00B42A7A">
              <w:t xml:space="preserve"> Literature Reviews, Theses, Dissertations, Protocols, Books, or Book Chapters</w:t>
            </w:r>
          </w:p>
        </w:tc>
        <w:tc>
          <w:tcPr>
            <w:tcW w:w="2158" w:type="dxa"/>
          </w:tcPr>
          <w:p w14:paraId="3D740FAD" w14:textId="77777777" w:rsidR="00B42A7A" w:rsidRDefault="00B42A7A" w:rsidP="00B14618">
            <w:r>
              <w:t>N/A</w:t>
            </w:r>
          </w:p>
        </w:tc>
      </w:tr>
    </w:tbl>
    <w:p w14:paraId="59DC8638" w14:textId="77777777" w:rsidR="009E2D53" w:rsidRDefault="00B42A7A" w:rsidP="3A3A8981">
      <w:pPr>
        <w:jc w:val="center"/>
        <w:sectPr w:rsidR="009E2D53" w:rsidSect="007A6EC7">
          <w:pgSz w:w="12240" w:h="15840"/>
          <w:pgMar w:top="1440" w:right="1800" w:bottom="1440" w:left="1800" w:header="708" w:footer="708" w:gutter="0"/>
          <w:pgNumType w:start="1"/>
          <w:cols w:space="708"/>
          <w:docGrid w:linePitch="360"/>
        </w:sectPr>
      </w:pPr>
      <w:r>
        <w:t xml:space="preserve">Table 1: </w:t>
      </w:r>
      <w:r w:rsidR="00584E72">
        <w:t>E</w:t>
      </w:r>
      <w:r>
        <w:t>l</w:t>
      </w:r>
      <w:r w:rsidR="00584E72">
        <w:t xml:space="preserve">igibility Criteria &amp; </w:t>
      </w:r>
      <w:r w:rsidR="313A8483">
        <w:t>Search Strategy</w:t>
      </w:r>
    </w:p>
    <w:p w14:paraId="7C1605BB" w14:textId="77777777" w:rsidR="00B42A7A" w:rsidRDefault="21297ABC" w:rsidP="00164BE1">
      <w:pPr>
        <w:pStyle w:val="Heading2"/>
      </w:pPr>
      <w:bookmarkStart w:id="135" w:name="_Toc214026560"/>
      <w:r>
        <w:lastRenderedPageBreak/>
        <w:t>Appendix 2</w:t>
      </w:r>
      <w:bookmarkEnd w:id="135"/>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268"/>
        <w:gridCol w:w="2268"/>
        <w:gridCol w:w="2268"/>
        <w:gridCol w:w="2268"/>
        <w:gridCol w:w="2268"/>
      </w:tblGrid>
      <w:tr w:rsidR="009E2D53" w:rsidRPr="009E2D53" w14:paraId="3853CF85" w14:textId="77777777" w:rsidTr="002F7E97">
        <w:trPr>
          <w:trHeight w:val="1134"/>
          <w:tblHeader/>
        </w:trPr>
        <w:tc>
          <w:tcPr>
            <w:tcW w:w="2268" w:type="dxa"/>
            <w:vAlign w:val="bottom"/>
          </w:tcPr>
          <w:p w14:paraId="73E6CCA5" w14:textId="77777777" w:rsidR="00B42A7A" w:rsidRPr="002F7E97" w:rsidRDefault="009E2D53" w:rsidP="0033327F">
            <w:pPr>
              <w:rPr>
                <w:b/>
                <w:bCs/>
                <w:szCs w:val="26"/>
              </w:rPr>
            </w:pPr>
            <w:r w:rsidRPr="002F7E97">
              <w:rPr>
                <w:b/>
                <w:bCs/>
                <w:szCs w:val="26"/>
              </w:rPr>
              <w:t>Country</w:t>
            </w:r>
          </w:p>
        </w:tc>
        <w:tc>
          <w:tcPr>
            <w:tcW w:w="2268" w:type="dxa"/>
            <w:vAlign w:val="bottom"/>
          </w:tcPr>
          <w:p w14:paraId="7845BD90" w14:textId="77777777" w:rsidR="00B42A7A" w:rsidRPr="002F7E97" w:rsidRDefault="009E2D53" w:rsidP="0033327F">
            <w:pPr>
              <w:rPr>
                <w:b/>
                <w:bCs/>
                <w:szCs w:val="26"/>
              </w:rPr>
            </w:pPr>
            <w:r w:rsidRPr="002F7E97">
              <w:rPr>
                <w:b/>
                <w:bCs/>
                <w:szCs w:val="26"/>
              </w:rPr>
              <w:t>Department of Health</w:t>
            </w:r>
          </w:p>
        </w:tc>
        <w:tc>
          <w:tcPr>
            <w:tcW w:w="2268" w:type="dxa"/>
            <w:vAlign w:val="bottom"/>
          </w:tcPr>
          <w:p w14:paraId="2686459C" w14:textId="77777777" w:rsidR="00B42A7A" w:rsidRPr="002F7E97" w:rsidRDefault="009E2D53" w:rsidP="0033327F">
            <w:pPr>
              <w:rPr>
                <w:b/>
                <w:bCs/>
                <w:szCs w:val="26"/>
              </w:rPr>
            </w:pPr>
            <w:r w:rsidRPr="002F7E97">
              <w:rPr>
                <w:b/>
                <w:bCs/>
                <w:szCs w:val="26"/>
              </w:rPr>
              <w:t>National Health provider</w:t>
            </w:r>
          </w:p>
        </w:tc>
        <w:tc>
          <w:tcPr>
            <w:tcW w:w="2268" w:type="dxa"/>
            <w:vAlign w:val="bottom"/>
          </w:tcPr>
          <w:p w14:paraId="082934BD" w14:textId="77777777" w:rsidR="00B42A7A" w:rsidRPr="002F7E97" w:rsidRDefault="009E2D53" w:rsidP="0033327F">
            <w:pPr>
              <w:rPr>
                <w:b/>
                <w:bCs/>
                <w:szCs w:val="26"/>
              </w:rPr>
            </w:pPr>
            <w:r w:rsidRPr="002F7E97">
              <w:rPr>
                <w:b/>
                <w:bCs/>
                <w:szCs w:val="26"/>
              </w:rPr>
              <w:t>Community Organisations</w:t>
            </w:r>
          </w:p>
        </w:tc>
        <w:tc>
          <w:tcPr>
            <w:tcW w:w="2268" w:type="dxa"/>
            <w:vAlign w:val="bottom"/>
          </w:tcPr>
          <w:p w14:paraId="2FD8D994" w14:textId="77777777" w:rsidR="00B42A7A" w:rsidRPr="002F7E97" w:rsidRDefault="009E2D53" w:rsidP="0033327F">
            <w:pPr>
              <w:rPr>
                <w:b/>
                <w:bCs/>
                <w:szCs w:val="26"/>
              </w:rPr>
            </w:pPr>
            <w:r w:rsidRPr="002F7E97">
              <w:rPr>
                <w:b/>
                <w:bCs/>
                <w:szCs w:val="26"/>
              </w:rPr>
              <w:t>Academic Institute</w:t>
            </w:r>
          </w:p>
        </w:tc>
        <w:tc>
          <w:tcPr>
            <w:tcW w:w="2268" w:type="dxa"/>
            <w:vAlign w:val="bottom"/>
          </w:tcPr>
          <w:p w14:paraId="2D1FCEF8" w14:textId="77777777" w:rsidR="00B42A7A" w:rsidRPr="002F7E97" w:rsidRDefault="009E2D53" w:rsidP="0033327F">
            <w:pPr>
              <w:rPr>
                <w:b/>
                <w:bCs/>
                <w:szCs w:val="26"/>
              </w:rPr>
            </w:pPr>
            <w:r w:rsidRPr="002F7E97">
              <w:rPr>
                <w:b/>
                <w:bCs/>
                <w:szCs w:val="26"/>
              </w:rPr>
              <w:t>Healthcare/Organisational Affiliation</w:t>
            </w:r>
          </w:p>
        </w:tc>
      </w:tr>
      <w:tr w:rsidR="009E2D53" w14:paraId="3391E21D" w14:textId="77777777" w:rsidTr="002F7E97">
        <w:trPr>
          <w:trHeight w:val="1134"/>
        </w:trPr>
        <w:tc>
          <w:tcPr>
            <w:tcW w:w="2268" w:type="dxa"/>
            <w:vAlign w:val="bottom"/>
          </w:tcPr>
          <w:p w14:paraId="024CE97A" w14:textId="77777777" w:rsidR="009E2D53" w:rsidRPr="002F7E97" w:rsidRDefault="009E2D53" w:rsidP="0033327F">
            <w:pPr>
              <w:rPr>
                <w:szCs w:val="26"/>
              </w:rPr>
            </w:pPr>
            <w:r w:rsidRPr="002F7E97">
              <w:rPr>
                <w:rFonts w:cs="Arial"/>
                <w:color w:val="1B1B1B"/>
                <w:szCs w:val="26"/>
              </w:rPr>
              <w:t>Australia </w:t>
            </w:r>
          </w:p>
        </w:tc>
        <w:tc>
          <w:tcPr>
            <w:tcW w:w="2268" w:type="dxa"/>
            <w:vAlign w:val="bottom"/>
          </w:tcPr>
          <w:p w14:paraId="5BA59DB9" w14:textId="77777777" w:rsidR="009E2D53" w:rsidRPr="002F7E97" w:rsidRDefault="009E2D53" w:rsidP="0033327F">
            <w:pPr>
              <w:rPr>
                <w:szCs w:val="26"/>
              </w:rPr>
            </w:pPr>
            <w:r w:rsidRPr="002F7E97">
              <w:rPr>
                <w:color w:val="000000"/>
                <w:szCs w:val="26"/>
              </w:rPr>
              <w:t>https://www.health.gov.au/</w:t>
            </w:r>
          </w:p>
        </w:tc>
        <w:tc>
          <w:tcPr>
            <w:tcW w:w="2268" w:type="dxa"/>
            <w:vAlign w:val="bottom"/>
          </w:tcPr>
          <w:p w14:paraId="7BA0A915" w14:textId="77777777" w:rsidR="009E2D53" w:rsidRPr="002F7E97" w:rsidRDefault="009E2D53" w:rsidP="0033327F">
            <w:pPr>
              <w:rPr>
                <w:szCs w:val="26"/>
              </w:rPr>
            </w:pPr>
            <w:r w:rsidRPr="002F7E97">
              <w:rPr>
                <w:color w:val="000000"/>
                <w:szCs w:val="26"/>
              </w:rPr>
              <w:t>Medicare (Not possible to Search)</w:t>
            </w:r>
          </w:p>
        </w:tc>
        <w:tc>
          <w:tcPr>
            <w:tcW w:w="2268" w:type="dxa"/>
            <w:vAlign w:val="bottom"/>
          </w:tcPr>
          <w:p w14:paraId="5D838A88" w14:textId="77777777" w:rsidR="009E2D53" w:rsidRPr="002F7E97" w:rsidRDefault="009E2D53" w:rsidP="0033327F">
            <w:pPr>
              <w:rPr>
                <w:color w:val="000000"/>
                <w:szCs w:val="26"/>
              </w:rPr>
            </w:pPr>
            <w:r w:rsidRPr="002F7E97">
              <w:rPr>
                <w:color w:val="000000"/>
                <w:szCs w:val="26"/>
              </w:rPr>
              <w:t>Gay Autism Group;</w:t>
            </w:r>
          </w:p>
          <w:p w14:paraId="1A665FA5" w14:textId="77777777" w:rsidR="009E2D53" w:rsidRPr="002F7E97" w:rsidRDefault="009E2D53" w:rsidP="0033327F">
            <w:pPr>
              <w:rPr>
                <w:color w:val="000000"/>
                <w:szCs w:val="26"/>
              </w:rPr>
            </w:pPr>
            <w:r w:rsidRPr="002F7E97">
              <w:rPr>
                <w:color w:val="000000"/>
                <w:szCs w:val="26"/>
              </w:rPr>
              <w:t xml:space="preserve">ICAN Network; </w:t>
            </w:r>
          </w:p>
          <w:p w14:paraId="6470076B" w14:textId="77777777" w:rsidR="009E2D53" w:rsidRPr="002F7E97" w:rsidRDefault="009E2D53" w:rsidP="0033327F">
            <w:pPr>
              <w:rPr>
                <w:color w:val="000000"/>
                <w:szCs w:val="26"/>
              </w:rPr>
            </w:pPr>
            <w:r w:rsidRPr="002F7E97">
              <w:rPr>
                <w:color w:val="000000"/>
                <w:szCs w:val="26"/>
              </w:rPr>
              <w:t xml:space="preserve">Rainbow Spectrum Group; </w:t>
            </w:r>
          </w:p>
          <w:p w14:paraId="38D982D7" w14:textId="77777777" w:rsidR="009E2D53" w:rsidRPr="002F7E97" w:rsidRDefault="009E2D53" w:rsidP="0033327F">
            <w:pPr>
              <w:rPr>
                <w:color w:val="000000"/>
                <w:szCs w:val="26"/>
              </w:rPr>
            </w:pPr>
            <w:r w:rsidRPr="002F7E97">
              <w:rPr>
                <w:color w:val="000000"/>
                <w:szCs w:val="26"/>
              </w:rPr>
              <w:t xml:space="preserve">Reframing Autism; </w:t>
            </w:r>
          </w:p>
          <w:p w14:paraId="0B7D4C53" w14:textId="77777777" w:rsidR="009E2D53" w:rsidRPr="002F7E97" w:rsidRDefault="009E2D53" w:rsidP="0033327F">
            <w:pPr>
              <w:rPr>
                <w:szCs w:val="26"/>
              </w:rPr>
            </w:pPr>
            <w:r w:rsidRPr="002F7E97">
              <w:rPr>
                <w:color w:val="000000"/>
                <w:szCs w:val="26"/>
              </w:rPr>
              <w:t>Twainbow</w:t>
            </w:r>
          </w:p>
        </w:tc>
        <w:tc>
          <w:tcPr>
            <w:tcW w:w="2268" w:type="dxa"/>
            <w:vAlign w:val="bottom"/>
          </w:tcPr>
          <w:p w14:paraId="60E5B3F0" w14:textId="77777777" w:rsidR="009E2D53" w:rsidRPr="002F7E97" w:rsidRDefault="009E2D53" w:rsidP="002F7E97">
            <w:pPr>
              <w:spacing w:after="0"/>
              <w:rPr>
                <w:color w:val="000000"/>
                <w:szCs w:val="26"/>
                <w:lang w:eastAsia="en-GB"/>
              </w:rPr>
            </w:pPr>
            <w:r w:rsidRPr="002F7E97">
              <w:rPr>
                <w:color w:val="000000"/>
                <w:szCs w:val="26"/>
              </w:rPr>
              <w:t>University of Melbourne</w:t>
            </w:r>
          </w:p>
          <w:p w14:paraId="6734E955" w14:textId="77777777" w:rsidR="009E2D53" w:rsidRPr="002F7E97" w:rsidRDefault="009E2D53" w:rsidP="0033327F">
            <w:pPr>
              <w:rPr>
                <w:szCs w:val="26"/>
              </w:rPr>
            </w:pPr>
          </w:p>
        </w:tc>
        <w:tc>
          <w:tcPr>
            <w:tcW w:w="2268" w:type="dxa"/>
            <w:vAlign w:val="bottom"/>
          </w:tcPr>
          <w:p w14:paraId="73E85856" w14:textId="77777777" w:rsidR="009E2D53" w:rsidRPr="002F7E97" w:rsidRDefault="009E2D53" w:rsidP="0033327F">
            <w:pPr>
              <w:rPr>
                <w:szCs w:val="26"/>
              </w:rPr>
            </w:pPr>
          </w:p>
        </w:tc>
      </w:tr>
      <w:tr w:rsidR="009E2D53" w14:paraId="242731A9" w14:textId="77777777" w:rsidTr="002F7E97">
        <w:trPr>
          <w:trHeight w:val="1134"/>
        </w:trPr>
        <w:tc>
          <w:tcPr>
            <w:tcW w:w="2268" w:type="dxa"/>
            <w:vAlign w:val="bottom"/>
          </w:tcPr>
          <w:p w14:paraId="7E9C4A93" w14:textId="77777777" w:rsidR="009E2D53" w:rsidRPr="002F7E97" w:rsidRDefault="009E2D53" w:rsidP="0033327F">
            <w:pPr>
              <w:rPr>
                <w:szCs w:val="26"/>
              </w:rPr>
            </w:pPr>
            <w:r w:rsidRPr="002F7E97">
              <w:rPr>
                <w:rFonts w:cs="Arial"/>
                <w:color w:val="1B1B1B"/>
                <w:szCs w:val="26"/>
              </w:rPr>
              <w:t>Canada </w:t>
            </w:r>
          </w:p>
        </w:tc>
        <w:tc>
          <w:tcPr>
            <w:tcW w:w="2268" w:type="dxa"/>
            <w:vAlign w:val="bottom"/>
          </w:tcPr>
          <w:p w14:paraId="4CE5D3A6" w14:textId="77777777" w:rsidR="009E2D53" w:rsidRPr="002F7E97" w:rsidRDefault="009E2D53" w:rsidP="0033327F">
            <w:pPr>
              <w:rPr>
                <w:szCs w:val="26"/>
              </w:rPr>
            </w:pPr>
            <w:r w:rsidRPr="002F7E97">
              <w:rPr>
                <w:color w:val="000000"/>
                <w:szCs w:val="26"/>
              </w:rPr>
              <w:t>https://www.canada.ca/en/health</w:t>
            </w:r>
            <w:r w:rsidRPr="002F7E97">
              <w:rPr>
                <w:color w:val="000000"/>
                <w:szCs w:val="26"/>
              </w:rPr>
              <w:noBreakHyphen/>
              <w:t>canada.html </w:t>
            </w:r>
          </w:p>
        </w:tc>
        <w:tc>
          <w:tcPr>
            <w:tcW w:w="2268" w:type="dxa"/>
            <w:vAlign w:val="bottom"/>
          </w:tcPr>
          <w:p w14:paraId="27F57706" w14:textId="77777777" w:rsidR="009E2D53" w:rsidRPr="002F7E97" w:rsidRDefault="009E2D53" w:rsidP="0033327F">
            <w:pPr>
              <w:rPr>
                <w:szCs w:val="26"/>
              </w:rPr>
            </w:pPr>
            <w:r w:rsidRPr="002F7E97">
              <w:rPr>
                <w:color w:val="000000"/>
                <w:szCs w:val="26"/>
              </w:rPr>
              <w:t>Medicare (Not possible to Search)</w:t>
            </w:r>
          </w:p>
        </w:tc>
        <w:tc>
          <w:tcPr>
            <w:tcW w:w="2268" w:type="dxa"/>
            <w:vAlign w:val="bottom"/>
          </w:tcPr>
          <w:p w14:paraId="0EE3F45A" w14:textId="77777777" w:rsidR="009E2D53" w:rsidRPr="002F7E97" w:rsidRDefault="009E2D53" w:rsidP="0033327F">
            <w:pPr>
              <w:rPr>
                <w:color w:val="000000"/>
                <w:szCs w:val="26"/>
              </w:rPr>
            </w:pPr>
            <w:r w:rsidRPr="002F7E97">
              <w:rPr>
                <w:color w:val="000000"/>
                <w:szCs w:val="26"/>
              </w:rPr>
              <w:t>AIDE Canada;</w:t>
            </w:r>
          </w:p>
          <w:p w14:paraId="5A21EBFF" w14:textId="77777777" w:rsidR="009E2D53" w:rsidRPr="002F7E97" w:rsidRDefault="009E2D53" w:rsidP="0033327F">
            <w:pPr>
              <w:rPr>
                <w:szCs w:val="26"/>
              </w:rPr>
            </w:pPr>
            <w:r w:rsidRPr="002F7E97">
              <w:rPr>
                <w:color w:val="000000"/>
                <w:szCs w:val="26"/>
              </w:rPr>
              <w:t xml:space="preserve">It Gets Better Canada </w:t>
            </w:r>
          </w:p>
        </w:tc>
        <w:tc>
          <w:tcPr>
            <w:tcW w:w="2268" w:type="dxa"/>
            <w:vAlign w:val="bottom"/>
          </w:tcPr>
          <w:p w14:paraId="62678487" w14:textId="77777777" w:rsidR="009E2D53" w:rsidRPr="002F7E97" w:rsidRDefault="009E2D53" w:rsidP="002F7E97">
            <w:pPr>
              <w:spacing w:after="0"/>
              <w:rPr>
                <w:color w:val="000000"/>
                <w:szCs w:val="26"/>
                <w:lang w:eastAsia="en-GB"/>
              </w:rPr>
            </w:pPr>
            <w:r w:rsidRPr="002F7E97">
              <w:rPr>
                <w:color w:val="000000"/>
                <w:szCs w:val="26"/>
              </w:rPr>
              <w:t>University of Toronto</w:t>
            </w:r>
          </w:p>
          <w:p w14:paraId="385428A7" w14:textId="77777777" w:rsidR="009E2D53" w:rsidRPr="002F7E97" w:rsidRDefault="009E2D53" w:rsidP="0033327F">
            <w:pPr>
              <w:rPr>
                <w:szCs w:val="26"/>
              </w:rPr>
            </w:pPr>
          </w:p>
        </w:tc>
        <w:tc>
          <w:tcPr>
            <w:tcW w:w="2268" w:type="dxa"/>
            <w:vAlign w:val="bottom"/>
          </w:tcPr>
          <w:p w14:paraId="0FA860F1" w14:textId="77777777" w:rsidR="009E2D53" w:rsidRPr="002F7E97" w:rsidRDefault="009E2D53" w:rsidP="002F7E97">
            <w:pPr>
              <w:spacing w:after="0"/>
              <w:rPr>
                <w:color w:val="000000"/>
                <w:szCs w:val="26"/>
              </w:rPr>
            </w:pPr>
            <w:r w:rsidRPr="002F7E97">
              <w:rPr>
                <w:color w:val="000000"/>
                <w:szCs w:val="26"/>
              </w:rPr>
              <w:t xml:space="preserve">Centre for Addiction and Mental Health; </w:t>
            </w:r>
          </w:p>
          <w:p w14:paraId="499BC1F6" w14:textId="77777777" w:rsidR="009E2D53" w:rsidRPr="002F7E97" w:rsidRDefault="009E2D53" w:rsidP="002F7E97">
            <w:pPr>
              <w:spacing w:after="0"/>
              <w:rPr>
                <w:color w:val="000000"/>
                <w:szCs w:val="26"/>
                <w:lang w:eastAsia="en-GB"/>
              </w:rPr>
            </w:pPr>
            <w:r w:rsidRPr="002F7E97">
              <w:rPr>
                <w:color w:val="000000"/>
                <w:szCs w:val="26"/>
              </w:rPr>
              <w:t xml:space="preserve">The Hospital for Sick Children </w:t>
            </w:r>
          </w:p>
          <w:p w14:paraId="776CCDFC" w14:textId="77777777" w:rsidR="009E2D53" w:rsidRPr="002F7E97" w:rsidRDefault="009E2D53" w:rsidP="0033327F">
            <w:pPr>
              <w:rPr>
                <w:szCs w:val="26"/>
              </w:rPr>
            </w:pPr>
          </w:p>
        </w:tc>
      </w:tr>
      <w:tr w:rsidR="009E2D53" w14:paraId="4E98FA44" w14:textId="77777777" w:rsidTr="002F7E97">
        <w:trPr>
          <w:trHeight w:val="1134"/>
        </w:trPr>
        <w:tc>
          <w:tcPr>
            <w:tcW w:w="2268" w:type="dxa"/>
            <w:vAlign w:val="bottom"/>
          </w:tcPr>
          <w:p w14:paraId="0EA8F6A4" w14:textId="77777777" w:rsidR="009E2D53" w:rsidRPr="002F7E97" w:rsidRDefault="009E2D53" w:rsidP="0033327F">
            <w:pPr>
              <w:rPr>
                <w:szCs w:val="26"/>
              </w:rPr>
            </w:pPr>
            <w:r w:rsidRPr="002F7E97">
              <w:rPr>
                <w:rFonts w:cs="Arial"/>
                <w:color w:val="1B1B1B"/>
                <w:szCs w:val="26"/>
              </w:rPr>
              <w:t>France </w:t>
            </w:r>
          </w:p>
        </w:tc>
        <w:tc>
          <w:tcPr>
            <w:tcW w:w="2268" w:type="dxa"/>
            <w:vAlign w:val="bottom"/>
          </w:tcPr>
          <w:p w14:paraId="030AA7AE" w14:textId="77777777" w:rsidR="009E2D53" w:rsidRPr="002F7E97" w:rsidRDefault="009E2D53" w:rsidP="0033327F">
            <w:pPr>
              <w:rPr>
                <w:szCs w:val="26"/>
              </w:rPr>
            </w:pPr>
            <w:r w:rsidRPr="002F7E97">
              <w:rPr>
                <w:color w:val="000000"/>
                <w:szCs w:val="26"/>
              </w:rPr>
              <w:t>ttps://sante.gouv.fr/</w:t>
            </w:r>
          </w:p>
        </w:tc>
        <w:tc>
          <w:tcPr>
            <w:tcW w:w="2268" w:type="dxa"/>
            <w:vAlign w:val="bottom"/>
          </w:tcPr>
          <w:p w14:paraId="4ACF773B" w14:textId="77777777" w:rsidR="009E2D53" w:rsidRPr="002F7E97" w:rsidRDefault="009E2D53" w:rsidP="0033327F">
            <w:pPr>
              <w:rPr>
                <w:szCs w:val="26"/>
              </w:rPr>
            </w:pPr>
            <w:r w:rsidRPr="002F7E97">
              <w:rPr>
                <w:color w:val="000000"/>
                <w:szCs w:val="26"/>
              </w:rPr>
              <w:t>Assurance Maladie</w:t>
            </w:r>
          </w:p>
        </w:tc>
        <w:tc>
          <w:tcPr>
            <w:tcW w:w="2268" w:type="dxa"/>
            <w:vAlign w:val="bottom"/>
          </w:tcPr>
          <w:p w14:paraId="141DF50B" w14:textId="77777777" w:rsidR="0033327F" w:rsidRPr="002F7E97" w:rsidRDefault="009E2D53" w:rsidP="0033327F">
            <w:pPr>
              <w:rPr>
                <w:color w:val="000000"/>
                <w:szCs w:val="26"/>
              </w:rPr>
            </w:pPr>
            <w:r w:rsidRPr="002F7E97">
              <w:rPr>
                <w:color w:val="000000"/>
                <w:szCs w:val="26"/>
              </w:rPr>
              <w:t xml:space="preserve">Le Refuge; </w:t>
            </w:r>
          </w:p>
          <w:p w14:paraId="5C4E72F9" w14:textId="77777777" w:rsidR="009E2D53" w:rsidRPr="002F7E97" w:rsidRDefault="009E2D53" w:rsidP="0033327F">
            <w:pPr>
              <w:rPr>
                <w:szCs w:val="26"/>
              </w:rPr>
            </w:pPr>
            <w:r w:rsidRPr="002F7E97">
              <w:rPr>
                <w:color w:val="000000"/>
                <w:szCs w:val="26"/>
              </w:rPr>
              <w:t>MAG Jeunes LGBT+</w:t>
            </w:r>
          </w:p>
        </w:tc>
        <w:tc>
          <w:tcPr>
            <w:tcW w:w="2268" w:type="dxa"/>
            <w:vAlign w:val="bottom"/>
          </w:tcPr>
          <w:p w14:paraId="489D9B57" w14:textId="77777777" w:rsidR="009E2D53" w:rsidRPr="002F7E97" w:rsidRDefault="009E2D53" w:rsidP="0033327F">
            <w:pPr>
              <w:rPr>
                <w:szCs w:val="26"/>
              </w:rPr>
            </w:pPr>
          </w:p>
        </w:tc>
        <w:tc>
          <w:tcPr>
            <w:tcW w:w="2268" w:type="dxa"/>
            <w:vAlign w:val="bottom"/>
          </w:tcPr>
          <w:p w14:paraId="615D2D1F" w14:textId="77777777" w:rsidR="009E2D53" w:rsidRPr="002F7E97" w:rsidRDefault="009E2D53" w:rsidP="0033327F">
            <w:pPr>
              <w:rPr>
                <w:szCs w:val="26"/>
              </w:rPr>
            </w:pPr>
          </w:p>
        </w:tc>
      </w:tr>
      <w:tr w:rsidR="009E2D53" w14:paraId="025040CB" w14:textId="77777777" w:rsidTr="002F7E97">
        <w:trPr>
          <w:trHeight w:val="1134"/>
        </w:trPr>
        <w:tc>
          <w:tcPr>
            <w:tcW w:w="2268" w:type="dxa"/>
            <w:vAlign w:val="bottom"/>
          </w:tcPr>
          <w:p w14:paraId="5DC5F425" w14:textId="77777777" w:rsidR="009E2D53" w:rsidRPr="002F7E97" w:rsidRDefault="009E2D53" w:rsidP="0033327F">
            <w:pPr>
              <w:rPr>
                <w:szCs w:val="26"/>
              </w:rPr>
            </w:pPr>
            <w:r w:rsidRPr="002F7E97">
              <w:rPr>
                <w:rFonts w:cs="Arial"/>
                <w:color w:val="1B1B1B"/>
                <w:szCs w:val="26"/>
              </w:rPr>
              <w:lastRenderedPageBreak/>
              <w:t>Germany </w:t>
            </w:r>
          </w:p>
        </w:tc>
        <w:tc>
          <w:tcPr>
            <w:tcW w:w="2268" w:type="dxa"/>
            <w:vAlign w:val="bottom"/>
          </w:tcPr>
          <w:p w14:paraId="0E34096F" w14:textId="77777777" w:rsidR="009E2D53" w:rsidRPr="002F7E97" w:rsidRDefault="009E2D53" w:rsidP="0033327F">
            <w:pPr>
              <w:rPr>
                <w:szCs w:val="26"/>
              </w:rPr>
            </w:pPr>
            <w:r w:rsidRPr="002F7E97">
              <w:rPr>
                <w:color w:val="000000"/>
                <w:szCs w:val="26"/>
              </w:rPr>
              <w:t>https://www.bundesgesundheitsministerium.de/ </w:t>
            </w:r>
          </w:p>
        </w:tc>
        <w:tc>
          <w:tcPr>
            <w:tcW w:w="2268" w:type="dxa"/>
            <w:vAlign w:val="bottom"/>
          </w:tcPr>
          <w:p w14:paraId="7D5AA091" w14:textId="77777777" w:rsidR="009E2D53" w:rsidRPr="002F7E97" w:rsidRDefault="009E2D53" w:rsidP="0033327F">
            <w:pPr>
              <w:rPr>
                <w:szCs w:val="26"/>
              </w:rPr>
            </w:pPr>
            <w:r w:rsidRPr="002F7E97">
              <w:rPr>
                <w:color w:val="000000"/>
                <w:szCs w:val="26"/>
              </w:rPr>
              <w:t>Gesetzliche Krankenversicherung (not possible to search)</w:t>
            </w:r>
          </w:p>
        </w:tc>
        <w:tc>
          <w:tcPr>
            <w:tcW w:w="2268" w:type="dxa"/>
            <w:vAlign w:val="bottom"/>
          </w:tcPr>
          <w:p w14:paraId="18CED230" w14:textId="77777777" w:rsidR="009E2D53" w:rsidRPr="002F7E97" w:rsidRDefault="009E2D53" w:rsidP="0033327F">
            <w:pPr>
              <w:rPr>
                <w:color w:val="000000"/>
                <w:szCs w:val="26"/>
              </w:rPr>
            </w:pPr>
            <w:r w:rsidRPr="002F7E97">
              <w:rPr>
                <w:color w:val="000000"/>
                <w:szCs w:val="26"/>
              </w:rPr>
              <w:t xml:space="preserve">Quarteera; </w:t>
            </w:r>
          </w:p>
          <w:p w14:paraId="51624A7C" w14:textId="77777777" w:rsidR="009E2D53" w:rsidRPr="002F7E97" w:rsidRDefault="009E2D53" w:rsidP="0033327F">
            <w:pPr>
              <w:rPr>
                <w:szCs w:val="26"/>
              </w:rPr>
            </w:pPr>
            <w:r w:rsidRPr="002F7E97">
              <w:rPr>
                <w:color w:val="000000"/>
                <w:szCs w:val="26"/>
              </w:rPr>
              <w:t xml:space="preserve">Bundesverband Trans* e.V., </w:t>
            </w:r>
          </w:p>
        </w:tc>
        <w:tc>
          <w:tcPr>
            <w:tcW w:w="2268" w:type="dxa"/>
            <w:vAlign w:val="bottom"/>
          </w:tcPr>
          <w:p w14:paraId="42D06916" w14:textId="77777777" w:rsidR="009E2D53" w:rsidRPr="002F7E97" w:rsidRDefault="009E2D53" w:rsidP="0033327F">
            <w:pPr>
              <w:rPr>
                <w:szCs w:val="26"/>
              </w:rPr>
            </w:pPr>
          </w:p>
        </w:tc>
        <w:tc>
          <w:tcPr>
            <w:tcW w:w="2268" w:type="dxa"/>
            <w:vAlign w:val="bottom"/>
          </w:tcPr>
          <w:p w14:paraId="505C5C5D" w14:textId="77777777" w:rsidR="009E2D53" w:rsidRPr="002F7E97" w:rsidRDefault="009E2D53" w:rsidP="0033327F">
            <w:pPr>
              <w:rPr>
                <w:szCs w:val="26"/>
              </w:rPr>
            </w:pPr>
          </w:p>
        </w:tc>
      </w:tr>
      <w:tr w:rsidR="009E2D53" w:rsidRPr="00CC1413" w14:paraId="7E1F56C4" w14:textId="77777777" w:rsidTr="002F7E97">
        <w:trPr>
          <w:trHeight w:val="1134"/>
        </w:trPr>
        <w:tc>
          <w:tcPr>
            <w:tcW w:w="2268" w:type="dxa"/>
            <w:vAlign w:val="bottom"/>
          </w:tcPr>
          <w:p w14:paraId="5BD25987" w14:textId="77777777" w:rsidR="009E2D53" w:rsidRPr="002F7E97" w:rsidRDefault="009E2D53" w:rsidP="0033327F">
            <w:pPr>
              <w:rPr>
                <w:szCs w:val="26"/>
              </w:rPr>
            </w:pPr>
            <w:r w:rsidRPr="002F7E97">
              <w:rPr>
                <w:rFonts w:cs="Arial"/>
                <w:color w:val="1B1B1B"/>
                <w:szCs w:val="26"/>
              </w:rPr>
              <w:t>Italy </w:t>
            </w:r>
          </w:p>
        </w:tc>
        <w:tc>
          <w:tcPr>
            <w:tcW w:w="2268" w:type="dxa"/>
            <w:vAlign w:val="bottom"/>
          </w:tcPr>
          <w:p w14:paraId="2FC16936" w14:textId="77777777" w:rsidR="009E2D53" w:rsidRPr="002F7E97" w:rsidRDefault="009E2D53" w:rsidP="0033327F">
            <w:pPr>
              <w:rPr>
                <w:szCs w:val="26"/>
              </w:rPr>
            </w:pPr>
            <w:r w:rsidRPr="002F7E97">
              <w:rPr>
                <w:color w:val="000000"/>
                <w:szCs w:val="26"/>
              </w:rPr>
              <w:t>https://www.salute.gov.it/</w:t>
            </w:r>
          </w:p>
        </w:tc>
        <w:tc>
          <w:tcPr>
            <w:tcW w:w="2268" w:type="dxa"/>
            <w:vAlign w:val="bottom"/>
          </w:tcPr>
          <w:p w14:paraId="29EE0CF1" w14:textId="77777777" w:rsidR="009E2D53" w:rsidRPr="002F7E97" w:rsidRDefault="009E2D53" w:rsidP="0033327F">
            <w:pPr>
              <w:rPr>
                <w:szCs w:val="26"/>
              </w:rPr>
            </w:pPr>
            <w:r w:rsidRPr="002F7E97">
              <w:rPr>
                <w:color w:val="000000"/>
                <w:szCs w:val="26"/>
              </w:rPr>
              <w:t>Servizio Sanitario Nazionale (SSN)</w:t>
            </w:r>
          </w:p>
        </w:tc>
        <w:tc>
          <w:tcPr>
            <w:tcW w:w="2268" w:type="dxa"/>
            <w:vAlign w:val="bottom"/>
          </w:tcPr>
          <w:p w14:paraId="2C73489A" w14:textId="77777777" w:rsidR="009E2D53" w:rsidRPr="002F7E97" w:rsidRDefault="009E2D53" w:rsidP="0033327F">
            <w:pPr>
              <w:rPr>
                <w:color w:val="000000"/>
                <w:szCs w:val="26"/>
              </w:rPr>
            </w:pPr>
            <w:r w:rsidRPr="002F7E97">
              <w:rPr>
                <w:color w:val="000000"/>
                <w:szCs w:val="26"/>
              </w:rPr>
              <w:t xml:space="preserve">Asperger Pride Italy; </w:t>
            </w:r>
          </w:p>
          <w:p w14:paraId="5DB5079F" w14:textId="77777777" w:rsidR="009E2D53" w:rsidRPr="002F7E97" w:rsidRDefault="009E2D53" w:rsidP="0033327F">
            <w:pPr>
              <w:rPr>
                <w:color w:val="000000"/>
                <w:szCs w:val="26"/>
              </w:rPr>
            </w:pPr>
            <w:r w:rsidRPr="002F7E97">
              <w:rPr>
                <w:color w:val="000000"/>
                <w:szCs w:val="26"/>
              </w:rPr>
              <w:t xml:space="preserve">Gruppo Empathie (‘Double Rainbow’ Service); </w:t>
            </w:r>
          </w:p>
          <w:p w14:paraId="04F24A23" w14:textId="77777777" w:rsidR="009E2D53" w:rsidRPr="002F7E97" w:rsidRDefault="009E2D53" w:rsidP="0033327F">
            <w:pPr>
              <w:rPr>
                <w:color w:val="000000"/>
                <w:szCs w:val="26"/>
                <w:lang w:val="es-ES"/>
              </w:rPr>
            </w:pPr>
            <w:r w:rsidRPr="002F7E97">
              <w:rPr>
                <w:color w:val="000000"/>
                <w:szCs w:val="26"/>
                <w:lang w:val="es-ES"/>
              </w:rPr>
              <w:t xml:space="preserve">Arcigay; </w:t>
            </w:r>
          </w:p>
          <w:p w14:paraId="5E12DF5A" w14:textId="77777777" w:rsidR="009E2D53" w:rsidRPr="002F7E97" w:rsidRDefault="009E2D53" w:rsidP="0033327F">
            <w:pPr>
              <w:rPr>
                <w:szCs w:val="26"/>
                <w:lang w:val="es-ES"/>
              </w:rPr>
            </w:pPr>
            <w:r w:rsidRPr="002F7E97">
              <w:rPr>
                <w:color w:val="000000"/>
                <w:szCs w:val="26"/>
                <w:lang w:val="es-ES"/>
              </w:rPr>
              <w:t>Associazione Diesis – “Autismo e comunità LGBTI+</w:t>
            </w:r>
          </w:p>
        </w:tc>
        <w:tc>
          <w:tcPr>
            <w:tcW w:w="2268" w:type="dxa"/>
            <w:vAlign w:val="bottom"/>
          </w:tcPr>
          <w:p w14:paraId="150F7A35" w14:textId="77777777" w:rsidR="009E2D53" w:rsidRPr="002F7E97" w:rsidRDefault="009E2D53" w:rsidP="0033327F">
            <w:pPr>
              <w:rPr>
                <w:szCs w:val="26"/>
                <w:lang w:val="es-ES"/>
              </w:rPr>
            </w:pPr>
          </w:p>
        </w:tc>
        <w:tc>
          <w:tcPr>
            <w:tcW w:w="2268" w:type="dxa"/>
            <w:vAlign w:val="bottom"/>
          </w:tcPr>
          <w:p w14:paraId="0DCFF60F" w14:textId="77777777" w:rsidR="009E2D53" w:rsidRPr="002F7E97" w:rsidRDefault="009E2D53" w:rsidP="0033327F">
            <w:pPr>
              <w:rPr>
                <w:szCs w:val="26"/>
                <w:lang w:val="es-ES"/>
              </w:rPr>
            </w:pPr>
          </w:p>
        </w:tc>
      </w:tr>
      <w:tr w:rsidR="009E2D53" w14:paraId="2F2DBFD9" w14:textId="77777777" w:rsidTr="002F7E97">
        <w:trPr>
          <w:trHeight w:val="1134"/>
        </w:trPr>
        <w:tc>
          <w:tcPr>
            <w:tcW w:w="2268" w:type="dxa"/>
            <w:vAlign w:val="bottom"/>
          </w:tcPr>
          <w:p w14:paraId="13509BAF" w14:textId="77777777" w:rsidR="009E2D53" w:rsidRPr="002F7E97" w:rsidRDefault="009E2D53" w:rsidP="0033327F">
            <w:pPr>
              <w:rPr>
                <w:szCs w:val="26"/>
              </w:rPr>
            </w:pPr>
            <w:r w:rsidRPr="002F7E97">
              <w:rPr>
                <w:rFonts w:cs="Arial"/>
                <w:color w:val="1B1B1B"/>
                <w:szCs w:val="26"/>
              </w:rPr>
              <w:t>Netherlands </w:t>
            </w:r>
          </w:p>
        </w:tc>
        <w:tc>
          <w:tcPr>
            <w:tcW w:w="2268" w:type="dxa"/>
            <w:vAlign w:val="bottom"/>
          </w:tcPr>
          <w:p w14:paraId="1671536E" w14:textId="77777777" w:rsidR="009E2D53" w:rsidRPr="002F7E97" w:rsidRDefault="009E2D53" w:rsidP="0033327F">
            <w:pPr>
              <w:rPr>
                <w:szCs w:val="26"/>
              </w:rPr>
            </w:pPr>
            <w:r w:rsidRPr="002F7E97">
              <w:rPr>
                <w:color w:val="000000"/>
                <w:szCs w:val="26"/>
              </w:rPr>
              <w:t>https://www.government.nl/ministries/ministry</w:t>
            </w:r>
            <w:r w:rsidRPr="002F7E97">
              <w:rPr>
                <w:color w:val="000000"/>
                <w:szCs w:val="26"/>
              </w:rPr>
              <w:noBreakHyphen/>
              <w:t>of</w:t>
            </w:r>
            <w:r w:rsidRPr="002F7E97">
              <w:rPr>
                <w:color w:val="000000"/>
                <w:szCs w:val="26"/>
              </w:rPr>
              <w:noBreakHyphen/>
              <w:t>health</w:t>
            </w:r>
            <w:r w:rsidRPr="002F7E97">
              <w:rPr>
                <w:color w:val="000000"/>
                <w:szCs w:val="26"/>
              </w:rPr>
              <w:noBreakHyphen/>
              <w:t>welfare</w:t>
            </w:r>
            <w:r w:rsidRPr="002F7E97">
              <w:rPr>
                <w:color w:val="000000"/>
                <w:szCs w:val="26"/>
              </w:rPr>
              <w:noBreakHyphen/>
              <w:t>and</w:t>
            </w:r>
            <w:r w:rsidRPr="002F7E97">
              <w:rPr>
                <w:color w:val="000000"/>
                <w:szCs w:val="26"/>
              </w:rPr>
              <w:noBreakHyphen/>
              <w:t>sport</w:t>
            </w:r>
          </w:p>
        </w:tc>
        <w:tc>
          <w:tcPr>
            <w:tcW w:w="2268" w:type="dxa"/>
            <w:vAlign w:val="bottom"/>
          </w:tcPr>
          <w:p w14:paraId="149A680C" w14:textId="77777777" w:rsidR="009E2D53" w:rsidRPr="002F7E97" w:rsidRDefault="009E2D53" w:rsidP="0033327F">
            <w:pPr>
              <w:rPr>
                <w:szCs w:val="26"/>
              </w:rPr>
            </w:pPr>
            <w:r w:rsidRPr="002F7E97">
              <w:rPr>
                <w:color w:val="000000"/>
                <w:szCs w:val="26"/>
              </w:rPr>
              <w:t>N/A</w:t>
            </w:r>
          </w:p>
        </w:tc>
        <w:tc>
          <w:tcPr>
            <w:tcW w:w="2268" w:type="dxa"/>
            <w:vAlign w:val="bottom"/>
          </w:tcPr>
          <w:p w14:paraId="029659F9" w14:textId="77777777" w:rsidR="009E2D53" w:rsidRPr="002F7E97" w:rsidRDefault="009E2D53" w:rsidP="0033327F">
            <w:pPr>
              <w:rPr>
                <w:color w:val="000000"/>
                <w:szCs w:val="26"/>
                <w:lang w:val="nb-NO"/>
              </w:rPr>
            </w:pPr>
            <w:r w:rsidRPr="002F7E97">
              <w:rPr>
                <w:color w:val="000000"/>
                <w:szCs w:val="26"/>
                <w:lang w:val="nb-NO"/>
              </w:rPr>
              <w:t xml:space="preserve">AutiRoze; </w:t>
            </w:r>
          </w:p>
          <w:p w14:paraId="5D064F1E" w14:textId="77777777" w:rsidR="009E2D53" w:rsidRPr="002F7E97" w:rsidRDefault="009E2D53" w:rsidP="0033327F">
            <w:pPr>
              <w:rPr>
                <w:color w:val="000000"/>
                <w:szCs w:val="26"/>
                <w:lang w:val="nb-NO"/>
              </w:rPr>
            </w:pPr>
            <w:r w:rsidRPr="002F7E97">
              <w:rPr>
                <w:color w:val="000000"/>
                <w:szCs w:val="26"/>
                <w:lang w:val="nb-NO"/>
              </w:rPr>
              <w:t xml:space="preserve">PAS Nederland; </w:t>
            </w:r>
          </w:p>
          <w:p w14:paraId="56160B70" w14:textId="77777777" w:rsidR="009E2D53" w:rsidRPr="002F7E97" w:rsidRDefault="009E2D53" w:rsidP="0033327F">
            <w:pPr>
              <w:rPr>
                <w:color w:val="000000"/>
                <w:szCs w:val="26"/>
                <w:lang w:val="nb-NO"/>
              </w:rPr>
            </w:pPr>
            <w:r w:rsidRPr="002F7E97">
              <w:rPr>
                <w:color w:val="000000"/>
                <w:szCs w:val="26"/>
                <w:lang w:val="nb-NO"/>
              </w:rPr>
              <w:t xml:space="preserve">COC Nederland; </w:t>
            </w:r>
          </w:p>
          <w:p w14:paraId="26C1BADB" w14:textId="77777777" w:rsidR="009E2D53" w:rsidRPr="002F7E97" w:rsidRDefault="009E2D53" w:rsidP="0033327F">
            <w:pPr>
              <w:rPr>
                <w:szCs w:val="26"/>
              </w:rPr>
            </w:pPr>
            <w:r w:rsidRPr="002F7E97">
              <w:rPr>
                <w:color w:val="000000"/>
                <w:szCs w:val="26"/>
              </w:rPr>
              <w:lastRenderedPageBreak/>
              <w:t>Homo LesBische Federatie Nederland.</w:t>
            </w:r>
          </w:p>
        </w:tc>
        <w:tc>
          <w:tcPr>
            <w:tcW w:w="2268" w:type="dxa"/>
            <w:vAlign w:val="bottom"/>
          </w:tcPr>
          <w:p w14:paraId="712A1E00" w14:textId="77777777" w:rsidR="009E2D53" w:rsidRPr="002F7E97" w:rsidRDefault="009E2D53" w:rsidP="0033327F">
            <w:pPr>
              <w:rPr>
                <w:szCs w:val="26"/>
              </w:rPr>
            </w:pPr>
          </w:p>
        </w:tc>
        <w:tc>
          <w:tcPr>
            <w:tcW w:w="2268" w:type="dxa"/>
            <w:vAlign w:val="bottom"/>
          </w:tcPr>
          <w:p w14:paraId="77CDD9E9" w14:textId="77777777" w:rsidR="009E2D53" w:rsidRPr="002F7E97" w:rsidRDefault="009E2D53" w:rsidP="0033327F">
            <w:pPr>
              <w:rPr>
                <w:szCs w:val="26"/>
              </w:rPr>
            </w:pPr>
          </w:p>
        </w:tc>
      </w:tr>
      <w:tr w:rsidR="009E2D53" w14:paraId="6BCDBF6E" w14:textId="77777777" w:rsidTr="002F7E97">
        <w:trPr>
          <w:trHeight w:val="1134"/>
        </w:trPr>
        <w:tc>
          <w:tcPr>
            <w:tcW w:w="2268" w:type="dxa"/>
            <w:vAlign w:val="bottom"/>
          </w:tcPr>
          <w:p w14:paraId="0925B995" w14:textId="77777777" w:rsidR="009E2D53" w:rsidRPr="002F7E97" w:rsidRDefault="009E2D53" w:rsidP="0033327F">
            <w:pPr>
              <w:rPr>
                <w:szCs w:val="26"/>
              </w:rPr>
            </w:pPr>
            <w:r w:rsidRPr="002F7E97">
              <w:rPr>
                <w:rFonts w:cs="Arial"/>
                <w:color w:val="1B1B1B"/>
                <w:szCs w:val="26"/>
              </w:rPr>
              <w:t>Sweden </w:t>
            </w:r>
          </w:p>
        </w:tc>
        <w:tc>
          <w:tcPr>
            <w:tcW w:w="2268" w:type="dxa"/>
            <w:vAlign w:val="bottom"/>
          </w:tcPr>
          <w:p w14:paraId="074D4321" w14:textId="77777777" w:rsidR="009E2D53" w:rsidRPr="002F7E97" w:rsidRDefault="009E2D53" w:rsidP="0033327F">
            <w:pPr>
              <w:rPr>
                <w:szCs w:val="26"/>
              </w:rPr>
            </w:pPr>
            <w:r w:rsidRPr="002F7E97">
              <w:rPr>
                <w:color w:val="000000"/>
                <w:szCs w:val="26"/>
              </w:rPr>
              <w:t>https://www.government.se/government-of-sweden/ministry-of-health-and-social-affairs/ </w:t>
            </w:r>
          </w:p>
        </w:tc>
        <w:tc>
          <w:tcPr>
            <w:tcW w:w="2268" w:type="dxa"/>
            <w:vAlign w:val="bottom"/>
          </w:tcPr>
          <w:p w14:paraId="3A14ECBB" w14:textId="77777777" w:rsidR="009E2D53" w:rsidRPr="002F7E97" w:rsidRDefault="009E2D53" w:rsidP="0033327F">
            <w:pPr>
              <w:rPr>
                <w:szCs w:val="26"/>
              </w:rPr>
            </w:pPr>
            <w:r w:rsidRPr="002F7E97">
              <w:rPr>
                <w:color w:val="000000"/>
                <w:szCs w:val="26"/>
              </w:rPr>
              <w:t>N/A</w:t>
            </w:r>
          </w:p>
        </w:tc>
        <w:tc>
          <w:tcPr>
            <w:tcW w:w="2268" w:type="dxa"/>
            <w:vAlign w:val="bottom"/>
          </w:tcPr>
          <w:p w14:paraId="4FCA8E0F" w14:textId="77777777" w:rsidR="009E2D53" w:rsidRPr="002F7E97" w:rsidRDefault="009E2D53" w:rsidP="0033327F">
            <w:pPr>
              <w:rPr>
                <w:color w:val="000000"/>
                <w:szCs w:val="26"/>
              </w:rPr>
            </w:pPr>
            <w:r w:rsidRPr="002F7E97">
              <w:rPr>
                <w:color w:val="000000"/>
                <w:szCs w:val="26"/>
              </w:rPr>
              <w:t xml:space="preserve">Autism Sverige (Autism Sweden); </w:t>
            </w:r>
          </w:p>
          <w:p w14:paraId="28B8C445" w14:textId="77777777" w:rsidR="009E2D53" w:rsidRPr="002F7E97" w:rsidRDefault="009E2D53" w:rsidP="0033327F">
            <w:pPr>
              <w:rPr>
                <w:szCs w:val="26"/>
              </w:rPr>
            </w:pPr>
            <w:r w:rsidRPr="002F7E97">
              <w:rPr>
                <w:color w:val="000000"/>
                <w:szCs w:val="26"/>
              </w:rPr>
              <w:t>RFSL – Swedish Federation for LGBTQI+ Rights</w:t>
            </w:r>
          </w:p>
        </w:tc>
        <w:tc>
          <w:tcPr>
            <w:tcW w:w="2268" w:type="dxa"/>
            <w:vAlign w:val="bottom"/>
          </w:tcPr>
          <w:p w14:paraId="534E5758" w14:textId="77777777" w:rsidR="009E2D53" w:rsidRPr="002F7E97" w:rsidRDefault="009E2D53" w:rsidP="002F7E97">
            <w:pPr>
              <w:spacing w:after="0"/>
              <w:rPr>
                <w:color w:val="000000"/>
                <w:szCs w:val="26"/>
                <w:lang w:eastAsia="en-GB"/>
              </w:rPr>
            </w:pPr>
            <w:r w:rsidRPr="002F7E97">
              <w:rPr>
                <w:color w:val="000000"/>
                <w:szCs w:val="26"/>
              </w:rPr>
              <w:t>Karolinska Institutet</w:t>
            </w:r>
          </w:p>
          <w:p w14:paraId="7F79A15C" w14:textId="77777777" w:rsidR="009E2D53" w:rsidRPr="002F7E97" w:rsidRDefault="009E2D53" w:rsidP="0033327F">
            <w:pPr>
              <w:rPr>
                <w:szCs w:val="26"/>
              </w:rPr>
            </w:pPr>
          </w:p>
        </w:tc>
        <w:tc>
          <w:tcPr>
            <w:tcW w:w="2268" w:type="dxa"/>
            <w:vAlign w:val="bottom"/>
          </w:tcPr>
          <w:p w14:paraId="783030D1" w14:textId="77777777" w:rsidR="009E2D53" w:rsidRPr="002F7E97" w:rsidRDefault="009E2D53" w:rsidP="0033327F">
            <w:pPr>
              <w:rPr>
                <w:szCs w:val="26"/>
              </w:rPr>
            </w:pPr>
          </w:p>
        </w:tc>
      </w:tr>
      <w:tr w:rsidR="009E2D53" w14:paraId="3F7FFB04" w14:textId="77777777" w:rsidTr="002F7E97">
        <w:trPr>
          <w:trHeight w:val="1134"/>
        </w:trPr>
        <w:tc>
          <w:tcPr>
            <w:tcW w:w="2268" w:type="dxa"/>
            <w:vAlign w:val="bottom"/>
          </w:tcPr>
          <w:p w14:paraId="4F35C264" w14:textId="77777777" w:rsidR="009E2D53" w:rsidRPr="002F7E97" w:rsidRDefault="009E2D53" w:rsidP="0033327F">
            <w:pPr>
              <w:rPr>
                <w:szCs w:val="26"/>
              </w:rPr>
            </w:pPr>
            <w:r w:rsidRPr="002F7E97">
              <w:rPr>
                <w:rFonts w:cs="Arial"/>
                <w:color w:val="1B1B1B"/>
                <w:szCs w:val="26"/>
              </w:rPr>
              <w:t>Taiwan </w:t>
            </w:r>
          </w:p>
        </w:tc>
        <w:tc>
          <w:tcPr>
            <w:tcW w:w="2268" w:type="dxa"/>
            <w:vAlign w:val="bottom"/>
          </w:tcPr>
          <w:p w14:paraId="5C6F51AA" w14:textId="77777777" w:rsidR="009E2D53" w:rsidRPr="002F7E97" w:rsidRDefault="009E2D53" w:rsidP="0033327F">
            <w:pPr>
              <w:rPr>
                <w:szCs w:val="26"/>
              </w:rPr>
            </w:pPr>
            <w:r w:rsidRPr="002F7E97">
              <w:rPr>
                <w:color w:val="000000"/>
                <w:szCs w:val="26"/>
              </w:rPr>
              <w:t>https://www.mohw.gov.tw/mp-2.html</w:t>
            </w:r>
          </w:p>
        </w:tc>
        <w:tc>
          <w:tcPr>
            <w:tcW w:w="2268" w:type="dxa"/>
            <w:vAlign w:val="bottom"/>
          </w:tcPr>
          <w:p w14:paraId="359CD0B5" w14:textId="77777777" w:rsidR="009E2D53" w:rsidRPr="002F7E97" w:rsidRDefault="009E2D53" w:rsidP="0033327F">
            <w:pPr>
              <w:rPr>
                <w:szCs w:val="26"/>
              </w:rPr>
            </w:pPr>
            <w:r w:rsidRPr="002F7E97">
              <w:rPr>
                <w:color w:val="000000"/>
                <w:szCs w:val="26"/>
              </w:rPr>
              <w:t>National Health Insurance (NHI)</w:t>
            </w:r>
          </w:p>
        </w:tc>
        <w:tc>
          <w:tcPr>
            <w:tcW w:w="2268" w:type="dxa"/>
            <w:vAlign w:val="bottom"/>
          </w:tcPr>
          <w:p w14:paraId="5BFF8373" w14:textId="77777777" w:rsidR="009E2D53" w:rsidRPr="002F7E97" w:rsidRDefault="009E2D53" w:rsidP="0033327F">
            <w:pPr>
              <w:rPr>
                <w:szCs w:val="26"/>
              </w:rPr>
            </w:pPr>
            <w:r w:rsidRPr="002F7E97">
              <w:rPr>
                <w:color w:val="000000"/>
                <w:szCs w:val="26"/>
              </w:rPr>
              <w:t xml:space="preserve">Autism Society of Taiwan; </w:t>
            </w:r>
          </w:p>
        </w:tc>
        <w:tc>
          <w:tcPr>
            <w:tcW w:w="2268" w:type="dxa"/>
            <w:vAlign w:val="bottom"/>
          </w:tcPr>
          <w:p w14:paraId="7462A87E" w14:textId="77777777" w:rsidR="009E2D53" w:rsidRPr="002F7E97" w:rsidRDefault="009E2D53" w:rsidP="0033327F">
            <w:pPr>
              <w:rPr>
                <w:szCs w:val="26"/>
              </w:rPr>
            </w:pPr>
          </w:p>
        </w:tc>
        <w:tc>
          <w:tcPr>
            <w:tcW w:w="2268" w:type="dxa"/>
            <w:vAlign w:val="bottom"/>
          </w:tcPr>
          <w:p w14:paraId="07E6E230" w14:textId="77777777" w:rsidR="009E2D53" w:rsidRPr="002F7E97" w:rsidRDefault="009E2D53" w:rsidP="0033327F">
            <w:pPr>
              <w:rPr>
                <w:szCs w:val="26"/>
              </w:rPr>
            </w:pPr>
          </w:p>
        </w:tc>
      </w:tr>
      <w:tr w:rsidR="009E2D53" w14:paraId="7859DC9A" w14:textId="77777777" w:rsidTr="002F7E97">
        <w:trPr>
          <w:trHeight w:val="1134"/>
        </w:trPr>
        <w:tc>
          <w:tcPr>
            <w:tcW w:w="2268" w:type="dxa"/>
            <w:vAlign w:val="bottom"/>
          </w:tcPr>
          <w:p w14:paraId="2BCDAF68" w14:textId="77777777" w:rsidR="009E2D53" w:rsidRPr="002F7E97" w:rsidRDefault="009E2D53" w:rsidP="0033327F">
            <w:pPr>
              <w:rPr>
                <w:szCs w:val="26"/>
              </w:rPr>
            </w:pPr>
            <w:r w:rsidRPr="002F7E97">
              <w:rPr>
                <w:rFonts w:cs="Arial"/>
                <w:color w:val="1B1B1B"/>
                <w:szCs w:val="26"/>
              </w:rPr>
              <w:t>United Kingdom </w:t>
            </w:r>
          </w:p>
        </w:tc>
        <w:tc>
          <w:tcPr>
            <w:tcW w:w="2268" w:type="dxa"/>
            <w:vAlign w:val="bottom"/>
          </w:tcPr>
          <w:p w14:paraId="0CCEF24A" w14:textId="77777777" w:rsidR="009E2D53" w:rsidRPr="002F7E97" w:rsidRDefault="009E2D53" w:rsidP="0033327F">
            <w:pPr>
              <w:rPr>
                <w:szCs w:val="26"/>
              </w:rPr>
            </w:pPr>
            <w:r w:rsidRPr="002F7E97">
              <w:rPr>
                <w:color w:val="000000"/>
                <w:szCs w:val="26"/>
              </w:rPr>
              <w:t>https://www.gov.uk/government/organisations/department-of-health-and-social-care</w:t>
            </w:r>
          </w:p>
        </w:tc>
        <w:tc>
          <w:tcPr>
            <w:tcW w:w="2268" w:type="dxa"/>
            <w:vAlign w:val="bottom"/>
          </w:tcPr>
          <w:p w14:paraId="7A31BBA0" w14:textId="77777777" w:rsidR="009E2D53" w:rsidRPr="002F7E97" w:rsidRDefault="009E2D53" w:rsidP="0033327F">
            <w:pPr>
              <w:rPr>
                <w:szCs w:val="26"/>
              </w:rPr>
            </w:pPr>
            <w:r w:rsidRPr="002F7E97">
              <w:rPr>
                <w:szCs w:val="26"/>
                <w:u w:val="single"/>
              </w:rPr>
              <w:t>NHS</w:t>
            </w:r>
          </w:p>
        </w:tc>
        <w:tc>
          <w:tcPr>
            <w:tcW w:w="2268" w:type="dxa"/>
            <w:vAlign w:val="bottom"/>
          </w:tcPr>
          <w:p w14:paraId="60F7D28C" w14:textId="77777777" w:rsidR="009E2D53" w:rsidRPr="002F7E97" w:rsidRDefault="009E2D53" w:rsidP="0033327F">
            <w:pPr>
              <w:rPr>
                <w:color w:val="000000"/>
                <w:szCs w:val="26"/>
              </w:rPr>
            </w:pPr>
            <w:r w:rsidRPr="002F7E97">
              <w:rPr>
                <w:color w:val="000000"/>
                <w:szCs w:val="26"/>
              </w:rPr>
              <w:t xml:space="preserve">Autistic Empire; </w:t>
            </w:r>
          </w:p>
          <w:p w14:paraId="1E553494" w14:textId="77777777" w:rsidR="009E2D53" w:rsidRPr="002F7E97" w:rsidRDefault="009E2D53" w:rsidP="0033327F">
            <w:pPr>
              <w:rPr>
                <w:color w:val="000000"/>
                <w:szCs w:val="26"/>
              </w:rPr>
            </w:pPr>
            <w:r w:rsidRPr="002F7E97">
              <w:rPr>
                <w:color w:val="000000"/>
                <w:szCs w:val="26"/>
              </w:rPr>
              <w:t xml:space="preserve">National Autism Society; </w:t>
            </w:r>
          </w:p>
          <w:p w14:paraId="45CEE4F0" w14:textId="77777777" w:rsidR="009E2D53" w:rsidRPr="002F7E97" w:rsidRDefault="009E2D53" w:rsidP="0033327F">
            <w:pPr>
              <w:rPr>
                <w:color w:val="000000"/>
                <w:szCs w:val="26"/>
              </w:rPr>
            </w:pPr>
            <w:r w:rsidRPr="002F7E97">
              <w:rPr>
                <w:color w:val="000000"/>
                <w:szCs w:val="26"/>
              </w:rPr>
              <w:t xml:space="preserve">Ambitious about Autism; </w:t>
            </w:r>
          </w:p>
          <w:p w14:paraId="2D31967E" w14:textId="77777777" w:rsidR="009E2D53" w:rsidRPr="002F7E97" w:rsidRDefault="009E2D53" w:rsidP="0033327F">
            <w:pPr>
              <w:rPr>
                <w:szCs w:val="26"/>
              </w:rPr>
            </w:pPr>
            <w:r w:rsidRPr="002F7E97">
              <w:rPr>
                <w:color w:val="000000"/>
                <w:szCs w:val="26"/>
              </w:rPr>
              <w:t>Autism Central</w:t>
            </w:r>
          </w:p>
        </w:tc>
        <w:tc>
          <w:tcPr>
            <w:tcW w:w="2268" w:type="dxa"/>
            <w:vAlign w:val="bottom"/>
          </w:tcPr>
          <w:p w14:paraId="6267284D" w14:textId="77777777" w:rsidR="009E2D53" w:rsidRPr="002F7E97" w:rsidRDefault="009E2D53" w:rsidP="002F7E97">
            <w:pPr>
              <w:spacing w:after="0"/>
              <w:rPr>
                <w:color w:val="000000"/>
                <w:szCs w:val="26"/>
              </w:rPr>
            </w:pPr>
            <w:r w:rsidRPr="002F7E97">
              <w:rPr>
                <w:color w:val="000000"/>
                <w:szCs w:val="26"/>
              </w:rPr>
              <w:t xml:space="preserve">University College London; </w:t>
            </w:r>
          </w:p>
          <w:p w14:paraId="2A820B95" w14:textId="77777777" w:rsidR="009E2D53" w:rsidRPr="002F7E97" w:rsidRDefault="009E2D53" w:rsidP="002F7E97">
            <w:pPr>
              <w:spacing w:after="0"/>
              <w:rPr>
                <w:color w:val="000000"/>
                <w:szCs w:val="26"/>
              </w:rPr>
            </w:pPr>
          </w:p>
          <w:p w14:paraId="5A032566" w14:textId="77777777" w:rsidR="009E2D53" w:rsidRPr="002F7E97" w:rsidRDefault="009E2D53" w:rsidP="002F7E97">
            <w:pPr>
              <w:spacing w:after="0"/>
              <w:rPr>
                <w:color w:val="000000"/>
                <w:szCs w:val="26"/>
              </w:rPr>
            </w:pPr>
            <w:r w:rsidRPr="002F7E97">
              <w:rPr>
                <w:color w:val="000000"/>
                <w:szCs w:val="26"/>
              </w:rPr>
              <w:t xml:space="preserve">University of Cambridge; </w:t>
            </w:r>
          </w:p>
          <w:p w14:paraId="45BEA4D4" w14:textId="77777777" w:rsidR="009E2D53" w:rsidRPr="002F7E97" w:rsidRDefault="009E2D53" w:rsidP="002F7E97">
            <w:pPr>
              <w:spacing w:after="0"/>
              <w:rPr>
                <w:color w:val="000000"/>
                <w:szCs w:val="26"/>
              </w:rPr>
            </w:pPr>
          </w:p>
          <w:p w14:paraId="3DC62CA3" w14:textId="77777777" w:rsidR="009E2D53" w:rsidRPr="002F7E97" w:rsidRDefault="009E2D53" w:rsidP="002F7E97">
            <w:pPr>
              <w:spacing w:after="0"/>
              <w:rPr>
                <w:color w:val="000000"/>
                <w:szCs w:val="26"/>
                <w:lang w:eastAsia="en-GB"/>
              </w:rPr>
            </w:pPr>
            <w:r w:rsidRPr="002F7E97">
              <w:rPr>
                <w:color w:val="000000"/>
                <w:szCs w:val="26"/>
              </w:rPr>
              <w:t xml:space="preserve">Kings College London </w:t>
            </w:r>
          </w:p>
          <w:p w14:paraId="76AB37F6" w14:textId="77777777" w:rsidR="009E2D53" w:rsidRPr="002F7E97" w:rsidRDefault="009E2D53" w:rsidP="0033327F">
            <w:pPr>
              <w:rPr>
                <w:szCs w:val="26"/>
              </w:rPr>
            </w:pPr>
          </w:p>
        </w:tc>
        <w:tc>
          <w:tcPr>
            <w:tcW w:w="2268" w:type="dxa"/>
            <w:vAlign w:val="bottom"/>
          </w:tcPr>
          <w:p w14:paraId="218ED4E6" w14:textId="77777777" w:rsidR="009E2D53" w:rsidRPr="002F7E97" w:rsidRDefault="009E2D53" w:rsidP="002F7E97">
            <w:pPr>
              <w:spacing w:after="0"/>
              <w:rPr>
                <w:color w:val="000000"/>
                <w:szCs w:val="26"/>
                <w:lang w:eastAsia="en-GB"/>
              </w:rPr>
            </w:pPr>
            <w:r w:rsidRPr="002F7E97">
              <w:rPr>
                <w:color w:val="000000"/>
                <w:szCs w:val="26"/>
              </w:rPr>
              <w:t xml:space="preserve">Autism Research Centre </w:t>
            </w:r>
          </w:p>
          <w:p w14:paraId="7F8A5132" w14:textId="77777777" w:rsidR="009E2D53" w:rsidRPr="002F7E97" w:rsidRDefault="009E2D53" w:rsidP="0033327F">
            <w:pPr>
              <w:rPr>
                <w:szCs w:val="26"/>
              </w:rPr>
            </w:pPr>
          </w:p>
        </w:tc>
      </w:tr>
      <w:tr w:rsidR="009E2D53" w14:paraId="6BF89A1C" w14:textId="77777777" w:rsidTr="002F7E97">
        <w:trPr>
          <w:trHeight w:val="1134"/>
        </w:trPr>
        <w:tc>
          <w:tcPr>
            <w:tcW w:w="2268" w:type="dxa"/>
            <w:vAlign w:val="bottom"/>
          </w:tcPr>
          <w:p w14:paraId="2A710073" w14:textId="77777777" w:rsidR="009E2D53" w:rsidRPr="002F7E97" w:rsidRDefault="009E2D53" w:rsidP="0033327F">
            <w:pPr>
              <w:rPr>
                <w:szCs w:val="26"/>
              </w:rPr>
            </w:pPr>
            <w:r w:rsidRPr="002F7E97">
              <w:rPr>
                <w:rFonts w:cs="Arial"/>
                <w:color w:val="1B1B1B"/>
                <w:szCs w:val="26"/>
              </w:rPr>
              <w:lastRenderedPageBreak/>
              <w:t>USA </w:t>
            </w:r>
          </w:p>
        </w:tc>
        <w:tc>
          <w:tcPr>
            <w:tcW w:w="2268" w:type="dxa"/>
            <w:vAlign w:val="bottom"/>
          </w:tcPr>
          <w:p w14:paraId="4C2B0309" w14:textId="77777777" w:rsidR="009E2D53" w:rsidRPr="002F7E97" w:rsidRDefault="009E2D53" w:rsidP="0033327F">
            <w:pPr>
              <w:rPr>
                <w:szCs w:val="26"/>
              </w:rPr>
            </w:pPr>
            <w:r w:rsidRPr="002F7E97">
              <w:rPr>
                <w:color w:val="000000"/>
                <w:szCs w:val="26"/>
              </w:rPr>
              <w:t>https://www.hhs.gov/ </w:t>
            </w:r>
          </w:p>
        </w:tc>
        <w:tc>
          <w:tcPr>
            <w:tcW w:w="2268" w:type="dxa"/>
            <w:vAlign w:val="bottom"/>
          </w:tcPr>
          <w:p w14:paraId="29204025" w14:textId="77777777" w:rsidR="009E2D53" w:rsidRPr="002F7E97" w:rsidRDefault="009E2D53" w:rsidP="0033327F">
            <w:pPr>
              <w:rPr>
                <w:szCs w:val="26"/>
              </w:rPr>
            </w:pPr>
            <w:r w:rsidRPr="002F7E97">
              <w:rPr>
                <w:color w:val="000000"/>
                <w:szCs w:val="26"/>
              </w:rPr>
              <w:t>N/A</w:t>
            </w:r>
          </w:p>
        </w:tc>
        <w:tc>
          <w:tcPr>
            <w:tcW w:w="2268" w:type="dxa"/>
            <w:vAlign w:val="bottom"/>
          </w:tcPr>
          <w:p w14:paraId="5549970B" w14:textId="77777777" w:rsidR="009E2D53" w:rsidRPr="002F7E97" w:rsidRDefault="009E2D53" w:rsidP="0033327F">
            <w:pPr>
              <w:rPr>
                <w:color w:val="000000"/>
                <w:szCs w:val="26"/>
              </w:rPr>
            </w:pPr>
            <w:r w:rsidRPr="002F7E97">
              <w:rPr>
                <w:color w:val="000000"/>
                <w:szCs w:val="26"/>
              </w:rPr>
              <w:t xml:space="preserve">FDM; </w:t>
            </w:r>
          </w:p>
          <w:p w14:paraId="03346567" w14:textId="77777777" w:rsidR="009E2D53" w:rsidRPr="002F7E97" w:rsidRDefault="009E2D53" w:rsidP="0033327F">
            <w:pPr>
              <w:rPr>
                <w:color w:val="000000"/>
                <w:szCs w:val="26"/>
              </w:rPr>
            </w:pPr>
            <w:r w:rsidRPr="002F7E97">
              <w:rPr>
                <w:color w:val="000000"/>
                <w:szCs w:val="26"/>
              </w:rPr>
              <w:t>I</w:t>
            </w:r>
            <w:r w:rsidRPr="002F7E97">
              <w:rPr>
                <w:color w:val="000000"/>
                <w:szCs w:val="26"/>
              </w:rPr>
              <w:noBreakHyphen/>
              <w:t xml:space="preserve">ASC; </w:t>
            </w:r>
          </w:p>
          <w:p w14:paraId="0C22E32F" w14:textId="77777777" w:rsidR="009E2D53" w:rsidRPr="002F7E97" w:rsidRDefault="009E2D53" w:rsidP="0033327F">
            <w:pPr>
              <w:rPr>
                <w:szCs w:val="26"/>
              </w:rPr>
            </w:pPr>
            <w:r w:rsidRPr="002F7E97">
              <w:rPr>
                <w:color w:val="000000"/>
                <w:szCs w:val="26"/>
              </w:rPr>
              <w:t>AWN</w:t>
            </w:r>
          </w:p>
        </w:tc>
        <w:tc>
          <w:tcPr>
            <w:tcW w:w="2268" w:type="dxa"/>
            <w:vAlign w:val="bottom"/>
          </w:tcPr>
          <w:p w14:paraId="31722F7C" w14:textId="77777777" w:rsidR="009E2D53" w:rsidRPr="002F7E97" w:rsidRDefault="009E2D53" w:rsidP="002F7E97">
            <w:pPr>
              <w:spacing w:after="0"/>
              <w:rPr>
                <w:color w:val="000000"/>
                <w:szCs w:val="26"/>
                <w:lang w:eastAsia="en-GB"/>
              </w:rPr>
            </w:pPr>
            <w:r w:rsidRPr="002F7E97">
              <w:rPr>
                <w:color w:val="000000"/>
                <w:szCs w:val="26"/>
              </w:rPr>
              <w:t>Harvard Medical School</w:t>
            </w:r>
          </w:p>
          <w:p w14:paraId="0494755E" w14:textId="77777777" w:rsidR="009E2D53" w:rsidRPr="002F7E97" w:rsidRDefault="009E2D53" w:rsidP="0033327F">
            <w:pPr>
              <w:rPr>
                <w:szCs w:val="26"/>
              </w:rPr>
            </w:pPr>
          </w:p>
        </w:tc>
        <w:tc>
          <w:tcPr>
            <w:tcW w:w="2268" w:type="dxa"/>
            <w:vAlign w:val="bottom"/>
          </w:tcPr>
          <w:p w14:paraId="4E674CC2" w14:textId="77777777" w:rsidR="009E2D53" w:rsidRPr="002F7E97" w:rsidRDefault="009E2D53" w:rsidP="0033327F">
            <w:pPr>
              <w:rPr>
                <w:szCs w:val="26"/>
              </w:rPr>
            </w:pPr>
          </w:p>
        </w:tc>
      </w:tr>
      <w:tr w:rsidR="009E2D53" w14:paraId="25994DD8" w14:textId="77777777" w:rsidTr="002F7E97">
        <w:trPr>
          <w:trHeight w:val="1134"/>
        </w:trPr>
        <w:tc>
          <w:tcPr>
            <w:tcW w:w="2268" w:type="dxa"/>
            <w:vAlign w:val="bottom"/>
          </w:tcPr>
          <w:p w14:paraId="3B3D0E6C" w14:textId="77777777" w:rsidR="009E2D53" w:rsidRPr="002F7E97" w:rsidRDefault="009E2D53" w:rsidP="0033327F">
            <w:pPr>
              <w:rPr>
                <w:szCs w:val="26"/>
              </w:rPr>
            </w:pPr>
            <w:r w:rsidRPr="002F7E97">
              <w:rPr>
                <w:rFonts w:cs="Arial"/>
                <w:color w:val="1B1B1B"/>
                <w:szCs w:val="26"/>
              </w:rPr>
              <w:t>Ireland</w:t>
            </w:r>
          </w:p>
        </w:tc>
        <w:tc>
          <w:tcPr>
            <w:tcW w:w="2268" w:type="dxa"/>
            <w:vAlign w:val="bottom"/>
          </w:tcPr>
          <w:p w14:paraId="305F0E97" w14:textId="77777777" w:rsidR="009E2D53" w:rsidRPr="002F7E97" w:rsidRDefault="009E2D53" w:rsidP="0033327F">
            <w:pPr>
              <w:rPr>
                <w:szCs w:val="26"/>
              </w:rPr>
            </w:pPr>
            <w:r w:rsidRPr="002F7E97">
              <w:rPr>
                <w:color w:val="000000"/>
                <w:szCs w:val="26"/>
              </w:rPr>
              <w:t>https://www.gov.ie/en/organisation/department</w:t>
            </w:r>
            <w:r w:rsidRPr="002F7E97">
              <w:rPr>
                <w:color w:val="000000"/>
                <w:szCs w:val="26"/>
              </w:rPr>
              <w:noBreakHyphen/>
              <w:t>of</w:t>
            </w:r>
            <w:r w:rsidRPr="002F7E97">
              <w:rPr>
                <w:color w:val="000000"/>
                <w:szCs w:val="26"/>
              </w:rPr>
              <w:noBreakHyphen/>
              <w:t>health/</w:t>
            </w:r>
          </w:p>
        </w:tc>
        <w:tc>
          <w:tcPr>
            <w:tcW w:w="2268" w:type="dxa"/>
            <w:vAlign w:val="bottom"/>
          </w:tcPr>
          <w:p w14:paraId="49BF8A07" w14:textId="77777777" w:rsidR="009E2D53" w:rsidRPr="002F7E97" w:rsidRDefault="009E2D53" w:rsidP="0033327F">
            <w:pPr>
              <w:rPr>
                <w:szCs w:val="26"/>
              </w:rPr>
            </w:pPr>
            <w:r w:rsidRPr="002F7E97">
              <w:rPr>
                <w:color w:val="000000"/>
                <w:szCs w:val="26"/>
              </w:rPr>
              <w:t xml:space="preserve">HSE </w:t>
            </w:r>
          </w:p>
        </w:tc>
        <w:tc>
          <w:tcPr>
            <w:tcW w:w="2268" w:type="dxa"/>
            <w:vAlign w:val="bottom"/>
          </w:tcPr>
          <w:p w14:paraId="541EF9D8" w14:textId="77777777" w:rsidR="009E2D53" w:rsidRPr="002F7E97" w:rsidRDefault="009E2D53" w:rsidP="0033327F">
            <w:pPr>
              <w:rPr>
                <w:color w:val="000000"/>
                <w:szCs w:val="26"/>
              </w:rPr>
            </w:pPr>
            <w:r w:rsidRPr="002F7E97">
              <w:rPr>
                <w:color w:val="000000"/>
                <w:szCs w:val="26"/>
              </w:rPr>
              <w:t xml:space="preserve">NeuroPride Ireland; </w:t>
            </w:r>
          </w:p>
          <w:p w14:paraId="4363C25D" w14:textId="77777777" w:rsidR="009E2D53" w:rsidRPr="002F7E97" w:rsidRDefault="009E2D53" w:rsidP="0033327F">
            <w:pPr>
              <w:rPr>
                <w:color w:val="000000"/>
                <w:szCs w:val="26"/>
              </w:rPr>
            </w:pPr>
            <w:r w:rsidRPr="002F7E97">
              <w:rPr>
                <w:color w:val="000000"/>
                <w:szCs w:val="26"/>
              </w:rPr>
              <w:t xml:space="preserve">Thriving Autistic; </w:t>
            </w:r>
          </w:p>
          <w:p w14:paraId="65243D07" w14:textId="77777777" w:rsidR="009E2D53" w:rsidRPr="002F7E97" w:rsidRDefault="009E2D53" w:rsidP="0033327F">
            <w:pPr>
              <w:rPr>
                <w:color w:val="000000"/>
                <w:szCs w:val="26"/>
              </w:rPr>
            </w:pPr>
            <w:r w:rsidRPr="002F7E97">
              <w:rPr>
                <w:color w:val="000000"/>
                <w:szCs w:val="26"/>
              </w:rPr>
              <w:t xml:space="preserve">AsIAm; </w:t>
            </w:r>
          </w:p>
          <w:p w14:paraId="3A462E2E" w14:textId="77777777" w:rsidR="009E2D53" w:rsidRPr="002F7E97" w:rsidRDefault="009E2D53" w:rsidP="0033327F">
            <w:pPr>
              <w:rPr>
                <w:color w:val="000000"/>
                <w:szCs w:val="26"/>
              </w:rPr>
            </w:pPr>
            <w:r w:rsidRPr="002F7E97">
              <w:rPr>
                <w:color w:val="000000"/>
                <w:szCs w:val="26"/>
              </w:rPr>
              <w:t xml:space="preserve">Belong To; </w:t>
            </w:r>
          </w:p>
          <w:p w14:paraId="31665F1F" w14:textId="77777777" w:rsidR="009E2D53" w:rsidRPr="002F7E97" w:rsidRDefault="009E2D53" w:rsidP="0033327F">
            <w:pPr>
              <w:rPr>
                <w:color w:val="000000"/>
                <w:szCs w:val="26"/>
              </w:rPr>
            </w:pPr>
            <w:r w:rsidRPr="002F7E97">
              <w:rPr>
                <w:color w:val="000000"/>
                <w:szCs w:val="26"/>
              </w:rPr>
              <w:t xml:space="preserve">LGBT Ireland; </w:t>
            </w:r>
          </w:p>
          <w:p w14:paraId="3F5BFBE2" w14:textId="77777777" w:rsidR="009E2D53" w:rsidRPr="002F7E97" w:rsidRDefault="009E2D53" w:rsidP="0033327F">
            <w:pPr>
              <w:rPr>
                <w:color w:val="000000"/>
                <w:szCs w:val="26"/>
              </w:rPr>
            </w:pPr>
            <w:r w:rsidRPr="002F7E97">
              <w:rPr>
                <w:color w:val="000000"/>
                <w:szCs w:val="26"/>
              </w:rPr>
              <w:t xml:space="preserve">TENI; </w:t>
            </w:r>
          </w:p>
          <w:p w14:paraId="46DADBDA" w14:textId="77777777" w:rsidR="009E2D53" w:rsidRPr="002F7E97" w:rsidRDefault="009E2D53" w:rsidP="0033327F">
            <w:pPr>
              <w:rPr>
                <w:color w:val="000000"/>
                <w:szCs w:val="26"/>
              </w:rPr>
            </w:pPr>
            <w:r w:rsidRPr="002F7E97">
              <w:rPr>
                <w:color w:val="000000"/>
                <w:szCs w:val="26"/>
              </w:rPr>
              <w:t>Irish Society for Autism;</w:t>
            </w:r>
          </w:p>
          <w:p w14:paraId="5531105D" w14:textId="77777777" w:rsidR="009E2D53" w:rsidRPr="002F7E97" w:rsidRDefault="009E2D53" w:rsidP="0033327F">
            <w:pPr>
              <w:rPr>
                <w:szCs w:val="26"/>
              </w:rPr>
            </w:pPr>
            <w:r w:rsidRPr="002F7E97">
              <w:rPr>
                <w:color w:val="000000"/>
                <w:szCs w:val="26"/>
              </w:rPr>
              <w:t>ASPIRE</w:t>
            </w:r>
          </w:p>
        </w:tc>
        <w:tc>
          <w:tcPr>
            <w:tcW w:w="2268" w:type="dxa"/>
            <w:vAlign w:val="bottom"/>
          </w:tcPr>
          <w:p w14:paraId="564D9547" w14:textId="77777777" w:rsidR="009E2D53" w:rsidRPr="002F7E97" w:rsidRDefault="009E2D53" w:rsidP="0033327F">
            <w:pPr>
              <w:rPr>
                <w:szCs w:val="26"/>
              </w:rPr>
            </w:pPr>
          </w:p>
        </w:tc>
        <w:tc>
          <w:tcPr>
            <w:tcW w:w="2268" w:type="dxa"/>
            <w:vAlign w:val="bottom"/>
          </w:tcPr>
          <w:p w14:paraId="7964A84B" w14:textId="77777777" w:rsidR="009E2D53" w:rsidRPr="002F7E97" w:rsidRDefault="009E2D53" w:rsidP="0033327F">
            <w:pPr>
              <w:rPr>
                <w:szCs w:val="26"/>
              </w:rPr>
            </w:pPr>
          </w:p>
        </w:tc>
      </w:tr>
    </w:tbl>
    <w:p w14:paraId="054C100B" w14:textId="77777777" w:rsidR="00B42A7A" w:rsidRDefault="00B42A7A" w:rsidP="3A3A8981">
      <w:pPr>
        <w:jc w:val="center"/>
      </w:pPr>
      <w:r>
        <w:t>Table 2:  Grey Literature Key Websites</w:t>
      </w:r>
    </w:p>
    <w:p w14:paraId="52102ECA" w14:textId="77777777" w:rsidR="4A8220A4" w:rsidRDefault="4A8220A4" w:rsidP="4A8220A4">
      <w:pPr>
        <w:jc w:val="center"/>
        <w:sectPr w:rsidR="4A8220A4" w:rsidSect="009E2D53">
          <w:headerReference w:type="default" r:id="rId21"/>
          <w:headerReference w:type="first" r:id="rId22"/>
          <w:footerReference w:type="first" r:id="rId23"/>
          <w:pgSz w:w="15840" w:h="12240" w:orient="landscape"/>
          <w:pgMar w:top="1800" w:right="1440" w:bottom="1800" w:left="1440" w:header="708" w:footer="708" w:gutter="0"/>
          <w:cols w:space="708"/>
          <w:docGrid w:linePitch="360"/>
        </w:sectPr>
      </w:pPr>
    </w:p>
    <w:p w14:paraId="51DFEF72" w14:textId="77777777" w:rsidR="6570354B" w:rsidRDefault="6570354B" w:rsidP="00164BE1">
      <w:pPr>
        <w:pStyle w:val="Heading2"/>
      </w:pPr>
      <w:bookmarkStart w:id="136" w:name="_Toc214026561"/>
      <w:r>
        <w:lastRenderedPageBreak/>
        <w:t>Appendix 3</w:t>
      </w:r>
      <w:bookmarkEnd w:id="136"/>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2"/>
        <w:gridCol w:w="3079"/>
        <w:gridCol w:w="1689"/>
        <w:gridCol w:w="2033"/>
        <w:gridCol w:w="1409"/>
        <w:gridCol w:w="1407"/>
        <w:gridCol w:w="2125"/>
      </w:tblGrid>
      <w:tr w:rsidR="002C79F7" w:rsidRPr="002C79F7" w14:paraId="1E8E0263" w14:textId="77777777" w:rsidTr="004247AD">
        <w:trPr>
          <w:trHeight w:val="300"/>
          <w:tblHeader/>
        </w:trPr>
        <w:tc>
          <w:tcPr>
            <w:tcW w:w="1185" w:type="dxa"/>
            <w:tcBorders>
              <w:top w:val="single" w:sz="6" w:space="0" w:color="auto"/>
              <w:left w:val="single" w:sz="6" w:space="0" w:color="auto"/>
              <w:bottom w:val="single" w:sz="6" w:space="0" w:color="auto"/>
              <w:right w:val="single" w:sz="6" w:space="0" w:color="auto"/>
            </w:tcBorders>
            <w:vAlign w:val="center"/>
            <w:hideMark/>
          </w:tcPr>
          <w:p w14:paraId="16F1D01E"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Author, Year, Country</w:t>
            </w:r>
            <w:r w:rsidRPr="00702C1F">
              <w:rPr>
                <w:rFonts w:ascii="Arial" w:hAnsi="Arial" w:cs="Arial"/>
                <w:b/>
                <w:color w:val="000000"/>
                <w:szCs w:val="26"/>
                <w:lang w:eastAsia="en-GB"/>
              </w:rPr>
              <w:t> </w:t>
            </w:r>
            <w:r w:rsidRPr="00702C1F">
              <w:rPr>
                <w:rFonts w:cs="Segoe UI"/>
                <w:color w:val="000000"/>
                <w:szCs w:val="26"/>
                <w:lang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55C9D15C"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Aim</w:t>
            </w:r>
            <w:r w:rsidRPr="00702C1F">
              <w:rPr>
                <w:rFonts w:ascii="Arial" w:hAnsi="Arial" w:cs="Arial"/>
                <w:b/>
                <w:color w:val="000000"/>
                <w:szCs w:val="26"/>
                <w:lang w:eastAsia="en-GB"/>
              </w:rPr>
              <w:t> </w:t>
            </w:r>
            <w:r w:rsidRPr="00702C1F">
              <w:rPr>
                <w:rFonts w:cs="Segoe UI"/>
                <w:color w:val="000000"/>
                <w:szCs w:val="26"/>
                <w:lang w:eastAsia="en-GB"/>
              </w:rPr>
              <w:t> </w:t>
            </w:r>
          </w:p>
        </w:tc>
        <w:tc>
          <w:tcPr>
            <w:tcW w:w="1125" w:type="dxa"/>
            <w:tcBorders>
              <w:top w:val="single" w:sz="6" w:space="0" w:color="auto"/>
              <w:left w:val="single" w:sz="6" w:space="0" w:color="auto"/>
              <w:bottom w:val="single" w:sz="6" w:space="0" w:color="auto"/>
              <w:right w:val="single" w:sz="6" w:space="0" w:color="auto"/>
            </w:tcBorders>
            <w:vAlign w:val="center"/>
            <w:hideMark/>
          </w:tcPr>
          <w:p w14:paraId="3A7194AF"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Study Methods</w:t>
            </w:r>
            <w:r w:rsidRPr="00702C1F">
              <w:rPr>
                <w:rFonts w:ascii="Arial" w:hAnsi="Arial" w:cs="Arial"/>
                <w:b/>
                <w:color w:val="000000"/>
                <w:szCs w:val="26"/>
                <w:lang w:eastAsia="en-GB"/>
              </w:rPr>
              <w:t> </w:t>
            </w:r>
            <w:r w:rsidRPr="00702C1F">
              <w:rPr>
                <w:rFonts w:cs="Segoe UI"/>
                <w:color w:val="000000"/>
                <w:szCs w:val="26"/>
                <w:lang w:eastAsia="en-GB"/>
              </w:rPr>
              <w:t> </w:t>
            </w:r>
          </w:p>
        </w:tc>
        <w:tc>
          <w:tcPr>
            <w:tcW w:w="1245" w:type="dxa"/>
            <w:tcBorders>
              <w:top w:val="single" w:sz="6" w:space="0" w:color="auto"/>
              <w:left w:val="single" w:sz="6" w:space="0" w:color="auto"/>
              <w:bottom w:val="single" w:sz="6" w:space="0" w:color="auto"/>
              <w:right w:val="single" w:sz="6" w:space="0" w:color="auto"/>
            </w:tcBorders>
            <w:vAlign w:val="center"/>
            <w:hideMark/>
          </w:tcPr>
          <w:p w14:paraId="3261C462"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Terms used for Autistic pts.</w:t>
            </w:r>
            <w:r w:rsidRPr="00702C1F">
              <w:rPr>
                <w:rFonts w:ascii="Arial" w:hAnsi="Arial" w:cs="Arial"/>
                <w:b/>
                <w:color w:val="000000"/>
                <w:szCs w:val="26"/>
                <w:lang w:eastAsia="en-GB"/>
              </w:rPr>
              <w:t> </w:t>
            </w:r>
            <w:r w:rsidRPr="00702C1F">
              <w:rPr>
                <w:rFonts w:cs="Segoe UI"/>
                <w:color w:val="000000"/>
                <w:szCs w:val="26"/>
                <w:lang w:eastAsia="en-GB"/>
              </w:rPr>
              <w:t> </w:t>
            </w:r>
          </w:p>
        </w:tc>
        <w:tc>
          <w:tcPr>
            <w:tcW w:w="1530" w:type="dxa"/>
            <w:tcBorders>
              <w:top w:val="single" w:sz="6" w:space="0" w:color="auto"/>
              <w:left w:val="single" w:sz="6" w:space="0" w:color="auto"/>
              <w:bottom w:val="single" w:sz="6" w:space="0" w:color="auto"/>
              <w:right w:val="single" w:sz="6" w:space="0" w:color="auto"/>
            </w:tcBorders>
            <w:vAlign w:val="center"/>
            <w:hideMark/>
          </w:tcPr>
          <w:p w14:paraId="6BB7B007"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Population Descriptors</w:t>
            </w:r>
            <w:r w:rsidRPr="00702C1F">
              <w:rPr>
                <w:rFonts w:ascii="Arial" w:hAnsi="Arial" w:cs="Arial"/>
                <w:b/>
                <w:color w:val="000000"/>
                <w:szCs w:val="26"/>
                <w:lang w:eastAsia="en-GB"/>
              </w:rPr>
              <w:t> </w:t>
            </w:r>
            <w:r w:rsidRPr="00702C1F">
              <w:rPr>
                <w:rFonts w:cs="Segoe UI"/>
                <w:color w:val="000000"/>
                <w:szCs w:val="26"/>
                <w:lang w:eastAsia="en-GB"/>
              </w:rPr>
              <w:t> </w:t>
            </w:r>
          </w:p>
        </w:tc>
        <w:tc>
          <w:tcPr>
            <w:tcW w:w="1695" w:type="dxa"/>
            <w:tcBorders>
              <w:top w:val="single" w:sz="6" w:space="0" w:color="auto"/>
              <w:left w:val="single" w:sz="6" w:space="0" w:color="auto"/>
              <w:bottom w:val="single" w:sz="6" w:space="0" w:color="auto"/>
              <w:right w:val="single" w:sz="6" w:space="0" w:color="auto"/>
            </w:tcBorders>
            <w:vAlign w:val="center"/>
            <w:hideMark/>
          </w:tcPr>
          <w:p w14:paraId="00E8E0E0"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Health Disparities</w:t>
            </w:r>
            <w:r w:rsidRPr="00702C1F">
              <w:rPr>
                <w:rFonts w:ascii="Arial" w:hAnsi="Arial" w:cs="Arial"/>
                <w:b/>
                <w:color w:val="000000"/>
                <w:szCs w:val="26"/>
                <w:lang w:eastAsia="en-GB"/>
              </w:rPr>
              <w:t> </w:t>
            </w:r>
            <w:r w:rsidRPr="00702C1F">
              <w:rPr>
                <w:rFonts w:cs="Segoe UI"/>
                <w:color w:val="000000"/>
                <w:szCs w:val="26"/>
                <w:lang w:eastAsia="en-GB"/>
              </w:rPr>
              <w:t> </w:t>
            </w:r>
          </w:p>
        </w:tc>
        <w:tc>
          <w:tcPr>
            <w:tcW w:w="2265" w:type="dxa"/>
            <w:tcBorders>
              <w:top w:val="single" w:sz="6" w:space="0" w:color="auto"/>
              <w:left w:val="single" w:sz="6" w:space="0" w:color="auto"/>
              <w:bottom w:val="single" w:sz="6" w:space="0" w:color="auto"/>
              <w:right w:val="single" w:sz="6" w:space="0" w:color="auto"/>
            </w:tcBorders>
            <w:vAlign w:val="center"/>
            <w:hideMark/>
          </w:tcPr>
          <w:p w14:paraId="0107AD3F" w14:textId="77777777" w:rsidR="002C79F7" w:rsidRPr="00702C1F" w:rsidRDefault="002C79F7" w:rsidP="003F7D80">
            <w:pPr>
              <w:spacing w:after="0"/>
              <w:jc w:val="center"/>
              <w:textAlignment w:val="baseline"/>
              <w:rPr>
                <w:rFonts w:cs="Segoe UI"/>
                <w:color w:val="000000"/>
                <w:szCs w:val="26"/>
                <w:lang w:eastAsia="en-GB"/>
              </w:rPr>
            </w:pPr>
            <w:r w:rsidRPr="00702C1F">
              <w:rPr>
                <w:rFonts w:cs="Segoe UI"/>
                <w:b/>
                <w:color w:val="000000"/>
                <w:szCs w:val="26"/>
                <w:lang w:eastAsia="en-GB"/>
              </w:rPr>
              <w:t>Barriers and Facilitators</w:t>
            </w:r>
            <w:r w:rsidRPr="00702C1F">
              <w:rPr>
                <w:rFonts w:ascii="Arial" w:hAnsi="Arial" w:cs="Arial"/>
                <w:b/>
                <w:color w:val="000000"/>
                <w:szCs w:val="26"/>
                <w:lang w:eastAsia="en-GB"/>
              </w:rPr>
              <w:t> </w:t>
            </w:r>
            <w:r w:rsidRPr="00702C1F">
              <w:rPr>
                <w:rFonts w:cs="Segoe UI"/>
                <w:color w:val="000000"/>
                <w:szCs w:val="26"/>
                <w:lang w:eastAsia="en-GB"/>
              </w:rPr>
              <w:t> </w:t>
            </w:r>
          </w:p>
        </w:tc>
      </w:tr>
      <w:tr w:rsidR="002C79F7" w:rsidRPr="002C79F7" w14:paraId="2E2563AE"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48FE4D4B" w14:textId="77777777" w:rsidR="002C79F7" w:rsidRPr="00702C1F" w:rsidRDefault="00101D9A" w:rsidP="003F7D80">
            <w:pPr>
              <w:spacing w:after="0"/>
              <w:textAlignment w:val="baseline"/>
              <w:rPr>
                <w:rFonts w:cs="Segoe UI"/>
                <w:color w:val="000000"/>
                <w:szCs w:val="26"/>
                <w:lang w:eastAsia="en-GB"/>
              </w:rPr>
            </w:pPr>
            <w:r w:rsidRPr="00702C1F">
              <w:rPr>
                <w:rFonts w:cs="Segoe UI"/>
                <w:color w:val="000000"/>
                <w:szCs w:val="26"/>
                <w:lang w:eastAsia="en-GB"/>
              </w:rPr>
              <w:t>Autism CRC</w:t>
            </w:r>
            <w:r w:rsidR="002C79F7" w:rsidRPr="00702C1F">
              <w:rPr>
                <w:rFonts w:cs="Segoe UI"/>
                <w:color w:val="000000"/>
                <w:szCs w:val="26"/>
                <w:lang w:eastAsia="en-GB"/>
              </w:rPr>
              <w:t xml:space="preserve"> (2024) </w:t>
            </w:r>
          </w:p>
          <w:p w14:paraId="5EE7FFB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Australia </w:t>
            </w:r>
          </w:p>
        </w:tc>
        <w:tc>
          <w:tcPr>
            <w:tcW w:w="1245" w:type="dxa"/>
            <w:tcBorders>
              <w:top w:val="single" w:sz="6" w:space="0" w:color="auto"/>
              <w:left w:val="single" w:sz="6" w:space="0" w:color="auto"/>
              <w:bottom w:val="single" w:sz="6" w:space="0" w:color="auto"/>
              <w:right w:val="single" w:sz="6" w:space="0" w:color="auto"/>
            </w:tcBorders>
            <w:hideMark/>
          </w:tcPr>
          <w:p w14:paraId="0549D9F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Address issues faced by Autistic people in health and mental </w:t>
            </w:r>
            <w:r w:rsidR="00923A42" w:rsidRPr="00702C1F">
              <w:rPr>
                <w:rFonts w:cs="Segoe UI"/>
                <w:color w:val="000000"/>
                <w:szCs w:val="26"/>
                <w:lang w:eastAsia="en-GB"/>
              </w:rPr>
              <w:t>healthcare</w:t>
            </w:r>
            <w:r w:rsidRPr="00702C1F">
              <w:rPr>
                <w:rFonts w:cs="Segoe UI"/>
                <w:color w:val="000000"/>
                <w:szCs w:val="26"/>
                <w:lang w:eastAsia="en-GB"/>
              </w:rPr>
              <w:t xml:space="preserve"> systems; outline actions to improve outcomes </w:t>
            </w:r>
          </w:p>
        </w:tc>
        <w:tc>
          <w:tcPr>
            <w:tcW w:w="1125" w:type="dxa"/>
            <w:tcBorders>
              <w:top w:val="single" w:sz="6" w:space="0" w:color="auto"/>
              <w:left w:val="single" w:sz="6" w:space="0" w:color="auto"/>
              <w:bottom w:val="single" w:sz="6" w:space="0" w:color="auto"/>
              <w:right w:val="single" w:sz="6" w:space="0" w:color="auto"/>
            </w:tcBorders>
            <w:hideMark/>
          </w:tcPr>
          <w:p w14:paraId="7D3B7AF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Mixed Methods </w:t>
            </w:r>
          </w:p>
          <w:p w14:paraId="6DE97CA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Interviews and Focus Groups, Co-design workshops. Retrospect-ive observation-al data collection; Thematic Analysis </w:t>
            </w:r>
          </w:p>
        </w:tc>
        <w:tc>
          <w:tcPr>
            <w:tcW w:w="1245" w:type="dxa"/>
            <w:tcBorders>
              <w:top w:val="single" w:sz="6" w:space="0" w:color="auto"/>
              <w:left w:val="single" w:sz="6" w:space="0" w:color="auto"/>
              <w:bottom w:val="single" w:sz="6" w:space="0" w:color="auto"/>
              <w:right w:val="single" w:sz="6" w:space="0" w:color="auto"/>
            </w:tcBorders>
            <w:hideMark/>
          </w:tcPr>
          <w:p w14:paraId="3160A0A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Person; 'person diagnosed with Autism Spectrum Disorder' </w:t>
            </w:r>
          </w:p>
        </w:tc>
        <w:tc>
          <w:tcPr>
            <w:tcW w:w="1530" w:type="dxa"/>
            <w:tcBorders>
              <w:top w:val="single" w:sz="6" w:space="0" w:color="auto"/>
              <w:left w:val="single" w:sz="6" w:space="0" w:color="auto"/>
              <w:bottom w:val="single" w:sz="6" w:space="0" w:color="auto"/>
              <w:right w:val="single" w:sz="6" w:space="0" w:color="auto"/>
            </w:tcBorders>
            <w:hideMark/>
          </w:tcPr>
          <w:p w14:paraId="62FF521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(n=197): Stakeholders age 18–70; Female (67%), Male (9%), NB (12%), Not disclosed (2%); LGBTQIA+ (n=57) </w:t>
            </w:r>
          </w:p>
        </w:tc>
        <w:tc>
          <w:tcPr>
            <w:tcW w:w="1695" w:type="dxa"/>
            <w:tcBorders>
              <w:top w:val="single" w:sz="6" w:space="0" w:color="auto"/>
              <w:left w:val="single" w:sz="6" w:space="0" w:color="auto"/>
              <w:bottom w:val="single" w:sz="6" w:space="0" w:color="auto"/>
              <w:right w:val="single" w:sz="6" w:space="0" w:color="auto"/>
            </w:tcBorders>
            <w:hideMark/>
          </w:tcPr>
          <w:p w14:paraId="77FC79F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Professionals not believing or trivialising experiences of Autistic LGBTQIA+ </w:t>
            </w:r>
          </w:p>
        </w:tc>
        <w:tc>
          <w:tcPr>
            <w:tcW w:w="2265" w:type="dxa"/>
            <w:tcBorders>
              <w:top w:val="single" w:sz="6" w:space="0" w:color="auto"/>
              <w:left w:val="single" w:sz="6" w:space="0" w:color="auto"/>
              <w:bottom w:val="single" w:sz="6" w:space="0" w:color="auto"/>
              <w:right w:val="single" w:sz="6" w:space="0" w:color="auto"/>
            </w:tcBorders>
            <w:hideMark/>
          </w:tcPr>
          <w:p w14:paraId="2BDFFB7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Provider reluctance to adapt; assumptions about ability/mental health (esp. LGBTIQA+); religion-based restrictions; gaps in reproductive, gender- and sexuality-affirming care </w:t>
            </w:r>
          </w:p>
          <w:p w14:paraId="4ABF762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Patient, non-judgmental providers; Autism Connect; advocacy support; provider understanding improving perceived competency </w:t>
            </w:r>
          </w:p>
        </w:tc>
      </w:tr>
      <w:tr w:rsidR="002C79F7" w:rsidRPr="002C79F7" w14:paraId="4B063ACE"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B6DE10D" w14:textId="77777777" w:rsidR="002C79F7" w:rsidRPr="00164BE1" w:rsidRDefault="002C79F7" w:rsidP="003F7D80">
            <w:pPr>
              <w:spacing w:after="0"/>
              <w:textAlignment w:val="baseline"/>
              <w:rPr>
                <w:rFonts w:cs="Segoe UI"/>
                <w:color w:val="000000"/>
                <w:szCs w:val="26"/>
                <w:lang w:val="nb-NO" w:eastAsia="en-GB"/>
              </w:rPr>
            </w:pPr>
            <w:r w:rsidRPr="00164BE1">
              <w:rPr>
                <w:rFonts w:cs="Segoe UI"/>
                <w:color w:val="000000"/>
                <w:szCs w:val="26"/>
                <w:lang w:val="nb-NO" w:eastAsia="en-GB"/>
              </w:rPr>
              <w:t>Koffer Miller et al. (2022) </w:t>
            </w:r>
          </w:p>
          <w:p w14:paraId="715F9D91" w14:textId="77777777" w:rsidR="002C79F7" w:rsidRPr="00164BE1" w:rsidRDefault="002C79F7" w:rsidP="003F7D80">
            <w:pPr>
              <w:spacing w:after="0"/>
              <w:textAlignment w:val="baseline"/>
              <w:rPr>
                <w:rFonts w:cs="Segoe UI"/>
                <w:color w:val="000000"/>
                <w:szCs w:val="26"/>
                <w:lang w:val="nb-NO" w:eastAsia="en-GB"/>
              </w:rPr>
            </w:pPr>
            <w:r w:rsidRPr="00164BE1">
              <w:rPr>
                <w:rFonts w:cs="Segoe UI"/>
                <w:color w:val="000000"/>
                <w:szCs w:val="26"/>
                <w:lang w:val="nb-NO"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7C2CA89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“To examine gender differences in unmet service needs and perceived barriers to accessing services” (p. 2) </w:t>
            </w:r>
          </w:p>
        </w:tc>
        <w:tc>
          <w:tcPr>
            <w:tcW w:w="1125" w:type="dxa"/>
            <w:tcBorders>
              <w:top w:val="single" w:sz="6" w:space="0" w:color="auto"/>
              <w:left w:val="single" w:sz="6" w:space="0" w:color="auto"/>
              <w:bottom w:val="single" w:sz="6" w:space="0" w:color="auto"/>
              <w:right w:val="single" w:sz="6" w:space="0" w:color="auto"/>
            </w:tcBorders>
            <w:hideMark/>
          </w:tcPr>
          <w:p w14:paraId="584D0F8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Survey </w:t>
            </w:r>
          </w:p>
          <w:p w14:paraId="1F5AC54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Linear regression, descriptive </w:t>
            </w:r>
            <w:r w:rsidRPr="00702C1F">
              <w:rPr>
                <w:rFonts w:cs="Segoe UI"/>
                <w:color w:val="000000"/>
                <w:szCs w:val="26"/>
                <w:lang w:eastAsia="en-GB"/>
              </w:rPr>
              <w:lastRenderedPageBreak/>
              <w:t>statistics, adjusted co-variate-adjusted analysis </w:t>
            </w:r>
          </w:p>
        </w:tc>
        <w:tc>
          <w:tcPr>
            <w:tcW w:w="1245" w:type="dxa"/>
            <w:tcBorders>
              <w:top w:val="single" w:sz="6" w:space="0" w:color="auto"/>
              <w:left w:val="single" w:sz="6" w:space="0" w:color="auto"/>
              <w:bottom w:val="single" w:sz="6" w:space="0" w:color="auto"/>
              <w:right w:val="single" w:sz="6" w:space="0" w:color="auto"/>
            </w:tcBorders>
            <w:hideMark/>
          </w:tcPr>
          <w:p w14:paraId="784F16F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autism spectrum disorder'; 'ASD'; 'autistic women/men'; </w:t>
            </w:r>
            <w:r w:rsidRPr="00702C1F">
              <w:rPr>
                <w:rFonts w:cs="Segoe UI"/>
                <w:color w:val="000000"/>
                <w:szCs w:val="26"/>
                <w:lang w:eastAsia="en-GB"/>
              </w:rPr>
              <w:lastRenderedPageBreak/>
              <w:t>'autistic individuals';  'autistic adults';  </w:t>
            </w:r>
          </w:p>
        </w:tc>
        <w:tc>
          <w:tcPr>
            <w:tcW w:w="1530" w:type="dxa"/>
            <w:tcBorders>
              <w:top w:val="single" w:sz="6" w:space="0" w:color="auto"/>
              <w:left w:val="single" w:sz="6" w:space="0" w:color="auto"/>
              <w:bottom w:val="single" w:sz="6" w:space="0" w:color="auto"/>
              <w:right w:val="single" w:sz="6" w:space="0" w:color="auto"/>
            </w:tcBorders>
            <w:hideMark/>
          </w:tcPr>
          <w:p w14:paraId="0D30402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Sample (n=1,204): Autistic adults, mean </w:t>
            </w:r>
            <w:r w:rsidRPr="00702C1F">
              <w:rPr>
                <w:rFonts w:cs="Segoe UI"/>
                <w:color w:val="000000"/>
                <w:szCs w:val="26"/>
                <w:lang w:eastAsia="en-GB"/>
              </w:rPr>
              <w:lastRenderedPageBreak/>
              <w:t>age ≈28; Men (70%), Women (27%), Other (3%) </w:t>
            </w:r>
          </w:p>
        </w:tc>
        <w:tc>
          <w:tcPr>
            <w:tcW w:w="1695" w:type="dxa"/>
            <w:tcBorders>
              <w:top w:val="single" w:sz="6" w:space="0" w:color="auto"/>
              <w:left w:val="single" w:sz="6" w:space="0" w:color="auto"/>
              <w:bottom w:val="single" w:sz="6" w:space="0" w:color="auto"/>
              <w:right w:val="single" w:sz="6" w:space="0" w:color="auto"/>
            </w:tcBorders>
            <w:hideMark/>
          </w:tcPr>
          <w:p w14:paraId="0F1A8E0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High rates of unmet services (counselling, </w:t>
            </w:r>
            <w:r w:rsidRPr="00702C1F">
              <w:rPr>
                <w:rFonts w:cs="Segoe UI"/>
                <w:color w:val="000000"/>
                <w:szCs w:val="26"/>
                <w:lang w:eastAsia="en-GB"/>
              </w:rPr>
              <w:lastRenderedPageBreak/>
              <w:t>therapy, medical, vocational, behavioural, co-ordination); most pts. experienced ≥ one unmet service; smaller subgroups had highest unmet needs </w:t>
            </w:r>
          </w:p>
        </w:tc>
        <w:tc>
          <w:tcPr>
            <w:tcW w:w="2265" w:type="dxa"/>
            <w:tcBorders>
              <w:top w:val="single" w:sz="6" w:space="0" w:color="auto"/>
              <w:left w:val="single" w:sz="6" w:space="0" w:color="auto"/>
              <w:bottom w:val="single" w:sz="6" w:space="0" w:color="auto"/>
              <w:right w:val="single" w:sz="6" w:space="0" w:color="auto"/>
            </w:tcBorders>
            <w:hideMark/>
          </w:tcPr>
          <w:p w14:paraId="08C6BB2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Barriers: Transportation, scheduling, provider shortages, </w:t>
            </w:r>
            <w:r w:rsidRPr="00702C1F">
              <w:rPr>
                <w:rFonts w:cs="Segoe UI"/>
                <w:color w:val="000000"/>
                <w:szCs w:val="26"/>
                <w:lang w:eastAsia="en-GB"/>
              </w:rPr>
              <w:lastRenderedPageBreak/>
              <w:t>cost/insurance issues; Autism- or mental health–related refusal; most reported no barriers (less common in smaller subgroups) </w:t>
            </w:r>
          </w:p>
        </w:tc>
      </w:tr>
      <w:tr w:rsidR="002C79F7" w:rsidRPr="002C79F7" w14:paraId="4C7343C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490ACBC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Ali et al. (2022) </w:t>
            </w:r>
          </w:p>
          <w:p w14:paraId="3E393E9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35229C1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Understand experiences of autistic adults, family members and carers, and service providers </w:t>
            </w:r>
          </w:p>
        </w:tc>
        <w:tc>
          <w:tcPr>
            <w:tcW w:w="1125" w:type="dxa"/>
            <w:tcBorders>
              <w:top w:val="single" w:sz="6" w:space="0" w:color="auto"/>
              <w:left w:val="single" w:sz="6" w:space="0" w:color="auto"/>
              <w:bottom w:val="single" w:sz="6" w:space="0" w:color="auto"/>
              <w:right w:val="single" w:sz="6" w:space="0" w:color="auto"/>
            </w:tcBorders>
            <w:hideMark/>
          </w:tcPr>
          <w:p w14:paraId="0BCA0C0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In-depth remote interviews </w:t>
            </w:r>
          </w:p>
          <w:p w14:paraId="613BFF7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Thematic Analysis </w:t>
            </w:r>
          </w:p>
        </w:tc>
        <w:tc>
          <w:tcPr>
            <w:tcW w:w="1245" w:type="dxa"/>
            <w:tcBorders>
              <w:top w:val="single" w:sz="6" w:space="0" w:color="auto"/>
              <w:left w:val="single" w:sz="6" w:space="0" w:color="auto"/>
              <w:bottom w:val="single" w:sz="6" w:space="0" w:color="auto"/>
              <w:right w:val="single" w:sz="6" w:space="0" w:color="auto"/>
            </w:tcBorders>
            <w:hideMark/>
          </w:tcPr>
          <w:p w14:paraId="55C48EC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w:t>
            </w:r>
          </w:p>
        </w:tc>
        <w:tc>
          <w:tcPr>
            <w:tcW w:w="1530" w:type="dxa"/>
            <w:tcBorders>
              <w:top w:val="single" w:sz="6" w:space="0" w:color="auto"/>
              <w:left w:val="single" w:sz="6" w:space="0" w:color="auto"/>
              <w:bottom w:val="single" w:sz="6" w:space="0" w:color="auto"/>
              <w:right w:val="single" w:sz="6" w:space="0" w:color="auto"/>
            </w:tcBorders>
            <w:hideMark/>
          </w:tcPr>
          <w:p w14:paraId="70A5A57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Sample (n= 24): Autistic pts. (n=11) age 26–75, Male (n=5), Female (n=6); Autistic adults reported by </w:t>
            </w:r>
            <w:r w:rsidRPr="00702C1F">
              <w:rPr>
                <w:rFonts w:cs="Segoe UI"/>
                <w:color w:val="000000"/>
                <w:szCs w:val="26"/>
                <w:lang w:eastAsia="en-GB"/>
              </w:rPr>
              <w:lastRenderedPageBreak/>
              <w:t>families (n= 7): age 18–25, Male (n=4), Female (n=3); Service providers (n=6): Male (n=2), Female (n=4) </w:t>
            </w:r>
          </w:p>
        </w:tc>
        <w:tc>
          <w:tcPr>
            <w:tcW w:w="1695" w:type="dxa"/>
            <w:tcBorders>
              <w:top w:val="single" w:sz="6" w:space="0" w:color="auto"/>
              <w:left w:val="single" w:sz="6" w:space="0" w:color="auto"/>
              <w:bottom w:val="single" w:sz="6" w:space="0" w:color="auto"/>
              <w:right w:val="single" w:sz="6" w:space="0" w:color="auto"/>
            </w:tcBorders>
            <w:hideMark/>
          </w:tcPr>
          <w:p w14:paraId="1DC9527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High burden of co-occurring conditions, incl. range of physical health issues, common mental health issues </w:t>
            </w:r>
            <w:r w:rsidRPr="00702C1F">
              <w:rPr>
                <w:rFonts w:cs="Segoe UI"/>
                <w:color w:val="000000"/>
                <w:szCs w:val="26"/>
                <w:lang w:eastAsia="en-GB"/>
              </w:rPr>
              <w:lastRenderedPageBreak/>
              <w:t>and learning or developmental struggles </w:t>
            </w:r>
          </w:p>
        </w:tc>
        <w:tc>
          <w:tcPr>
            <w:tcW w:w="2265" w:type="dxa"/>
            <w:tcBorders>
              <w:top w:val="single" w:sz="6" w:space="0" w:color="auto"/>
              <w:left w:val="single" w:sz="6" w:space="0" w:color="auto"/>
              <w:bottom w:val="single" w:sz="6" w:space="0" w:color="auto"/>
              <w:right w:val="single" w:sz="6" w:space="0" w:color="auto"/>
            </w:tcBorders>
            <w:hideMark/>
          </w:tcPr>
          <w:p w14:paraId="4F6CAA4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Barriers: Fear and mistrust of healthcare providers led to reluctance to seek care </w:t>
            </w:r>
          </w:p>
          <w:p w14:paraId="16CCDE2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Note: Some pts. were included in multiple categories </w:t>
            </w:r>
            <w:r w:rsidRPr="00702C1F">
              <w:rPr>
                <w:rFonts w:cs="Segoe UI"/>
                <w:color w:val="000000"/>
                <w:szCs w:val="26"/>
                <w:lang w:eastAsia="en-GB"/>
              </w:rPr>
              <w:lastRenderedPageBreak/>
              <w:t>due to overlapping identities </w:t>
            </w:r>
          </w:p>
        </w:tc>
      </w:tr>
      <w:tr w:rsidR="002C79F7" w:rsidRPr="002C79F7" w14:paraId="0A4033C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7CFBF95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Strang et al. (2021) </w:t>
            </w:r>
          </w:p>
          <w:p w14:paraId="699871F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1858ECF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Develop key stakeholder-driven clinical group program with  </w:t>
            </w:r>
          </w:p>
        </w:tc>
        <w:tc>
          <w:tcPr>
            <w:tcW w:w="1125" w:type="dxa"/>
            <w:tcBorders>
              <w:top w:val="single" w:sz="6" w:space="0" w:color="auto"/>
              <w:left w:val="single" w:sz="6" w:space="0" w:color="auto"/>
              <w:bottom w:val="single" w:sz="6" w:space="0" w:color="auto"/>
              <w:right w:val="single" w:sz="6" w:space="0" w:color="auto"/>
            </w:tcBorders>
            <w:hideMark/>
          </w:tcPr>
          <w:p w14:paraId="2687B09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Multi-stage  community-based participato-ry research </w:t>
            </w:r>
          </w:p>
          <w:p w14:paraId="3E8DC00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Framework analysis </w:t>
            </w:r>
          </w:p>
        </w:tc>
        <w:tc>
          <w:tcPr>
            <w:tcW w:w="1245" w:type="dxa"/>
            <w:tcBorders>
              <w:top w:val="single" w:sz="6" w:space="0" w:color="auto"/>
              <w:left w:val="single" w:sz="6" w:space="0" w:color="auto"/>
              <w:bottom w:val="single" w:sz="6" w:space="0" w:color="auto"/>
              <w:right w:val="single" w:sz="6" w:space="0" w:color="auto"/>
            </w:tcBorders>
            <w:hideMark/>
          </w:tcPr>
          <w:p w14:paraId="5F0BE6F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Neurodiverse/Autistic Adolescents, </w:t>
            </w:r>
          </w:p>
        </w:tc>
        <w:tc>
          <w:tcPr>
            <w:tcW w:w="1530" w:type="dxa"/>
            <w:tcBorders>
              <w:top w:val="single" w:sz="6" w:space="0" w:color="auto"/>
              <w:left w:val="single" w:sz="6" w:space="0" w:color="auto"/>
              <w:bottom w:val="single" w:sz="6" w:space="0" w:color="auto"/>
              <w:right w:val="single" w:sz="6" w:space="0" w:color="auto"/>
            </w:tcBorders>
            <w:hideMark/>
          </w:tcPr>
          <w:p w14:paraId="66A779B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(n=31): adolescents, age 12-19; diagnosed Autistic (n=24);  Binary Trans Female (n=16), Binary Trans Male (n=11), NB (n=4) </w:t>
            </w:r>
          </w:p>
        </w:tc>
        <w:tc>
          <w:tcPr>
            <w:tcW w:w="1695" w:type="dxa"/>
            <w:tcBorders>
              <w:top w:val="single" w:sz="6" w:space="0" w:color="auto"/>
              <w:left w:val="single" w:sz="6" w:space="0" w:color="auto"/>
              <w:bottom w:val="single" w:sz="6" w:space="0" w:color="auto"/>
              <w:right w:val="single" w:sz="6" w:space="0" w:color="auto"/>
            </w:tcBorders>
            <w:hideMark/>
          </w:tcPr>
          <w:p w14:paraId="41F4B32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Emotional distress from unequal access to GAC, including feelings of hurt, anger and jealousy </w:t>
            </w:r>
          </w:p>
        </w:tc>
        <w:tc>
          <w:tcPr>
            <w:tcW w:w="2265" w:type="dxa"/>
            <w:tcBorders>
              <w:top w:val="single" w:sz="6" w:space="0" w:color="auto"/>
              <w:left w:val="single" w:sz="6" w:space="0" w:color="auto"/>
              <w:bottom w:val="single" w:sz="6" w:space="0" w:color="auto"/>
              <w:right w:val="single" w:sz="6" w:space="0" w:color="auto"/>
            </w:tcBorders>
            <w:hideMark/>
          </w:tcPr>
          <w:p w14:paraId="638A957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Unmet need for gender affirming medical interventions </w:t>
            </w:r>
          </w:p>
          <w:p w14:paraId="569416E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Exposure to Trans/Autistic role models; Autism-informed comm. and social skills support </w:t>
            </w:r>
          </w:p>
        </w:tc>
      </w:tr>
      <w:tr w:rsidR="002C79F7" w:rsidRPr="002C79F7" w14:paraId="22EF856A"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5C0F1D2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Putnam et al. (2023) </w:t>
            </w:r>
          </w:p>
          <w:p w14:paraId="4ADF36E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704A9A9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Identify how different gender groups identify their priorities in Autism research </w:t>
            </w:r>
          </w:p>
        </w:tc>
        <w:tc>
          <w:tcPr>
            <w:tcW w:w="1125" w:type="dxa"/>
            <w:tcBorders>
              <w:top w:val="single" w:sz="6" w:space="0" w:color="auto"/>
              <w:left w:val="single" w:sz="6" w:space="0" w:color="auto"/>
              <w:bottom w:val="single" w:sz="6" w:space="0" w:color="auto"/>
              <w:right w:val="single" w:sz="6" w:space="0" w:color="auto"/>
            </w:tcBorders>
            <w:hideMark/>
          </w:tcPr>
          <w:p w14:paraId="7919FFD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Mixed methods: survey with free text questions </w:t>
            </w:r>
          </w:p>
          <w:p w14:paraId="75793C6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Content Analysis </w:t>
            </w:r>
          </w:p>
        </w:tc>
        <w:tc>
          <w:tcPr>
            <w:tcW w:w="1245" w:type="dxa"/>
            <w:tcBorders>
              <w:top w:val="single" w:sz="6" w:space="0" w:color="auto"/>
              <w:left w:val="single" w:sz="6" w:space="0" w:color="auto"/>
              <w:bottom w:val="single" w:sz="6" w:space="0" w:color="auto"/>
              <w:right w:val="single" w:sz="6" w:space="0" w:color="auto"/>
            </w:tcBorders>
            <w:hideMark/>
          </w:tcPr>
          <w:p w14:paraId="470F8FD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adults, neurodiver-sity </w:t>
            </w:r>
          </w:p>
        </w:tc>
        <w:tc>
          <w:tcPr>
            <w:tcW w:w="1530" w:type="dxa"/>
            <w:tcBorders>
              <w:top w:val="single" w:sz="6" w:space="0" w:color="auto"/>
              <w:left w:val="single" w:sz="6" w:space="0" w:color="auto"/>
              <w:bottom w:val="single" w:sz="6" w:space="0" w:color="auto"/>
              <w:right w:val="single" w:sz="6" w:space="0" w:color="auto"/>
            </w:tcBorders>
            <w:hideMark/>
          </w:tcPr>
          <w:p w14:paraId="3B0E032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(n=71): Autistic adults, age 18 -79; Women (n=29), Men (n=18), NB (n=24) </w:t>
            </w:r>
          </w:p>
        </w:tc>
        <w:tc>
          <w:tcPr>
            <w:tcW w:w="1695" w:type="dxa"/>
            <w:tcBorders>
              <w:top w:val="single" w:sz="6" w:space="0" w:color="auto"/>
              <w:left w:val="single" w:sz="6" w:space="0" w:color="auto"/>
              <w:bottom w:val="single" w:sz="6" w:space="0" w:color="auto"/>
              <w:right w:val="single" w:sz="6" w:space="0" w:color="auto"/>
            </w:tcBorders>
            <w:hideMark/>
          </w:tcPr>
          <w:p w14:paraId="239B8CB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NB pts. reported challenges with “male Autism standard” and highlighted overlap of Autism and trauma in care needs </w:t>
            </w:r>
          </w:p>
        </w:tc>
        <w:tc>
          <w:tcPr>
            <w:tcW w:w="2265" w:type="dxa"/>
            <w:tcBorders>
              <w:top w:val="single" w:sz="6" w:space="0" w:color="auto"/>
              <w:left w:val="single" w:sz="6" w:space="0" w:color="auto"/>
              <w:bottom w:val="single" w:sz="6" w:space="0" w:color="auto"/>
              <w:right w:val="single" w:sz="6" w:space="0" w:color="auto"/>
            </w:tcBorders>
            <w:hideMark/>
          </w:tcPr>
          <w:p w14:paraId="21712B8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limited affordability of healthcare. </w:t>
            </w:r>
          </w:p>
          <w:p w14:paraId="0D9EDF7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Provider training, accom. for autistic people, and attention to autistic perspectives on current treatments. </w:t>
            </w:r>
          </w:p>
        </w:tc>
      </w:tr>
      <w:tr w:rsidR="002C79F7" w:rsidRPr="002C79F7" w14:paraId="23E38BDE"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59DDFB4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O’Shea et al. (2020) </w:t>
            </w:r>
          </w:p>
          <w:p w14:paraId="33FE202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Australia </w:t>
            </w:r>
          </w:p>
        </w:tc>
        <w:tc>
          <w:tcPr>
            <w:tcW w:w="1245" w:type="dxa"/>
            <w:tcBorders>
              <w:top w:val="single" w:sz="6" w:space="0" w:color="auto"/>
              <w:left w:val="single" w:sz="6" w:space="0" w:color="auto"/>
              <w:bottom w:val="single" w:sz="6" w:space="0" w:color="auto"/>
              <w:right w:val="single" w:sz="6" w:space="0" w:color="auto"/>
            </w:tcBorders>
            <w:hideMark/>
          </w:tcPr>
          <w:p w14:paraId="37250D1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Examine the experience of LGBTQIA+ disabled people accessing health services </w:t>
            </w:r>
          </w:p>
        </w:tc>
        <w:tc>
          <w:tcPr>
            <w:tcW w:w="1125" w:type="dxa"/>
            <w:tcBorders>
              <w:top w:val="single" w:sz="6" w:space="0" w:color="auto"/>
              <w:left w:val="single" w:sz="6" w:space="0" w:color="auto"/>
              <w:bottom w:val="single" w:sz="6" w:space="0" w:color="auto"/>
              <w:right w:val="single" w:sz="6" w:space="0" w:color="auto"/>
            </w:tcBorders>
            <w:hideMark/>
          </w:tcPr>
          <w:p w14:paraId="2374857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Participato-ry action research: focus group  </w:t>
            </w:r>
          </w:p>
          <w:p w14:paraId="4831436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Thematic Analysis </w:t>
            </w:r>
          </w:p>
        </w:tc>
        <w:tc>
          <w:tcPr>
            <w:tcW w:w="1245" w:type="dxa"/>
            <w:tcBorders>
              <w:top w:val="single" w:sz="6" w:space="0" w:color="auto"/>
              <w:left w:val="single" w:sz="6" w:space="0" w:color="auto"/>
              <w:bottom w:val="single" w:sz="6" w:space="0" w:color="auto"/>
              <w:right w:val="single" w:sz="6" w:space="0" w:color="auto"/>
            </w:tcBorders>
            <w:hideMark/>
          </w:tcPr>
          <w:p w14:paraId="24F4AFF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Autism Spectrum Disorders, Autism </w:t>
            </w:r>
          </w:p>
        </w:tc>
        <w:tc>
          <w:tcPr>
            <w:tcW w:w="1530" w:type="dxa"/>
            <w:tcBorders>
              <w:top w:val="single" w:sz="6" w:space="0" w:color="auto"/>
              <w:left w:val="single" w:sz="6" w:space="0" w:color="auto"/>
              <w:bottom w:val="single" w:sz="6" w:space="0" w:color="auto"/>
              <w:right w:val="single" w:sz="6" w:space="0" w:color="auto"/>
            </w:tcBorders>
            <w:hideMark/>
          </w:tcPr>
          <w:p w14:paraId="5A0EC0B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(n=29): self-identified disabled LGBTQIA+ adults, age 18+ </w:t>
            </w:r>
          </w:p>
          <w:p w14:paraId="0303F23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4970EC1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Managing multiple identities makes accessing care, (especially the right care) difficult </w:t>
            </w:r>
          </w:p>
        </w:tc>
        <w:tc>
          <w:tcPr>
            <w:tcW w:w="2265" w:type="dxa"/>
            <w:tcBorders>
              <w:top w:val="single" w:sz="6" w:space="0" w:color="auto"/>
              <w:left w:val="single" w:sz="6" w:space="0" w:color="auto"/>
              <w:bottom w:val="single" w:sz="6" w:space="0" w:color="auto"/>
              <w:right w:val="single" w:sz="6" w:space="0" w:color="auto"/>
            </w:tcBorders>
            <w:hideMark/>
          </w:tcPr>
          <w:p w14:paraId="0C1F329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plethora of Community Supports and Peer support to assist in navigating services </w:t>
            </w:r>
          </w:p>
        </w:tc>
      </w:tr>
      <w:tr w:rsidR="002C79F7" w:rsidRPr="002C79F7" w14:paraId="04C95F00"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B79770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Hillier et al. (2020) </w:t>
            </w:r>
          </w:p>
          <w:p w14:paraId="2DD8F86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77BF4B2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To improve understand-ing of Autistic LGBTQIA+ people’s experiences </w:t>
            </w:r>
            <w:r w:rsidRPr="00702C1F">
              <w:rPr>
                <w:rFonts w:cs="Segoe UI"/>
                <w:color w:val="000000"/>
                <w:szCs w:val="26"/>
                <w:lang w:eastAsia="en-GB"/>
              </w:rPr>
              <w:lastRenderedPageBreak/>
              <w:t>especially intersection-al challenges  </w:t>
            </w:r>
          </w:p>
        </w:tc>
        <w:tc>
          <w:tcPr>
            <w:tcW w:w="1125" w:type="dxa"/>
            <w:tcBorders>
              <w:top w:val="single" w:sz="6" w:space="0" w:color="auto"/>
              <w:left w:val="single" w:sz="6" w:space="0" w:color="auto"/>
              <w:bottom w:val="single" w:sz="6" w:space="0" w:color="auto"/>
              <w:right w:val="single" w:sz="6" w:space="0" w:color="auto"/>
            </w:tcBorders>
            <w:hideMark/>
          </w:tcPr>
          <w:p w14:paraId="00B41EE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Focus group </w:t>
            </w:r>
          </w:p>
          <w:p w14:paraId="1912025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Thematic Analysis </w:t>
            </w:r>
          </w:p>
        </w:tc>
        <w:tc>
          <w:tcPr>
            <w:tcW w:w="1245" w:type="dxa"/>
            <w:tcBorders>
              <w:top w:val="single" w:sz="6" w:space="0" w:color="auto"/>
              <w:left w:val="single" w:sz="6" w:space="0" w:color="auto"/>
              <w:bottom w:val="single" w:sz="6" w:space="0" w:color="auto"/>
              <w:right w:val="single" w:sz="6" w:space="0" w:color="auto"/>
            </w:tcBorders>
            <w:hideMark/>
          </w:tcPr>
          <w:p w14:paraId="62F0CAE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Autism Spectrum Disorder; adults who are on the </w:t>
            </w:r>
            <w:r w:rsidRPr="00702C1F">
              <w:rPr>
                <w:rFonts w:cs="Segoe UI"/>
                <w:color w:val="000000"/>
                <w:szCs w:val="26"/>
                <w:lang w:eastAsia="en-GB"/>
              </w:rPr>
              <w:lastRenderedPageBreak/>
              <w:t>autism spectrum; ASD </w:t>
            </w:r>
          </w:p>
        </w:tc>
        <w:tc>
          <w:tcPr>
            <w:tcW w:w="1530" w:type="dxa"/>
            <w:tcBorders>
              <w:top w:val="single" w:sz="6" w:space="0" w:color="auto"/>
              <w:left w:val="single" w:sz="6" w:space="0" w:color="auto"/>
              <w:bottom w:val="single" w:sz="6" w:space="0" w:color="auto"/>
              <w:right w:val="single" w:sz="6" w:space="0" w:color="auto"/>
            </w:tcBorders>
            <w:hideMark/>
          </w:tcPr>
          <w:p w14:paraId="4AA5CD1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Sample (n=4): self-identified </w:t>
            </w:r>
            <w:r w:rsidRPr="00702C1F">
              <w:rPr>
                <w:rFonts w:cs="Segoe UI"/>
                <w:color w:val="000000"/>
                <w:szCs w:val="26"/>
                <w:lang w:eastAsia="en-GB"/>
              </w:rPr>
              <w:lastRenderedPageBreak/>
              <w:t>LGBTQ+ and having ASD, age 20-38 </w:t>
            </w:r>
          </w:p>
        </w:tc>
        <w:tc>
          <w:tcPr>
            <w:tcW w:w="1695" w:type="dxa"/>
            <w:tcBorders>
              <w:top w:val="single" w:sz="6" w:space="0" w:color="auto"/>
              <w:left w:val="single" w:sz="6" w:space="0" w:color="auto"/>
              <w:bottom w:val="single" w:sz="6" w:space="0" w:color="auto"/>
              <w:right w:val="single" w:sz="6" w:space="0" w:color="auto"/>
            </w:tcBorders>
            <w:hideMark/>
          </w:tcPr>
          <w:p w14:paraId="55B9A53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Pts. felt “othered” due to </w:t>
            </w:r>
            <w:r w:rsidRPr="00702C1F">
              <w:rPr>
                <w:rFonts w:cs="Segoe UI"/>
                <w:color w:val="000000"/>
                <w:szCs w:val="26"/>
                <w:lang w:eastAsia="en-GB"/>
              </w:rPr>
              <w:lastRenderedPageBreak/>
              <w:t>Autistic stereotypes and had difficulty accessing knowledge-able LGBTQIA+–friendly health services </w:t>
            </w:r>
          </w:p>
        </w:tc>
        <w:tc>
          <w:tcPr>
            <w:tcW w:w="2265" w:type="dxa"/>
            <w:tcBorders>
              <w:top w:val="single" w:sz="6" w:space="0" w:color="auto"/>
              <w:left w:val="single" w:sz="6" w:space="0" w:color="auto"/>
              <w:bottom w:val="single" w:sz="6" w:space="0" w:color="auto"/>
              <w:right w:val="single" w:sz="6" w:space="0" w:color="auto"/>
            </w:tcBorders>
            <w:hideMark/>
          </w:tcPr>
          <w:p w14:paraId="4E03780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Barriers: Cumulative bias against LGBTQ+ </w:t>
            </w:r>
            <w:r w:rsidRPr="00702C1F">
              <w:rPr>
                <w:rFonts w:cs="Segoe UI"/>
                <w:color w:val="000000"/>
                <w:szCs w:val="26"/>
                <w:lang w:eastAsia="en-GB"/>
              </w:rPr>
              <w:lastRenderedPageBreak/>
              <w:t>and disabled identities undermining autonomy and credibility </w:t>
            </w:r>
          </w:p>
          <w:p w14:paraId="7621ABD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Dual identities can foster positive identification with multiple communities </w:t>
            </w:r>
          </w:p>
        </w:tc>
      </w:tr>
      <w:tr w:rsidR="002C79F7" w:rsidRPr="002C79F7" w14:paraId="618EAD6F"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3C4E300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Glackin, et al. (2024)  </w:t>
            </w:r>
          </w:p>
          <w:p w14:paraId="1E95831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68D3D21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Explore the gender journeys and experiences of Autistic adults and the healthcare needs/  provision  preferences  of gender diverse adults </w:t>
            </w:r>
          </w:p>
        </w:tc>
        <w:tc>
          <w:tcPr>
            <w:tcW w:w="1125" w:type="dxa"/>
            <w:tcBorders>
              <w:top w:val="single" w:sz="6" w:space="0" w:color="auto"/>
              <w:left w:val="single" w:sz="6" w:space="0" w:color="auto"/>
              <w:bottom w:val="single" w:sz="6" w:space="0" w:color="auto"/>
              <w:right w:val="single" w:sz="6" w:space="0" w:color="auto"/>
            </w:tcBorders>
            <w:hideMark/>
          </w:tcPr>
          <w:p w14:paraId="212EAA8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Online survey and semi-structured interviews </w:t>
            </w:r>
          </w:p>
          <w:p w14:paraId="1651849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Reflexive thematic analysis </w:t>
            </w:r>
          </w:p>
        </w:tc>
        <w:tc>
          <w:tcPr>
            <w:tcW w:w="1245" w:type="dxa"/>
            <w:tcBorders>
              <w:top w:val="single" w:sz="6" w:space="0" w:color="auto"/>
              <w:left w:val="single" w:sz="6" w:space="0" w:color="auto"/>
              <w:bottom w:val="single" w:sz="6" w:space="0" w:color="auto"/>
              <w:right w:val="single" w:sz="6" w:space="0" w:color="auto"/>
            </w:tcBorders>
            <w:hideMark/>
          </w:tcPr>
          <w:p w14:paraId="505781F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Autism, Autistic traits, Autistic people, Autistic adults </w:t>
            </w:r>
          </w:p>
        </w:tc>
        <w:tc>
          <w:tcPr>
            <w:tcW w:w="1530" w:type="dxa"/>
            <w:tcBorders>
              <w:top w:val="single" w:sz="6" w:space="0" w:color="auto"/>
              <w:left w:val="single" w:sz="6" w:space="0" w:color="auto"/>
              <w:bottom w:val="single" w:sz="6" w:space="0" w:color="auto"/>
              <w:right w:val="single" w:sz="6" w:space="0" w:color="auto"/>
            </w:tcBorders>
            <w:hideMark/>
          </w:tcPr>
          <w:p w14:paraId="4822ECE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Sample (n=12): gender diverse Autistic adults, age 21–52; NB (n= 5), TM (n=3), NB Female (n =1), NB/AG (n = 1), GQ (n = 1), GQ </w:t>
            </w:r>
            <w:r w:rsidRPr="00702C1F">
              <w:rPr>
                <w:rFonts w:cs="Segoe UI"/>
                <w:color w:val="000000"/>
                <w:szCs w:val="26"/>
                <w:lang w:eastAsia="en-GB"/>
              </w:rPr>
              <w:lastRenderedPageBreak/>
              <w:t>Woman (n = 1) </w:t>
            </w:r>
          </w:p>
        </w:tc>
        <w:tc>
          <w:tcPr>
            <w:tcW w:w="1695" w:type="dxa"/>
            <w:tcBorders>
              <w:top w:val="single" w:sz="6" w:space="0" w:color="auto"/>
              <w:left w:val="single" w:sz="6" w:space="0" w:color="auto"/>
              <w:bottom w:val="single" w:sz="6" w:space="0" w:color="auto"/>
              <w:right w:val="single" w:sz="6" w:space="0" w:color="auto"/>
            </w:tcBorders>
            <w:hideMark/>
          </w:tcPr>
          <w:p w14:paraId="7EE6340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NR </w:t>
            </w:r>
          </w:p>
        </w:tc>
        <w:tc>
          <w:tcPr>
            <w:tcW w:w="2265" w:type="dxa"/>
            <w:tcBorders>
              <w:top w:val="single" w:sz="6" w:space="0" w:color="auto"/>
              <w:left w:val="single" w:sz="6" w:space="0" w:color="auto"/>
              <w:bottom w:val="single" w:sz="6" w:space="0" w:color="auto"/>
              <w:right w:val="single" w:sz="6" w:space="0" w:color="auto"/>
            </w:tcBorders>
            <w:hideMark/>
          </w:tcPr>
          <w:p w14:paraId="6066C48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Barriers: Limited provider knowledge; systemic lack of support for dual needs (Autism and gender diversity); dismissal or denial of care, exhausting self-advocacy, access delays, failure to integrate both identities in </w:t>
            </w:r>
            <w:r w:rsidRPr="00702C1F">
              <w:rPr>
                <w:rFonts w:cs="Segoe UI"/>
                <w:color w:val="000000"/>
                <w:szCs w:val="26"/>
                <w:lang w:eastAsia="en-GB"/>
              </w:rPr>
              <w:lastRenderedPageBreak/>
              <w:t>assessment/ treatment </w:t>
            </w:r>
          </w:p>
        </w:tc>
      </w:tr>
      <w:tr w:rsidR="002C79F7" w:rsidRPr="002C79F7" w14:paraId="33EF97D8"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39A06A3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Cooper et al. (2023a) </w:t>
            </w:r>
          </w:p>
          <w:p w14:paraId="5A17B99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5B37A82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Understand-the phenomen-ology of gender dysphoria in Autistic people </w:t>
            </w:r>
          </w:p>
        </w:tc>
        <w:tc>
          <w:tcPr>
            <w:tcW w:w="1125" w:type="dxa"/>
            <w:tcBorders>
              <w:top w:val="single" w:sz="6" w:space="0" w:color="auto"/>
              <w:left w:val="single" w:sz="6" w:space="0" w:color="auto"/>
              <w:bottom w:val="single" w:sz="6" w:space="0" w:color="auto"/>
              <w:right w:val="single" w:sz="6" w:space="0" w:color="auto"/>
            </w:tcBorders>
            <w:hideMark/>
          </w:tcPr>
          <w:p w14:paraId="0139BE6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Interviews and scales </w:t>
            </w:r>
            <w:r w:rsidRPr="00702C1F">
              <w:rPr>
                <w:rFonts w:cs="Segoe UI"/>
                <w:color w:val="000000"/>
                <w:szCs w:val="26"/>
                <w:shd w:val="clear" w:color="auto" w:fill="FFFFFF"/>
                <w:lang w:eastAsia="en-GB"/>
              </w:rPr>
              <w:t> </w:t>
            </w:r>
            <w:r w:rsidRPr="00702C1F">
              <w:rPr>
                <w:rFonts w:cs="Segoe UI"/>
                <w:color w:val="000000"/>
                <w:szCs w:val="26"/>
                <w:lang w:eastAsia="en-GB"/>
              </w:rPr>
              <w:t> </w:t>
            </w:r>
          </w:p>
          <w:p w14:paraId="1F4A22A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Multi-perspectival IPA </w:t>
            </w:r>
          </w:p>
        </w:tc>
        <w:tc>
          <w:tcPr>
            <w:tcW w:w="1245" w:type="dxa"/>
            <w:tcBorders>
              <w:top w:val="single" w:sz="6" w:space="0" w:color="auto"/>
              <w:left w:val="single" w:sz="6" w:space="0" w:color="auto"/>
              <w:bottom w:val="single" w:sz="6" w:space="0" w:color="auto"/>
              <w:right w:val="single" w:sz="6" w:space="0" w:color="auto"/>
            </w:tcBorders>
            <w:hideMark/>
          </w:tcPr>
          <w:p w14:paraId="7A21159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Autism, Autism Spectrum Disorder, Autistic people </w:t>
            </w:r>
          </w:p>
        </w:tc>
        <w:tc>
          <w:tcPr>
            <w:tcW w:w="1530" w:type="dxa"/>
            <w:tcBorders>
              <w:top w:val="single" w:sz="6" w:space="0" w:color="auto"/>
              <w:left w:val="single" w:sz="6" w:space="0" w:color="auto"/>
              <w:bottom w:val="single" w:sz="6" w:space="0" w:color="auto"/>
              <w:right w:val="single" w:sz="6" w:space="0" w:color="auto"/>
            </w:tcBorders>
            <w:hideMark/>
          </w:tcPr>
          <w:p w14:paraId="6246704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(n=36): Autistic adults (n=21, mean age 29.7) and young people (n=15, mean age 15.7); 44% Male, 31% Female, 9% NB/GQ </w:t>
            </w:r>
          </w:p>
        </w:tc>
        <w:tc>
          <w:tcPr>
            <w:tcW w:w="1695" w:type="dxa"/>
            <w:tcBorders>
              <w:top w:val="single" w:sz="6" w:space="0" w:color="auto"/>
              <w:left w:val="single" w:sz="6" w:space="0" w:color="auto"/>
              <w:bottom w:val="single" w:sz="6" w:space="0" w:color="auto"/>
              <w:right w:val="single" w:sz="6" w:space="0" w:color="auto"/>
            </w:tcBorders>
            <w:hideMark/>
          </w:tcPr>
          <w:p w14:paraId="434D2B6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Trans autistic youth face inequitable access to GAC vs. non-autistic Trans peers- clinics not designed with Autism adaptations </w:t>
            </w:r>
          </w:p>
        </w:tc>
        <w:tc>
          <w:tcPr>
            <w:tcW w:w="2265" w:type="dxa"/>
            <w:tcBorders>
              <w:top w:val="single" w:sz="6" w:space="0" w:color="auto"/>
              <w:left w:val="single" w:sz="6" w:space="0" w:color="auto"/>
              <w:bottom w:val="single" w:sz="6" w:space="0" w:color="auto"/>
              <w:right w:val="single" w:sz="6" w:space="0" w:color="auto"/>
            </w:tcBorders>
            <w:hideMark/>
          </w:tcPr>
          <w:p w14:paraId="0287EF2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Gender clinics lack Autism-informed comm., sensory accom., accessible appointments </w:t>
            </w:r>
          </w:p>
        </w:tc>
      </w:tr>
      <w:tr w:rsidR="002C79F7" w:rsidRPr="002C79F7" w14:paraId="76ACBFD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09A11509" w14:textId="77777777" w:rsidR="002C79F7" w:rsidRPr="00164BE1" w:rsidRDefault="002C79F7" w:rsidP="003F7D80">
            <w:pPr>
              <w:spacing w:after="0"/>
              <w:textAlignment w:val="baseline"/>
              <w:rPr>
                <w:rFonts w:cs="Segoe UI"/>
                <w:color w:val="000000"/>
                <w:szCs w:val="26"/>
                <w:lang w:val="nb-NO" w:eastAsia="en-GB"/>
              </w:rPr>
            </w:pPr>
            <w:r w:rsidRPr="00164BE1">
              <w:rPr>
                <w:rFonts w:cs="Segoe UI"/>
                <w:color w:val="000000"/>
                <w:szCs w:val="26"/>
                <w:lang w:val="nb-NO" w:eastAsia="en-GB"/>
              </w:rPr>
              <w:t>Cooper et al. (2023b) </w:t>
            </w:r>
          </w:p>
          <w:p w14:paraId="03B0C367" w14:textId="77777777" w:rsidR="002C79F7" w:rsidRPr="00164BE1" w:rsidRDefault="002C79F7" w:rsidP="003F7D80">
            <w:pPr>
              <w:spacing w:after="0"/>
              <w:textAlignment w:val="baseline"/>
              <w:rPr>
                <w:rFonts w:cs="Segoe UI"/>
                <w:color w:val="000000"/>
                <w:szCs w:val="26"/>
                <w:lang w:val="nb-NO" w:eastAsia="en-GB"/>
              </w:rPr>
            </w:pPr>
            <w:r w:rsidRPr="00164BE1">
              <w:rPr>
                <w:rFonts w:cs="Segoe UI"/>
                <w:color w:val="000000"/>
                <w:szCs w:val="26"/>
                <w:lang w:val="nb-NO"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2F4504AF" w14:textId="77777777" w:rsidR="002C79F7" w:rsidRPr="00702C1F" w:rsidRDefault="4ACD0A38" w:rsidP="4F82A470">
            <w:pPr>
              <w:spacing w:after="0"/>
              <w:textAlignment w:val="baseline"/>
              <w:rPr>
                <w:rFonts w:cs="Segoe UI"/>
                <w:color w:val="000000"/>
                <w:szCs w:val="26"/>
                <w:lang w:eastAsia="en-GB"/>
              </w:rPr>
            </w:pPr>
            <w:r w:rsidRPr="002F7E97">
              <w:rPr>
                <w:rFonts w:cs="Segoe UI"/>
                <w:color w:val="000000"/>
                <w:szCs w:val="26"/>
                <w:lang w:eastAsia="en-GB"/>
              </w:rPr>
              <w:t>Understand the</w:t>
            </w:r>
            <w:r w:rsidR="002C79F7" w:rsidRPr="002F7E97">
              <w:rPr>
                <w:rFonts w:cs="Segoe UI"/>
                <w:color w:val="000000"/>
                <w:szCs w:val="26"/>
                <w:lang w:eastAsia="en-GB"/>
              </w:rPr>
              <w:t xml:space="preserve"> lived experiences of Autistic young people who have experienced gender dysphoria, and their parents </w:t>
            </w:r>
          </w:p>
        </w:tc>
        <w:tc>
          <w:tcPr>
            <w:tcW w:w="1125" w:type="dxa"/>
            <w:tcBorders>
              <w:top w:val="single" w:sz="6" w:space="0" w:color="auto"/>
              <w:left w:val="single" w:sz="6" w:space="0" w:color="auto"/>
              <w:bottom w:val="single" w:sz="6" w:space="0" w:color="auto"/>
              <w:right w:val="single" w:sz="6" w:space="0" w:color="auto"/>
            </w:tcBorders>
            <w:hideMark/>
          </w:tcPr>
          <w:p w14:paraId="05D1853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In-depth interviews </w:t>
            </w:r>
          </w:p>
          <w:p w14:paraId="51F162E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Multi-perspectival IPA  </w:t>
            </w:r>
          </w:p>
        </w:tc>
        <w:tc>
          <w:tcPr>
            <w:tcW w:w="1245" w:type="dxa"/>
            <w:tcBorders>
              <w:top w:val="single" w:sz="6" w:space="0" w:color="auto"/>
              <w:left w:val="single" w:sz="6" w:space="0" w:color="auto"/>
              <w:bottom w:val="single" w:sz="6" w:space="0" w:color="auto"/>
              <w:right w:val="single" w:sz="6" w:space="0" w:color="auto"/>
            </w:tcBorders>
            <w:hideMark/>
          </w:tcPr>
          <w:p w14:paraId="346D224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Those on the autism spectrum, autism, diagnosis of Autism Spectrum Disorder </w:t>
            </w:r>
          </w:p>
        </w:tc>
        <w:tc>
          <w:tcPr>
            <w:tcW w:w="1530" w:type="dxa"/>
            <w:tcBorders>
              <w:top w:val="single" w:sz="6" w:space="0" w:color="auto"/>
              <w:left w:val="single" w:sz="6" w:space="0" w:color="auto"/>
              <w:bottom w:val="single" w:sz="6" w:space="0" w:color="auto"/>
              <w:right w:val="single" w:sz="6" w:space="0" w:color="auto"/>
            </w:tcBorders>
            <w:hideMark/>
          </w:tcPr>
          <w:p w14:paraId="59C89AC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Sample (n=33): young people with Autism diagnoses (n=17), mean age 15, Male (n=10), Female </w:t>
            </w:r>
            <w:r w:rsidRPr="00702C1F">
              <w:rPr>
                <w:rFonts w:cs="Segoe UI"/>
                <w:color w:val="000000"/>
                <w:szCs w:val="26"/>
                <w:lang w:eastAsia="en-GB"/>
              </w:rPr>
              <w:lastRenderedPageBreak/>
              <w:t>(n=3), NB (n=4); Parents (n=16) </w:t>
            </w:r>
          </w:p>
          <w:p w14:paraId="7FE71C8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w:t>
            </w:r>
          </w:p>
        </w:tc>
        <w:tc>
          <w:tcPr>
            <w:tcW w:w="1695" w:type="dxa"/>
            <w:tcBorders>
              <w:top w:val="single" w:sz="6" w:space="0" w:color="auto"/>
              <w:left w:val="single" w:sz="6" w:space="0" w:color="auto"/>
              <w:bottom w:val="single" w:sz="6" w:space="0" w:color="auto"/>
              <w:right w:val="single" w:sz="6" w:space="0" w:color="auto"/>
            </w:tcBorders>
            <w:hideMark/>
          </w:tcPr>
          <w:p w14:paraId="603E95D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NR </w:t>
            </w:r>
          </w:p>
        </w:tc>
        <w:tc>
          <w:tcPr>
            <w:tcW w:w="2265" w:type="dxa"/>
            <w:tcBorders>
              <w:top w:val="single" w:sz="6" w:space="0" w:color="auto"/>
              <w:left w:val="single" w:sz="6" w:space="0" w:color="auto"/>
              <w:bottom w:val="single" w:sz="6" w:space="0" w:color="auto"/>
              <w:right w:val="single" w:sz="6" w:space="0" w:color="auto"/>
            </w:tcBorders>
            <w:hideMark/>
          </w:tcPr>
          <w:p w14:paraId="5C079D3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Barriers: Unclear transition plans/delays; reliance on others; poor clinician communication; sensory-unfriendly or distant clinics; clinician changes; stressful </w:t>
            </w:r>
            <w:r w:rsidRPr="00702C1F">
              <w:rPr>
                <w:rFonts w:cs="Segoe UI"/>
                <w:color w:val="000000"/>
                <w:szCs w:val="26"/>
                <w:lang w:eastAsia="en-GB"/>
              </w:rPr>
              <w:lastRenderedPageBreak/>
              <w:t>appointment anticipation </w:t>
            </w:r>
          </w:p>
          <w:p w14:paraId="2B26483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Strong motivation for transition to reduce distress </w:t>
            </w:r>
          </w:p>
        </w:tc>
      </w:tr>
      <w:tr w:rsidR="002C79F7" w:rsidRPr="002C79F7" w14:paraId="359B0EF0"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5C4889D9" w14:textId="77777777" w:rsidR="002C79F7" w:rsidRPr="00164BE1" w:rsidRDefault="002C79F7" w:rsidP="003F7D80">
            <w:pPr>
              <w:spacing w:after="0"/>
              <w:textAlignment w:val="baseline"/>
              <w:rPr>
                <w:rFonts w:cs="Segoe UI"/>
                <w:color w:val="000000"/>
                <w:szCs w:val="26"/>
                <w:lang w:val="nb-NO" w:eastAsia="en-GB"/>
              </w:rPr>
            </w:pPr>
            <w:r w:rsidRPr="00164BE1">
              <w:rPr>
                <w:rFonts w:cs="Segoe UI"/>
                <w:color w:val="000000"/>
                <w:szCs w:val="26"/>
                <w:lang w:val="nb-NO" w:eastAsia="en-GB"/>
              </w:rPr>
              <w:lastRenderedPageBreak/>
              <w:t>Coleman-Smith et al. (2020) </w:t>
            </w:r>
          </w:p>
          <w:p w14:paraId="65DD35A7" w14:textId="77777777" w:rsidR="002C79F7" w:rsidRPr="00164BE1" w:rsidRDefault="002C79F7" w:rsidP="003F7D80">
            <w:pPr>
              <w:spacing w:after="0"/>
              <w:textAlignment w:val="baseline"/>
              <w:rPr>
                <w:rFonts w:cs="Segoe UI"/>
                <w:color w:val="000000"/>
                <w:szCs w:val="26"/>
                <w:lang w:val="nb-NO" w:eastAsia="en-GB"/>
              </w:rPr>
            </w:pPr>
            <w:r w:rsidRPr="00164BE1">
              <w:rPr>
                <w:rFonts w:cs="Segoe UI"/>
                <w:color w:val="000000"/>
                <w:szCs w:val="26"/>
                <w:lang w:val="nb-NO"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7260301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Explore the experiences of adults with Autism in understand-ing and addressing their gender dysphoria  </w:t>
            </w:r>
            <w:r w:rsidRPr="00702C1F">
              <w:rPr>
                <w:rFonts w:cs="Segoe UI"/>
                <w:color w:val="000000"/>
                <w:szCs w:val="26"/>
                <w:lang w:eastAsia="en-GB"/>
              </w:rPr>
              <w:br/>
              <w:t> </w:t>
            </w:r>
          </w:p>
        </w:tc>
        <w:tc>
          <w:tcPr>
            <w:tcW w:w="1125" w:type="dxa"/>
            <w:tcBorders>
              <w:top w:val="single" w:sz="6" w:space="0" w:color="auto"/>
              <w:left w:val="single" w:sz="6" w:space="0" w:color="auto"/>
              <w:bottom w:val="single" w:sz="6" w:space="0" w:color="auto"/>
              <w:right w:val="single" w:sz="6" w:space="0" w:color="auto"/>
            </w:tcBorders>
            <w:hideMark/>
          </w:tcPr>
          <w:p w14:paraId="6F22D0A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Semi-structured interviews </w:t>
            </w:r>
          </w:p>
          <w:p w14:paraId="25AC7EB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Grounded theory </w:t>
            </w:r>
          </w:p>
          <w:p w14:paraId="65856A9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w:t>
            </w:r>
          </w:p>
        </w:tc>
        <w:tc>
          <w:tcPr>
            <w:tcW w:w="1245" w:type="dxa"/>
            <w:tcBorders>
              <w:top w:val="single" w:sz="6" w:space="0" w:color="auto"/>
              <w:left w:val="single" w:sz="6" w:space="0" w:color="auto"/>
              <w:bottom w:val="single" w:sz="6" w:space="0" w:color="auto"/>
              <w:right w:val="single" w:sz="6" w:space="0" w:color="auto"/>
            </w:tcBorders>
            <w:hideMark/>
          </w:tcPr>
          <w:p w14:paraId="4A584E8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Autism Spectrum Disorder, Adults with autism, </w:t>
            </w:r>
          </w:p>
        </w:tc>
        <w:tc>
          <w:tcPr>
            <w:tcW w:w="1530" w:type="dxa"/>
            <w:tcBorders>
              <w:top w:val="single" w:sz="6" w:space="0" w:color="auto"/>
              <w:left w:val="single" w:sz="6" w:space="0" w:color="auto"/>
              <w:bottom w:val="single" w:sz="6" w:space="0" w:color="auto"/>
              <w:right w:val="single" w:sz="6" w:space="0" w:color="auto"/>
            </w:tcBorders>
            <w:hideMark/>
          </w:tcPr>
          <w:p w14:paraId="38CA233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(n=10): adults with Autism diagnosis, age 18-65, Women (n= 3), Men (n= 4), AG, NB, TF, GQ or androgynous (n=3) </w:t>
            </w:r>
          </w:p>
        </w:tc>
        <w:tc>
          <w:tcPr>
            <w:tcW w:w="1695" w:type="dxa"/>
            <w:tcBorders>
              <w:top w:val="single" w:sz="6" w:space="0" w:color="auto"/>
              <w:left w:val="single" w:sz="6" w:space="0" w:color="auto"/>
              <w:bottom w:val="single" w:sz="6" w:space="0" w:color="auto"/>
              <w:right w:val="single" w:sz="6" w:space="0" w:color="auto"/>
            </w:tcBorders>
            <w:hideMark/>
          </w:tcPr>
          <w:p w14:paraId="3DB573A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Discrimination and invalidation contributed to self-blame, low self-esteem, withdrawal, and suicidal thoughts; some denied gender services due to Autism </w:t>
            </w:r>
          </w:p>
        </w:tc>
        <w:tc>
          <w:tcPr>
            <w:tcW w:w="2265" w:type="dxa"/>
            <w:tcBorders>
              <w:top w:val="single" w:sz="6" w:space="0" w:color="auto"/>
              <w:left w:val="single" w:sz="6" w:space="0" w:color="auto"/>
              <w:bottom w:val="single" w:sz="6" w:space="0" w:color="auto"/>
              <w:right w:val="single" w:sz="6" w:space="0" w:color="auto"/>
            </w:tcBorders>
            <w:hideMark/>
          </w:tcPr>
          <w:p w14:paraId="7521DD5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Autism-related anxiety in gender services; poor transparency, unpredictable timelines, communication issues; distress from body changes; lack of Autism-informed adaptations </w:t>
            </w:r>
          </w:p>
          <w:p w14:paraId="2F3594D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Facilitators: Supportive clinicians; clear explanations; stepped interventions; time </w:t>
            </w:r>
            <w:r w:rsidRPr="00702C1F">
              <w:rPr>
                <w:rFonts w:cs="Segoe UI"/>
                <w:color w:val="000000"/>
                <w:szCs w:val="26"/>
                <w:lang w:eastAsia="en-GB"/>
              </w:rPr>
              <w:lastRenderedPageBreak/>
              <w:t>to discuss concerns </w:t>
            </w:r>
          </w:p>
        </w:tc>
      </w:tr>
      <w:tr w:rsidR="002C79F7" w:rsidRPr="002C79F7" w14:paraId="169750C9"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1898CE1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Squires et al. (2024) </w:t>
            </w:r>
          </w:p>
          <w:p w14:paraId="3926944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18135EC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Explore psychological challenges and impact of waiting to access UK </w:t>
            </w:r>
            <w:r w:rsidR="00FB6D8D">
              <w:rPr>
                <w:rFonts w:cs="Segoe UI"/>
                <w:color w:val="000000"/>
                <w:szCs w:val="26"/>
                <w:lang w:eastAsia="en-GB"/>
              </w:rPr>
              <w:t>g</w:t>
            </w:r>
            <w:r w:rsidRPr="00702C1F">
              <w:rPr>
                <w:rFonts w:cs="Segoe UI"/>
                <w:color w:val="000000"/>
                <w:szCs w:val="26"/>
                <w:lang w:eastAsia="en-GB"/>
              </w:rPr>
              <w:t xml:space="preserve">ender </w:t>
            </w:r>
            <w:r w:rsidR="00FB6D8D">
              <w:rPr>
                <w:rFonts w:cs="Segoe UI"/>
                <w:color w:val="000000"/>
                <w:szCs w:val="26"/>
                <w:lang w:eastAsia="en-GB"/>
              </w:rPr>
              <w:t>d</w:t>
            </w:r>
            <w:r w:rsidRPr="00702C1F">
              <w:rPr>
                <w:rFonts w:cs="Segoe UI"/>
                <w:color w:val="000000"/>
                <w:szCs w:val="26"/>
                <w:lang w:eastAsia="en-GB"/>
              </w:rPr>
              <w:t>ysphoria Clinics (GDCs) for young Trans adults </w:t>
            </w:r>
          </w:p>
        </w:tc>
        <w:tc>
          <w:tcPr>
            <w:tcW w:w="1125" w:type="dxa"/>
            <w:tcBorders>
              <w:top w:val="single" w:sz="6" w:space="0" w:color="auto"/>
              <w:left w:val="single" w:sz="6" w:space="0" w:color="auto"/>
              <w:bottom w:val="single" w:sz="6" w:space="0" w:color="auto"/>
              <w:right w:val="single" w:sz="6" w:space="0" w:color="auto"/>
            </w:tcBorders>
            <w:hideMark/>
          </w:tcPr>
          <w:p w14:paraId="3A27E33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Semi-structured interviews </w:t>
            </w:r>
          </w:p>
          <w:p w14:paraId="2744968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IPA </w:t>
            </w:r>
          </w:p>
        </w:tc>
        <w:tc>
          <w:tcPr>
            <w:tcW w:w="1245" w:type="dxa"/>
            <w:tcBorders>
              <w:top w:val="single" w:sz="6" w:space="0" w:color="auto"/>
              <w:left w:val="single" w:sz="6" w:space="0" w:color="auto"/>
              <w:bottom w:val="single" w:sz="6" w:space="0" w:color="auto"/>
              <w:right w:val="single" w:sz="6" w:space="0" w:color="auto"/>
            </w:tcBorders>
            <w:hideMark/>
          </w:tcPr>
          <w:p w14:paraId="0D4FF2A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diagnosis of autism spectrum disorders, Autism </w:t>
            </w:r>
          </w:p>
        </w:tc>
        <w:tc>
          <w:tcPr>
            <w:tcW w:w="1530" w:type="dxa"/>
            <w:tcBorders>
              <w:top w:val="single" w:sz="6" w:space="0" w:color="auto"/>
              <w:left w:val="single" w:sz="6" w:space="0" w:color="auto"/>
              <w:bottom w:val="single" w:sz="6" w:space="0" w:color="auto"/>
              <w:right w:val="single" w:sz="6" w:space="0" w:color="auto"/>
            </w:tcBorders>
            <w:hideMark/>
          </w:tcPr>
          <w:p w14:paraId="4F1C547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(n=10): young people, age 17-23; with Autism diagnosis (n=1); Male (n=4), Female (n=2), Trans Female (n=2), NB (n=1), GF(n=1)  </w:t>
            </w:r>
          </w:p>
        </w:tc>
        <w:tc>
          <w:tcPr>
            <w:tcW w:w="1695" w:type="dxa"/>
            <w:tcBorders>
              <w:top w:val="single" w:sz="6" w:space="0" w:color="auto"/>
              <w:left w:val="single" w:sz="6" w:space="0" w:color="auto"/>
              <w:bottom w:val="single" w:sz="6" w:space="0" w:color="auto"/>
              <w:right w:val="single" w:sz="6" w:space="0" w:color="auto"/>
            </w:tcBorders>
            <w:hideMark/>
          </w:tcPr>
          <w:p w14:paraId="0CE25A9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Reported use of substances to dissociate from GD </w:t>
            </w:r>
          </w:p>
        </w:tc>
        <w:tc>
          <w:tcPr>
            <w:tcW w:w="2265" w:type="dxa"/>
            <w:tcBorders>
              <w:top w:val="single" w:sz="6" w:space="0" w:color="auto"/>
              <w:left w:val="single" w:sz="6" w:space="0" w:color="auto"/>
              <w:bottom w:val="single" w:sz="6" w:space="0" w:color="auto"/>
              <w:right w:val="single" w:sz="6" w:space="0" w:color="auto"/>
            </w:tcBorders>
            <w:hideMark/>
          </w:tcPr>
          <w:p w14:paraId="62BA0D2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ASD-related comm. issues hinder access/follow-up; difficulties completing questions or expressing concerns; long waits, inaccessible services, limited funding, poor updates, power imbalances </w:t>
            </w:r>
          </w:p>
        </w:tc>
      </w:tr>
      <w:tr w:rsidR="002C79F7" w:rsidRPr="002C79F7" w14:paraId="6D018354"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4602EAA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Pham et al. (2020) </w:t>
            </w:r>
          </w:p>
          <w:p w14:paraId="78F145B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5B0C3BA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Explore trends in the relationships among GD, ASD and disordered eating, particularly in adolescents </w:t>
            </w:r>
          </w:p>
        </w:tc>
        <w:tc>
          <w:tcPr>
            <w:tcW w:w="1125" w:type="dxa"/>
            <w:tcBorders>
              <w:top w:val="single" w:sz="6" w:space="0" w:color="auto"/>
              <w:left w:val="single" w:sz="6" w:space="0" w:color="auto"/>
              <w:bottom w:val="single" w:sz="6" w:space="0" w:color="auto"/>
              <w:right w:val="single" w:sz="6" w:space="0" w:color="auto"/>
            </w:tcBorders>
            <w:hideMark/>
          </w:tcPr>
          <w:p w14:paraId="7F5A065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Retrospect-ive chart review </w:t>
            </w:r>
          </w:p>
          <w:p w14:paraId="3BB1C45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Content Analysis </w:t>
            </w:r>
          </w:p>
        </w:tc>
        <w:tc>
          <w:tcPr>
            <w:tcW w:w="1245" w:type="dxa"/>
            <w:tcBorders>
              <w:top w:val="single" w:sz="6" w:space="0" w:color="auto"/>
              <w:left w:val="single" w:sz="6" w:space="0" w:color="auto"/>
              <w:bottom w:val="single" w:sz="6" w:space="0" w:color="auto"/>
              <w:right w:val="single" w:sz="6" w:space="0" w:color="auto"/>
            </w:tcBorders>
            <w:hideMark/>
          </w:tcPr>
          <w:p w14:paraId="2DC6395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Youth with autism spectrum disorder, ASD, “autism spectrum disorder without intellectual disability" </w:t>
            </w:r>
          </w:p>
        </w:tc>
        <w:tc>
          <w:tcPr>
            <w:tcW w:w="1530" w:type="dxa"/>
            <w:tcBorders>
              <w:top w:val="single" w:sz="6" w:space="0" w:color="auto"/>
              <w:left w:val="single" w:sz="6" w:space="0" w:color="auto"/>
              <w:bottom w:val="single" w:sz="6" w:space="0" w:color="auto"/>
              <w:right w:val="single" w:sz="6" w:space="0" w:color="auto"/>
            </w:tcBorders>
            <w:hideMark/>
          </w:tcPr>
          <w:p w14:paraId="289187A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(n=3): adolescents with Autism diagnosis, age 14-17; TM (n=1), TF (n=2) </w:t>
            </w:r>
          </w:p>
        </w:tc>
        <w:tc>
          <w:tcPr>
            <w:tcW w:w="1695" w:type="dxa"/>
            <w:tcBorders>
              <w:top w:val="single" w:sz="6" w:space="0" w:color="auto"/>
              <w:left w:val="single" w:sz="6" w:space="0" w:color="auto"/>
              <w:bottom w:val="single" w:sz="6" w:space="0" w:color="auto"/>
              <w:right w:val="single" w:sz="6" w:space="0" w:color="auto"/>
            </w:tcBorders>
            <w:hideMark/>
          </w:tcPr>
          <w:p w14:paraId="720D15F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Delayed diagnosis (Autism noted at eating disorder clinic) </w:t>
            </w:r>
          </w:p>
        </w:tc>
        <w:tc>
          <w:tcPr>
            <w:tcW w:w="2265" w:type="dxa"/>
            <w:tcBorders>
              <w:top w:val="single" w:sz="6" w:space="0" w:color="auto"/>
              <w:left w:val="single" w:sz="6" w:space="0" w:color="auto"/>
              <w:bottom w:val="single" w:sz="6" w:space="0" w:color="auto"/>
              <w:right w:val="single" w:sz="6" w:space="0" w:color="auto"/>
            </w:tcBorders>
            <w:hideMark/>
          </w:tcPr>
          <w:p w14:paraId="7B105C7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Lack of informed guidance (on testosterone side effects) </w:t>
            </w:r>
          </w:p>
          <w:p w14:paraId="3DB8938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Facilitators: Collaborative care; early discussion of Autism, disordered </w:t>
            </w:r>
            <w:r w:rsidRPr="00702C1F">
              <w:rPr>
                <w:rFonts w:cs="Segoe UI"/>
                <w:color w:val="000000"/>
                <w:szCs w:val="26"/>
                <w:lang w:eastAsia="en-GB"/>
              </w:rPr>
              <w:lastRenderedPageBreak/>
              <w:t>eating, gender dysphoria </w:t>
            </w:r>
          </w:p>
        </w:tc>
      </w:tr>
      <w:tr w:rsidR="002C79F7" w:rsidRPr="002C79F7" w14:paraId="679408BD"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E18181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Wallisch et al. (2023) </w:t>
            </w:r>
          </w:p>
          <w:p w14:paraId="2D60030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57617FC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Examine differences in health status/unmet care needs between Autistic LGBTQ+ and Cis/straight individuals; identify state policies and demographic factors predicting unmet needs for LGBTQ+ </w:t>
            </w:r>
          </w:p>
        </w:tc>
        <w:tc>
          <w:tcPr>
            <w:tcW w:w="1125" w:type="dxa"/>
            <w:tcBorders>
              <w:top w:val="single" w:sz="6" w:space="0" w:color="auto"/>
              <w:left w:val="single" w:sz="6" w:space="0" w:color="auto"/>
              <w:bottom w:val="single" w:sz="6" w:space="0" w:color="auto"/>
              <w:right w:val="single" w:sz="6" w:space="0" w:color="auto"/>
            </w:tcBorders>
            <w:hideMark/>
          </w:tcPr>
          <w:p w14:paraId="526F093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Cross-sectional </w:t>
            </w:r>
          </w:p>
          <w:p w14:paraId="08C2929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Secondary data analysis </w:t>
            </w:r>
          </w:p>
          <w:p w14:paraId="2B7DDF5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Descriptive statistics, chi-square/t-tests, independent samples t-tests, Poisson regression </w:t>
            </w:r>
          </w:p>
        </w:tc>
        <w:tc>
          <w:tcPr>
            <w:tcW w:w="1245" w:type="dxa"/>
            <w:tcBorders>
              <w:top w:val="single" w:sz="6" w:space="0" w:color="auto"/>
              <w:left w:val="single" w:sz="6" w:space="0" w:color="auto"/>
              <w:bottom w:val="single" w:sz="6" w:space="0" w:color="auto"/>
              <w:right w:val="single" w:sz="6" w:space="0" w:color="auto"/>
            </w:tcBorders>
            <w:hideMark/>
          </w:tcPr>
          <w:p w14:paraId="16ED6FC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LGBTQ+ People, ASD, Autism Spectrum Disorder </w:t>
            </w:r>
          </w:p>
        </w:tc>
        <w:tc>
          <w:tcPr>
            <w:tcW w:w="1530" w:type="dxa"/>
            <w:tcBorders>
              <w:top w:val="single" w:sz="6" w:space="0" w:color="auto"/>
              <w:left w:val="single" w:sz="6" w:space="0" w:color="auto"/>
              <w:bottom w:val="single" w:sz="6" w:space="0" w:color="auto"/>
              <w:right w:val="single" w:sz="6" w:space="0" w:color="auto"/>
            </w:tcBorders>
            <w:hideMark/>
          </w:tcPr>
          <w:p w14:paraId="2DE541F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(n=120): LGBTQ+ adults with ASD (n=62), mean age 32.08, Male (n=9), Female (n=27), Other (n=26); Adults with ASD (n=58), mean age 32.19; Male (n=30), Female (n=19), Other (n=62)  </w:t>
            </w:r>
          </w:p>
        </w:tc>
        <w:tc>
          <w:tcPr>
            <w:tcW w:w="1695" w:type="dxa"/>
            <w:tcBorders>
              <w:top w:val="single" w:sz="6" w:space="0" w:color="auto"/>
              <w:left w:val="single" w:sz="6" w:space="0" w:color="auto"/>
              <w:bottom w:val="single" w:sz="6" w:space="0" w:color="auto"/>
              <w:right w:val="single" w:sz="6" w:space="0" w:color="auto"/>
            </w:tcBorders>
            <w:hideMark/>
          </w:tcPr>
          <w:p w14:paraId="4F1F739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LGBTQ+ group reported more poor physical/ mental health days, higher unmet healthcare/ service needs, and more co-occurring mental health diagnoses vs Cis/straight peers </w:t>
            </w:r>
          </w:p>
        </w:tc>
        <w:tc>
          <w:tcPr>
            <w:tcW w:w="2265" w:type="dxa"/>
            <w:tcBorders>
              <w:top w:val="single" w:sz="6" w:space="0" w:color="auto"/>
              <w:left w:val="single" w:sz="6" w:space="0" w:color="auto"/>
              <w:bottom w:val="single" w:sz="6" w:space="0" w:color="auto"/>
              <w:right w:val="single" w:sz="6" w:space="0" w:color="auto"/>
            </w:tcBorders>
            <w:hideMark/>
          </w:tcPr>
          <w:p w14:paraId="04A18AA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Fewer protective laws and lower socioeconomic status increased unmet needs </w:t>
            </w:r>
          </w:p>
          <w:p w14:paraId="4450B74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Stronger anti-discrimination healthcare laws and living above the federal poverty level reduced unmet needs </w:t>
            </w:r>
          </w:p>
        </w:tc>
      </w:tr>
      <w:tr w:rsidR="002C79F7" w:rsidRPr="002C79F7" w14:paraId="1E8393ED"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352034B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Grove et al. (2023) </w:t>
            </w:r>
          </w:p>
          <w:p w14:paraId="2F934C9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Australia </w:t>
            </w:r>
          </w:p>
        </w:tc>
        <w:tc>
          <w:tcPr>
            <w:tcW w:w="1245" w:type="dxa"/>
            <w:tcBorders>
              <w:top w:val="single" w:sz="6" w:space="0" w:color="auto"/>
              <w:left w:val="single" w:sz="6" w:space="0" w:color="auto"/>
              <w:bottom w:val="single" w:sz="6" w:space="0" w:color="auto"/>
              <w:right w:val="single" w:sz="6" w:space="0" w:color="auto"/>
            </w:tcBorders>
            <w:hideMark/>
          </w:tcPr>
          <w:p w14:paraId="40ED025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Explore daily experiences of Autistic women and gender diverse people and effects on health and wellbeing </w:t>
            </w:r>
          </w:p>
        </w:tc>
        <w:tc>
          <w:tcPr>
            <w:tcW w:w="1125" w:type="dxa"/>
            <w:tcBorders>
              <w:top w:val="single" w:sz="6" w:space="0" w:color="auto"/>
              <w:left w:val="single" w:sz="6" w:space="0" w:color="auto"/>
              <w:bottom w:val="single" w:sz="6" w:space="0" w:color="auto"/>
              <w:right w:val="single" w:sz="6" w:space="0" w:color="auto"/>
            </w:tcBorders>
            <w:hideMark/>
          </w:tcPr>
          <w:p w14:paraId="5F80594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Semi-structured interviews </w:t>
            </w:r>
          </w:p>
          <w:p w14:paraId="59EE4BD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Reflexive thematic analysis </w:t>
            </w:r>
          </w:p>
        </w:tc>
        <w:tc>
          <w:tcPr>
            <w:tcW w:w="1245" w:type="dxa"/>
            <w:tcBorders>
              <w:top w:val="single" w:sz="6" w:space="0" w:color="auto"/>
              <w:left w:val="single" w:sz="6" w:space="0" w:color="auto"/>
              <w:bottom w:val="single" w:sz="6" w:space="0" w:color="auto"/>
              <w:right w:val="single" w:sz="6" w:space="0" w:color="auto"/>
            </w:tcBorders>
            <w:hideMark/>
          </w:tcPr>
          <w:p w14:paraId="25E1514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Autism </w:t>
            </w:r>
          </w:p>
        </w:tc>
        <w:tc>
          <w:tcPr>
            <w:tcW w:w="1530" w:type="dxa"/>
            <w:tcBorders>
              <w:top w:val="single" w:sz="6" w:space="0" w:color="auto"/>
              <w:left w:val="single" w:sz="6" w:space="0" w:color="auto"/>
              <w:bottom w:val="single" w:sz="6" w:space="0" w:color="auto"/>
              <w:right w:val="single" w:sz="6" w:space="0" w:color="auto"/>
            </w:tcBorders>
            <w:hideMark/>
          </w:tcPr>
          <w:p w14:paraId="4FF7CB2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(n=31): adults with Autism diagnosis, age 21-63; Female (n=26), NB (n=2), TG (n=1), AG (n=1), GF (n=1)  </w:t>
            </w:r>
          </w:p>
        </w:tc>
        <w:tc>
          <w:tcPr>
            <w:tcW w:w="1695" w:type="dxa"/>
            <w:tcBorders>
              <w:top w:val="single" w:sz="6" w:space="0" w:color="auto"/>
              <w:left w:val="single" w:sz="6" w:space="0" w:color="auto"/>
              <w:bottom w:val="single" w:sz="6" w:space="0" w:color="auto"/>
              <w:right w:val="single" w:sz="6" w:space="0" w:color="auto"/>
            </w:tcBorders>
            <w:hideMark/>
          </w:tcPr>
          <w:p w14:paraId="7039D0D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women and gender diverse pts. reported avoiding medical care, leading to undiagnosed or unknown health conditions </w:t>
            </w:r>
          </w:p>
        </w:tc>
        <w:tc>
          <w:tcPr>
            <w:tcW w:w="2265" w:type="dxa"/>
            <w:tcBorders>
              <w:top w:val="single" w:sz="6" w:space="0" w:color="auto"/>
              <w:left w:val="single" w:sz="6" w:space="0" w:color="auto"/>
              <w:bottom w:val="single" w:sz="6" w:space="0" w:color="auto"/>
              <w:right w:val="single" w:sz="6" w:space="0" w:color="auto"/>
            </w:tcBorders>
            <w:hideMark/>
          </w:tcPr>
          <w:p w14:paraId="750DA5F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Dismissal, gaslighting, and lack of understanding by health professionals led to severe mistrust </w:t>
            </w:r>
          </w:p>
          <w:p w14:paraId="27A5CBA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Note: limited ability to extract data </w:t>
            </w:r>
          </w:p>
        </w:tc>
      </w:tr>
      <w:tr w:rsidR="002C79F7" w:rsidRPr="002C79F7" w14:paraId="24B9174E"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38CEAA0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Bruce et al. (2023) </w:t>
            </w:r>
          </w:p>
          <w:p w14:paraId="6B5E0B4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Canada,</w:t>
            </w:r>
            <w:r w:rsidRPr="00702C1F">
              <w:rPr>
                <w:rFonts w:cs="Segoe UI"/>
                <w:color w:val="000000"/>
                <w:szCs w:val="26"/>
                <w:shd w:val="clear" w:color="auto" w:fill="FFFFFF"/>
                <w:lang w:eastAsia="en-GB"/>
              </w:rPr>
              <w:t xml:space="preserve"> </w:t>
            </w:r>
            <w:r w:rsidRPr="00702C1F">
              <w:rPr>
                <w:rFonts w:cs="Segoe UI"/>
                <w:color w:val="000000"/>
                <w:szCs w:val="26"/>
                <w:lang w:eastAsia="en-GB"/>
              </w:rPr>
              <w:t>UK, Germany, Norway, Australia, Netherlands </w:t>
            </w:r>
          </w:p>
        </w:tc>
        <w:tc>
          <w:tcPr>
            <w:tcW w:w="1245" w:type="dxa"/>
            <w:tcBorders>
              <w:top w:val="single" w:sz="6" w:space="0" w:color="auto"/>
              <w:left w:val="single" w:sz="6" w:space="0" w:color="auto"/>
              <w:bottom w:val="single" w:sz="6" w:space="0" w:color="auto"/>
              <w:right w:val="single" w:sz="6" w:space="0" w:color="auto"/>
            </w:tcBorders>
            <w:hideMark/>
          </w:tcPr>
          <w:p w14:paraId="11E3DE9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Understand Autistic </w:t>
            </w:r>
            <w:r w:rsidR="001B197B">
              <w:rPr>
                <w:rFonts w:cs="Segoe UI"/>
                <w:color w:val="000000"/>
                <w:szCs w:val="26"/>
                <w:lang w:eastAsia="en-GB"/>
              </w:rPr>
              <w:t>t</w:t>
            </w:r>
            <w:r w:rsidRPr="00702C1F">
              <w:rPr>
                <w:rFonts w:cs="Segoe UI"/>
                <w:color w:val="000000"/>
                <w:szCs w:val="26"/>
                <w:lang w:eastAsia="en-GB"/>
              </w:rPr>
              <w:t xml:space="preserve">ransgender and/or </w:t>
            </w:r>
            <w:r w:rsidR="001B197B">
              <w:rPr>
                <w:rFonts w:cs="Segoe UI"/>
                <w:color w:val="000000"/>
                <w:szCs w:val="26"/>
                <w:lang w:eastAsia="en-GB"/>
              </w:rPr>
              <w:t>n</w:t>
            </w:r>
            <w:r w:rsidR="003411F0">
              <w:rPr>
                <w:rFonts w:cs="Segoe UI"/>
                <w:color w:val="000000"/>
                <w:szCs w:val="26"/>
                <w:lang w:eastAsia="en-GB"/>
              </w:rPr>
              <w:t>on-binary</w:t>
            </w:r>
            <w:r w:rsidRPr="00702C1F">
              <w:rPr>
                <w:rFonts w:cs="Segoe UI"/>
                <w:color w:val="000000"/>
                <w:szCs w:val="26"/>
                <w:lang w:eastAsia="en-GB"/>
              </w:rPr>
              <w:t xml:space="preserve"> adults’ experiences in accessing or trying to access gender identity </w:t>
            </w:r>
            <w:r w:rsidR="00923A42" w:rsidRPr="00702C1F">
              <w:rPr>
                <w:rFonts w:cs="Segoe UI"/>
                <w:color w:val="000000"/>
                <w:szCs w:val="26"/>
                <w:lang w:eastAsia="en-GB"/>
              </w:rPr>
              <w:t>healthcare</w:t>
            </w:r>
            <w:r w:rsidRPr="00702C1F">
              <w:rPr>
                <w:rFonts w:cs="Segoe UI"/>
                <w:color w:val="000000"/>
                <w:szCs w:val="26"/>
                <w:lang w:eastAsia="en-GB"/>
              </w:rPr>
              <w:t xml:space="preserve"> (GIH) </w:t>
            </w:r>
          </w:p>
        </w:tc>
        <w:tc>
          <w:tcPr>
            <w:tcW w:w="1125" w:type="dxa"/>
            <w:tcBorders>
              <w:top w:val="single" w:sz="6" w:space="0" w:color="auto"/>
              <w:left w:val="single" w:sz="6" w:space="0" w:color="auto"/>
              <w:bottom w:val="single" w:sz="6" w:space="0" w:color="auto"/>
              <w:right w:val="single" w:sz="6" w:space="0" w:color="auto"/>
            </w:tcBorders>
            <w:hideMark/>
          </w:tcPr>
          <w:p w14:paraId="6DDE1BA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Semi-structured interviews </w:t>
            </w:r>
          </w:p>
          <w:p w14:paraId="7CD760E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Reflexive thematic analysis </w:t>
            </w:r>
          </w:p>
        </w:tc>
        <w:tc>
          <w:tcPr>
            <w:tcW w:w="1245" w:type="dxa"/>
            <w:tcBorders>
              <w:top w:val="single" w:sz="6" w:space="0" w:color="auto"/>
              <w:left w:val="single" w:sz="6" w:space="0" w:color="auto"/>
              <w:bottom w:val="single" w:sz="6" w:space="0" w:color="auto"/>
              <w:right w:val="single" w:sz="6" w:space="0" w:color="auto"/>
            </w:tcBorders>
            <w:hideMark/>
          </w:tcPr>
          <w:p w14:paraId="6DAD87B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w:t>
            </w:r>
          </w:p>
        </w:tc>
        <w:tc>
          <w:tcPr>
            <w:tcW w:w="1530" w:type="dxa"/>
            <w:tcBorders>
              <w:top w:val="single" w:sz="6" w:space="0" w:color="auto"/>
              <w:left w:val="single" w:sz="6" w:space="0" w:color="auto"/>
              <w:bottom w:val="single" w:sz="6" w:space="0" w:color="auto"/>
              <w:right w:val="single" w:sz="6" w:space="0" w:color="auto"/>
            </w:tcBorders>
            <w:hideMark/>
          </w:tcPr>
          <w:p w14:paraId="353C2C7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(n=17): adults with Autism diagnosis, age 18-46; TG (n=10), NB (n=3), TG/NB (n=4) </w:t>
            </w:r>
          </w:p>
        </w:tc>
        <w:tc>
          <w:tcPr>
            <w:tcW w:w="1695" w:type="dxa"/>
            <w:tcBorders>
              <w:top w:val="single" w:sz="6" w:space="0" w:color="auto"/>
              <w:left w:val="single" w:sz="6" w:space="0" w:color="auto"/>
              <w:bottom w:val="single" w:sz="6" w:space="0" w:color="auto"/>
              <w:right w:val="single" w:sz="6" w:space="0" w:color="auto"/>
            </w:tcBorders>
            <w:hideMark/>
          </w:tcPr>
          <w:p w14:paraId="6082482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NR </w:t>
            </w:r>
          </w:p>
        </w:tc>
        <w:tc>
          <w:tcPr>
            <w:tcW w:w="2265" w:type="dxa"/>
            <w:tcBorders>
              <w:top w:val="single" w:sz="6" w:space="0" w:color="auto"/>
              <w:left w:val="single" w:sz="6" w:space="0" w:color="auto"/>
              <w:bottom w:val="single" w:sz="6" w:space="0" w:color="auto"/>
              <w:right w:val="single" w:sz="6" w:space="0" w:color="auto"/>
            </w:tcBorders>
            <w:hideMark/>
          </w:tcPr>
          <w:p w14:paraId="01174DE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Barriers: Poor provider knowledge; dismissal after disclosing Autism; inaccessible and/or overstimulating enviro.; travel/ routine disruption, misdiagnosis; limited comm. options; long waitlists; unclear </w:t>
            </w:r>
            <w:r w:rsidRPr="00702C1F">
              <w:rPr>
                <w:rFonts w:cs="Segoe UI"/>
                <w:color w:val="000000"/>
                <w:szCs w:val="26"/>
                <w:lang w:eastAsia="en-GB"/>
              </w:rPr>
              <w:lastRenderedPageBreak/>
              <w:t>processes; insurance/eco-nomic barriers </w:t>
            </w:r>
          </w:p>
          <w:p w14:paraId="7615285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Trained, supportive providers; Autism-informed accom.; flexible comm.; clear guidance; integrated care; lived-experience support </w:t>
            </w:r>
          </w:p>
        </w:tc>
      </w:tr>
      <w:tr w:rsidR="002C79F7" w:rsidRPr="002C79F7" w14:paraId="19230764"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BBFC2D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Han et al. (2024) </w:t>
            </w:r>
          </w:p>
          <w:p w14:paraId="36A33C4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2F4B444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Review biopsycho-social factors affecting presentation, assessment and treatment of chronic pain in Autistic youth </w:t>
            </w:r>
          </w:p>
        </w:tc>
        <w:tc>
          <w:tcPr>
            <w:tcW w:w="1125" w:type="dxa"/>
            <w:tcBorders>
              <w:top w:val="single" w:sz="6" w:space="0" w:color="auto"/>
              <w:left w:val="single" w:sz="6" w:space="0" w:color="auto"/>
              <w:bottom w:val="single" w:sz="6" w:space="0" w:color="auto"/>
              <w:right w:val="single" w:sz="6" w:space="0" w:color="auto"/>
            </w:tcBorders>
            <w:hideMark/>
          </w:tcPr>
          <w:p w14:paraId="7587609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Retrospect-ive record review </w:t>
            </w:r>
          </w:p>
          <w:p w14:paraId="6592346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Analysis not clearly articulated </w:t>
            </w:r>
          </w:p>
        </w:tc>
        <w:tc>
          <w:tcPr>
            <w:tcW w:w="1245" w:type="dxa"/>
            <w:tcBorders>
              <w:top w:val="single" w:sz="6" w:space="0" w:color="auto"/>
              <w:left w:val="single" w:sz="6" w:space="0" w:color="auto"/>
              <w:bottom w:val="single" w:sz="6" w:space="0" w:color="auto"/>
              <w:right w:val="single" w:sz="6" w:space="0" w:color="auto"/>
            </w:tcBorders>
            <w:hideMark/>
          </w:tcPr>
          <w:p w14:paraId="34F2789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w:t>
            </w:r>
          </w:p>
        </w:tc>
        <w:tc>
          <w:tcPr>
            <w:tcW w:w="1530" w:type="dxa"/>
            <w:tcBorders>
              <w:top w:val="single" w:sz="6" w:space="0" w:color="auto"/>
              <w:left w:val="single" w:sz="6" w:space="0" w:color="auto"/>
              <w:bottom w:val="single" w:sz="6" w:space="0" w:color="auto"/>
              <w:right w:val="single" w:sz="6" w:space="0" w:color="auto"/>
            </w:tcBorders>
            <w:hideMark/>
          </w:tcPr>
          <w:p w14:paraId="550912C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(n=95): youth treated for chronic pain, age 8–18; with Autism diagnosis (9%); Female (65%), Male (6%), TG or GE (6%) </w:t>
            </w:r>
          </w:p>
        </w:tc>
        <w:tc>
          <w:tcPr>
            <w:tcW w:w="1695" w:type="dxa"/>
            <w:tcBorders>
              <w:top w:val="single" w:sz="6" w:space="0" w:color="auto"/>
              <w:left w:val="single" w:sz="6" w:space="0" w:color="auto"/>
              <w:bottom w:val="single" w:sz="6" w:space="0" w:color="auto"/>
              <w:right w:val="single" w:sz="6" w:space="0" w:color="auto"/>
            </w:tcBorders>
            <w:hideMark/>
          </w:tcPr>
          <w:p w14:paraId="5821E83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Chronic stress from non-acceptance of neuro-divergence worsened by intersecting identities, e.g., being Autistic and female or GE </w:t>
            </w:r>
          </w:p>
        </w:tc>
        <w:tc>
          <w:tcPr>
            <w:tcW w:w="2265" w:type="dxa"/>
            <w:tcBorders>
              <w:top w:val="single" w:sz="6" w:space="0" w:color="auto"/>
              <w:left w:val="single" w:sz="6" w:space="0" w:color="auto"/>
              <w:bottom w:val="single" w:sz="6" w:space="0" w:color="auto"/>
              <w:right w:val="single" w:sz="6" w:space="0" w:color="auto"/>
            </w:tcBorders>
            <w:hideMark/>
          </w:tcPr>
          <w:p w14:paraId="27D60E8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NR </w:t>
            </w:r>
          </w:p>
          <w:p w14:paraId="59F7F94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Note: Individuals who received late Autism diagnosis identified as TG or gender diverse </w:t>
            </w:r>
          </w:p>
        </w:tc>
      </w:tr>
      <w:tr w:rsidR="002C79F7" w:rsidRPr="002C79F7" w14:paraId="777BD33E"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FDF3EB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Adams et al. (2025) </w:t>
            </w:r>
          </w:p>
          <w:p w14:paraId="62753BC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Canada </w:t>
            </w:r>
          </w:p>
        </w:tc>
        <w:tc>
          <w:tcPr>
            <w:tcW w:w="1245" w:type="dxa"/>
            <w:tcBorders>
              <w:top w:val="single" w:sz="6" w:space="0" w:color="auto"/>
              <w:left w:val="single" w:sz="6" w:space="0" w:color="auto"/>
              <w:bottom w:val="single" w:sz="6" w:space="0" w:color="auto"/>
              <w:right w:val="single" w:sz="6" w:space="0" w:color="auto"/>
            </w:tcBorders>
            <w:hideMark/>
          </w:tcPr>
          <w:p w14:paraId="4683511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Examine primary mental health and </w:t>
            </w:r>
            <w:r w:rsidR="00EF6FA0">
              <w:rPr>
                <w:rFonts w:cs="Segoe UI"/>
                <w:color w:val="000000"/>
                <w:szCs w:val="26"/>
                <w:lang w:eastAsia="en-GB"/>
              </w:rPr>
              <w:t>gender affirming</w:t>
            </w:r>
            <w:r w:rsidRPr="00702C1F">
              <w:rPr>
                <w:rFonts w:cs="Segoe UI"/>
                <w:color w:val="000000"/>
                <w:szCs w:val="26"/>
                <w:lang w:eastAsia="en-GB"/>
              </w:rPr>
              <w:t xml:space="preserve"> care (GAC), experiences,  esp. between diagnosed and self-identified Autistic TNB individuals </w:t>
            </w:r>
          </w:p>
        </w:tc>
        <w:tc>
          <w:tcPr>
            <w:tcW w:w="1125" w:type="dxa"/>
            <w:tcBorders>
              <w:top w:val="single" w:sz="6" w:space="0" w:color="auto"/>
              <w:left w:val="single" w:sz="6" w:space="0" w:color="auto"/>
              <w:bottom w:val="single" w:sz="6" w:space="0" w:color="auto"/>
              <w:right w:val="single" w:sz="6" w:space="0" w:color="auto"/>
            </w:tcBorders>
            <w:hideMark/>
          </w:tcPr>
          <w:p w14:paraId="36CA5BE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Cross-sectional </w:t>
            </w:r>
          </w:p>
          <w:p w14:paraId="0C34C5D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Online survey </w:t>
            </w:r>
          </w:p>
          <w:p w14:paraId="5F96E54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Descriptive analysis, Pearson chi-square, multinomial logistic regression </w:t>
            </w:r>
          </w:p>
        </w:tc>
        <w:tc>
          <w:tcPr>
            <w:tcW w:w="1245" w:type="dxa"/>
            <w:tcBorders>
              <w:top w:val="single" w:sz="6" w:space="0" w:color="auto"/>
              <w:left w:val="single" w:sz="6" w:space="0" w:color="auto"/>
              <w:bottom w:val="single" w:sz="6" w:space="0" w:color="auto"/>
              <w:right w:val="single" w:sz="6" w:space="0" w:color="auto"/>
            </w:tcBorders>
            <w:hideMark/>
          </w:tcPr>
          <w:p w14:paraId="3AE5DD2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diagnosed with autism, self-identified autistic, autism status groups </w:t>
            </w:r>
          </w:p>
        </w:tc>
        <w:tc>
          <w:tcPr>
            <w:tcW w:w="1530" w:type="dxa"/>
            <w:tcBorders>
              <w:top w:val="single" w:sz="6" w:space="0" w:color="auto"/>
              <w:left w:val="single" w:sz="6" w:space="0" w:color="auto"/>
              <w:bottom w:val="single" w:sz="6" w:space="0" w:color="auto"/>
              <w:right w:val="single" w:sz="6" w:space="0" w:color="auto"/>
            </w:tcBorders>
            <w:hideMark/>
          </w:tcPr>
          <w:p w14:paraId="1F61381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Sample (n=2,858): individuals who sought GAC, diagnosed with Autism (n=230, mean age ≈27.3); self-identified Autism (n=176, mean age ≈28.5); Autistic pts.: Man/boy (n=81), Woman/girl (n=90), Indig./cultural ID (n=12), NB/GQ/AG or similar (N=209), </w:t>
            </w:r>
            <w:r w:rsidRPr="00702C1F">
              <w:rPr>
                <w:rFonts w:cs="Segoe UI"/>
                <w:color w:val="000000"/>
                <w:szCs w:val="26"/>
                <w:lang w:eastAsia="en-GB"/>
              </w:rPr>
              <w:lastRenderedPageBreak/>
              <w:t>missing (n=14);  </w:t>
            </w:r>
          </w:p>
        </w:tc>
        <w:tc>
          <w:tcPr>
            <w:tcW w:w="1695" w:type="dxa"/>
            <w:tcBorders>
              <w:top w:val="single" w:sz="6" w:space="0" w:color="auto"/>
              <w:left w:val="single" w:sz="6" w:space="0" w:color="auto"/>
              <w:bottom w:val="single" w:sz="6" w:space="0" w:color="auto"/>
              <w:right w:val="single" w:sz="6" w:space="0" w:color="auto"/>
            </w:tcBorders>
            <w:hideMark/>
          </w:tcPr>
          <w:p w14:paraId="6FB2BDC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Autistic patients reported poorer mental and general health, higher unmet care needs, many avoided disclosure, were less likely to have completed GAC, and those diagnosed struggled to afford it </w:t>
            </w:r>
          </w:p>
        </w:tc>
        <w:tc>
          <w:tcPr>
            <w:tcW w:w="2265" w:type="dxa"/>
            <w:tcBorders>
              <w:top w:val="single" w:sz="6" w:space="0" w:color="auto"/>
              <w:left w:val="single" w:sz="6" w:space="0" w:color="auto"/>
              <w:bottom w:val="single" w:sz="6" w:space="0" w:color="auto"/>
              <w:right w:val="single" w:sz="6" w:space="0" w:color="auto"/>
            </w:tcBorders>
            <w:hideMark/>
          </w:tcPr>
          <w:p w14:paraId="37273DD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Repeated misgendering; needing to educate providers on TNB needs; providers confusing TNB with mental health problems  </w:t>
            </w:r>
          </w:p>
        </w:tc>
      </w:tr>
      <w:tr w:rsidR="002C79F7" w:rsidRPr="002C79F7" w14:paraId="498B71F1"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463DA9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Carlile (2019) </w:t>
            </w:r>
          </w:p>
          <w:p w14:paraId="65C5065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5291997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Investigate experiences of healthcare provision and how they could be improved for TG and NB children, young people and parents </w:t>
            </w:r>
          </w:p>
        </w:tc>
        <w:tc>
          <w:tcPr>
            <w:tcW w:w="1125" w:type="dxa"/>
            <w:tcBorders>
              <w:top w:val="single" w:sz="6" w:space="0" w:color="auto"/>
              <w:left w:val="single" w:sz="6" w:space="0" w:color="auto"/>
              <w:bottom w:val="single" w:sz="6" w:space="0" w:color="auto"/>
              <w:right w:val="single" w:sz="6" w:space="0" w:color="auto"/>
            </w:tcBorders>
            <w:hideMark/>
          </w:tcPr>
          <w:p w14:paraId="36B8495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Interviews/ participato-ry workshops </w:t>
            </w:r>
          </w:p>
          <w:p w14:paraId="56E328E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Thematic analysis with participant feedback  </w:t>
            </w:r>
          </w:p>
        </w:tc>
        <w:tc>
          <w:tcPr>
            <w:tcW w:w="1245" w:type="dxa"/>
            <w:tcBorders>
              <w:top w:val="single" w:sz="6" w:space="0" w:color="auto"/>
              <w:left w:val="single" w:sz="6" w:space="0" w:color="auto"/>
              <w:bottom w:val="single" w:sz="6" w:space="0" w:color="auto"/>
              <w:right w:val="single" w:sz="6" w:space="0" w:color="auto"/>
            </w:tcBorders>
            <w:hideMark/>
          </w:tcPr>
          <w:p w14:paraId="63A642D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Diagnosis of autism, Autism Spectrum Disorder, young person with autism, autistic </w:t>
            </w:r>
          </w:p>
        </w:tc>
        <w:tc>
          <w:tcPr>
            <w:tcW w:w="1530" w:type="dxa"/>
            <w:tcBorders>
              <w:top w:val="single" w:sz="6" w:space="0" w:color="auto"/>
              <w:left w:val="single" w:sz="6" w:space="0" w:color="auto"/>
              <w:bottom w:val="single" w:sz="6" w:space="0" w:color="auto"/>
              <w:right w:val="single" w:sz="6" w:space="0" w:color="auto"/>
            </w:tcBorders>
            <w:hideMark/>
          </w:tcPr>
          <w:p w14:paraId="7C5F597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(n=65) parents and children from 27 families attending support group </w:t>
            </w:r>
          </w:p>
        </w:tc>
        <w:tc>
          <w:tcPr>
            <w:tcW w:w="1695" w:type="dxa"/>
            <w:tcBorders>
              <w:top w:val="single" w:sz="6" w:space="0" w:color="auto"/>
              <w:left w:val="single" w:sz="6" w:space="0" w:color="auto"/>
              <w:bottom w:val="single" w:sz="6" w:space="0" w:color="auto"/>
              <w:right w:val="single" w:sz="6" w:space="0" w:color="auto"/>
            </w:tcBorders>
            <w:hideMark/>
          </w:tcPr>
          <w:p w14:paraId="70F92EB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NR </w:t>
            </w:r>
          </w:p>
        </w:tc>
        <w:tc>
          <w:tcPr>
            <w:tcW w:w="2265" w:type="dxa"/>
            <w:tcBorders>
              <w:top w:val="single" w:sz="6" w:space="0" w:color="auto"/>
              <w:left w:val="single" w:sz="6" w:space="0" w:color="auto"/>
              <w:bottom w:val="single" w:sz="6" w:space="0" w:color="auto"/>
              <w:right w:val="single" w:sz="6" w:space="0" w:color="auto"/>
            </w:tcBorders>
            <w:hideMark/>
          </w:tcPr>
          <w:p w14:paraId="2282B4C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Barriers: Poor integration of Autism/gender identity in referrals/care; practitioner confusion delayed </w:t>
            </w:r>
            <w:r w:rsidR="00EF6FA0">
              <w:rPr>
                <w:rFonts w:cs="Segoe UI"/>
                <w:color w:val="000000"/>
                <w:szCs w:val="26"/>
                <w:lang w:eastAsia="en-GB"/>
              </w:rPr>
              <w:t>gender affirming</w:t>
            </w:r>
            <w:r w:rsidRPr="00702C1F">
              <w:rPr>
                <w:rFonts w:cs="Segoe UI"/>
                <w:color w:val="000000"/>
                <w:szCs w:val="26"/>
                <w:lang w:eastAsia="en-GB"/>
              </w:rPr>
              <w:t xml:space="preserve"> support; lack of collab. with schools increased distress </w:t>
            </w:r>
          </w:p>
          <w:p w14:paraId="0B5EA92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Coordinated care between Autism and gender services could reduce discomfort, improve outcomes </w:t>
            </w:r>
          </w:p>
        </w:tc>
      </w:tr>
      <w:tr w:rsidR="002C79F7" w:rsidRPr="002C79F7" w14:paraId="47D95C25"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059EF64F" w14:textId="77777777" w:rsidR="002C79F7" w:rsidRPr="00702C1F" w:rsidRDefault="006E4969" w:rsidP="003F7D80">
            <w:pPr>
              <w:spacing w:after="0"/>
              <w:textAlignment w:val="baseline"/>
              <w:rPr>
                <w:rFonts w:cs="Segoe UI"/>
                <w:color w:val="000000"/>
                <w:szCs w:val="26"/>
                <w:lang w:eastAsia="en-GB"/>
              </w:rPr>
            </w:pPr>
            <w:r w:rsidRPr="00702C1F">
              <w:rPr>
                <w:rFonts w:cs="Segoe UI"/>
                <w:color w:val="000000"/>
                <w:szCs w:val="26"/>
                <w:lang w:eastAsia="en-GB"/>
              </w:rPr>
              <w:t>Cain</w:t>
            </w:r>
            <w:r w:rsidR="002C79F7" w:rsidRPr="00702C1F">
              <w:rPr>
                <w:rFonts w:cs="Segoe UI"/>
                <w:color w:val="000000"/>
                <w:szCs w:val="26"/>
                <w:lang w:eastAsia="en-GB"/>
              </w:rPr>
              <w:t xml:space="preserve"> &amp; Velasco (2020) </w:t>
            </w:r>
          </w:p>
          <w:p w14:paraId="3E5BDA5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64D30FF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Examine an individual’s life story through different identities </w:t>
            </w:r>
          </w:p>
        </w:tc>
        <w:tc>
          <w:tcPr>
            <w:tcW w:w="1125" w:type="dxa"/>
            <w:tcBorders>
              <w:top w:val="single" w:sz="6" w:space="0" w:color="auto"/>
              <w:left w:val="single" w:sz="6" w:space="0" w:color="auto"/>
              <w:bottom w:val="single" w:sz="6" w:space="0" w:color="auto"/>
              <w:right w:val="single" w:sz="6" w:space="0" w:color="auto"/>
            </w:tcBorders>
            <w:hideMark/>
          </w:tcPr>
          <w:p w14:paraId="10178B7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Semi-structured interviews </w:t>
            </w:r>
          </w:p>
          <w:p w14:paraId="724CF6F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Narrative analysis </w:t>
            </w:r>
          </w:p>
        </w:tc>
        <w:tc>
          <w:tcPr>
            <w:tcW w:w="1245" w:type="dxa"/>
            <w:tcBorders>
              <w:top w:val="single" w:sz="6" w:space="0" w:color="auto"/>
              <w:left w:val="single" w:sz="6" w:space="0" w:color="auto"/>
              <w:bottom w:val="single" w:sz="6" w:space="0" w:color="auto"/>
              <w:right w:val="single" w:sz="6" w:space="0" w:color="auto"/>
            </w:tcBorders>
            <w:hideMark/>
          </w:tcPr>
          <w:p w14:paraId="0DAB532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Autism Spectrum Disorder, autistic person </w:t>
            </w:r>
          </w:p>
        </w:tc>
        <w:tc>
          <w:tcPr>
            <w:tcW w:w="1530" w:type="dxa"/>
            <w:tcBorders>
              <w:top w:val="single" w:sz="6" w:space="0" w:color="auto"/>
              <w:left w:val="single" w:sz="6" w:space="0" w:color="auto"/>
              <w:bottom w:val="single" w:sz="6" w:space="0" w:color="auto"/>
              <w:right w:val="single" w:sz="6" w:space="0" w:color="auto"/>
            </w:tcBorders>
            <w:hideMark/>
          </w:tcPr>
          <w:p w14:paraId="00A2992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 adult diagnosed with Autism, age 40; NB </w:t>
            </w:r>
          </w:p>
        </w:tc>
        <w:tc>
          <w:tcPr>
            <w:tcW w:w="1695" w:type="dxa"/>
            <w:tcBorders>
              <w:top w:val="single" w:sz="6" w:space="0" w:color="auto"/>
              <w:left w:val="single" w:sz="6" w:space="0" w:color="auto"/>
              <w:bottom w:val="single" w:sz="6" w:space="0" w:color="auto"/>
              <w:right w:val="single" w:sz="6" w:space="0" w:color="auto"/>
            </w:tcBorders>
            <w:hideMark/>
          </w:tcPr>
          <w:p w14:paraId="78D927C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Access to GAC denied by insurance due to co-existing </w:t>
            </w:r>
            <w:r w:rsidRPr="00702C1F">
              <w:rPr>
                <w:rFonts w:cs="Segoe UI"/>
                <w:color w:val="000000"/>
                <w:szCs w:val="26"/>
                <w:lang w:eastAsia="en-GB"/>
              </w:rPr>
              <w:lastRenderedPageBreak/>
              <w:t>condition; clinician lacked knowledge of hormone prescription </w:t>
            </w:r>
          </w:p>
        </w:tc>
        <w:tc>
          <w:tcPr>
            <w:tcW w:w="2265" w:type="dxa"/>
            <w:tcBorders>
              <w:top w:val="single" w:sz="6" w:space="0" w:color="auto"/>
              <w:left w:val="single" w:sz="6" w:space="0" w:color="auto"/>
              <w:bottom w:val="single" w:sz="6" w:space="0" w:color="auto"/>
              <w:right w:val="single" w:sz="6" w:space="0" w:color="auto"/>
            </w:tcBorders>
            <w:hideMark/>
          </w:tcPr>
          <w:p w14:paraId="3DD8F91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Barriers: Insurance gaps for </w:t>
            </w:r>
            <w:r w:rsidR="001B197B">
              <w:rPr>
                <w:rFonts w:cs="Segoe UI"/>
                <w:color w:val="000000"/>
                <w:szCs w:val="26"/>
                <w:lang w:eastAsia="en-GB"/>
              </w:rPr>
              <w:t>t</w:t>
            </w:r>
            <w:r w:rsidRPr="00702C1F">
              <w:rPr>
                <w:rFonts w:cs="Segoe UI"/>
                <w:color w:val="000000"/>
                <w:szCs w:val="26"/>
                <w:lang w:eastAsia="en-GB"/>
              </w:rPr>
              <w:t xml:space="preserve">rans/NB care; limited provider knowledge on </w:t>
            </w:r>
            <w:r w:rsidRPr="00702C1F">
              <w:rPr>
                <w:rFonts w:cs="Segoe UI"/>
                <w:color w:val="000000"/>
                <w:szCs w:val="26"/>
                <w:lang w:eastAsia="en-GB"/>
              </w:rPr>
              <w:lastRenderedPageBreak/>
              <w:t>hormones worsened emotional and Autistic symptoms </w:t>
            </w:r>
          </w:p>
        </w:tc>
      </w:tr>
      <w:tr w:rsidR="002C79F7" w:rsidRPr="002C79F7" w14:paraId="0418835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78B0E16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Strauss et al. (2021) </w:t>
            </w:r>
          </w:p>
          <w:p w14:paraId="34C38D06"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Australia </w:t>
            </w:r>
          </w:p>
        </w:tc>
        <w:tc>
          <w:tcPr>
            <w:tcW w:w="1245" w:type="dxa"/>
            <w:tcBorders>
              <w:top w:val="single" w:sz="6" w:space="0" w:color="auto"/>
              <w:left w:val="single" w:sz="6" w:space="0" w:color="auto"/>
              <w:bottom w:val="single" w:sz="6" w:space="0" w:color="auto"/>
              <w:right w:val="single" w:sz="6" w:space="0" w:color="auto"/>
            </w:tcBorders>
            <w:hideMark/>
          </w:tcPr>
          <w:p w14:paraId="4D05F4F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Examine differences between </w:t>
            </w:r>
            <w:r w:rsidR="001B197B">
              <w:rPr>
                <w:rFonts w:cs="Segoe UI"/>
                <w:color w:val="000000"/>
                <w:szCs w:val="26"/>
                <w:lang w:eastAsia="en-GB"/>
              </w:rPr>
              <w:t>t</w:t>
            </w:r>
            <w:r w:rsidRPr="00702C1F">
              <w:rPr>
                <w:rFonts w:cs="Segoe UI"/>
                <w:color w:val="000000"/>
                <w:szCs w:val="26"/>
                <w:lang w:eastAsia="en-GB"/>
              </w:rPr>
              <w:t xml:space="preserve">rans young people with /without ASD by demo-graphics, mental health, experience of negative events, and access to GA </w:t>
            </w:r>
            <w:r w:rsidR="00923A42" w:rsidRPr="00702C1F">
              <w:rPr>
                <w:rFonts w:cs="Segoe UI"/>
                <w:color w:val="000000"/>
                <w:szCs w:val="26"/>
                <w:lang w:eastAsia="en-GB"/>
              </w:rPr>
              <w:t>healthcare</w:t>
            </w:r>
            <w:r w:rsidRPr="00702C1F">
              <w:rPr>
                <w:rFonts w:cs="Segoe UI"/>
                <w:color w:val="000000"/>
                <w:szCs w:val="26"/>
                <w:lang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7893CD7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Mixed-methods survey </w:t>
            </w:r>
          </w:p>
          <w:p w14:paraId="593E6CB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Descriptive statistics, chi-square tests, logistic regression </w:t>
            </w:r>
          </w:p>
        </w:tc>
        <w:tc>
          <w:tcPr>
            <w:tcW w:w="1245" w:type="dxa"/>
            <w:tcBorders>
              <w:top w:val="single" w:sz="6" w:space="0" w:color="auto"/>
              <w:left w:val="single" w:sz="6" w:space="0" w:color="auto"/>
              <w:bottom w:val="single" w:sz="6" w:space="0" w:color="auto"/>
              <w:right w:val="single" w:sz="6" w:space="0" w:color="auto"/>
            </w:tcBorders>
            <w:hideMark/>
          </w:tcPr>
          <w:p w14:paraId="4ADD15D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ASD, Autism Spectrum Disorder </w:t>
            </w:r>
          </w:p>
        </w:tc>
        <w:tc>
          <w:tcPr>
            <w:tcW w:w="1530" w:type="dxa"/>
            <w:tcBorders>
              <w:top w:val="single" w:sz="6" w:space="0" w:color="auto"/>
              <w:left w:val="single" w:sz="6" w:space="0" w:color="auto"/>
              <w:bottom w:val="single" w:sz="6" w:space="0" w:color="auto"/>
              <w:right w:val="single" w:sz="6" w:space="0" w:color="auto"/>
            </w:tcBorders>
            <w:hideMark/>
          </w:tcPr>
          <w:p w14:paraId="1E9B10B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(n=795): young people, age 14-25, with Autism diagnosis (n=172); without (n=593) </w:t>
            </w:r>
          </w:p>
        </w:tc>
        <w:tc>
          <w:tcPr>
            <w:tcW w:w="1695" w:type="dxa"/>
            <w:tcBorders>
              <w:top w:val="single" w:sz="6" w:space="0" w:color="auto"/>
              <w:left w:val="single" w:sz="6" w:space="0" w:color="auto"/>
              <w:bottom w:val="single" w:sz="6" w:space="0" w:color="auto"/>
              <w:right w:val="single" w:sz="6" w:space="0" w:color="auto"/>
            </w:tcBorders>
            <w:hideMark/>
          </w:tcPr>
          <w:p w14:paraId="3DDD779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Autistic pts. more likely to have psychiatric diagnoses, elevated anxiety, moderate-severe depression and report self-harm, suicidal thoughts/ attempts, risky behaviours; Medical Transition </w:t>
            </w:r>
            <w:r w:rsidRPr="00702C1F">
              <w:rPr>
                <w:rFonts w:cs="Segoe UI"/>
                <w:color w:val="000000"/>
                <w:szCs w:val="26"/>
                <w:lang w:eastAsia="en-GB"/>
              </w:rPr>
              <w:lastRenderedPageBreak/>
              <w:t>rates lower, unmet needs higher </w:t>
            </w:r>
          </w:p>
        </w:tc>
        <w:tc>
          <w:tcPr>
            <w:tcW w:w="2265" w:type="dxa"/>
            <w:tcBorders>
              <w:top w:val="single" w:sz="6" w:space="0" w:color="auto"/>
              <w:left w:val="single" w:sz="6" w:space="0" w:color="auto"/>
              <w:bottom w:val="single" w:sz="6" w:space="0" w:color="auto"/>
              <w:right w:val="single" w:sz="6" w:space="0" w:color="auto"/>
            </w:tcBorders>
            <w:hideMark/>
          </w:tcPr>
          <w:p w14:paraId="7441319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Barriers: Autistic pts. experienced higher rates of abuse, neglect, unstable housing, isolation, and family/emotional/verbal harm </w:t>
            </w:r>
          </w:p>
        </w:tc>
      </w:tr>
      <w:tr w:rsidR="002C79F7" w:rsidRPr="002C79F7" w14:paraId="60C05C5C"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3B73627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Ardeleanu et al. (2024) </w:t>
            </w:r>
          </w:p>
          <w:p w14:paraId="5495627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01EF7D6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Understand experiences of queer and TG Autistic adults who were not </w:t>
            </w:r>
            <w:r w:rsidR="00A91516" w:rsidRPr="00702C1F">
              <w:rPr>
                <w:rFonts w:cs="Segoe UI"/>
                <w:color w:val="000000"/>
                <w:szCs w:val="26"/>
                <w:lang w:eastAsia="en-GB"/>
              </w:rPr>
              <w:t>formally identified</w:t>
            </w:r>
            <w:r w:rsidRPr="00702C1F">
              <w:rPr>
                <w:rFonts w:cs="Segoe UI"/>
                <w:color w:val="000000"/>
                <w:szCs w:val="26"/>
                <w:lang w:eastAsia="en-GB"/>
              </w:rPr>
              <w:t xml:space="preserve"> in childhood, how they talk about diagnosis, and why they pursued it as adults </w:t>
            </w:r>
          </w:p>
        </w:tc>
        <w:tc>
          <w:tcPr>
            <w:tcW w:w="1125" w:type="dxa"/>
            <w:tcBorders>
              <w:top w:val="single" w:sz="6" w:space="0" w:color="auto"/>
              <w:left w:val="single" w:sz="6" w:space="0" w:color="auto"/>
              <w:bottom w:val="single" w:sz="6" w:space="0" w:color="auto"/>
              <w:right w:val="single" w:sz="6" w:space="0" w:color="auto"/>
            </w:tcBorders>
            <w:hideMark/>
          </w:tcPr>
          <w:p w14:paraId="5BA96EF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In-depth interviews </w:t>
            </w:r>
          </w:p>
          <w:p w14:paraId="0E11EDB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Thematic and line-by-line coding </w:t>
            </w:r>
          </w:p>
        </w:tc>
        <w:tc>
          <w:tcPr>
            <w:tcW w:w="1245" w:type="dxa"/>
            <w:tcBorders>
              <w:top w:val="single" w:sz="6" w:space="0" w:color="auto"/>
              <w:left w:val="single" w:sz="6" w:space="0" w:color="auto"/>
              <w:bottom w:val="single" w:sz="6" w:space="0" w:color="auto"/>
              <w:right w:val="single" w:sz="6" w:space="0" w:color="auto"/>
            </w:tcBorders>
            <w:hideMark/>
          </w:tcPr>
          <w:p w14:paraId="60D87D7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Autistic, Self-identified autism, </w:t>
            </w:r>
            <w:r w:rsidR="00A91516" w:rsidRPr="00702C1F">
              <w:rPr>
                <w:rFonts w:cs="Segoe UI"/>
                <w:color w:val="000000"/>
                <w:szCs w:val="26"/>
                <w:lang w:eastAsia="en-GB"/>
              </w:rPr>
              <w:t>Formally diagnosed</w:t>
            </w:r>
          </w:p>
        </w:tc>
        <w:tc>
          <w:tcPr>
            <w:tcW w:w="1530" w:type="dxa"/>
            <w:tcBorders>
              <w:top w:val="single" w:sz="6" w:space="0" w:color="auto"/>
              <w:left w:val="single" w:sz="6" w:space="0" w:color="auto"/>
              <w:bottom w:val="single" w:sz="6" w:space="0" w:color="auto"/>
              <w:right w:val="single" w:sz="6" w:space="0" w:color="auto"/>
            </w:tcBorders>
            <w:hideMark/>
          </w:tcPr>
          <w:p w14:paraId="6C52E43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(n=65): queer and TG Autistic adults, age 18-71; with Autism diagnosis (n=37), self-identified (n=28); Outside the binary (n=37), Cis Women (n=11), Cis Men (n=5), TG Binary (n=5), no answer/ unsure (n=2) </w:t>
            </w:r>
          </w:p>
        </w:tc>
        <w:tc>
          <w:tcPr>
            <w:tcW w:w="1695" w:type="dxa"/>
            <w:tcBorders>
              <w:top w:val="single" w:sz="6" w:space="0" w:color="auto"/>
              <w:left w:val="single" w:sz="6" w:space="0" w:color="auto"/>
              <w:bottom w:val="single" w:sz="6" w:space="0" w:color="auto"/>
              <w:right w:val="single" w:sz="6" w:space="0" w:color="auto"/>
            </w:tcBorders>
            <w:hideMark/>
          </w:tcPr>
          <w:p w14:paraId="430B3BC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Diagnostic services largely inaccessible with few resources for systemic hurdles (financial/ insurance barriers, long waitlists, lack of qualified assessors, geographic constraints, indefinite timelines) led many pts. to abandon the process </w:t>
            </w:r>
          </w:p>
        </w:tc>
        <w:tc>
          <w:tcPr>
            <w:tcW w:w="2265" w:type="dxa"/>
            <w:tcBorders>
              <w:top w:val="single" w:sz="6" w:space="0" w:color="auto"/>
              <w:left w:val="single" w:sz="6" w:space="0" w:color="auto"/>
              <w:bottom w:val="single" w:sz="6" w:space="0" w:color="auto"/>
              <w:right w:val="single" w:sz="6" w:space="0" w:color="auto"/>
            </w:tcBorders>
            <w:hideMark/>
          </w:tcPr>
          <w:p w14:paraId="2101E52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Providers often lacked relevant skills/ knowledge; childhood Autism diagnoses delayed or missed (AFAB status, non-White identity, family disbelief, financial barriers, limited insurance); adult diagnosis process challenging; </w:t>
            </w:r>
          </w:p>
        </w:tc>
      </w:tr>
      <w:tr w:rsidR="002C79F7" w:rsidRPr="002C79F7" w14:paraId="784519D0"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4EA41DC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Oliver et al. (2024) </w:t>
            </w:r>
          </w:p>
          <w:p w14:paraId="0917F5E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Scotland </w:t>
            </w:r>
          </w:p>
        </w:tc>
        <w:tc>
          <w:tcPr>
            <w:tcW w:w="1245" w:type="dxa"/>
            <w:tcBorders>
              <w:top w:val="single" w:sz="6" w:space="0" w:color="auto"/>
              <w:left w:val="single" w:sz="6" w:space="0" w:color="auto"/>
              <w:bottom w:val="single" w:sz="6" w:space="0" w:color="auto"/>
              <w:right w:val="single" w:sz="6" w:space="0" w:color="auto"/>
            </w:tcBorders>
            <w:hideMark/>
          </w:tcPr>
          <w:p w14:paraId="77423E4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Explore lived experiences of GD, group- identity, self-concept and resilience in AFAB Autistic adolescents with no </w:t>
            </w:r>
            <w:r w:rsidR="00EF6FA0">
              <w:rPr>
                <w:rFonts w:cs="Segoe UI"/>
                <w:color w:val="000000"/>
                <w:szCs w:val="26"/>
                <w:lang w:eastAsia="en-GB"/>
              </w:rPr>
              <w:t>gender affirming</w:t>
            </w:r>
            <w:r w:rsidRPr="00702C1F">
              <w:rPr>
                <w:rFonts w:cs="Segoe UI"/>
                <w:color w:val="000000"/>
                <w:szCs w:val="26"/>
                <w:lang w:eastAsia="en-GB"/>
              </w:rPr>
              <w:t xml:space="preserve"> medical interventions  </w:t>
            </w:r>
          </w:p>
        </w:tc>
        <w:tc>
          <w:tcPr>
            <w:tcW w:w="1125" w:type="dxa"/>
            <w:tcBorders>
              <w:top w:val="single" w:sz="6" w:space="0" w:color="auto"/>
              <w:left w:val="single" w:sz="6" w:space="0" w:color="auto"/>
              <w:bottom w:val="single" w:sz="6" w:space="0" w:color="auto"/>
              <w:right w:val="single" w:sz="6" w:space="0" w:color="auto"/>
            </w:tcBorders>
            <w:hideMark/>
          </w:tcPr>
          <w:p w14:paraId="435BA73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Online semi-structured interviews </w:t>
            </w:r>
          </w:p>
          <w:p w14:paraId="2E2BEF2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Phenomeno-logical analysis </w:t>
            </w:r>
          </w:p>
        </w:tc>
        <w:tc>
          <w:tcPr>
            <w:tcW w:w="1245" w:type="dxa"/>
            <w:tcBorders>
              <w:top w:val="single" w:sz="6" w:space="0" w:color="auto"/>
              <w:left w:val="single" w:sz="6" w:space="0" w:color="auto"/>
              <w:bottom w:val="single" w:sz="6" w:space="0" w:color="auto"/>
              <w:right w:val="single" w:sz="6" w:space="0" w:color="auto"/>
            </w:tcBorders>
            <w:hideMark/>
          </w:tcPr>
          <w:p w14:paraId="6681BD9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person, neurodiver-gence, ASD </w:t>
            </w:r>
          </w:p>
        </w:tc>
        <w:tc>
          <w:tcPr>
            <w:tcW w:w="1530" w:type="dxa"/>
            <w:tcBorders>
              <w:top w:val="single" w:sz="6" w:space="0" w:color="auto"/>
              <w:left w:val="single" w:sz="6" w:space="0" w:color="auto"/>
              <w:bottom w:val="single" w:sz="6" w:space="0" w:color="auto"/>
              <w:right w:val="single" w:sz="6" w:space="0" w:color="auto"/>
            </w:tcBorders>
            <w:hideMark/>
          </w:tcPr>
          <w:p w14:paraId="1A54678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(n=5): AFAB Autistic adolescents, age 12–18, socially transitioned to living as male, experiencing GD </w:t>
            </w:r>
          </w:p>
        </w:tc>
        <w:tc>
          <w:tcPr>
            <w:tcW w:w="1695" w:type="dxa"/>
            <w:tcBorders>
              <w:top w:val="single" w:sz="6" w:space="0" w:color="auto"/>
              <w:left w:val="single" w:sz="6" w:space="0" w:color="auto"/>
              <w:bottom w:val="single" w:sz="6" w:space="0" w:color="auto"/>
              <w:right w:val="single" w:sz="6" w:space="0" w:color="auto"/>
            </w:tcBorders>
            <w:hideMark/>
          </w:tcPr>
          <w:p w14:paraId="3314C66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Pts. reported needing support from healthcare with self- acceptance; overwhelm caused by administrative steps led to difficulty accessing services; life stressors compounded isolation and mental health challenges for Autistic, gender diverse pts. </w:t>
            </w:r>
          </w:p>
        </w:tc>
        <w:tc>
          <w:tcPr>
            <w:tcW w:w="2265" w:type="dxa"/>
            <w:tcBorders>
              <w:top w:val="single" w:sz="6" w:space="0" w:color="auto"/>
              <w:left w:val="single" w:sz="6" w:space="0" w:color="auto"/>
              <w:bottom w:val="single" w:sz="6" w:space="0" w:color="auto"/>
              <w:right w:val="single" w:sz="6" w:space="0" w:color="auto"/>
            </w:tcBorders>
            <w:hideMark/>
          </w:tcPr>
          <w:p w14:paraId="3F0BB91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Self-blame caused by long waits for GA care; regressive coping, psychological distress; overwhelming assessments limited mental health access;  </w:t>
            </w:r>
          </w:p>
          <w:p w14:paraId="3FC80A6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Empathetic, judgement-free listening and guided exploration reduced distress, supported ASD diagnosis </w:t>
            </w:r>
          </w:p>
        </w:tc>
      </w:tr>
      <w:tr w:rsidR="002C79F7" w:rsidRPr="002C79F7" w14:paraId="5BD3C105"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0DFC4A6F" w14:textId="77777777" w:rsidR="002C79F7" w:rsidRPr="00702C1F" w:rsidRDefault="00101D9A" w:rsidP="003F7D80">
            <w:pPr>
              <w:spacing w:after="0"/>
              <w:textAlignment w:val="baseline"/>
              <w:rPr>
                <w:rFonts w:cs="Segoe UI"/>
                <w:color w:val="000000"/>
                <w:szCs w:val="26"/>
                <w:lang w:eastAsia="en-GB"/>
              </w:rPr>
            </w:pPr>
            <w:r w:rsidRPr="00702C1F">
              <w:rPr>
                <w:rFonts w:cs="Segoe UI"/>
                <w:color w:val="000000"/>
                <w:szCs w:val="26"/>
                <w:lang w:eastAsia="en-GB"/>
              </w:rPr>
              <w:lastRenderedPageBreak/>
              <w:t>Cooper et al. (2022)</w:t>
            </w:r>
            <w:r w:rsidR="002C79F7" w:rsidRPr="00702C1F">
              <w:rPr>
                <w:rFonts w:cs="Segoe UI"/>
                <w:color w:val="000000"/>
                <w:szCs w:val="26"/>
                <w:lang w:eastAsia="en-GB"/>
              </w:rPr>
              <w:t> </w:t>
            </w:r>
          </w:p>
          <w:p w14:paraId="22C0403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w:t>
            </w:r>
          </w:p>
        </w:tc>
        <w:tc>
          <w:tcPr>
            <w:tcW w:w="1245" w:type="dxa"/>
            <w:tcBorders>
              <w:top w:val="single" w:sz="6" w:space="0" w:color="auto"/>
              <w:left w:val="single" w:sz="6" w:space="0" w:color="auto"/>
              <w:bottom w:val="single" w:sz="6" w:space="0" w:color="auto"/>
              <w:right w:val="single" w:sz="6" w:space="0" w:color="auto"/>
            </w:tcBorders>
            <w:hideMark/>
          </w:tcPr>
          <w:p w14:paraId="446B76A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Understand the lived experience of gender dysphoria in Autistic adults </w:t>
            </w:r>
          </w:p>
        </w:tc>
        <w:tc>
          <w:tcPr>
            <w:tcW w:w="1125" w:type="dxa"/>
            <w:tcBorders>
              <w:top w:val="single" w:sz="6" w:space="0" w:color="auto"/>
              <w:left w:val="single" w:sz="6" w:space="0" w:color="auto"/>
              <w:bottom w:val="single" w:sz="6" w:space="0" w:color="auto"/>
              <w:right w:val="single" w:sz="6" w:space="0" w:color="auto"/>
            </w:tcBorders>
            <w:hideMark/>
          </w:tcPr>
          <w:p w14:paraId="69B4099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Interviews </w:t>
            </w:r>
          </w:p>
          <w:p w14:paraId="3AE0915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IPA </w:t>
            </w:r>
          </w:p>
        </w:tc>
        <w:tc>
          <w:tcPr>
            <w:tcW w:w="1245" w:type="dxa"/>
            <w:tcBorders>
              <w:top w:val="single" w:sz="6" w:space="0" w:color="auto"/>
              <w:left w:val="single" w:sz="6" w:space="0" w:color="auto"/>
              <w:bottom w:val="single" w:sz="6" w:space="0" w:color="auto"/>
              <w:right w:val="single" w:sz="6" w:space="0" w:color="auto"/>
            </w:tcBorders>
            <w:hideMark/>
          </w:tcPr>
          <w:p w14:paraId="5433916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Adults, Autism Spectrum DIsorder </w:t>
            </w:r>
          </w:p>
        </w:tc>
        <w:tc>
          <w:tcPr>
            <w:tcW w:w="1530" w:type="dxa"/>
            <w:tcBorders>
              <w:top w:val="single" w:sz="6" w:space="0" w:color="auto"/>
              <w:left w:val="single" w:sz="6" w:space="0" w:color="auto"/>
              <w:bottom w:val="single" w:sz="6" w:space="0" w:color="auto"/>
              <w:right w:val="single" w:sz="6" w:space="0" w:color="auto"/>
            </w:tcBorders>
            <w:hideMark/>
          </w:tcPr>
          <w:p w14:paraId="595D6F4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(n=21): adults with Autism diagnosis, age 18–51; Female (n=8), Male (n=7),  NB/GQ (n=6) </w:t>
            </w:r>
          </w:p>
        </w:tc>
        <w:tc>
          <w:tcPr>
            <w:tcW w:w="1695" w:type="dxa"/>
            <w:tcBorders>
              <w:top w:val="single" w:sz="6" w:space="0" w:color="auto"/>
              <w:left w:val="single" w:sz="6" w:space="0" w:color="auto"/>
              <w:bottom w:val="single" w:sz="6" w:space="0" w:color="auto"/>
              <w:right w:val="single" w:sz="6" w:space="0" w:color="auto"/>
            </w:tcBorders>
            <w:hideMark/>
          </w:tcPr>
          <w:p w14:paraId="70841C9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Inequitable recognition of Autistic TG identities led to disengaging from healthcare. Gatekeeping, compounded by support/comm. needs and pressure to mask created unequal access to GAC </w:t>
            </w:r>
          </w:p>
        </w:tc>
        <w:tc>
          <w:tcPr>
            <w:tcW w:w="2265" w:type="dxa"/>
            <w:tcBorders>
              <w:top w:val="single" w:sz="6" w:space="0" w:color="auto"/>
              <w:left w:val="single" w:sz="6" w:space="0" w:color="auto"/>
              <w:bottom w:val="single" w:sz="6" w:space="0" w:color="auto"/>
              <w:right w:val="single" w:sz="6" w:space="0" w:color="auto"/>
            </w:tcBorders>
            <w:hideMark/>
          </w:tcPr>
          <w:p w14:paraId="1748AB9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Clinicians not affirming gender/Autism identity undermined trust; burden of evidence on pts. to access care; referrals blocked by unsupportive family; open-ended questions; anxiety from lack of clear guidelines, navigation difficulties; sensory overload in clinical environments </w:t>
            </w:r>
          </w:p>
          <w:p w14:paraId="59EC5DB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Structured comm. and clear care pathways reduced anxiety, improved accessibility </w:t>
            </w:r>
          </w:p>
        </w:tc>
      </w:tr>
      <w:tr w:rsidR="002C79F7" w:rsidRPr="002C79F7" w14:paraId="7FE0CFA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5A0B59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Rios (2025) </w:t>
            </w:r>
          </w:p>
          <w:p w14:paraId="6163DE8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4F5C344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Examine Autistic </w:t>
            </w:r>
            <w:r w:rsidR="001B197B">
              <w:rPr>
                <w:rFonts w:cs="Segoe UI"/>
                <w:color w:val="000000"/>
                <w:szCs w:val="26"/>
                <w:lang w:eastAsia="en-GB"/>
              </w:rPr>
              <w:t>t</w:t>
            </w:r>
            <w:r w:rsidRPr="00702C1F">
              <w:rPr>
                <w:rFonts w:cs="Segoe UI"/>
                <w:color w:val="000000"/>
                <w:szCs w:val="26"/>
                <w:lang w:eastAsia="en-GB"/>
              </w:rPr>
              <w:t>rans people's experiences accessing gender affirming care in the medical system  </w:t>
            </w:r>
          </w:p>
        </w:tc>
        <w:tc>
          <w:tcPr>
            <w:tcW w:w="1125" w:type="dxa"/>
            <w:tcBorders>
              <w:top w:val="single" w:sz="6" w:space="0" w:color="auto"/>
              <w:left w:val="single" w:sz="6" w:space="0" w:color="auto"/>
              <w:bottom w:val="single" w:sz="6" w:space="0" w:color="auto"/>
              <w:right w:val="single" w:sz="6" w:space="0" w:color="auto"/>
            </w:tcBorders>
            <w:hideMark/>
          </w:tcPr>
          <w:p w14:paraId="1F4FAA0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Semi-structured interviews </w:t>
            </w:r>
          </w:p>
          <w:p w14:paraId="4E3B3EB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Abductive analysis </w:t>
            </w:r>
          </w:p>
        </w:tc>
        <w:tc>
          <w:tcPr>
            <w:tcW w:w="1245" w:type="dxa"/>
            <w:tcBorders>
              <w:top w:val="single" w:sz="6" w:space="0" w:color="auto"/>
              <w:left w:val="single" w:sz="6" w:space="0" w:color="auto"/>
              <w:bottom w:val="single" w:sz="6" w:space="0" w:color="auto"/>
              <w:right w:val="single" w:sz="6" w:space="0" w:color="auto"/>
            </w:tcBorders>
            <w:hideMark/>
          </w:tcPr>
          <w:p w14:paraId="51E0C5D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people, 'deviation from neuronorma-tivity' </w:t>
            </w:r>
          </w:p>
        </w:tc>
        <w:tc>
          <w:tcPr>
            <w:tcW w:w="1530" w:type="dxa"/>
            <w:tcBorders>
              <w:top w:val="single" w:sz="6" w:space="0" w:color="auto"/>
              <w:left w:val="single" w:sz="6" w:space="0" w:color="auto"/>
              <w:bottom w:val="single" w:sz="6" w:space="0" w:color="auto"/>
              <w:right w:val="single" w:sz="6" w:space="0" w:color="auto"/>
            </w:tcBorders>
            <w:hideMark/>
          </w:tcPr>
          <w:p w14:paraId="3712DC7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Sample (n=23) Trans people, age 19–40; with Autism diagnosis (n=14), Self-identified (n=0); Trans men (n=8); Trans man/2S (n=1); NB TM (n=1);  Trans women (n=4); Trans Woman NB (n=1); TF NB (n=1); TF GF (n=1);  BG/ Autigender (n=1); NB </w:t>
            </w:r>
            <w:r w:rsidRPr="00702C1F">
              <w:rPr>
                <w:rFonts w:cs="Segoe UI"/>
                <w:color w:val="000000"/>
                <w:szCs w:val="26"/>
                <w:lang w:eastAsia="en-GB"/>
              </w:rPr>
              <w:lastRenderedPageBreak/>
              <w:t>AG (n=2); NB (n=3) </w:t>
            </w:r>
          </w:p>
        </w:tc>
        <w:tc>
          <w:tcPr>
            <w:tcW w:w="1695" w:type="dxa"/>
            <w:tcBorders>
              <w:top w:val="single" w:sz="6" w:space="0" w:color="auto"/>
              <w:left w:val="single" w:sz="6" w:space="0" w:color="auto"/>
              <w:bottom w:val="single" w:sz="6" w:space="0" w:color="auto"/>
              <w:right w:val="single" w:sz="6" w:space="0" w:color="auto"/>
            </w:tcBorders>
            <w:hideMark/>
          </w:tcPr>
          <w:p w14:paraId="69A18C43"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GAC was rejected due to “atypical” comm., (neuro- and cis-normativity); some pts. felt pressured to consent to unwanted treatments due to difficulty with self-advocacy </w:t>
            </w:r>
          </w:p>
        </w:tc>
        <w:tc>
          <w:tcPr>
            <w:tcW w:w="2265" w:type="dxa"/>
            <w:tcBorders>
              <w:top w:val="single" w:sz="6" w:space="0" w:color="auto"/>
              <w:left w:val="single" w:sz="6" w:space="0" w:color="auto"/>
              <w:bottom w:val="single" w:sz="6" w:space="0" w:color="auto"/>
              <w:right w:val="single" w:sz="6" w:space="0" w:color="auto"/>
            </w:tcBorders>
            <w:hideMark/>
          </w:tcPr>
          <w:p w14:paraId="758ED2E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Misunderstan-ding of pre-appointment. scripting and self-soothing behaviours; delayed seeking of GAC from fear of rejection worsened mental health </w:t>
            </w:r>
          </w:p>
          <w:p w14:paraId="033E160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Masking Autistic traits to meet neurotypical expectations supported access to care </w:t>
            </w:r>
          </w:p>
        </w:tc>
      </w:tr>
      <w:tr w:rsidR="002C79F7" w:rsidRPr="002C79F7" w14:paraId="7B133F2A"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6E8B3F3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Maroney &amp; Horne (2022) </w:t>
            </w:r>
          </w:p>
          <w:p w14:paraId="6F041F9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0C3C567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Explore the experience of being </w:t>
            </w:r>
            <w:r w:rsidR="00736FB5">
              <w:rPr>
                <w:rFonts w:cs="Segoe UI"/>
                <w:color w:val="000000"/>
                <w:szCs w:val="26"/>
                <w:lang w:eastAsia="en-GB"/>
              </w:rPr>
              <w:t>transgender</w:t>
            </w:r>
            <w:r w:rsidRPr="00702C1F">
              <w:rPr>
                <w:rFonts w:cs="Segoe UI"/>
                <w:color w:val="000000"/>
                <w:szCs w:val="26"/>
                <w:lang w:eastAsia="en-GB"/>
              </w:rPr>
              <w:t xml:space="preserve">, </w:t>
            </w:r>
            <w:r w:rsidR="003411F0">
              <w:rPr>
                <w:rFonts w:cs="Segoe UI"/>
                <w:color w:val="000000"/>
                <w:szCs w:val="26"/>
                <w:lang w:eastAsia="en-GB"/>
              </w:rPr>
              <w:t>Non-binary</w:t>
            </w:r>
            <w:r w:rsidRPr="00702C1F">
              <w:rPr>
                <w:rFonts w:cs="Segoe UI"/>
                <w:color w:val="000000"/>
                <w:szCs w:val="26"/>
                <w:lang w:eastAsia="en-GB"/>
              </w:rPr>
              <w:t xml:space="preserve"> and gender diverse (TNG) in relation to intersection-al experiences and resistance strategies </w:t>
            </w:r>
          </w:p>
        </w:tc>
        <w:tc>
          <w:tcPr>
            <w:tcW w:w="1125" w:type="dxa"/>
            <w:tcBorders>
              <w:top w:val="single" w:sz="6" w:space="0" w:color="auto"/>
              <w:left w:val="single" w:sz="6" w:space="0" w:color="auto"/>
              <w:bottom w:val="single" w:sz="6" w:space="0" w:color="auto"/>
              <w:right w:val="single" w:sz="6" w:space="0" w:color="auto"/>
            </w:tcBorders>
            <w:hideMark/>
          </w:tcPr>
          <w:p w14:paraId="01CD19A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Interviews </w:t>
            </w:r>
          </w:p>
          <w:p w14:paraId="345CCA2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Grounded theory analysis </w:t>
            </w:r>
          </w:p>
        </w:tc>
        <w:tc>
          <w:tcPr>
            <w:tcW w:w="1245" w:type="dxa"/>
            <w:tcBorders>
              <w:top w:val="single" w:sz="6" w:space="0" w:color="auto"/>
              <w:left w:val="single" w:sz="6" w:space="0" w:color="auto"/>
              <w:bottom w:val="single" w:sz="6" w:space="0" w:color="auto"/>
              <w:right w:val="single" w:sz="6" w:space="0" w:color="auto"/>
            </w:tcBorders>
            <w:hideMark/>
          </w:tcPr>
          <w:p w14:paraId="66C4B28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individuals'; 'autistic adults'; 'diagnosis of autism spectrum disorder'; 'autistic person'; 'adults diagnosed with ASD'; 'ASD individuals'; 'neurodivergence' </w:t>
            </w:r>
          </w:p>
        </w:tc>
        <w:tc>
          <w:tcPr>
            <w:tcW w:w="1530" w:type="dxa"/>
            <w:tcBorders>
              <w:top w:val="single" w:sz="6" w:space="0" w:color="auto"/>
              <w:left w:val="single" w:sz="6" w:space="0" w:color="auto"/>
              <w:bottom w:val="single" w:sz="6" w:space="0" w:color="auto"/>
              <w:right w:val="single" w:sz="6" w:space="0" w:color="auto"/>
            </w:tcBorders>
            <w:hideMark/>
          </w:tcPr>
          <w:p w14:paraId="2302E7C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(n=13): Autistic-TNG adults, age 18-29; Asperger’s diagnosis (n=3), Autism diagnosis (n=8), neurodivergent (n=1), “on the spectrum” (n=1); </w:t>
            </w:r>
            <w:r w:rsidRPr="00702C1F">
              <w:rPr>
                <w:rFonts w:cs="Segoe UI"/>
                <w:color w:val="000000"/>
                <w:szCs w:val="26"/>
                <w:lang w:eastAsia="en-GB"/>
              </w:rPr>
              <w:br/>
              <w:t xml:space="preserve">FTM Trans (n=1), Neuter (n=1), Female (n=1), female/AG </w:t>
            </w:r>
            <w:r w:rsidRPr="00702C1F">
              <w:rPr>
                <w:rFonts w:cs="Segoe UI"/>
                <w:color w:val="000000"/>
                <w:szCs w:val="26"/>
                <w:lang w:eastAsia="en-GB"/>
              </w:rPr>
              <w:lastRenderedPageBreak/>
              <w:t>(n=1), NB (n=3), GNC (n=1), GQ (n=1), BG (n=1), Male (n=1), AG/NB (n=1), AG (n=1) </w:t>
            </w:r>
          </w:p>
        </w:tc>
        <w:tc>
          <w:tcPr>
            <w:tcW w:w="1695" w:type="dxa"/>
            <w:tcBorders>
              <w:top w:val="single" w:sz="6" w:space="0" w:color="auto"/>
              <w:left w:val="single" w:sz="6" w:space="0" w:color="auto"/>
              <w:bottom w:val="single" w:sz="6" w:space="0" w:color="auto"/>
              <w:right w:val="single" w:sz="6" w:space="0" w:color="auto"/>
            </w:tcBorders>
            <w:hideMark/>
          </w:tcPr>
          <w:p w14:paraId="4181756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External systems and enviro. stigmatize Autistic TNG individuals and pathologize research on Autistic adults </w:t>
            </w:r>
          </w:p>
        </w:tc>
        <w:tc>
          <w:tcPr>
            <w:tcW w:w="2265" w:type="dxa"/>
            <w:tcBorders>
              <w:top w:val="single" w:sz="6" w:space="0" w:color="auto"/>
              <w:left w:val="single" w:sz="6" w:space="0" w:color="auto"/>
              <w:bottom w:val="single" w:sz="6" w:space="0" w:color="auto"/>
              <w:right w:val="single" w:sz="6" w:space="0" w:color="auto"/>
            </w:tcBorders>
            <w:hideMark/>
          </w:tcPr>
          <w:p w14:paraId="1E81192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Pre-appt. scripting and limited provider knowledge of autistic-TNG identities hindered care. </w:t>
            </w:r>
          </w:p>
          <w:p w14:paraId="59ADC96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Supportive communities and informed providers enabled authentic self-expression and access to care; formal diagnoses opened service pathways; Autistic-TNG identities valued for unique perspectives and empathy </w:t>
            </w:r>
          </w:p>
        </w:tc>
      </w:tr>
      <w:tr w:rsidR="002C79F7" w:rsidRPr="002C79F7" w14:paraId="52C65295"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2C6B1F8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Kearns et al.(2023) </w:t>
            </w:r>
          </w:p>
          <w:p w14:paraId="24A6304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Ireland </w:t>
            </w:r>
          </w:p>
        </w:tc>
        <w:tc>
          <w:tcPr>
            <w:tcW w:w="1245" w:type="dxa"/>
            <w:tcBorders>
              <w:top w:val="single" w:sz="6" w:space="0" w:color="auto"/>
              <w:left w:val="single" w:sz="6" w:space="0" w:color="auto"/>
              <w:bottom w:val="single" w:sz="6" w:space="0" w:color="auto"/>
              <w:right w:val="single" w:sz="6" w:space="0" w:color="auto"/>
            </w:tcBorders>
            <w:hideMark/>
          </w:tcPr>
          <w:p w14:paraId="1696D54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Identify common factors that help/hinder TG and NB youth in accessing gender-specific </w:t>
            </w:r>
            <w:r w:rsidR="00923A42" w:rsidRPr="00702C1F">
              <w:rPr>
                <w:rFonts w:cs="Segoe UI"/>
                <w:color w:val="000000"/>
                <w:szCs w:val="26"/>
                <w:lang w:eastAsia="en-GB"/>
              </w:rPr>
              <w:t>healthcare</w:t>
            </w:r>
            <w:r w:rsidRPr="00702C1F">
              <w:rPr>
                <w:rFonts w:cs="Segoe UI"/>
                <w:color w:val="000000"/>
                <w:szCs w:val="26"/>
                <w:lang w:eastAsia="en-GB"/>
              </w:rPr>
              <w:t xml:space="preserve"> in Ireland; how these young people, their parents, and healthcare providers perceive these factors  </w:t>
            </w:r>
          </w:p>
        </w:tc>
        <w:tc>
          <w:tcPr>
            <w:tcW w:w="1125" w:type="dxa"/>
            <w:tcBorders>
              <w:top w:val="single" w:sz="6" w:space="0" w:color="auto"/>
              <w:left w:val="single" w:sz="6" w:space="0" w:color="auto"/>
              <w:bottom w:val="single" w:sz="6" w:space="0" w:color="auto"/>
              <w:right w:val="single" w:sz="6" w:space="0" w:color="auto"/>
            </w:tcBorders>
            <w:hideMark/>
          </w:tcPr>
          <w:p w14:paraId="3380FB8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In-depth interviews </w:t>
            </w:r>
          </w:p>
          <w:p w14:paraId="763F4C9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Framework analysis </w:t>
            </w:r>
          </w:p>
        </w:tc>
        <w:tc>
          <w:tcPr>
            <w:tcW w:w="1245" w:type="dxa"/>
            <w:tcBorders>
              <w:top w:val="single" w:sz="6" w:space="0" w:color="auto"/>
              <w:left w:val="single" w:sz="6" w:space="0" w:color="auto"/>
              <w:bottom w:val="single" w:sz="6" w:space="0" w:color="auto"/>
              <w:right w:val="single" w:sz="6" w:space="0" w:color="auto"/>
            </w:tcBorders>
            <w:hideMark/>
          </w:tcPr>
          <w:p w14:paraId="756A9DD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Neurodiver-sity, Autism </w:t>
            </w:r>
          </w:p>
        </w:tc>
        <w:tc>
          <w:tcPr>
            <w:tcW w:w="1530" w:type="dxa"/>
            <w:tcBorders>
              <w:top w:val="single" w:sz="6" w:space="0" w:color="auto"/>
              <w:left w:val="single" w:sz="6" w:space="0" w:color="auto"/>
              <w:bottom w:val="single" w:sz="6" w:space="0" w:color="auto"/>
              <w:right w:val="single" w:sz="6" w:space="0" w:color="auto"/>
            </w:tcBorders>
            <w:hideMark/>
          </w:tcPr>
          <w:p w14:paraId="1637131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(n=30): Caregiver (n=10); Provider (n = 10); Youth (n=10), age 19–28; Male n=5, female n=1, NB n=4) </w:t>
            </w:r>
          </w:p>
        </w:tc>
        <w:tc>
          <w:tcPr>
            <w:tcW w:w="1695" w:type="dxa"/>
            <w:tcBorders>
              <w:top w:val="single" w:sz="6" w:space="0" w:color="auto"/>
              <w:left w:val="single" w:sz="6" w:space="0" w:color="auto"/>
              <w:bottom w:val="single" w:sz="6" w:space="0" w:color="auto"/>
              <w:right w:val="single" w:sz="6" w:space="0" w:color="auto"/>
            </w:tcBorders>
            <w:hideMark/>
          </w:tcPr>
          <w:p w14:paraId="59E4DB5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NR </w:t>
            </w:r>
          </w:p>
        </w:tc>
        <w:tc>
          <w:tcPr>
            <w:tcW w:w="2265" w:type="dxa"/>
            <w:tcBorders>
              <w:top w:val="single" w:sz="6" w:space="0" w:color="auto"/>
              <w:left w:val="single" w:sz="6" w:space="0" w:color="auto"/>
              <w:bottom w:val="single" w:sz="6" w:space="0" w:color="auto"/>
              <w:right w:val="single" w:sz="6" w:space="0" w:color="auto"/>
            </w:tcBorders>
            <w:hideMark/>
          </w:tcPr>
          <w:p w14:paraId="3BBF34A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Youth hid neurodivergence to avoid harsher assessments; mandatory evaluations for transition were distressing </w:t>
            </w:r>
          </w:p>
          <w:p w14:paraId="3152DBC8"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Facilitators: Adapted assessments for neurodivergence; engagement in meaningful activities aided readiness for </w:t>
            </w:r>
            <w:r w:rsidRPr="00702C1F">
              <w:rPr>
                <w:rFonts w:cs="Segoe UI"/>
                <w:color w:val="000000"/>
                <w:szCs w:val="26"/>
                <w:lang w:eastAsia="en-GB"/>
              </w:rPr>
              <w:lastRenderedPageBreak/>
              <w:t>medical intervention </w:t>
            </w:r>
          </w:p>
        </w:tc>
      </w:tr>
      <w:tr w:rsidR="002C79F7" w:rsidRPr="002C79F7" w14:paraId="04DAC243"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1D5B108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McLean et al. (2024) </w:t>
            </w:r>
          </w:p>
          <w:p w14:paraId="49968C59"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2F9302B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Explore how current healthcare system supports or impedes Autistic adults’ health outcomes by exploring </w:t>
            </w:r>
          </w:p>
          <w:p w14:paraId="35DC95F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their experiences managing  </w:t>
            </w:r>
            <w:r w:rsidRPr="00702C1F">
              <w:rPr>
                <w:rFonts w:cs="Segoe UI"/>
                <w:color w:val="000000"/>
                <w:szCs w:val="26"/>
                <w:lang w:eastAsia="en-GB"/>
              </w:rPr>
              <w:br/>
              <w:t>health and healthcare </w:t>
            </w:r>
          </w:p>
        </w:tc>
        <w:tc>
          <w:tcPr>
            <w:tcW w:w="1125" w:type="dxa"/>
            <w:tcBorders>
              <w:top w:val="single" w:sz="6" w:space="0" w:color="auto"/>
              <w:left w:val="single" w:sz="6" w:space="0" w:color="auto"/>
              <w:bottom w:val="single" w:sz="6" w:space="0" w:color="auto"/>
              <w:right w:val="single" w:sz="6" w:space="0" w:color="auto"/>
            </w:tcBorders>
            <w:hideMark/>
          </w:tcPr>
          <w:p w14:paraId="6A71793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Interviews </w:t>
            </w:r>
          </w:p>
          <w:p w14:paraId="1E435EE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Thematic Analysis </w:t>
            </w:r>
          </w:p>
        </w:tc>
        <w:tc>
          <w:tcPr>
            <w:tcW w:w="1245" w:type="dxa"/>
            <w:tcBorders>
              <w:top w:val="single" w:sz="6" w:space="0" w:color="auto"/>
              <w:left w:val="single" w:sz="6" w:space="0" w:color="auto"/>
              <w:bottom w:val="single" w:sz="6" w:space="0" w:color="auto"/>
              <w:right w:val="single" w:sz="6" w:space="0" w:color="auto"/>
            </w:tcBorders>
            <w:hideMark/>
          </w:tcPr>
          <w:p w14:paraId="199CF22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adults' </w:t>
            </w:r>
          </w:p>
        </w:tc>
        <w:tc>
          <w:tcPr>
            <w:tcW w:w="1530" w:type="dxa"/>
            <w:tcBorders>
              <w:top w:val="single" w:sz="6" w:space="0" w:color="auto"/>
              <w:left w:val="single" w:sz="6" w:space="0" w:color="auto"/>
              <w:bottom w:val="single" w:sz="6" w:space="0" w:color="auto"/>
              <w:right w:val="single" w:sz="6" w:space="0" w:color="auto"/>
            </w:tcBorders>
            <w:hideMark/>
          </w:tcPr>
          <w:p w14:paraId="35019B8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(n=23): Autistic adults age 18–56; Male (n=8), Female (n=8), NB or GNC (n=7) </w:t>
            </w:r>
          </w:p>
        </w:tc>
        <w:tc>
          <w:tcPr>
            <w:tcW w:w="1695" w:type="dxa"/>
            <w:tcBorders>
              <w:top w:val="single" w:sz="6" w:space="0" w:color="auto"/>
              <w:left w:val="single" w:sz="6" w:space="0" w:color="auto"/>
              <w:bottom w:val="single" w:sz="6" w:space="0" w:color="auto"/>
              <w:right w:val="single" w:sz="6" w:space="0" w:color="auto"/>
            </w:tcBorders>
            <w:hideMark/>
          </w:tcPr>
          <w:p w14:paraId="19B8651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NR </w:t>
            </w:r>
          </w:p>
        </w:tc>
        <w:tc>
          <w:tcPr>
            <w:tcW w:w="2265" w:type="dxa"/>
            <w:tcBorders>
              <w:top w:val="single" w:sz="6" w:space="0" w:color="auto"/>
              <w:left w:val="single" w:sz="6" w:space="0" w:color="auto"/>
              <w:bottom w:val="single" w:sz="6" w:space="0" w:color="auto"/>
              <w:right w:val="single" w:sz="6" w:space="0" w:color="auto"/>
            </w:tcBorders>
            <w:hideMark/>
          </w:tcPr>
          <w:p w14:paraId="520AA4B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Barriers: Short appointments, social expectations and sensory-unfriendly enviro. hindered care; Autism-related traits (sensory, executive functioning) complicated healthcare navigation </w:t>
            </w:r>
          </w:p>
          <w:p w14:paraId="7D5D719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Strong social support; accessible comm. methods (online booking, email) </w:t>
            </w:r>
          </w:p>
        </w:tc>
      </w:tr>
      <w:tr w:rsidR="002C79F7" w:rsidRPr="002C79F7" w14:paraId="3246174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575B3E1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Soto et al. (2024) </w:t>
            </w:r>
          </w:p>
          <w:p w14:paraId="626A93B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2DB26BC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Explore relationship between Autism and sexual and/or gender minorities, their mental health and functional outcomes </w:t>
            </w:r>
          </w:p>
        </w:tc>
        <w:tc>
          <w:tcPr>
            <w:tcW w:w="1125" w:type="dxa"/>
            <w:tcBorders>
              <w:top w:val="single" w:sz="6" w:space="0" w:color="auto"/>
              <w:left w:val="single" w:sz="6" w:space="0" w:color="auto"/>
              <w:bottom w:val="single" w:sz="6" w:space="0" w:color="auto"/>
              <w:right w:val="single" w:sz="6" w:space="0" w:color="auto"/>
            </w:tcBorders>
            <w:hideMark/>
          </w:tcPr>
          <w:p w14:paraId="30DDEBB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Secondary analysis of survey data </w:t>
            </w:r>
          </w:p>
          <w:p w14:paraId="4CA8A25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Descriptive analysis </w:t>
            </w:r>
          </w:p>
        </w:tc>
        <w:tc>
          <w:tcPr>
            <w:tcW w:w="1245" w:type="dxa"/>
            <w:tcBorders>
              <w:top w:val="single" w:sz="6" w:space="0" w:color="auto"/>
              <w:left w:val="single" w:sz="6" w:space="0" w:color="auto"/>
              <w:bottom w:val="single" w:sz="6" w:space="0" w:color="auto"/>
              <w:right w:val="single" w:sz="6" w:space="0" w:color="auto"/>
            </w:tcBorders>
            <w:hideMark/>
          </w:tcPr>
          <w:p w14:paraId="7C6811A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Autism Spectrum Disorder </w:t>
            </w:r>
          </w:p>
        </w:tc>
        <w:tc>
          <w:tcPr>
            <w:tcW w:w="1530" w:type="dxa"/>
            <w:tcBorders>
              <w:top w:val="single" w:sz="6" w:space="0" w:color="auto"/>
              <w:left w:val="single" w:sz="6" w:space="0" w:color="auto"/>
              <w:bottom w:val="single" w:sz="6" w:space="0" w:color="auto"/>
              <w:right w:val="single" w:sz="6" w:space="0" w:color="auto"/>
            </w:tcBorders>
            <w:hideMark/>
          </w:tcPr>
          <w:p w14:paraId="3F7958A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Sample (n=81,286): College Students age 18-26; </w:t>
            </w:r>
            <w:r w:rsidRPr="00702C1F">
              <w:rPr>
                <w:rFonts w:cs="Segoe UI"/>
                <w:color w:val="000000"/>
                <w:szCs w:val="26"/>
                <w:lang w:eastAsia="en-GB"/>
              </w:rPr>
              <w:lastRenderedPageBreak/>
              <w:t>Autism-only (n=565), SM+Autism (n=290), SM+ GM+Autism (n=187); SM-only (n= 14,871), SM +GM (n= 1,988) </w:t>
            </w:r>
          </w:p>
        </w:tc>
        <w:tc>
          <w:tcPr>
            <w:tcW w:w="1695" w:type="dxa"/>
            <w:tcBorders>
              <w:top w:val="single" w:sz="6" w:space="0" w:color="auto"/>
              <w:left w:val="single" w:sz="6" w:space="0" w:color="auto"/>
              <w:bottom w:val="single" w:sz="6" w:space="0" w:color="auto"/>
              <w:right w:val="single" w:sz="6" w:space="0" w:color="auto"/>
            </w:tcBorders>
            <w:hideMark/>
          </w:tcPr>
          <w:p w14:paraId="2D49FE2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Autistic pts. with SM and GM identities reported </w:t>
            </w:r>
            <w:r w:rsidRPr="00702C1F">
              <w:rPr>
                <w:rFonts w:cs="Segoe UI"/>
                <w:color w:val="000000"/>
                <w:szCs w:val="26"/>
                <w:lang w:eastAsia="en-GB"/>
              </w:rPr>
              <w:lastRenderedPageBreak/>
              <w:t>elevated stress, more mental health issues (including suicidality), and concerns about academic outcomes  </w:t>
            </w:r>
          </w:p>
        </w:tc>
        <w:tc>
          <w:tcPr>
            <w:tcW w:w="2265" w:type="dxa"/>
            <w:tcBorders>
              <w:top w:val="single" w:sz="6" w:space="0" w:color="auto"/>
              <w:left w:val="single" w:sz="6" w:space="0" w:color="auto"/>
              <w:bottom w:val="single" w:sz="6" w:space="0" w:color="auto"/>
              <w:right w:val="single" w:sz="6" w:space="0" w:color="auto"/>
            </w:tcBorders>
            <w:hideMark/>
          </w:tcPr>
          <w:p w14:paraId="0AA87DC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NR </w:t>
            </w:r>
          </w:p>
          <w:p w14:paraId="7CED2F8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Note:  Pts. identifying as Autistic and GM (n=9) were too few </w:t>
            </w:r>
            <w:r w:rsidRPr="00702C1F">
              <w:rPr>
                <w:rFonts w:cs="Segoe UI"/>
                <w:color w:val="000000"/>
                <w:szCs w:val="26"/>
                <w:lang w:eastAsia="en-GB"/>
              </w:rPr>
              <w:lastRenderedPageBreak/>
              <w:t>to include in analyses </w:t>
            </w:r>
          </w:p>
        </w:tc>
      </w:tr>
      <w:tr w:rsidR="002C79F7" w:rsidRPr="002C79F7" w14:paraId="29C08FDA"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45F7DDB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Hall et al. (2020)  </w:t>
            </w:r>
          </w:p>
          <w:p w14:paraId="510207B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55EF5EA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xml:space="preserve">Explore the health and </w:t>
            </w:r>
            <w:r w:rsidR="00923A42" w:rsidRPr="00702C1F">
              <w:rPr>
                <w:rFonts w:cs="Segoe UI"/>
                <w:color w:val="000000"/>
                <w:szCs w:val="26"/>
                <w:lang w:eastAsia="en-GB"/>
              </w:rPr>
              <w:t>healthcare</w:t>
            </w:r>
            <w:r w:rsidRPr="00702C1F">
              <w:rPr>
                <w:rFonts w:cs="Segoe UI"/>
                <w:color w:val="000000"/>
                <w:szCs w:val="26"/>
                <w:lang w:eastAsia="en-GB"/>
              </w:rPr>
              <w:t xml:space="preserve"> experiences of Autistic people </w:t>
            </w:r>
          </w:p>
          <w:p w14:paraId="5B0E548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 </w:t>
            </w:r>
          </w:p>
        </w:tc>
        <w:tc>
          <w:tcPr>
            <w:tcW w:w="1125" w:type="dxa"/>
            <w:tcBorders>
              <w:top w:val="single" w:sz="6" w:space="0" w:color="auto"/>
              <w:left w:val="single" w:sz="6" w:space="0" w:color="auto"/>
              <w:bottom w:val="single" w:sz="6" w:space="0" w:color="auto"/>
              <w:right w:val="single" w:sz="6" w:space="0" w:color="auto"/>
            </w:tcBorders>
            <w:hideMark/>
          </w:tcPr>
          <w:p w14:paraId="4FCE8E0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Online survey and semi-structured phone interviews </w:t>
            </w:r>
          </w:p>
          <w:p w14:paraId="422C409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Content Analysis </w:t>
            </w:r>
          </w:p>
        </w:tc>
        <w:tc>
          <w:tcPr>
            <w:tcW w:w="1245" w:type="dxa"/>
            <w:tcBorders>
              <w:top w:val="single" w:sz="6" w:space="0" w:color="auto"/>
              <w:left w:val="single" w:sz="6" w:space="0" w:color="auto"/>
              <w:bottom w:val="single" w:sz="6" w:space="0" w:color="auto"/>
              <w:right w:val="single" w:sz="6" w:space="0" w:color="auto"/>
            </w:tcBorders>
            <w:hideMark/>
          </w:tcPr>
          <w:p w14:paraId="36B7DA92"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Autism Spectrum Disorder, ASD, people with Autism Spectrum Disorder, people with ASD </w:t>
            </w:r>
          </w:p>
        </w:tc>
        <w:tc>
          <w:tcPr>
            <w:tcW w:w="1530" w:type="dxa"/>
            <w:tcBorders>
              <w:top w:val="single" w:sz="6" w:space="0" w:color="auto"/>
              <w:left w:val="single" w:sz="6" w:space="0" w:color="auto"/>
              <w:bottom w:val="single" w:sz="6" w:space="0" w:color="auto"/>
              <w:right w:val="single" w:sz="6" w:space="0" w:color="auto"/>
            </w:tcBorders>
            <w:hideMark/>
          </w:tcPr>
          <w:p w14:paraId="4648DF7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 54): Autistic adults age 18-62;  </w:t>
            </w:r>
            <w:r w:rsidRPr="00702C1F">
              <w:rPr>
                <w:rFonts w:cs="Segoe UI"/>
                <w:color w:val="000000"/>
                <w:szCs w:val="26"/>
                <w:lang w:eastAsia="en-GB"/>
              </w:rPr>
              <w:br/>
              <w:t xml:space="preserve">LGBTQI+ pts. (n=19): Female (36.8%); Male (26.3%); Other (36.8%); Non- LGBTQI+ </w:t>
            </w:r>
            <w:r w:rsidRPr="00702C1F">
              <w:rPr>
                <w:rFonts w:cs="Segoe UI"/>
                <w:color w:val="000000"/>
                <w:szCs w:val="26"/>
                <w:lang w:eastAsia="en-GB"/>
              </w:rPr>
              <w:lastRenderedPageBreak/>
              <w:t>pts.(n=35): Female (40%) Male (60%). </w:t>
            </w:r>
          </w:p>
        </w:tc>
        <w:tc>
          <w:tcPr>
            <w:tcW w:w="1695" w:type="dxa"/>
            <w:tcBorders>
              <w:top w:val="single" w:sz="6" w:space="0" w:color="auto"/>
              <w:left w:val="single" w:sz="6" w:space="0" w:color="auto"/>
              <w:bottom w:val="single" w:sz="6" w:space="0" w:color="auto"/>
              <w:right w:val="single" w:sz="6" w:space="0" w:color="auto"/>
            </w:tcBorders>
            <w:hideMark/>
          </w:tcPr>
          <w:p w14:paraId="74B1BC8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 xml:space="preserve">Autistic pts. had higher rates of mental illness, poor physical health days, smoking, unmet healthcare needs; refusal or inappropriate care due </w:t>
            </w:r>
            <w:r w:rsidRPr="00702C1F">
              <w:rPr>
                <w:rFonts w:cs="Segoe UI"/>
                <w:color w:val="000000"/>
                <w:szCs w:val="26"/>
                <w:lang w:eastAsia="en-GB"/>
              </w:rPr>
              <w:lastRenderedPageBreak/>
              <w:t>to inadequate coverage and provider access </w:t>
            </w:r>
          </w:p>
        </w:tc>
        <w:tc>
          <w:tcPr>
            <w:tcW w:w="2265" w:type="dxa"/>
            <w:tcBorders>
              <w:top w:val="single" w:sz="6" w:space="0" w:color="auto"/>
              <w:left w:val="single" w:sz="6" w:space="0" w:color="auto"/>
              <w:bottom w:val="single" w:sz="6" w:space="0" w:color="auto"/>
              <w:right w:val="single" w:sz="6" w:space="0" w:color="auto"/>
            </w:tcBorders>
            <w:hideMark/>
          </w:tcPr>
          <w:p w14:paraId="619B9C1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Barriers: Intersecting identities (Autistic/ LGBTQI+) compounded negative healthcare experiences    </w:t>
            </w:r>
          </w:p>
        </w:tc>
      </w:tr>
      <w:tr w:rsidR="002C79F7" w:rsidRPr="002C79F7" w14:paraId="3E9F41C7"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5B5B6214"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McQuaid et al. (2024) </w:t>
            </w:r>
          </w:p>
          <w:p w14:paraId="5BCE88D5"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USA </w:t>
            </w:r>
          </w:p>
        </w:tc>
        <w:tc>
          <w:tcPr>
            <w:tcW w:w="1245" w:type="dxa"/>
            <w:tcBorders>
              <w:top w:val="single" w:sz="6" w:space="0" w:color="auto"/>
              <w:left w:val="single" w:sz="6" w:space="0" w:color="auto"/>
              <w:bottom w:val="single" w:sz="6" w:space="0" w:color="auto"/>
              <w:right w:val="single" w:sz="6" w:space="0" w:color="auto"/>
            </w:tcBorders>
            <w:hideMark/>
          </w:tcPr>
          <w:p w14:paraId="1D643EFA"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Improve current knowledge on diagnostic timing in Autism </w:t>
            </w:r>
          </w:p>
        </w:tc>
        <w:tc>
          <w:tcPr>
            <w:tcW w:w="1125" w:type="dxa"/>
            <w:tcBorders>
              <w:top w:val="single" w:sz="6" w:space="0" w:color="auto"/>
              <w:left w:val="single" w:sz="6" w:space="0" w:color="auto"/>
              <w:bottom w:val="single" w:sz="6" w:space="0" w:color="auto"/>
              <w:right w:val="single" w:sz="6" w:space="0" w:color="auto"/>
            </w:tcBorders>
            <w:hideMark/>
          </w:tcPr>
          <w:p w14:paraId="29D0D05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Secondary data analysis from three samples </w:t>
            </w:r>
          </w:p>
          <w:p w14:paraId="4AD66DE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characteris-ation, descriptive and inferential statistics, t-tests, ANOVAs </w:t>
            </w:r>
          </w:p>
        </w:tc>
        <w:tc>
          <w:tcPr>
            <w:tcW w:w="1245" w:type="dxa"/>
            <w:tcBorders>
              <w:top w:val="single" w:sz="6" w:space="0" w:color="auto"/>
              <w:left w:val="single" w:sz="6" w:space="0" w:color="auto"/>
              <w:bottom w:val="single" w:sz="6" w:space="0" w:color="auto"/>
              <w:right w:val="single" w:sz="6" w:space="0" w:color="auto"/>
            </w:tcBorders>
            <w:hideMark/>
          </w:tcPr>
          <w:p w14:paraId="1F441DC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people'; 'autistic PRM/PRF'; 'autistic youth'; </w:t>
            </w:r>
          </w:p>
        </w:tc>
        <w:tc>
          <w:tcPr>
            <w:tcW w:w="1530" w:type="dxa"/>
            <w:tcBorders>
              <w:top w:val="single" w:sz="6" w:space="0" w:color="auto"/>
              <w:left w:val="single" w:sz="6" w:space="0" w:color="auto"/>
              <w:bottom w:val="single" w:sz="6" w:space="0" w:color="auto"/>
              <w:right w:val="single" w:sz="6" w:space="0" w:color="auto"/>
            </w:tcBorders>
            <w:hideMark/>
          </w:tcPr>
          <w:p w14:paraId="133623D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(n=1,987): GENDAAR (n=193, mean age 5.9); CNH (n= 1,550; mean age 7.7; ender diverse n=104, Cis n=1,446); SPARK (n=244; mean age 13.4; gender diverse n=41; Cis n=203) </w:t>
            </w:r>
          </w:p>
        </w:tc>
        <w:tc>
          <w:tcPr>
            <w:tcW w:w="1695" w:type="dxa"/>
            <w:tcBorders>
              <w:top w:val="single" w:sz="6" w:space="0" w:color="auto"/>
              <w:left w:val="single" w:sz="6" w:space="0" w:color="auto"/>
              <w:bottom w:val="single" w:sz="6" w:space="0" w:color="auto"/>
              <w:right w:val="single" w:sz="6" w:space="0" w:color="auto"/>
            </w:tcBorders>
            <w:hideMark/>
          </w:tcPr>
          <w:p w14:paraId="1F0AE2A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Gender-diverse Autistic individuals were diagnosed significantly later than Cis peers across samples </w:t>
            </w:r>
          </w:p>
        </w:tc>
        <w:tc>
          <w:tcPr>
            <w:tcW w:w="2265" w:type="dxa"/>
            <w:tcBorders>
              <w:top w:val="single" w:sz="6" w:space="0" w:color="auto"/>
              <w:left w:val="single" w:sz="6" w:space="0" w:color="auto"/>
              <w:bottom w:val="single" w:sz="6" w:space="0" w:color="auto"/>
              <w:right w:val="single" w:sz="6" w:space="0" w:color="auto"/>
            </w:tcBorders>
            <w:hideMark/>
          </w:tcPr>
          <w:p w14:paraId="7FA6D75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NR </w:t>
            </w:r>
          </w:p>
        </w:tc>
      </w:tr>
      <w:tr w:rsidR="002C79F7" w:rsidRPr="002C79F7" w14:paraId="03064429" w14:textId="77777777" w:rsidTr="004247AD">
        <w:trPr>
          <w:trHeight w:val="300"/>
        </w:trPr>
        <w:tc>
          <w:tcPr>
            <w:tcW w:w="1185" w:type="dxa"/>
            <w:tcBorders>
              <w:top w:val="single" w:sz="6" w:space="0" w:color="auto"/>
              <w:left w:val="single" w:sz="6" w:space="0" w:color="auto"/>
              <w:bottom w:val="single" w:sz="6" w:space="0" w:color="auto"/>
              <w:right w:val="single" w:sz="6" w:space="0" w:color="auto"/>
            </w:tcBorders>
            <w:hideMark/>
          </w:tcPr>
          <w:p w14:paraId="7EAB32C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Green et al. (2025) </w:t>
            </w:r>
          </w:p>
          <w:p w14:paraId="08C8D591"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UK, USA, Australia, Canada, Germany, Netherlands, Other </w:t>
            </w:r>
          </w:p>
        </w:tc>
        <w:tc>
          <w:tcPr>
            <w:tcW w:w="1245" w:type="dxa"/>
            <w:tcBorders>
              <w:top w:val="single" w:sz="6" w:space="0" w:color="auto"/>
              <w:left w:val="single" w:sz="6" w:space="0" w:color="auto"/>
              <w:bottom w:val="single" w:sz="6" w:space="0" w:color="auto"/>
              <w:right w:val="single" w:sz="6" w:space="0" w:color="auto"/>
            </w:tcBorders>
            <w:hideMark/>
          </w:tcPr>
          <w:p w14:paraId="1BB5CF2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Examine if autistic and TGD identities are associated with poorer health-related outcomes   </w:t>
            </w:r>
          </w:p>
        </w:tc>
        <w:tc>
          <w:tcPr>
            <w:tcW w:w="1125" w:type="dxa"/>
            <w:tcBorders>
              <w:top w:val="single" w:sz="6" w:space="0" w:color="auto"/>
              <w:left w:val="single" w:sz="6" w:space="0" w:color="auto"/>
              <w:bottom w:val="single" w:sz="6" w:space="0" w:color="auto"/>
              <w:right w:val="single" w:sz="6" w:space="0" w:color="auto"/>
            </w:tcBorders>
            <w:hideMark/>
          </w:tcPr>
          <w:p w14:paraId="28D8DCD7"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Qualitative cross-sectional:  </w:t>
            </w:r>
          </w:p>
          <w:p w14:paraId="229CFD7F"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secondary data analysis of health outcomes and healthcare experiences </w:t>
            </w:r>
          </w:p>
        </w:tc>
        <w:tc>
          <w:tcPr>
            <w:tcW w:w="1245" w:type="dxa"/>
            <w:tcBorders>
              <w:top w:val="single" w:sz="6" w:space="0" w:color="auto"/>
              <w:left w:val="single" w:sz="6" w:space="0" w:color="auto"/>
              <w:bottom w:val="single" w:sz="6" w:space="0" w:color="auto"/>
              <w:right w:val="single" w:sz="6" w:space="0" w:color="auto"/>
            </w:tcBorders>
            <w:hideMark/>
          </w:tcPr>
          <w:p w14:paraId="7BB5BF5C"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Autism, </w:t>
            </w:r>
          </w:p>
        </w:tc>
        <w:tc>
          <w:tcPr>
            <w:tcW w:w="1530" w:type="dxa"/>
            <w:tcBorders>
              <w:top w:val="single" w:sz="6" w:space="0" w:color="auto"/>
              <w:left w:val="single" w:sz="6" w:space="0" w:color="auto"/>
              <w:bottom w:val="single" w:sz="6" w:space="0" w:color="auto"/>
              <w:right w:val="single" w:sz="6" w:space="0" w:color="auto"/>
            </w:tcBorders>
            <w:hideMark/>
          </w:tcPr>
          <w:p w14:paraId="067B1E8B"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Sample (n=2,563): Cis Autistic (n=1,094): Age 16–70+; Female (n= 665), Male (n =429); TGD Autistic (n= 174): Age 16–70+; Female (n=8), Male (n=26), NB (n=20), Other (n= 120); Cis non-Autistic (n=1,295): Age 16–70+; Female (n= 811), Male (n=484) </w:t>
            </w:r>
          </w:p>
        </w:tc>
        <w:tc>
          <w:tcPr>
            <w:tcW w:w="1695" w:type="dxa"/>
            <w:tcBorders>
              <w:top w:val="single" w:sz="6" w:space="0" w:color="auto"/>
              <w:left w:val="single" w:sz="6" w:space="0" w:color="auto"/>
              <w:bottom w:val="single" w:sz="6" w:space="0" w:color="auto"/>
              <w:right w:val="single" w:sz="6" w:space="0" w:color="auto"/>
            </w:tcBorders>
            <w:hideMark/>
          </w:tcPr>
          <w:p w14:paraId="3C4F6030"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Autistic adults had more physical and mental health conditions than Cis non-Autistic peers; TGD Autistic adults showed largest disparities. TGD: more hypertension and neuro-logical conditions; Cis: more metabolic, cardiac, and eating-</w:t>
            </w:r>
            <w:r w:rsidRPr="00702C1F">
              <w:rPr>
                <w:rFonts w:cs="Segoe UI"/>
                <w:color w:val="000000"/>
                <w:szCs w:val="26"/>
                <w:lang w:eastAsia="en-GB"/>
              </w:rPr>
              <w:lastRenderedPageBreak/>
              <w:t>related conditions </w:t>
            </w:r>
          </w:p>
        </w:tc>
        <w:tc>
          <w:tcPr>
            <w:tcW w:w="2265" w:type="dxa"/>
            <w:tcBorders>
              <w:top w:val="single" w:sz="6" w:space="0" w:color="auto"/>
              <w:left w:val="single" w:sz="6" w:space="0" w:color="auto"/>
              <w:bottom w:val="single" w:sz="6" w:space="0" w:color="auto"/>
              <w:right w:val="single" w:sz="6" w:space="0" w:color="auto"/>
            </w:tcBorders>
            <w:hideMark/>
          </w:tcPr>
          <w:p w14:paraId="4C29D2ED"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lastRenderedPageBreak/>
              <w:t>Barriers:  Comm., access, advocacy, sensory triggers, and system-level issues led to poorer healthcare experiences; higher anxiety, shutdowns, and meltdowns in healthcare settings; difficulty describing pain, understanding professionals and visit expectations </w:t>
            </w:r>
          </w:p>
          <w:p w14:paraId="7B8D9E7E" w14:textId="77777777" w:rsidR="002C79F7" w:rsidRPr="00702C1F" w:rsidRDefault="002C79F7" w:rsidP="003F7D80">
            <w:pPr>
              <w:spacing w:after="0"/>
              <w:textAlignment w:val="baseline"/>
              <w:rPr>
                <w:rFonts w:cs="Segoe UI"/>
                <w:color w:val="000000"/>
                <w:szCs w:val="26"/>
                <w:lang w:eastAsia="en-GB"/>
              </w:rPr>
            </w:pPr>
            <w:r w:rsidRPr="00702C1F">
              <w:rPr>
                <w:rFonts w:cs="Segoe UI"/>
                <w:color w:val="000000"/>
                <w:szCs w:val="26"/>
                <w:lang w:eastAsia="en-GB"/>
              </w:rPr>
              <w:t>Facilitators: health insurance improved access </w:t>
            </w:r>
          </w:p>
        </w:tc>
      </w:tr>
    </w:tbl>
    <w:p w14:paraId="22717A17" w14:textId="77777777" w:rsidR="002C79F7" w:rsidRDefault="2461BBC4" w:rsidP="3A3A8981">
      <w:pPr>
        <w:jc w:val="center"/>
      </w:pPr>
      <w:r>
        <w:t xml:space="preserve">Table </w:t>
      </w:r>
      <w:r w:rsidR="00B42A7A">
        <w:t>3</w:t>
      </w:r>
      <w:r>
        <w:t xml:space="preserve">: Data Extraction </w:t>
      </w:r>
      <w:r w:rsidR="21CBF5BB">
        <w:t>Table (32 Included Studies)</w:t>
      </w:r>
    </w:p>
    <w:p w14:paraId="766589BD" w14:textId="77777777" w:rsidR="00C14B17" w:rsidRDefault="00C14B17">
      <w:pPr>
        <w:spacing w:after="0"/>
      </w:pPr>
      <w:r>
        <w:br w:type="page"/>
      </w:r>
    </w:p>
    <w:p w14:paraId="30621025" w14:textId="77777777" w:rsidR="0033327F" w:rsidRDefault="6084630D" w:rsidP="00164BE1">
      <w:pPr>
        <w:pStyle w:val="Heading2"/>
      </w:pPr>
      <w:bookmarkStart w:id="137" w:name="_Toc214026562"/>
      <w:r>
        <w:lastRenderedPageBreak/>
        <w:t>Appendix 4</w:t>
      </w:r>
      <w:bookmarkEnd w:id="137"/>
    </w:p>
    <w:tbl>
      <w:tblPr>
        <w:tblW w:w="13567" w:type="dxa"/>
        <w:tblLayout w:type="fixed"/>
        <w:tblLook w:val="04A0" w:firstRow="1" w:lastRow="0" w:firstColumn="1" w:lastColumn="0" w:noHBand="0" w:noVBand="1"/>
      </w:tblPr>
      <w:tblGrid>
        <w:gridCol w:w="1822"/>
        <w:gridCol w:w="1636"/>
        <w:gridCol w:w="595"/>
        <w:gridCol w:w="595"/>
        <w:gridCol w:w="446"/>
        <w:gridCol w:w="446"/>
        <w:gridCol w:w="446"/>
        <w:gridCol w:w="668"/>
        <w:gridCol w:w="446"/>
        <w:gridCol w:w="668"/>
        <w:gridCol w:w="668"/>
        <w:gridCol w:w="668"/>
        <w:gridCol w:w="668"/>
        <w:gridCol w:w="668"/>
        <w:gridCol w:w="595"/>
        <w:gridCol w:w="595"/>
        <w:gridCol w:w="668"/>
        <w:gridCol w:w="668"/>
        <w:gridCol w:w="595"/>
        <w:gridCol w:w="6"/>
      </w:tblGrid>
      <w:tr w:rsidR="00BB55F5" w:rsidRPr="009A5100" w14:paraId="0F6D0E32" w14:textId="77777777" w:rsidTr="002F7E97">
        <w:trPr>
          <w:cantSplit/>
          <w:trHeight w:val="20"/>
          <w:tblHeader/>
        </w:trPr>
        <w:tc>
          <w:tcPr>
            <w:tcW w:w="1822" w:type="dxa"/>
            <w:tcBorders>
              <w:top w:val="single" w:sz="4" w:space="0" w:color="auto"/>
              <w:left w:val="single" w:sz="4" w:space="0" w:color="auto"/>
              <w:bottom w:val="single" w:sz="4" w:space="0" w:color="auto"/>
              <w:right w:val="single" w:sz="4" w:space="0" w:color="auto"/>
            </w:tcBorders>
          </w:tcPr>
          <w:p w14:paraId="3D123847" w14:textId="77777777" w:rsidR="00BB55F5" w:rsidRPr="002F7E97" w:rsidRDefault="00BB55F5" w:rsidP="003F7D80">
            <w:pPr>
              <w:rPr>
                <w:b/>
                <w:szCs w:val="26"/>
              </w:rPr>
            </w:pPr>
            <w:bookmarkStart w:id="138" w:name="_Hlk209169898"/>
          </w:p>
        </w:tc>
        <w:tc>
          <w:tcPr>
            <w:tcW w:w="1636" w:type="dxa"/>
            <w:tcBorders>
              <w:top w:val="single" w:sz="4" w:space="0" w:color="auto"/>
              <w:left w:val="single" w:sz="4" w:space="0" w:color="auto"/>
              <w:bottom w:val="single" w:sz="4" w:space="0" w:color="auto"/>
              <w:right w:val="single" w:sz="4" w:space="0" w:color="auto"/>
            </w:tcBorders>
          </w:tcPr>
          <w:p w14:paraId="7F05D7A7" w14:textId="77777777" w:rsidR="00BB55F5" w:rsidRPr="002F7E97" w:rsidRDefault="00BB55F5" w:rsidP="003F7D80">
            <w:pPr>
              <w:rPr>
                <w:b/>
                <w:szCs w:val="26"/>
              </w:rPr>
            </w:pPr>
          </w:p>
        </w:tc>
        <w:tc>
          <w:tcPr>
            <w:tcW w:w="10109" w:type="dxa"/>
            <w:gridSpan w:val="18"/>
            <w:tcBorders>
              <w:top w:val="single" w:sz="4" w:space="0" w:color="auto"/>
              <w:left w:val="single" w:sz="4" w:space="0" w:color="auto"/>
              <w:bottom w:val="single" w:sz="4" w:space="0" w:color="auto"/>
              <w:right w:val="single" w:sz="4" w:space="0" w:color="auto"/>
            </w:tcBorders>
          </w:tcPr>
          <w:p w14:paraId="1E2F1609" w14:textId="77777777" w:rsidR="00BB55F5" w:rsidRPr="002F7E97" w:rsidRDefault="00BB55F5" w:rsidP="002F7E97">
            <w:pPr>
              <w:jc w:val="center"/>
              <w:rPr>
                <w:b/>
                <w:szCs w:val="26"/>
              </w:rPr>
            </w:pPr>
            <w:r w:rsidRPr="002F7E97">
              <w:rPr>
                <w:b/>
                <w:szCs w:val="26"/>
              </w:rPr>
              <w:t>Quality Appraisal Items</w:t>
            </w:r>
          </w:p>
        </w:tc>
      </w:tr>
      <w:tr w:rsidR="00BB55F5" w:rsidRPr="009A5100" w14:paraId="0F3AABA6" w14:textId="77777777" w:rsidTr="002F7E97">
        <w:trPr>
          <w:gridAfter w:val="1"/>
          <w:wAfter w:w="6" w:type="dxa"/>
          <w:cantSplit/>
          <w:trHeight w:val="20"/>
          <w:tblHeader/>
        </w:trPr>
        <w:tc>
          <w:tcPr>
            <w:tcW w:w="1822" w:type="dxa"/>
            <w:tcBorders>
              <w:top w:val="single" w:sz="4" w:space="0" w:color="auto"/>
              <w:left w:val="single" w:sz="4" w:space="0" w:color="auto"/>
              <w:bottom w:val="single" w:sz="4" w:space="0" w:color="auto"/>
              <w:right w:val="single" w:sz="4" w:space="0" w:color="auto"/>
            </w:tcBorders>
            <w:hideMark/>
          </w:tcPr>
          <w:p w14:paraId="65C64D1C" w14:textId="77777777" w:rsidR="00BB55F5" w:rsidRPr="002F7E97" w:rsidRDefault="00BB55F5" w:rsidP="003F7D80">
            <w:pPr>
              <w:rPr>
                <w:b/>
                <w:szCs w:val="26"/>
              </w:rPr>
            </w:pPr>
            <w:r w:rsidRPr="002F7E97">
              <w:rPr>
                <w:b/>
                <w:szCs w:val="26"/>
              </w:rPr>
              <w:t>Study design</w:t>
            </w:r>
          </w:p>
        </w:tc>
        <w:tc>
          <w:tcPr>
            <w:tcW w:w="1636" w:type="dxa"/>
            <w:tcBorders>
              <w:top w:val="single" w:sz="4" w:space="0" w:color="auto"/>
              <w:left w:val="single" w:sz="4" w:space="0" w:color="auto"/>
              <w:bottom w:val="single" w:sz="4" w:space="0" w:color="auto"/>
              <w:right w:val="single" w:sz="4" w:space="0" w:color="auto"/>
            </w:tcBorders>
            <w:hideMark/>
          </w:tcPr>
          <w:p w14:paraId="038906D0" w14:textId="77777777" w:rsidR="00BB55F5" w:rsidRPr="002F7E97" w:rsidRDefault="00BB55F5" w:rsidP="003F7D80">
            <w:pPr>
              <w:rPr>
                <w:b/>
                <w:szCs w:val="26"/>
              </w:rPr>
            </w:pPr>
            <w:r w:rsidRPr="002F7E97">
              <w:rPr>
                <w:b/>
                <w:szCs w:val="26"/>
              </w:rPr>
              <w:t>Author(s)  (year)</w:t>
            </w:r>
          </w:p>
        </w:tc>
        <w:tc>
          <w:tcPr>
            <w:tcW w:w="595" w:type="dxa"/>
            <w:tcBorders>
              <w:top w:val="single" w:sz="4" w:space="0" w:color="auto"/>
              <w:left w:val="single" w:sz="4" w:space="0" w:color="auto"/>
              <w:bottom w:val="single" w:sz="4" w:space="0" w:color="auto"/>
              <w:right w:val="single" w:sz="4" w:space="0" w:color="auto"/>
            </w:tcBorders>
            <w:hideMark/>
          </w:tcPr>
          <w:p w14:paraId="3AD712A9" w14:textId="77777777" w:rsidR="00BB55F5" w:rsidRPr="002F7E97" w:rsidRDefault="00BB55F5" w:rsidP="003F7D80">
            <w:pPr>
              <w:rPr>
                <w:b/>
                <w:szCs w:val="26"/>
              </w:rPr>
            </w:pPr>
            <w:r w:rsidRPr="002F7E97">
              <w:rPr>
                <w:b/>
                <w:szCs w:val="26"/>
              </w:rPr>
              <w:t>1*</w:t>
            </w:r>
          </w:p>
        </w:tc>
        <w:tc>
          <w:tcPr>
            <w:tcW w:w="595" w:type="dxa"/>
            <w:tcBorders>
              <w:top w:val="single" w:sz="4" w:space="0" w:color="auto"/>
              <w:left w:val="single" w:sz="4" w:space="0" w:color="auto"/>
              <w:bottom w:val="single" w:sz="4" w:space="0" w:color="auto"/>
              <w:right w:val="single" w:sz="4" w:space="0" w:color="auto"/>
            </w:tcBorders>
            <w:hideMark/>
          </w:tcPr>
          <w:p w14:paraId="67F3A09A" w14:textId="77777777" w:rsidR="00BB55F5" w:rsidRPr="002F7E97" w:rsidRDefault="00BB55F5" w:rsidP="003F7D80">
            <w:pPr>
              <w:rPr>
                <w:b/>
                <w:szCs w:val="26"/>
              </w:rPr>
            </w:pPr>
            <w:r w:rsidRPr="002F7E97">
              <w:rPr>
                <w:b/>
                <w:szCs w:val="26"/>
              </w:rPr>
              <w:t>2*</w:t>
            </w:r>
          </w:p>
        </w:tc>
        <w:tc>
          <w:tcPr>
            <w:tcW w:w="446" w:type="dxa"/>
            <w:tcBorders>
              <w:top w:val="single" w:sz="4" w:space="0" w:color="auto"/>
              <w:left w:val="single" w:sz="4" w:space="0" w:color="auto"/>
              <w:bottom w:val="single" w:sz="4" w:space="0" w:color="auto"/>
              <w:right w:val="single" w:sz="4" w:space="0" w:color="auto"/>
            </w:tcBorders>
            <w:hideMark/>
          </w:tcPr>
          <w:p w14:paraId="08653187" w14:textId="77777777" w:rsidR="00BB55F5" w:rsidRPr="002F7E97" w:rsidRDefault="00BB55F5" w:rsidP="003F7D80">
            <w:pPr>
              <w:rPr>
                <w:b/>
                <w:szCs w:val="26"/>
              </w:rPr>
            </w:pPr>
            <w:r w:rsidRPr="002F7E97">
              <w:rPr>
                <w:b/>
                <w:szCs w:val="26"/>
              </w:rPr>
              <w:t>3</w:t>
            </w:r>
          </w:p>
        </w:tc>
        <w:tc>
          <w:tcPr>
            <w:tcW w:w="446" w:type="dxa"/>
            <w:tcBorders>
              <w:top w:val="single" w:sz="4" w:space="0" w:color="auto"/>
              <w:left w:val="single" w:sz="4" w:space="0" w:color="auto"/>
              <w:bottom w:val="single" w:sz="4" w:space="0" w:color="auto"/>
              <w:right w:val="single" w:sz="4" w:space="0" w:color="auto"/>
            </w:tcBorders>
            <w:hideMark/>
          </w:tcPr>
          <w:p w14:paraId="2D29CC01" w14:textId="77777777" w:rsidR="00BB55F5" w:rsidRPr="002F7E97" w:rsidRDefault="00BB55F5" w:rsidP="003F7D80">
            <w:pPr>
              <w:rPr>
                <w:b/>
                <w:szCs w:val="26"/>
              </w:rPr>
            </w:pPr>
            <w:r w:rsidRPr="002F7E97">
              <w:rPr>
                <w:b/>
                <w:szCs w:val="26"/>
              </w:rPr>
              <w:t>4</w:t>
            </w:r>
          </w:p>
        </w:tc>
        <w:tc>
          <w:tcPr>
            <w:tcW w:w="446" w:type="dxa"/>
            <w:tcBorders>
              <w:top w:val="single" w:sz="4" w:space="0" w:color="auto"/>
              <w:left w:val="single" w:sz="4" w:space="0" w:color="auto"/>
              <w:bottom w:val="single" w:sz="4" w:space="0" w:color="auto"/>
              <w:right w:val="single" w:sz="4" w:space="0" w:color="auto"/>
            </w:tcBorders>
            <w:hideMark/>
          </w:tcPr>
          <w:p w14:paraId="3784128A" w14:textId="77777777" w:rsidR="00BB55F5" w:rsidRPr="002F7E97" w:rsidRDefault="00BB55F5" w:rsidP="003F7D80">
            <w:pPr>
              <w:rPr>
                <w:b/>
                <w:szCs w:val="26"/>
              </w:rPr>
            </w:pPr>
            <w:r w:rsidRPr="002F7E97">
              <w:rPr>
                <w:b/>
                <w:szCs w:val="26"/>
              </w:rPr>
              <w:t>5</w:t>
            </w:r>
          </w:p>
        </w:tc>
        <w:tc>
          <w:tcPr>
            <w:tcW w:w="668" w:type="dxa"/>
            <w:tcBorders>
              <w:top w:val="single" w:sz="4" w:space="0" w:color="auto"/>
              <w:left w:val="single" w:sz="4" w:space="0" w:color="auto"/>
              <w:bottom w:val="single" w:sz="4" w:space="0" w:color="auto"/>
              <w:right w:val="single" w:sz="4" w:space="0" w:color="auto"/>
            </w:tcBorders>
            <w:hideMark/>
          </w:tcPr>
          <w:p w14:paraId="60C7F93E" w14:textId="77777777" w:rsidR="00BB55F5" w:rsidRPr="002F7E97" w:rsidRDefault="00BB55F5" w:rsidP="003F7D80">
            <w:pPr>
              <w:rPr>
                <w:b/>
                <w:szCs w:val="26"/>
              </w:rPr>
            </w:pPr>
            <w:r w:rsidRPr="002F7E97">
              <w:rPr>
                <w:b/>
                <w:szCs w:val="26"/>
              </w:rPr>
              <w:t>6</w:t>
            </w:r>
          </w:p>
        </w:tc>
        <w:tc>
          <w:tcPr>
            <w:tcW w:w="446" w:type="dxa"/>
            <w:tcBorders>
              <w:top w:val="single" w:sz="4" w:space="0" w:color="auto"/>
              <w:left w:val="single" w:sz="4" w:space="0" w:color="auto"/>
              <w:bottom w:val="single" w:sz="4" w:space="0" w:color="auto"/>
              <w:right w:val="single" w:sz="4" w:space="0" w:color="auto"/>
            </w:tcBorders>
            <w:hideMark/>
          </w:tcPr>
          <w:p w14:paraId="72B1B9CE" w14:textId="77777777" w:rsidR="00BB55F5" w:rsidRPr="002F7E97" w:rsidRDefault="00BB55F5" w:rsidP="003F7D80">
            <w:pPr>
              <w:rPr>
                <w:b/>
                <w:szCs w:val="26"/>
              </w:rPr>
            </w:pPr>
            <w:r w:rsidRPr="002F7E97">
              <w:rPr>
                <w:b/>
                <w:szCs w:val="26"/>
              </w:rPr>
              <w:t>7</w:t>
            </w:r>
          </w:p>
        </w:tc>
        <w:tc>
          <w:tcPr>
            <w:tcW w:w="668" w:type="dxa"/>
            <w:tcBorders>
              <w:top w:val="single" w:sz="4" w:space="0" w:color="auto"/>
              <w:left w:val="single" w:sz="4" w:space="0" w:color="auto"/>
              <w:bottom w:val="single" w:sz="4" w:space="0" w:color="auto"/>
              <w:right w:val="single" w:sz="4" w:space="0" w:color="auto"/>
            </w:tcBorders>
            <w:hideMark/>
          </w:tcPr>
          <w:p w14:paraId="2731FE76" w14:textId="77777777" w:rsidR="00BB55F5" w:rsidRPr="002F7E97" w:rsidRDefault="00BB55F5" w:rsidP="003F7D80">
            <w:pPr>
              <w:rPr>
                <w:b/>
                <w:szCs w:val="26"/>
              </w:rPr>
            </w:pPr>
            <w:r w:rsidRPr="002F7E97">
              <w:rPr>
                <w:b/>
                <w:szCs w:val="26"/>
              </w:rPr>
              <w:t>8</w:t>
            </w:r>
          </w:p>
        </w:tc>
        <w:tc>
          <w:tcPr>
            <w:tcW w:w="668" w:type="dxa"/>
            <w:tcBorders>
              <w:top w:val="single" w:sz="4" w:space="0" w:color="auto"/>
              <w:left w:val="single" w:sz="4" w:space="0" w:color="auto"/>
              <w:bottom w:val="single" w:sz="4" w:space="0" w:color="auto"/>
              <w:right w:val="single" w:sz="4" w:space="0" w:color="auto"/>
            </w:tcBorders>
            <w:hideMark/>
          </w:tcPr>
          <w:p w14:paraId="43FBBAA0" w14:textId="77777777" w:rsidR="00BB55F5" w:rsidRPr="002F7E97" w:rsidRDefault="00BB55F5" w:rsidP="003F7D80">
            <w:pPr>
              <w:rPr>
                <w:b/>
                <w:szCs w:val="26"/>
              </w:rPr>
            </w:pPr>
            <w:r w:rsidRPr="002F7E97">
              <w:rPr>
                <w:b/>
                <w:szCs w:val="26"/>
              </w:rPr>
              <w:t>9</w:t>
            </w:r>
          </w:p>
        </w:tc>
        <w:tc>
          <w:tcPr>
            <w:tcW w:w="668" w:type="dxa"/>
            <w:tcBorders>
              <w:top w:val="single" w:sz="4" w:space="0" w:color="auto"/>
              <w:left w:val="single" w:sz="4" w:space="0" w:color="auto"/>
              <w:bottom w:val="single" w:sz="4" w:space="0" w:color="auto"/>
              <w:right w:val="single" w:sz="4" w:space="0" w:color="auto"/>
            </w:tcBorders>
            <w:hideMark/>
          </w:tcPr>
          <w:p w14:paraId="2B336A16" w14:textId="77777777" w:rsidR="00BB55F5" w:rsidRPr="002F7E97" w:rsidRDefault="00BB55F5" w:rsidP="003F7D80">
            <w:pPr>
              <w:rPr>
                <w:b/>
                <w:szCs w:val="26"/>
              </w:rPr>
            </w:pPr>
            <w:r w:rsidRPr="002F7E97">
              <w:rPr>
                <w:b/>
                <w:szCs w:val="26"/>
              </w:rPr>
              <w:t>10</w:t>
            </w:r>
          </w:p>
        </w:tc>
        <w:tc>
          <w:tcPr>
            <w:tcW w:w="668" w:type="dxa"/>
            <w:tcBorders>
              <w:top w:val="single" w:sz="4" w:space="0" w:color="auto"/>
              <w:left w:val="single" w:sz="4" w:space="0" w:color="auto"/>
              <w:bottom w:val="single" w:sz="4" w:space="0" w:color="auto"/>
              <w:right w:val="single" w:sz="4" w:space="0" w:color="auto"/>
            </w:tcBorders>
            <w:hideMark/>
          </w:tcPr>
          <w:p w14:paraId="6E799F49" w14:textId="77777777" w:rsidR="00BB55F5" w:rsidRPr="002F7E97" w:rsidRDefault="00BB55F5" w:rsidP="003F7D80">
            <w:pPr>
              <w:rPr>
                <w:b/>
                <w:szCs w:val="26"/>
              </w:rPr>
            </w:pPr>
            <w:r w:rsidRPr="002F7E97">
              <w:rPr>
                <w:b/>
                <w:szCs w:val="26"/>
              </w:rPr>
              <w:t>11</w:t>
            </w:r>
          </w:p>
        </w:tc>
        <w:tc>
          <w:tcPr>
            <w:tcW w:w="668" w:type="dxa"/>
            <w:tcBorders>
              <w:top w:val="single" w:sz="4" w:space="0" w:color="auto"/>
              <w:left w:val="single" w:sz="4" w:space="0" w:color="auto"/>
              <w:bottom w:val="single" w:sz="4" w:space="0" w:color="auto"/>
              <w:right w:val="single" w:sz="4" w:space="0" w:color="auto"/>
            </w:tcBorders>
            <w:hideMark/>
          </w:tcPr>
          <w:p w14:paraId="4AE0B6CB" w14:textId="77777777" w:rsidR="00BB55F5" w:rsidRPr="002F7E97" w:rsidRDefault="00BB55F5" w:rsidP="003F7D80">
            <w:pPr>
              <w:rPr>
                <w:b/>
                <w:szCs w:val="26"/>
              </w:rPr>
            </w:pPr>
            <w:r w:rsidRPr="002F7E97">
              <w:rPr>
                <w:b/>
                <w:szCs w:val="26"/>
              </w:rPr>
              <w:t>12</w:t>
            </w:r>
          </w:p>
        </w:tc>
        <w:tc>
          <w:tcPr>
            <w:tcW w:w="595" w:type="dxa"/>
            <w:tcBorders>
              <w:top w:val="single" w:sz="4" w:space="0" w:color="auto"/>
              <w:left w:val="single" w:sz="4" w:space="0" w:color="auto"/>
              <w:bottom w:val="single" w:sz="4" w:space="0" w:color="auto"/>
              <w:right w:val="single" w:sz="4" w:space="0" w:color="auto"/>
            </w:tcBorders>
            <w:hideMark/>
          </w:tcPr>
          <w:p w14:paraId="29D16C94" w14:textId="77777777" w:rsidR="00BB55F5" w:rsidRPr="002F7E97" w:rsidRDefault="00BB55F5" w:rsidP="003F7D80">
            <w:pPr>
              <w:rPr>
                <w:b/>
                <w:szCs w:val="26"/>
              </w:rPr>
            </w:pPr>
            <w:r w:rsidRPr="002F7E97">
              <w:rPr>
                <w:b/>
                <w:szCs w:val="26"/>
              </w:rPr>
              <w:t>13</w:t>
            </w:r>
          </w:p>
        </w:tc>
        <w:tc>
          <w:tcPr>
            <w:tcW w:w="595" w:type="dxa"/>
            <w:tcBorders>
              <w:top w:val="single" w:sz="4" w:space="0" w:color="auto"/>
              <w:left w:val="single" w:sz="4" w:space="0" w:color="auto"/>
              <w:bottom w:val="single" w:sz="4" w:space="0" w:color="auto"/>
              <w:right w:val="single" w:sz="4" w:space="0" w:color="auto"/>
            </w:tcBorders>
            <w:hideMark/>
          </w:tcPr>
          <w:p w14:paraId="623F33A5" w14:textId="77777777" w:rsidR="00BB55F5" w:rsidRPr="002F7E97" w:rsidRDefault="00BB55F5" w:rsidP="003F7D80">
            <w:pPr>
              <w:rPr>
                <w:b/>
                <w:szCs w:val="26"/>
              </w:rPr>
            </w:pPr>
            <w:r w:rsidRPr="002F7E97">
              <w:rPr>
                <w:b/>
                <w:szCs w:val="26"/>
              </w:rPr>
              <w:t>14</w:t>
            </w:r>
          </w:p>
        </w:tc>
        <w:tc>
          <w:tcPr>
            <w:tcW w:w="668" w:type="dxa"/>
            <w:tcBorders>
              <w:top w:val="single" w:sz="4" w:space="0" w:color="auto"/>
              <w:left w:val="single" w:sz="4" w:space="0" w:color="auto"/>
              <w:bottom w:val="single" w:sz="4" w:space="0" w:color="auto"/>
              <w:right w:val="single" w:sz="4" w:space="0" w:color="auto"/>
            </w:tcBorders>
            <w:hideMark/>
          </w:tcPr>
          <w:p w14:paraId="2DAD1E87" w14:textId="77777777" w:rsidR="00BB55F5" w:rsidRPr="002F7E97" w:rsidRDefault="00BB55F5" w:rsidP="003F7D80">
            <w:pPr>
              <w:rPr>
                <w:b/>
                <w:szCs w:val="26"/>
              </w:rPr>
            </w:pPr>
            <w:r w:rsidRPr="002F7E97">
              <w:rPr>
                <w:b/>
                <w:szCs w:val="26"/>
              </w:rPr>
              <w:t>15</w:t>
            </w:r>
          </w:p>
        </w:tc>
        <w:tc>
          <w:tcPr>
            <w:tcW w:w="668" w:type="dxa"/>
            <w:tcBorders>
              <w:top w:val="single" w:sz="4" w:space="0" w:color="auto"/>
              <w:left w:val="single" w:sz="4" w:space="0" w:color="auto"/>
              <w:bottom w:val="single" w:sz="4" w:space="0" w:color="auto"/>
              <w:right w:val="single" w:sz="4" w:space="0" w:color="auto"/>
            </w:tcBorders>
            <w:hideMark/>
          </w:tcPr>
          <w:p w14:paraId="6578F5DC" w14:textId="77777777" w:rsidR="00BB55F5" w:rsidRPr="002F7E97" w:rsidRDefault="00BB55F5" w:rsidP="003F7D80">
            <w:pPr>
              <w:rPr>
                <w:b/>
                <w:szCs w:val="26"/>
              </w:rPr>
            </w:pPr>
            <w:r w:rsidRPr="002F7E97">
              <w:rPr>
                <w:b/>
                <w:szCs w:val="26"/>
              </w:rPr>
              <w:t>16</w:t>
            </w:r>
          </w:p>
        </w:tc>
        <w:tc>
          <w:tcPr>
            <w:tcW w:w="595" w:type="dxa"/>
            <w:tcBorders>
              <w:top w:val="single" w:sz="4" w:space="0" w:color="auto"/>
              <w:left w:val="single" w:sz="4" w:space="0" w:color="auto"/>
              <w:bottom w:val="single" w:sz="4" w:space="0" w:color="auto"/>
              <w:right w:val="single" w:sz="4" w:space="0" w:color="auto"/>
            </w:tcBorders>
            <w:hideMark/>
          </w:tcPr>
          <w:p w14:paraId="6C7CEA70" w14:textId="77777777" w:rsidR="00BB55F5" w:rsidRPr="002F7E97" w:rsidRDefault="00BB55F5" w:rsidP="003F7D80">
            <w:pPr>
              <w:rPr>
                <w:b/>
                <w:szCs w:val="26"/>
              </w:rPr>
            </w:pPr>
            <w:r w:rsidRPr="002F7E97">
              <w:rPr>
                <w:b/>
                <w:szCs w:val="26"/>
              </w:rPr>
              <w:t>17</w:t>
            </w:r>
          </w:p>
        </w:tc>
      </w:tr>
      <w:bookmarkEnd w:id="138"/>
      <w:tr w:rsidR="00BB55F5" w:rsidRPr="009A5100" w14:paraId="5771E4E0"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58D7B494" w14:textId="77777777" w:rsidR="00BB55F5" w:rsidRPr="002F7E97" w:rsidRDefault="00BB55F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66377139" w14:textId="77777777" w:rsidR="00BB55F5" w:rsidRPr="002F7E97" w:rsidRDefault="00BB55F5" w:rsidP="003F7D80">
            <w:pPr>
              <w:rPr>
                <w:szCs w:val="26"/>
              </w:rPr>
            </w:pPr>
            <w:r w:rsidRPr="002F7E97">
              <w:rPr>
                <w:szCs w:val="26"/>
              </w:rPr>
              <w:t>Bruce</w:t>
            </w:r>
            <w:r w:rsidR="002C79F7" w:rsidRPr="002F7E97">
              <w:rPr>
                <w:szCs w:val="26"/>
              </w:rPr>
              <w:t xml:space="preserve"> et al. </w:t>
            </w:r>
            <w:r w:rsidRPr="002F7E97">
              <w:rPr>
                <w:szCs w:val="26"/>
              </w:rPr>
              <w:t>(2023)</w:t>
            </w:r>
          </w:p>
        </w:tc>
        <w:tc>
          <w:tcPr>
            <w:tcW w:w="595" w:type="dxa"/>
            <w:tcBorders>
              <w:top w:val="single" w:sz="4" w:space="0" w:color="auto"/>
              <w:left w:val="single" w:sz="4" w:space="0" w:color="auto"/>
              <w:bottom w:val="single" w:sz="4" w:space="0" w:color="auto"/>
              <w:right w:val="single" w:sz="4" w:space="0" w:color="auto"/>
            </w:tcBorders>
            <w:hideMark/>
          </w:tcPr>
          <w:p w14:paraId="77FF8147"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200F7E60"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D6FECD7"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9DD9DEB"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600017B"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945C5F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4C87F5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ACA8BB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75FCF2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19B619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0FC985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56CB59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68045D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20421F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398116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BE1060B"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2B1BB78" w14:textId="77777777" w:rsidR="00BB55F5" w:rsidRPr="002F7E97" w:rsidRDefault="00BB55F5" w:rsidP="003F7D80">
            <w:pPr>
              <w:rPr>
                <w:szCs w:val="26"/>
              </w:rPr>
            </w:pPr>
            <w:r w:rsidRPr="002F7E97">
              <w:rPr>
                <w:szCs w:val="26"/>
              </w:rPr>
              <w:t> </w:t>
            </w:r>
          </w:p>
        </w:tc>
      </w:tr>
      <w:tr w:rsidR="00BB55F5" w:rsidRPr="009A5100" w14:paraId="28752267"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47664FFF"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3B17D5AF" w14:textId="77777777" w:rsidR="00BB55F5" w:rsidRPr="002F7E97" w:rsidRDefault="00BB55F5" w:rsidP="003F7D80">
            <w:pPr>
              <w:rPr>
                <w:szCs w:val="26"/>
              </w:rPr>
            </w:pPr>
            <w:r w:rsidRPr="002F7E97">
              <w:rPr>
                <w:szCs w:val="26"/>
              </w:rPr>
              <w:t>Rios (2025)</w:t>
            </w:r>
          </w:p>
        </w:tc>
        <w:tc>
          <w:tcPr>
            <w:tcW w:w="595" w:type="dxa"/>
            <w:tcBorders>
              <w:top w:val="single" w:sz="4" w:space="0" w:color="auto"/>
              <w:left w:val="single" w:sz="4" w:space="0" w:color="auto"/>
              <w:bottom w:val="single" w:sz="4" w:space="0" w:color="auto"/>
              <w:right w:val="single" w:sz="4" w:space="0" w:color="auto"/>
            </w:tcBorders>
            <w:hideMark/>
          </w:tcPr>
          <w:p w14:paraId="1C6D7192"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2DAA9D1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5597E4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54D69F7"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5E70738"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B0CA4B1"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F1700BB"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083C50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A2A4EC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41CC25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E597D8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A321ED4"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FD5830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D119A56"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75A9E9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A8326C1"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472856B" w14:textId="77777777" w:rsidR="00BB55F5" w:rsidRPr="002F7E97" w:rsidRDefault="00BB55F5" w:rsidP="003F7D80">
            <w:pPr>
              <w:rPr>
                <w:szCs w:val="26"/>
              </w:rPr>
            </w:pPr>
            <w:r w:rsidRPr="002F7E97">
              <w:rPr>
                <w:szCs w:val="26"/>
              </w:rPr>
              <w:t> </w:t>
            </w:r>
          </w:p>
        </w:tc>
      </w:tr>
      <w:tr w:rsidR="00BB55F5" w:rsidRPr="009A5100" w14:paraId="4AF781CC"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30B59CAA"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4247F807" w14:textId="77777777" w:rsidR="00BB55F5" w:rsidRPr="002F7E97" w:rsidRDefault="00BB55F5" w:rsidP="003F7D80">
            <w:pPr>
              <w:rPr>
                <w:szCs w:val="26"/>
              </w:rPr>
            </w:pPr>
            <w:r w:rsidRPr="002F7E97">
              <w:rPr>
                <w:szCs w:val="26"/>
              </w:rPr>
              <w:t>Coleman-Smith et al. (2020)</w:t>
            </w:r>
          </w:p>
        </w:tc>
        <w:tc>
          <w:tcPr>
            <w:tcW w:w="595" w:type="dxa"/>
            <w:tcBorders>
              <w:top w:val="single" w:sz="4" w:space="0" w:color="auto"/>
              <w:left w:val="single" w:sz="4" w:space="0" w:color="auto"/>
              <w:bottom w:val="single" w:sz="4" w:space="0" w:color="auto"/>
              <w:right w:val="single" w:sz="4" w:space="0" w:color="auto"/>
            </w:tcBorders>
            <w:hideMark/>
          </w:tcPr>
          <w:p w14:paraId="5E030F50"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66F6A0C"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B441D1B"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F1D9157"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C5D8C40"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BDA3E5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E95F682"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A1E927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1E5FD1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F2BC3C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D02BAE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CC820C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449F5B5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08131DD"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762C9C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3E36647"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5D79838" w14:textId="77777777" w:rsidR="00BB55F5" w:rsidRPr="002F7E97" w:rsidRDefault="00BB55F5" w:rsidP="003F7D80">
            <w:pPr>
              <w:rPr>
                <w:szCs w:val="26"/>
              </w:rPr>
            </w:pPr>
            <w:r w:rsidRPr="002F7E97">
              <w:rPr>
                <w:szCs w:val="26"/>
              </w:rPr>
              <w:t> </w:t>
            </w:r>
          </w:p>
        </w:tc>
      </w:tr>
      <w:tr w:rsidR="00BB55F5" w:rsidRPr="009A5100" w14:paraId="5ED94D60"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43B46B4"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411427D4" w14:textId="77777777" w:rsidR="00BB55F5" w:rsidRPr="002F7E97" w:rsidRDefault="00BB55F5" w:rsidP="003F7D80">
            <w:pPr>
              <w:rPr>
                <w:szCs w:val="26"/>
              </w:rPr>
            </w:pPr>
            <w:r w:rsidRPr="002F7E97">
              <w:rPr>
                <w:szCs w:val="26"/>
              </w:rPr>
              <w:t>O'Shea et al. (2020)</w:t>
            </w:r>
          </w:p>
        </w:tc>
        <w:tc>
          <w:tcPr>
            <w:tcW w:w="595" w:type="dxa"/>
            <w:tcBorders>
              <w:top w:val="single" w:sz="4" w:space="0" w:color="auto"/>
              <w:left w:val="single" w:sz="4" w:space="0" w:color="auto"/>
              <w:bottom w:val="single" w:sz="4" w:space="0" w:color="auto"/>
              <w:right w:val="single" w:sz="4" w:space="0" w:color="auto"/>
            </w:tcBorders>
            <w:hideMark/>
          </w:tcPr>
          <w:p w14:paraId="3D48D1F3"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2DAB1A4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81B650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DFF1AC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EB31357"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6F9E2B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B7B9F43"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70998ED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E092B6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0D3579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6D47D7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0DE4C39"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B1EE233"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4AD8A0E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3A1D11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1DEBC37"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8E75CA0" w14:textId="77777777" w:rsidR="00BB55F5" w:rsidRPr="002F7E97" w:rsidRDefault="00BB55F5" w:rsidP="003F7D80">
            <w:pPr>
              <w:rPr>
                <w:szCs w:val="26"/>
              </w:rPr>
            </w:pPr>
            <w:r w:rsidRPr="002F7E97">
              <w:rPr>
                <w:szCs w:val="26"/>
              </w:rPr>
              <w:t> </w:t>
            </w:r>
          </w:p>
        </w:tc>
      </w:tr>
      <w:tr w:rsidR="00BB55F5" w:rsidRPr="009A5100" w14:paraId="328E7589"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517A4167"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5A2BEAFA" w14:textId="77777777" w:rsidR="00BB55F5" w:rsidRPr="002F7E97" w:rsidRDefault="00BB55F5" w:rsidP="003F7D80">
            <w:pPr>
              <w:rPr>
                <w:szCs w:val="26"/>
              </w:rPr>
            </w:pPr>
            <w:r w:rsidRPr="002F7E97">
              <w:rPr>
                <w:szCs w:val="26"/>
              </w:rPr>
              <w:t>Squires et al. (2024)</w:t>
            </w:r>
          </w:p>
        </w:tc>
        <w:tc>
          <w:tcPr>
            <w:tcW w:w="595" w:type="dxa"/>
            <w:tcBorders>
              <w:top w:val="single" w:sz="4" w:space="0" w:color="auto"/>
              <w:left w:val="single" w:sz="4" w:space="0" w:color="auto"/>
              <w:bottom w:val="single" w:sz="4" w:space="0" w:color="auto"/>
              <w:right w:val="single" w:sz="4" w:space="0" w:color="auto"/>
            </w:tcBorders>
            <w:hideMark/>
          </w:tcPr>
          <w:p w14:paraId="61E25B80"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43DD1FCE"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51A07AB"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2A4D8D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91F0F37"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7976E6C"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773FCF9"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7BCD13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1B2450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F0E090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87D77A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0645C9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5420B83"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1C0930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3D4753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8A18F60"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9065241" w14:textId="77777777" w:rsidR="00BB55F5" w:rsidRPr="002F7E97" w:rsidRDefault="00BB55F5" w:rsidP="003F7D80">
            <w:pPr>
              <w:rPr>
                <w:szCs w:val="26"/>
              </w:rPr>
            </w:pPr>
            <w:r w:rsidRPr="002F7E97">
              <w:rPr>
                <w:szCs w:val="26"/>
              </w:rPr>
              <w:t> </w:t>
            </w:r>
          </w:p>
        </w:tc>
      </w:tr>
      <w:tr w:rsidR="00BB55F5" w:rsidRPr="009A5100" w14:paraId="046A1CCC"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E3FCE28"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10D48FA7" w14:textId="77777777" w:rsidR="00BB55F5" w:rsidRPr="002F7E97" w:rsidRDefault="00101D9A" w:rsidP="003F7D80">
            <w:pPr>
              <w:rPr>
                <w:szCs w:val="26"/>
              </w:rPr>
            </w:pPr>
            <w:r w:rsidRPr="002F7E97">
              <w:rPr>
                <w:szCs w:val="26"/>
              </w:rPr>
              <w:t>Cooper et al. (2022)</w:t>
            </w:r>
          </w:p>
        </w:tc>
        <w:tc>
          <w:tcPr>
            <w:tcW w:w="595" w:type="dxa"/>
            <w:tcBorders>
              <w:top w:val="single" w:sz="4" w:space="0" w:color="auto"/>
              <w:left w:val="single" w:sz="4" w:space="0" w:color="auto"/>
              <w:bottom w:val="single" w:sz="4" w:space="0" w:color="auto"/>
              <w:right w:val="single" w:sz="4" w:space="0" w:color="auto"/>
            </w:tcBorders>
            <w:hideMark/>
          </w:tcPr>
          <w:p w14:paraId="4597B935"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68A9014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6A3685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5E5F5F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219FF50"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A64803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C96D9BB"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22B8D1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BCF662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E8E704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976680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E80ACC7"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97133E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6E0BDB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6DB1A6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E90C41A"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2BFD564" w14:textId="77777777" w:rsidR="00BB55F5" w:rsidRPr="002F7E97" w:rsidRDefault="00BB55F5" w:rsidP="003F7D80">
            <w:pPr>
              <w:rPr>
                <w:szCs w:val="26"/>
              </w:rPr>
            </w:pPr>
            <w:r w:rsidRPr="002F7E97">
              <w:rPr>
                <w:szCs w:val="26"/>
              </w:rPr>
              <w:t> </w:t>
            </w:r>
          </w:p>
        </w:tc>
      </w:tr>
      <w:tr w:rsidR="00BB55F5" w:rsidRPr="009A5100" w14:paraId="3599CDEE"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75DF6BD0"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17380320" w14:textId="77777777" w:rsidR="00BB55F5" w:rsidRPr="002F7E97" w:rsidRDefault="00BB55F5" w:rsidP="003F7D80">
            <w:pPr>
              <w:rPr>
                <w:szCs w:val="26"/>
              </w:rPr>
            </w:pPr>
            <w:r w:rsidRPr="002F7E97">
              <w:rPr>
                <w:szCs w:val="26"/>
              </w:rPr>
              <w:t>Oliver et al. (2024)</w:t>
            </w:r>
          </w:p>
        </w:tc>
        <w:tc>
          <w:tcPr>
            <w:tcW w:w="595" w:type="dxa"/>
            <w:tcBorders>
              <w:top w:val="single" w:sz="4" w:space="0" w:color="auto"/>
              <w:left w:val="single" w:sz="4" w:space="0" w:color="auto"/>
              <w:bottom w:val="single" w:sz="4" w:space="0" w:color="auto"/>
              <w:right w:val="single" w:sz="4" w:space="0" w:color="auto"/>
            </w:tcBorders>
            <w:hideMark/>
          </w:tcPr>
          <w:p w14:paraId="5ADCA024"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5CF863C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01906A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B20754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7400B5F"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7F01088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5B1657B"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18F074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718438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8E480F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134708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3CDBAF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68B74D8"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F0E62C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5EF494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7D9EC7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2E52B295" w14:textId="77777777" w:rsidR="00BB55F5" w:rsidRPr="002F7E97" w:rsidRDefault="00BB55F5" w:rsidP="003F7D80">
            <w:pPr>
              <w:rPr>
                <w:szCs w:val="26"/>
              </w:rPr>
            </w:pPr>
            <w:r w:rsidRPr="002F7E97">
              <w:rPr>
                <w:szCs w:val="26"/>
              </w:rPr>
              <w:t> </w:t>
            </w:r>
          </w:p>
        </w:tc>
      </w:tr>
      <w:tr w:rsidR="00BB55F5" w:rsidRPr="009A5100" w14:paraId="600390DA"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687DE818"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413DC93E" w14:textId="77777777" w:rsidR="00BB55F5" w:rsidRPr="002F7E97" w:rsidRDefault="00BB55F5" w:rsidP="003F7D80">
            <w:pPr>
              <w:rPr>
                <w:szCs w:val="26"/>
              </w:rPr>
            </w:pPr>
            <w:r w:rsidRPr="002F7E97">
              <w:rPr>
                <w:szCs w:val="26"/>
              </w:rPr>
              <w:t>Kearns</w:t>
            </w:r>
            <w:r w:rsidR="002C79F7" w:rsidRPr="002F7E97">
              <w:rPr>
                <w:szCs w:val="26"/>
              </w:rPr>
              <w:t xml:space="preserve"> et al.</w:t>
            </w:r>
            <w:r w:rsidRPr="002F7E97">
              <w:rPr>
                <w:szCs w:val="26"/>
              </w:rPr>
              <w:t xml:space="preserve"> (2023)</w:t>
            </w:r>
          </w:p>
        </w:tc>
        <w:tc>
          <w:tcPr>
            <w:tcW w:w="595" w:type="dxa"/>
            <w:tcBorders>
              <w:top w:val="single" w:sz="4" w:space="0" w:color="auto"/>
              <w:left w:val="single" w:sz="4" w:space="0" w:color="auto"/>
              <w:bottom w:val="single" w:sz="4" w:space="0" w:color="auto"/>
              <w:right w:val="single" w:sz="4" w:space="0" w:color="auto"/>
            </w:tcBorders>
            <w:hideMark/>
          </w:tcPr>
          <w:p w14:paraId="7A5E3845"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0BA1ACB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46C003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E50EAA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14652F3"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1E8DEB0"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DB3D86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782F3A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5C9A1D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3525E9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A049F0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E54A767"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40A71A89"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5B1DBB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3464B6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AC68A8C"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DBE139F" w14:textId="77777777" w:rsidR="00BB55F5" w:rsidRPr="002F7E97" w:rsidRDefault="00BB55F5" w:rsidP="003F7D80">
            <w:pPr>
              <w:rPr>
                <w:szCs w:val="26"/>
              </w:rPr>
            </w:pPr>
            <w:r w:rsidRPr="002F7E97">
              <w:rPr>
                <w:szCs w:val="26"/>
              </w:rPr>
              <w:t> </w:t>
            </w:r>
          </w:p>
        </w:tc>
      </w:tr>
      <w:tr w:rsidR="00BB55F5" w:rsidRPr="009A5100" w14:paraId="2996AAEB"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03D8F016" w14:textId="77777777" w:rsidR="00BB55F5" w:rsidRPr="002F7E97" w:rsidRDefault="00784C95" w:rsidP="003F7D80">
            <w:pPr>
              <w:rPr>
                <w:szCs w:val="26"/>
              </w:rPr>
            </w:pPr>
            <w:r w:rsidRPr="002F7E97">
              <w:rPr>
                <w:szCs w:val="26"/>
              </w:rPr>
              <w:lastRenderedPageBreak/>
              <w:t>Qualitative**</w:t>
            </w:r>
          </w:p>
        </w:tc>
        <w:tc>
          <w:tcPr>
            <w:tcW w:w="1636" w:type="dxa"/>
            <w:tcBorders>
              <w:top w:val="single" w:sz="4" w:space="0" w:color="auto"/>
              <w:left w:val="single" w:sz="4" w:space="0" w:color="auto"/>
              <w:bottom w:val="single" w:sz="4" w:space="0" w:color="auto"/>
              <w:right w:val="single" w:sz="4" w:space="0" w:color="auto"/>
            </w:tcBorders>
            <w:hideMark/>
          </w:tcPr>
          <w:p w14:paraId="347F3D41" w14:textId="77777777" w:rsidR="00BB55F5" w:rsidRPr="002F7E97" w:rsidRDefault="00BB55F5" w:rsidP="003F7D80">
            <w:pPr>
              <w:rPr>
                <w:szCs w:val="26"/>
              </w:rPr>
            </w:pPr>
            <w:r w:rsidRPr="002F7E97">
              <w:rPr>
                <w:szCs w:val="26"/>
              </w:rPr>
              <w:t>McLean et al. (2024)</w:t>
            </w:r>
          </w:p>
        </w:tc>
        <w:tc>
          <w:tcPr>
            <w:tcW w:w="595" w:type="dxa"/>
            <w:tcBorders>
              <w:top w:val="single" w:sz="4" w:space="0" w:color="auto"/>
              <w:left w:val="single" w:sz="4" w:space="0" w:color="auto"/>
              <w:bottom w:val="single" w:sz="4" w:space="0" w:color="auto"/>
              <w:right w:val="single" w:sz="4" w:space="0" w:color="auto"/>
            </w:tcBorders>
            <w:hideMark/>
          </w:tcPr>
          <w:p w14:paraId="105DC879"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8E085F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8808E40"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6DE2390"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3071DE3"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312476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F49641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D9209B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68AB9B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304A42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41B8A26"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F8F9CE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3846174"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189B76C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F29AA9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C82DA1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2F69A9F" w14:textId="77777777" w:rsidR="00BB55F5" w:rsidRPr="002F7E97" w:rsidRDefault="00BB55F5" w:rsidP="003F7D80">
            <w:pPr>
              <w:rPr>
                <w:szCs w:val="26"/>
              </w:rPr>
            </w:pPr>
            <w:r w:rsidRPr="002F7E97">
              <w:rPr>
                <w:szCs w:val="26"/>
              </w:rPr>
              <w:t> </w:t>
            </w:r>
          </w:p>
        </w:tc>
      </w:tr>
      <w:tr w:rsidR="00BB55F5" w:rsidRPr="009A5100" w14:paraId="38A7EF7C"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427B518"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525B0447" w14:textId="77777777" w:rsidR="00BB55F5" w:rsidRPr="002F7E97" w:rsidRDefault="006E4969" w:rsidP="003F7D80">
            <w:pPr>
              <w:rPr>
                <w:szCs w:val="26"/>
              </w:rPr>
            </w:pPr>
            <w:r w:rsidRPr="002F7E97">
              <w:rPr>
                <w:szCs w:val="26"/>
              </w:rPr>
              <w:t>Cain</w:t>
            </w:r>
            <w:r w:rsidR="00BB55F5" w:rsidRPr="002F7E97">
              <w:rPr>
                <w:szCs w:val="26"/>
              </w:rPr>
              <w:t xml:space="preserve"> &amp; Velasco (2020)</w:t>
            </w:r>
          </w:p>
        </w:tc>
        <w:tc>
          <w:tcPr>
            <w:tcW w:w="595" w:type="dxa"/>
            <w:tcBorders>
              <w:top w:val="single" w:sz="4" w:space="0" w:color="auto"/>
              <w:left w:val="single" w:sz="4" w:space="0" w:color="auto"/>
              <w:bottom w:val="single" w:sz="4" w:space="0" w:color="auto"/>
              <w:right w:val="single" w:sz="4" w:space="0" w:color="auto"/>
            </w:tcBorders>
            <w:hideMark/>
          </w:tcPr>
          <w:p w14:paraId="08BFF83B"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47A29A25"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400457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975159B"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BCACA6D"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DC49FC0" w14:textId="77777777" w:rsidR="00BB55F5" w:rsidRPr="002F7E97" w:rsidRDefault="00BB55F5" w:rsidP="003F7D80">
            <w:pPr>
              <w:rPr>
                <w:szCs w:val="26"/>
              </w:rPr>
            </w:pPr>
            <w:r w:rsidRPr="002F7E97">
              <w:rPr>
                <w:szCs w:val="26"/>
              </w:rPr>
              <w:t>CT</w:t>
            </w:r>
          </w:p>
        </w:tc>
        <w:tc>
          <w:tcPr>
            <w:tcW w:w="446" w:type="dxa"/>
            <w:tcBorders>
              <w:top w:val="single" w:sz="4" w:space="0" w:color="auto"/>
              <w:left w:val="single" w:sz="4" w:space="0" w:color="auto"/>
              <w:bottom w:val="single" w:sz="4" w:space="0" w:color="auto"/>
              <w:right w:val="single" w:sz="4" w:space="0" w:color="auto"/>
            </w:tcBorders>
            <w:hideMark/>
          </w:tcPr>
          <w:p w14:paraId="6B314EC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DA92EA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E703D7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2F22AC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F5F475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540BFFB"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011BED2"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3D278C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C71035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69A540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29979E7D" w14:textId="77777777" w:rsidR="00BB55F5" w:rsidRPr="002F7E97" w:rsidRDefault="00BB55F5" w:rsidP="003F7D80">
            <w:pPr>
              <w:rPr>
                <w:szCs w:val="26"/>
              </w:rPr>
            </w:pPr>
            <w:r w:rsidRPr="002F7E97">
              <w:rPr>
                <w:szCs w:val="26"/>
              </w:rPr>
              <w:t> </w:t>
            </w:r>
          </w:p>
        </w:tc>
      </w:tr>
      <w:tr w:rsidR="00BB55F5" w:rsidRPr="009A5100" w14:paraId="3E2E9CC3"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D9B4C3A"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69C8214A" w14:textId="77777777" w:rsidR="00BB55F5" w:rsidRPr="002F7E97" w:rsidRDefault="00BB55F5" w:rsidP="003F7D80">
            <w:pPr>
              <w:rPr>
                <w:szCs w:val="26"/>
              </w:rPr>
            </w:pPr>
            <w:r w:rsidRPr="002F7E97">
              <w:rPr>
                <w:szCs w:val="26"/>
              </w:rPr>
              <w:t>Ali et al. (2023)</w:t>
            </w:r>
          </w:p>
        </w:tc>
        <w:tc>
          <w:tcPr>
            <w:tcW w:w="595" w:type="dxa"/>
            <w:tcBorders>
              <w:top w:val="single" w:sz="4" w:space="0" w:color="auto"/>
              <w:left w:val="single" w:sz="4" w:space="0" w:color="auto"/>
              <w:bottom w:val="single" w:sz="4" w:space="0" w:color="auto"/>
              <w:right w:val="single" w:sz="4" w:space="0" w:color="auto"/>
            </w:tcBorders>
            <w:hideMark/>
          </w:tcPr>
          <w:p w14:paraId="3DB1F404"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6EEB190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C2B86F1"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CE4B95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DA65C9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23B434E"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691EC7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772A597D"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EB807B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50C181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C05482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1ADEE8A"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8A4ECF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4A23887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037E53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B609B70"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1437DD39" w14:textId="77777777" w:rsidR="00BB55F5" w:rsidRPr="002F7E97" w:rsidRDefault="00BB55F5" w:rsidP="003F7D80">
            <w:pPr>
              <w:rPr>
                <w:szCs w:val="26"/>
              </w:rPr>
            </w:pPr>
            <w:r w:rsidRPr="002F7E97">
              <w:rPr>
                <w:szCs w:val="26"/>
              </w:rPr>
              <w:t> </w:t>
            </w:r>
          </w:p>
        </w:tc>
      </w:tr>
      <w:tr w:rsidR="00BB55F5" w:rsidRPr="009A5100" w14:paraId="64F6560C"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D40C281"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58728449" w14:textId="77777777" w:rsidR="00BB55F5" w:rsidRPr="002F7E97" w:rsidRDefault="00BB55F5" w:rsidP="003F7D80">
            <w:pPr>
              <w:rPr>
                <w:szCs w:val="26"/>
              </w:rPr>
            </w:pPr>
            <w:r w:rsidRPr="002F7E97">
              <w:rPr>
                <w:szCs w:val="26"/>
              </w:rPr>
              <w:t>Ardeleanu et al. (2024)</w:t>
            </w:r>
          </w:p>
        </w:tc>
        <w:tc>
          <w:tcPr>
            <w:tcW w:w="595" w:type="dxa"/>
            <w:tcBorders>
              <w:top w:val="single" w:sz="4" w:space="0" w:color="auto"/>
              <w:left w:val="single" w:sz="4" w:space="0" w:color="auto"/>
              <w:bottom w:val="single" w:sz="4" w:space="0" w:color="auto"/>
              <w:right w:val="single" w:sz="4" w:space="0" w:color="auto"/>
            </w:tcBorders>
            <w:hideMark/>
          </w:tcPr>
          <w:p w14:paraId="3C49D1EA"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706DF5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DB2E49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2F7987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FA10EDB"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0C3CA8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23DE7F3"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BF82AA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A87EB5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B5BDFFD"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EACCB0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5F55E0C"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125ED77"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713D8D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F730F3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C1C9485"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F7A6160" w14:textId="77777777" w:rsidR="00BB55F5" w:rsidRPr="002F7E97" w:rsidRDefault="00BB55F5" w:rsidP="003F7D80">
            <w:pPr>
              <w:rPr>
                <w:szCs w:val="26"/>
              </w:rPr>
            </w:pPr>
            <w:r w:rsidRPr="002F7E97">
              <w:rPr>
                <w:szCs w:val="26"/>
              </w:rPr>
              <w:t> </w:t>
            </w:r>
          </w:p>
        </w:tc>
      </w:tr>
      <w:tr w:rsidR="00BB55F5" w:rsidRPr="009A5100" w14:paraId="3192F453"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594FF0B6"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6AD25499" w14:textId="77777777" w:rsidR="00BB55F5" w:rsidRPr="002F7E97" w:rsidRDefault="00BB55F5" w:rsidP="003F7D80">
            <w:pPr>
              <w:rPr>
                <w:szCs w:val="26"/>
              </w:rPr>
            </w:pPr>
            <w:r w:rsidRPr="002F7E97">
              <w:rPr>
                <w:szCs w:val="26"/>
              </w:rPr>
              <w:t>Maroney &amp; Horne (2022)</w:t>
            </w:r>
          </w:p>
        </w:tc>
        <w:tc>
          <w:tcPr>
            <w:tcW w:w="595" w:type="dxa"/>
            <w:tcBorders>
              <w:top w:val="single" w:sz="4" w:space="0" w:color="auto"/>
              <w:left w:val="single" w:sz="4" w:space="0" w:color="auto"/>
              <w:bottom w:val="single" w:sz="4" w:space="0" w:color="auto"/>
              <w:right w:val="single" w:sz="4" w:space="0" w:color="auto"/>
            </w:tcBorders>
            <w:hideMark/>
          </w:tcPr>
          <w:p w14:paraId="220473A9"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1FD5DA7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A2A9FF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047519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B121B05"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0A370C1"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929471F"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F9A542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E9AC7C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2EF5AA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374F94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98BFF60"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AD0AC89"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1277F97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FAACB3D"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64397A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1A1EFB14" w14:textId="77777777" w:rsidR="00BB55F5" w:rsidRPr="002F7E97" w:rsidRDefault="00BB55F5" w:rsidP="003F7D80">
            <w:pPr>
              <w:rPr>
                <w:szCs w:val="26"/>
              </w:rPr>
            </w:pPr>
            <w:r w:rsidRPr="002F7E97">
              <w:rPr>
                <w:szCs w:val="26"/>
              </w:rPr>
              <w:t> </w:t>
            </w:r>
          </w:p>
        </w:tc>
      </w:tr>
      <w:tr w:rsidR="00BB55F5" w:rsidRPr="009A5100" w14:paraId="1E848B18"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6DB3E79F"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29C9A5F1" w14:textId="77777777" w:rsidR="00BB55F5" w:rsidRPr="002F7E97" w:rsidRDefault="00BB55F5" w:rsidP="003F7D80">
            <w:pPr>
              <w:rPr>
                <w:szCs w:val="26"/>
              </w:rPr>
            </w:pPr>
            <w:r w:rsidRPr="002F7E97">
              <w:rPr>
                <w:szCs w:val="26"/>
              </w:rPr>
              <w:t>Cooper et al. (2023</w:t>
            </w:r>
            <w:r w:rsidR="002C79F7" w:rsidRPr="002F7E97">
              <w:rPr>
                <w:szCs w:val="26"/>
              </w:rPr>
              <w:t>a</w:t>
            </w:r>
            <w:r w:rsidRPr="002F7E97">
              <w:rPr>
                <w:szCs w:val="26"/>
              </w:rPr>
              <w:t>)</w:t>
            </w:r>
          </w:p>
        </w:tc>
        <w:tc>
          <w:tcPr>
            <w:tcW w:w="595" w:type="dxa"/>
            <w:tcBorders>
              <w:top w:val="single" w:sz="4" w:space="0" w:color="auto"/>
              <w:left w:val="single" w:sz="4" w:space="0" w:color="auto"/>
              <w:bottom w:val="single" w:sz="4" w:space="0" w:color="auto"/>
              <w:right w:val="single" w:sz="4" w:space="0" w:color="auto"/>
            </w:tcBorders>
            <w:hideMark/>
          </w:tcPr>
          <w:p w14:paraId="37EFC6AC"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04A5903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E99B497"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9B1EA4F"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976B04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955EDAF"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08C3482"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DC7223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B785A4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32CBF9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6BE131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4EF251C"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56F6F2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F07E5B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D03657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6580F2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B49EFE2" w14:textId="77777777" w:rsidR="00BB55F5" w:rsidRPr="002F7E97" w:rsidRDefault="00BB55F5" w:rsidP="003F7D80">
            <w:pPr>
              <w:rPr>
                <w:szCs w:val="26"/>
              </w:rPr>
            </w:pPr>
            <w:r w:rsidRPr="002F7E97">
              <w:rPr>
                <w:szCs w:val="26"/>
              </w:rPr>
              <w:t> </w:t>
            </w:r>
          </w:p>
        </w:tc>
      </w:tr>
      <w:tr w:rsidR="00BB55F5" w:rsidRPr="009A5100" w14:paraId="4AC2519A"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5DD8D0F6"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61D564E0" w14:textId="77777777" w:rsidR="00BB55F5" w:rsidRPr="002F7E97" w:rsidRDefault="00BB55F5" w:rsidP="003F7D80">
            <w:pPr>
              <w:rPr>
                <w:szCs w:val="26"/>
              </w:rPr>
            </w:pPr>
            <w:r w:rsidRPr="002F7E97">
              <w:rPr>
                <w:szCs w:val="26"/>
              </w:rPr>
              <w:t>Glackin, Pearson &amp; Davis (2024)</w:t>
            </w:r>
          </w:p>
        </w:tc>
        <w:tc>
          <w:tcPr>
            <w:tcW w:w="595" w:type="dxa"/>
            <w:tcBorders>
              <w:top w:val="single" w:sz="4" w:space="0" w:color="auto"/>
              <w:left w:val="single" w:sz="4" w:space="0" w:color="auto"/>
              <w:bottom w:val="single" w:sz="4" w:space="0" w:color="auto"/>
              <w:right w:val="single" w:sz="4" w:space="0" w:color="auto"/>
            </w:tcBorders>
            <w:hideMark/>
          </w:tcPr>
          <w:p w14:paraId="528BDAB6"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5A526330"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5B417EF"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906EA1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94F4C05"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2244997"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527DD4D"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561BCB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190DDD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D9A7D0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ABA86A6"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0CC6EB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DC119BC"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4405094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042BE2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B864060"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18608B07" w14:textId="77777777" w:rsidR="00BB55F5" w:rsidRPr="002F7E97" w:rsidRDefault="00BB55F5" w:rsidP="003F7D80">
            <w:pPr>
              <w:rPr>
                <w:szCs w:val="26"/>
              </w:rPr>
            </w:pPr>
            <w:r w:rsidRPr="002F7E97">
              <w:rPr>
                <w:szCs w:val="26"/>
              </w:rPr>
              <w:t> </w:t>
            </w:r>
          </w:p>
        </w:tc>
      </w:tr>
      <w:tr w:rsidR="00BB55F5" w:rsidRPr="009A5100" w14:paraId="32C372EA"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BC1546B" w14:textId="77777777" w:rsidR="00BB55F5" w:rsidRPr="002F7E97" w:rsidRDefault="00784C95" w:rsidP="003F7D80">
            <w:pPr>
              <w:rPr>
                <w:szCs w:val="26"/>
              </w:rPr>
            </w:pPr>
            <w:r w:rsidRPr="002F7E97">
              <w:rPr>
                <w:szCs w:val="26"/>
              </w:rPr>
              <w:lastRenderedPageBreak/>
              <w:t>Qualitative**</w:t>
            </w:r>
          </w:p>
        </w:tc>
        <w:tc>
          <w:tcPr>
            <w:tcW w:w="1636" w:type="dxa"/>
            <w:tcBorders>
              <w:top w:val="single" w:sz="4" w:space="0" w:color="auto"/>
              <w:left w:val="single" w:sz="4" w:space="0" w:color="auto"/>
              <w:bottom w:val="single" w:sz="4" w:space="0" w:color="auto"/>
              <w:right w:val="single" w:sz="4" w:space="0" w:color="auto"/>
            </w:tcBorders>
            <w:hideMark/>
          </w:tcPr>
          <w:p w14:paraId="62D04DAF" w14:textId="77777777" w:rsidR="00BB55F5" w:rsidRPr="002F7E97" w:rsidRDefault="00BB55F5" w:rsidP="003F7D80">
            <w:pPr>
              <w:rPr>
                <w:szCs w:val="26"/>
              </w:rPr>
            </w:pPr>
            <w:r w:rsidRPr="002F7E97">
              <w:rPr>
                <w:szCs w:val="26"/>
              </w:rPr>
              <w:t>Grove et al. (2023)</w:t>
            </w:r>
          </w:p>
        </w:tc>
        <w:tc>
          <w:tcPr>
            <w:tcW w:w="595" w:type="dxa"/>
            <w:tcBorders>
              <w:top w:val="single" w:sz="4" w:space="0" w:color="auto"/>
              <w:left w:val="single" w:sz="4" w:space="0" w:color="auto"/>
              <w:bottom w:val="single" w:sz="4" w:space="0" w:color="auto"/>
              <w:right w:val="single" w:sz="4" w:space="0" w:color="auto"/>
            </w:tcBorders>
            <w:hideMark/>
          </w:tcPr>
          <w:p w14:paraId="6C4110FB"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1735684B"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6EEC981"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1B545E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247D2C9"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786E4C5F"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A74D32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ED5FFC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2C3138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0D0AA0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018EC0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7227AD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0D05955"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400050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FCE57E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A0E2741"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C04E4A0" w14:textId="77777777" w:rsidR="00BB55F5" w:rsidRPr="002F7E97" w:rsidRDefault="00BB55F5" w:rsidP="003F7D80">
            <w:pPr>
              <w:rPr>
                <w:szCs w:val="26"/>
              </w:rPr>
            </w:pPr>
            <w:r w:rsidRPr="002F7E97">
              <w:rPr>
                <w:szCs w:val="26"/>
              </w:rPr>
              <w:t> </w:t>
            </w:r>
          </w:p>
        </w:tc>
      </w:tr>
      <w:tr w:rsidR="00BB55F5" w:rsidRPr="009A5100" w14:paraId="5BEFB55A"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0F1C5BF8"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4E00EE38" w14:textId="77777777" w:rsidR="00BB55F5" w:rsidRPr="002F7E97" w:rsidRDefault="00BB55F5" w:rsidP="003F7D80">
            <w:pPr>
              <w:rPr>
                <w:szCs w:val="26"/>
              </w:rPr>
            </w:pPr>
            <w:r w:rsidRPr="002F7E97">
              <w:rPr>
                <w:szCs w:val="26"/>
              </w:rPr>
              <w:t>Hillier et al. (2020)</w:t>
            </w:r>
          </w:p>
        </w:tc>
        <w:tc>
          <w:tcPr>
            <w:tcW w:w="595" w:type="dxa"/>
            <w:tcBorders>
              <w:top w:val="single" w:sz="4" w:space="0" w:color="auto"/>
              <w:left w:val="single" w:sz="4" w:space="0" w:color="auto"/>
              <w:bottom w:val="single" w:sz="4" w:space="0" w:color="auto"/>
              <w:right w:val="single" w:sz="4" w:space="0" w:color="auto"/>
            </w:tcBorders>
            <w:hideMark/>
          </w:tcPr>
          <w:p w14:paraId="14BFABDE"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18312F1B"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1E8CEE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B56B20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7F7F01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DC345E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75D7FB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8F87BC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FB21A6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EAC8ED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CF13781"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CEB48D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9577A5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BFD21A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9014A3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1897A3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223A14B" w14:textId="77777777" w:rsidR="00BB55F5" w:rsidRPr="002F7E97" w:rsidRDefault="00BB55F5" w:rsidP="003F7D80">
            <w:pPr>
              <w:rPr>
                <w:szCs w:val="26"/>
              </w:rPr>
            </w:pPr>
            <w:r w:rsidRPr="002F7E97">
              <w:rPr>
                <w:szCs w:val="26"/>
              </w:rPr>
              <w:t> </w:t>
            </w:r>
          </w:p>
        </w:tc>
      </w:tr>
      <w:tr w:rsidR="00BB55F5" w:rsidRPr="009A5100" w14:paraId="1A77D0E9"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160D2852"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11D0977A" w14:textId="77777777" w:rsidR="00BB55F5" w:rsidRPr="002F7E97" w:rsidRDefault="00BB55F5" w:rsidP="003F7D80">
            <w:pPr>
              <w:rPr>
                <w:szCs w:val="26"/>
              </w:rPr>
            </w:pPr>
            <w:r w:rsidRPr="002F7E97">
              <w:rPr>
                <w:szCs w:val="26"/>
              </w:rPr>
              <w:t>Carlile (2020)</w:t>
            </w:r>
          </w:p>
        </w:tc>
        <w:tc>
          <w:tcPr>
            <w:tcW w:w="595" w:type="dxa"/>
            <w:tcBorders>
              <w:top w:val="single" w:sz="4" w:space="0" w:color="auto"/>
              <w:left w:val="single" w:sz="4" w:space="0" w:color="auto"/>
              <w:bottom w:val="single" w:sz="4" w:space="0" w:color="auto"/>
              <w:right w:val="single" w:sz="4" w:space="0" w:color="auto"/>
            </w:tcBorders>
            <w:hideMark/>
          </w:tcPr>
          <w:p w14:paraId="0A4FD3F4"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382E6B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FD91733"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65BE5E2"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E8EC73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67DB16C"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F0C3C4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372151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A9EDE8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BCCBBF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853A60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C16512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F3559B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CBF423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05CA43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D153A43"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268D31D" w14:textId="77777777" w:rsidR="00BB55F5" w:rsidRPr="002F7E97" w:rsidRDefault="00BB55F5" w:rsidP="003F7D80">
            <w:pPr>
              <w:rPr>
                <w:szCs w:val="26"/>
              </w:rPr>
            </w:pPr>
            <w:r w:rsidRPr="002F7E97">
              <w:rPr>
                <w:szCs w:val="26"/>
              </w:rPr>
              <w:t> </w:t>
            </w:r>
          </w:p>
        </w:tc>
      </w:tr>
      <w:tr w:rsidR="00BB55F5" w:rsidRPr="009A5100" w14:paraId="247C6605"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0196382A" w14:textId="77777777" w:rsidR="00BB55F5" w:rsidRPr="002F7E97" w:rsidRDefault="00784C95" w:rsidP="003F7D80">
            <w:pPr>
              <w:rPr>
                <w:szCs w:val="26"/>
              </w:rPr>
            </w:pPr>
            <w:r w:rsidRPr="002F7E97">
              <w:rPr>
                <w:szCs w:val="26"/>
              </w:rPr>
              <w:t>Qualitative**</w:t>
            </w:r>
          </w:p>
        </w:tc>
        <w:tc>
          <w:tcPr>
            <w:tcW w:w="1636" w:type="dxa"/>
            <w:tcBorders>
              <w:top w:val="single" w:sz="4" w:space="0" w:color="auto"/>
              <w:left w:val="single" w:sz="4" w:space="0" w:color="auto"/>
              <w:bottom w:val="single" w:sz="4" w:space="0" w:color="auto"/>
              <w:right w:val="single" w:sz="4" w:space="0" w:color="auto"/>
            </w:tcBorders>
            <w:hideMark/>
          </w:tcPr>
          <w:p w14:paraId="7AF55B9A" w14:textId="77777777" w:rsidR="00BB55F5" w:rsidRPr="002F7E97" w:rsidRDefault="00BB55F5" w:rsidP="003F7D80">
            <w:pPr>
              <w:rPr>
                <w:szCs w:val="26"/>
              </w:rPr>
            </w:pPr>
            <w:r w:rsidRPr="002F7E97">
              <w:rPr>
                <w:szCs w:val="26"/>
              </w:rPr>
              <w:t>Cooper et al. (2023</w:t>
            </w:r>
            <w:r w:rsidR="002C79F7" w:rsidRPr="002F7E97">
              <w:rPr>
                <w:szCs w:val="26"/>
              </w:rPr>
              <w:t>b</w:t>
            </w:r>
            <w:r w:rsidRPr="002F7E97">
              <w:rPr>
                <w:szCs w:val="26"/>
              </w:rPr>
              <w:t>)</w:t>
            </w:r>
          </w:p>
        </w:tc>
        <w:tc>
          <w:tcPr>
            <w:tcW w:w="595" w:type="dxa"/>
            <w:tcBorders>
              <w:top w:val="single" w:sz="4" w:space="0" w:color="auto"/>
              <w:left w:val="single" w:sz="4" w:space="0" w:color="auto"/>
              <w:bottom w:val="single" w:sz="4" w:space="0" w:color="auto"/>
              <w:right w:val="single" w:sz="4" w:space="0" w:color="auto"/>
            </w:tcBorders>
            <w:hideMark/>
          </w:tcPr>
          <w:p w14:paraId="31C81391"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63A360FD"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DCCB66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17E8E39"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F22DD65"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79470D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4B9C4F2"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5C52D6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86C098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3B59D70"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965AA0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C38AE4D"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5839F0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579C92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C27D58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F37AADC"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5A27557" w14:textId="77777777" w:rsidR="00BB55F5" w:rsidRPr="002F7E97" w:rsidRDefault="00BB55F5" w:rsidP="003F7D80">
            <w:pPr>
              <w:rPr>
                <w:szCs w:val="26"/>
              </w:rPr>
            </w:pPr>
            <w:r w:rsidRPr="002F7E97">
              <w:rPr>
                <w:szCs w:val="26"/>
              </w:rPr>
              <w:t> </w:t>
            </w:r>
          </w:p>
        </w:tc>
      </w:tr>
      <w:tr w:rsidR="00BB55F5" w:rsidRPr="009A5100" w14:paraId="579FDF5E" w14:textId="77777777" w:rsidTr="002F7E97">
        <w:trPr>
          <w:gridAfter w:val="1"/>
          <w:wAfter w:w="6" w:type="dxa"/>
          <w:cantSplit/>
          <w:trHeight w:val="748"/>
        </w:trPr>
        <w:tc>
          <w:tcPr>
            <w:tcW w:w="1822" w:type="dxa"/>
            <w:tcBorders>
              <w:top w:val="single" w:sz="4" w:space="0" w:color="auto"/>
              <w:left w:val="single" w:sz="4" w:space="0" w:color="auto"/>
              <w:bottom w:val="single" w:sz="4" w:space="0" w:color="auto"/>
              <w:right w:val="single" w:sz="4" w:space="0" w:color="auto"/>
            </w:tcBorders>
            <w:hideMark/>
          </w:tcPr>
          <w:p w14:paraId="5362985F" w14:textId="77777777" w:rsidR="00BB55F5" w:rsidRPr="002F7E97" w:rsidRDefault="00BB55F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087C4417" w14:textId="77777777" w:rsidR="00BB55F5" w:rsidRPr="002F7E97" w:rsidRDefault="00BB55F5" w:rsidP="003F7D80">
            <w:pPr>
              <w:rPr>
                <w:szCs w:val="26"/>
              </w:rPr>
            </w:pPr>
            <w:r w:rsidRPr="002F7E97">
              <w:rPr>
                <w:szCs w:val="26"/>
              </w:rPr>
              <w:t>Wallisch et al. (2023)</w:t>
            </w:r>
          </w:p>
        </w:tc>
        <w:tc>
          <w:tcPr>
            <w:tcW w:w="595" w:type="dxa"/>
            <w:tcBorders>
              <w:top w:val="single" w:sz="4" w:space="0" w:color="auto"/>
              <w:left w:val="single" w:sz="4" w:space="0" w:color="auto"/>
              <w:bottom w:val="single" w:sz="4" w:space="0" w:color="auto"/>
              <w:right w:val="single" w:sz="4" w:space="0" w:color="auto"/>
            </w:tcBorders>
            <w:hideMark/>
          </w:tcPr>
          <w:p w14:paraId="224CD616"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8BDD88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26282795"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6D833AB2"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5E6FA80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7C8D63E9"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573EE64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314AC07"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B183C8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BD77C96"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4D3431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7C260FD"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670F9F40"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D5D562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0C00D2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42C6A22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948C44F" w14:textId="77777777" w:rsidR="00BB55F5" w:rsidRPr="002F7E97" w:rsidRDefault="00BB55F5" w:rsidP="003F7D80">
            <w:pPr>
              <w:rPr>
                <w:szCs w:val="26"/>
              </w:rPr>
            </w:pPr>
            <w:r w:rsidRPr="002F7E97">
              <w:rPr>
                <w:szCs w:val="26"/>
              </w:rPr>
              <w:t> </w:t>
            </w:r>
          </w:p>
        </w:tc>
      </w:tr>
      <w:tr w:rsidR="00BB55F5" w:rsidRPr="009A5100" w14:paraId="6E30ECF7"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2B48FCBB" w14:textId="77777777" w:rsidR="00BB55F5" w:rsidRPr="002F7E97" w:rsidRDefault="00784C9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2A1454C5" w14:textId="77777777" w:rsidR="00BB55F5" w:rsidRPr="002F7E97" w:rsidRDefault="00BB55F5" w:rsidP="003F7D80">
            <w:pPr>
              <w:rPr>
                <w:szCs w:val="26"/>
              </w:rPr>
            </w:pPr>
            <w:r w:rsidRPr="002F7E97">
              <w:rPr>
                <w:szCs w:val="26"/>
              </w:rPr>
              <w:t>Soto et al. (2024)</w:t>
            </w:r>
          </w:p>
        </w:tc>
        <w:tc>
          <w:tcPr>
            <w:tcW w:w="595" w:type="dxa"/>
            <w:tcBorders>
              <w:top w:val="single" w:sz="4" w:space="0" w:color="auto"/>
              <w:left w:val="single" w:sz="4" w:space="0" w:color="auto"/>
              <w:bottom w:val="single" w:sz="4" w:space="0" w:color="auto"/>
              <w:right w:val="single" w:sz="4" w:space="0" w:color="auto"/>
            </w:tcBorders>
            <w:hideMark/>
          </w:tcPr>
          <w:p w14:paraId="6904E44D"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BB75CE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4473D838"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2B3AAF24"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055DC6E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79A4690D"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335F0F76"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0E0DF88"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DEC510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DEE4819"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950C1E6"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A2B4DBA"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A51A2B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28DD72D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28BB33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4682524"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A65CB31" w14:textId="77777777" w:rsidR="00BB55F5" w:rsidRPr="002F7E97" w:rsidRDefault="00BB55F5" w:rsidP="003F7D80">
            <w:pPr>
              <w:rPr>
                <w:szCs w:val="26"/>
              </w:rPr>
            </w:pPr>
            <w:r w:rsidRPr="002F7E97">
              <w:rPr>
                <w:szCs w:val="26"/>
              </w:rPr>
              <w:t> </w:t>
            </w:r>
          </w:p>
        </w:tc>
      </w:tr>
      <w:tr w:rsidR="00BB55F5" w:rsidRPr="009A5100" w14:paraId="1C6AEDC7"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65FFBB96" w14:textId="77777777" w:rsidR="00BB55F5" w:rsidRPr="002F7E97" w:rsidRDefault="00784C9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1ECC4D13" w14:textId="77777777" w:rsidR="00BB55F5" w:rsidRPr="002F7E97" w:rsidRDefault="00BB55F5" w:rsidP="003F7D80">
            <w:pPr>
              <w:rPr>
                <w:szCs w:val="26"/>
              </w:rPr>
            </w:pPr>
            <w:r w:rsidRPr="002F7E97">
              <w:rPr>
                <w:szCs w:val="26"/>
              </w:rPr>
              <w:t>Pham et al. (2020)</w:t>
            </w:r>
          </w:p>
        </w:tc>
        <w:tc>
          <w:tcPr>
            <w:tcW w:w="595" w:type="dxa"/>
            <w:tcBorders>
              <w:top w:val="single" w:sz="4" w:space="0" w:color="auto"/>
              <w:left w:val="single" w:sz="4" w:space="0" w:color="auto"/>
              <w:bottom w:val="single" w:sz="4" w:space="0" w:color="auto"/>
              <w:right w:val="single" w:sz="4" w:space="0" w:color="auto"/>
            </w:tcBorders>
            <w:hideMark/>
          </w:tcPr>
          <w:p w14:paraId="1EB594BE"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717F166"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2C94AE9F"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5EFBD80F"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7E9CB088"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5C2D3FA0"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4EEEBE7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80D6678"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7520ECDF"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0B2C1AB4"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36093040"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198CDE52" w14:textId="77777777" w:rsidR="00BB55F5" w:rsidRPr="002F7E97" w:rsidRDefault="00BB55F5" w:rsidP="003F7D80">
            <w:pPr>
              <w:rPr>
                <w:szCs w:val="26"/>
              </w:rPr>
            </w:pPr>
            <w:r w:rsidRPr="002F7E97">
              <w:rPr>
                <w:szCs w:val="26"/>
              </w:rPr>
              <w:t>CT</w:t>
            </w:r>
          </w:p>
        </w:tc>
        <w:tc>
          <w:tcPr>
            <w:tcW w:w="595" w:type="dxa"/>
            <w:tcBorders>
              <w:top w:val="single" w:sz="4" w:space="0" w:color="auto"/>
              <w:left w:val="single" w:sz="4" w:space="0" w:color="auto"/>
              <w:bottom w:val="single" w:sz="4" w:space="0" w:color="auto"/>
              <w:right w:val="single" w:sz="4" w:space="0" w:color="auto"/>
            </w:tcBorders>
            <w:hideMark/>
          </w:tcPr>
          <w:p w14:paraId="4C39A5D0"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A9AF4FA"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5B5018D"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C0932D3"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57EF8FC2" w14:textId="77777777" w:rsidR="00BB55F5" w:rsidRPr="002F7E97" w:rsidRDefault="00BB55F5" w:rsidP="003F7D80">
            <w:pPr>
              <w:rPr>
                <w:szCs w:val="26"/>
              </w:rPr>
            </w:pPr>
            <w:r w:rsidRPr="002F7E97">
              <w:rPr>
                <w:szCs w:val="26"/>
              </w:rPr>
              <w:t> </w:t>
            </w:r>
          </w:p>
        </w:tc>
      </w:tr>
      <w:tr w:rsidR="00BB55F5" w:rsidRPr="009A5100" w14:paraId="07ED73F1"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4D30BF23" w14:textId="77777777" w:rsidR="00BB55F5" w:rsidRPr="002F7E97" w:rsidRDefault="00784C9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6221855E" w14:textId="77777777" w:rsidR="00BB55F5" w:rsidRPr="002F7E97" w:rsidRDefault="00BB55F5" w:rsidP="003F7D80">
            <w:pPr>
              <w:rPr>
                <w:szCs w:val="26"/>
              </w:rPr>
            </w:pPr>
            <w:r w:rsidRPr="002F7E97">
              <w:rPr>
                <w:szCs w:val="26"/>
              </w:rPr>
              <w:t>Koffer Miller et al. (2022)</w:t>
            </w:r>
          </w:p>
        </w:tc>
        <w:tc>
          <w:tcPr>
            <w:tcW w:w="595" w:type="dxa"/>
            <w:tcBorders>
              <w:top w:val="single" w:sz="4" w:space="0" w:color="auto"/>
              <w:left w:val="single" w:sz="4" w:space="0" w:color="auto"/>
              <w:bottom w:val="single" w:sz="4" w:space="0" w:color="auto"/>
              <w:right w:val="single" w:sz="4" w:space="0" w:color="auto"/>
            </w:tcBorders>
            <w:hideMark/>
          </w:tcPr>
          <w:p w14:paraId="3B065751"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D50950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17729FF0"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236E850B"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61F2BC1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3826373D"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2D21EF2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9E1B79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34DDE33"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D520E0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FF1625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A573D43"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0FD60504"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208B1D7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3F6C5E9"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7D134765"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7A6E008" w14:textId="77777777" w:rsidR="00BB55F5" w:rsidRPr="002F7E97" w:rsidRDefault="00BB55F5" w:rsidP="003F7D80">
            <w:pPr>
              <w:rPr>
                <w:szCs w:val="26"/>
              </w:rPr>
            </w:pPr>
            <w:r w:rsidRPr="002F7E97">
              <w:rPr>
                <w:szCs w:val="26"/>
              </w:rPr>
              <w:t> </w:t>
            </w:r>
          </w:p>
        </w:tc>
      </w:tr>
      <w:tr w:rsidR="00BB55F5" w:rsidRPr="009A5100" w14:paraId="37ED42E5"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3B85A0A5" w14:textId="77777777" w:rsidR="00BB55F5" w:rsidRPr="002F7E97" w:rsidRDefault="00784C95" w:rsidP="003F7D80">
            <w:pPr>
              <w:rPr>
                <w:szCs w:val="26"/>
              </w:rPr>
            </w:pPr>
            <w:r w:rsidRPr="002F7E97">
              <w:rPr>
                <w:szCs w:val="26"/>
              </w:rPr>
              <w:lastRenderedPageBreak/>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1070A758" w14:textId="77777777" w:rsidR="00BB55F5" w:rsidRPr="002F7E97" w:rsidRDefault="00BB55F5" w:rsidP="003F7D80">
            <w:pPr>
              <w:rPr>
                <w:szCs w:val="26"/>
              </w:rPr>
            </w:pPr>
            <w:r w:rsidRPr="002F7E97">
              <w:rPr>
                <w:szCs w:val="26"/>
              </w:rPr>
              <w:t>Green et al. (2025)</w:t>
            </w:r>
          </w:p>
        </w:tc>
        <w:tc>
          <w:tcPr>
            <w:tcW w:w="595" w:type="dxa"/>
            <w:tcBorders>
              <w:top w:val="single" w:sz="4" w:space="0" w:color="auto"/>
              <w:left w:val="single" w:sz="4" w:space="0" w:color="auto"/>
              <w:bottom w:val="single" w:sz="4" w:space="0" w:color="auto"/>
              <w:right w:val="single" w:sz="4" w:space="0" w:color="auto"/>
            </w:tcBorders>
            <w:hideMark/>
          </w:tcPr>
          <w:p w14:paraId="4CD0A6CC"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B9BB30D"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1F30FCD9"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3560E5E0"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615FA26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2CE750EB"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411823FC"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629418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7C2CC3B" w14:textId="77777777" w:rsidR="00BB55F5" w:rsidRPr="002F7E97" w:rsidRDefault="00BB55F5" w:rsidP="003F7D80">
            <w:pPr>
              <w:rPr>
                <w:szCs w:val="26"/>
              </w:rPr>
            </w:pPr>
            <w:r w:rsidRPr="002F7E97">
              <w:rPr>
                <w:szCs w:val="26"/>
              </w:rPr>
              <w:t>N</w:t>
            </w:r>
          </w:p>
        </w:tc>
        <w:tc>
          <w:tcPr>
            <w:tcW w:w="668" w:type="dxa"/>
            <w:tcBorders>
              <w:top w:val="single" w:sz="4" w:space="0" w:color="auto"/>
              <w:left w:val="single" w:sz="4" w:space="0" w:color="auto"/>
              <w:bottom w:val="single" w:sz="4" w:space="0" w:color="auto"/>
              <w:right w:val="single" w:sz="4" w:space="0" w:color="auto"/>
            </w:tcBorders>
            <w:hideMark/>
          </w:tcPr>
          <w:p w14:paraId="5721A928"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1634670"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892078A"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537EC3C"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3D6E8EFE"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5706DE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53529A2"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738B0936" w14:textId="77777777" w:rsidR="00BB55F5" w:rsidRPr="002F7E97" w:rsidRDefault="00BB55F5" w:rsidP="003F7D80">
            <w:pPr>
              <w:rPr>
                <w:szCs w:val="26"/>
              </w:rPr>
            </w:pPr>
            <w:r w:rsidRPr="002F7E97">
              <w:rPr>
                <w:szCs w:val="26"/>
              </w:rPr>
              <w:t> </w:t>
            </w:r>
          </w:p>
        </w:tc>
      </w:tr>
      <w:tr w:rsidR="00BB55F5" w:rsidRPr="009A5100" w14:paraId="607BDFA8"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242C22C9" w14:textId="77777777" w:rsidR="00BB55F5" w:rsidRPr="002F7E97" w:rsidRDefault="00784C9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4C3F3975" w14:textId="77777777" w:rsidR="00BB55F5" w:rsidRPr="002F7E97" w:rsidRDefault="00BB55F5" w:rsidP="003F7D80">
            <w:pPr>
              <w:rPr>
                <w:szCs w:val="26"/>
              </w:rPr>
            </w:pPr>
            <w:r w:rsidRPr="002F7E97">
              <w:rPr>
                <w:szCs w:val="26"/>
              </w:rPr>
              <w:t>McQuaid et al. (2024)</w:t>
            </w:r>
          </w:p>
        </w:tc>
        <w:tc>
          <w:tcPr>
            <w:tcW w:w="595" w:type="dxa"/>
            <w:tcBorders>
              <w:top w:val="single" w:sz="4" w:space="0" w:color="auto"/>
              <w:left w:val="single" w:sz="4" w:space="0" w:color="auto"/>
              <w:bottom w:val="single" w:sz="4" w:space="0" w:color="auto"/>
              <w:right w:val="single" w:sz="4" w:space="0" w:color="auto"/>
            </w:tcBorders>
            <w:hideMark/>
          </w:tcPr>
          <w:p w14:paraId="308C1F70"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0A9ECEAD"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096B852A"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7CE04637"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42F2A165"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71266B71"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69F4C06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6D859D5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9F2B4E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F11E94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D2F95A5"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058CCC03"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057B463E"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6542600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E6A225D"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8B52A5F"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29273729" w14:textId="77777777" w:rsidR="00BB55F5" w:rsidRPr="002F7E97" w:rsidRDefault="00BB55F5" w:rsidP="003F7D80">
            <w:pPr>
              <w:rPr>
                <w:szCs w:val="26"/>
              </w:rPr>
            </w:pPr>
            <w:r w:rsidRPr="002F7E97">
              <w:rPr>
                <w:szCs w:val="26"/>
              </w:rPr>
              <w:t> </w:t>
            </w:r>
          </w:p>
        </w:tc>
      </w:tr>
      <w:tr w:rsidR="00BB55F5" w:rsidRPr="009A5100" w14:paraId="67E720CE"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0B401FFA" w14:textId="77777777" w:rsidR="00BB55F5" w:rsidRPr="002F7E97" w:rsidRDefault="00784C9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36177B89" w14:textId="77777777" w:rsidR="00BB55F5" w:rsidRPr="002F7E97" w:rsidRDefault="00BB55F5" w:rsidP="003F7D80">
            <w:pPr>
              <w:rPr>
                <w:szCs w:val="26"/>
              </w:rPr>
            </w:pPr>
            <w:r w:rsidRPr="002F7E97">
              <w:rPr>
                <w:szCs w:val="26"/>
              </w:rPr>
              <w:t>Adams et al. (2025)</w:t>
            </w:r>
          </w:p>
        </w:tc>
        <w:tc>
          <w:tcPr>
            <w:tcW w:w="595" w:type="dxa"/>
            <w:tcBorders>
              <w:top w:val="single" w:sz="4" w:space="0" w:color="auto"/>
              <w:left w:val="single" w:sz="4" w:space="0" w:color="auto"/>
              <w:bottom w:val="single" w:sz="4" w:space="0" w:color="auto"/>
              <w:right w:val="single" w:sz="4" w:space="0" w:color="auto"/>
            </w:tcBorders>
            <w:hideMark/>
          </w:tcPr>
          <w:p w14:paraId="3DEAF5B6"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9E110C5"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4A4D449C"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114DF602"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76E35C5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0B59E5CD"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12D19083"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0CA1BD6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3EC84D1" w14:textId="77777777" w:rsidR="00BB55F5" w:rsidRPr="002F7E97" w:rsidRDefault="00BB55F5" w:rsidP="003F7D80">
            <w:pPr>
              <w:rPr>
                <w:szCs w:val="26"/>
              </w:rPr>
            </w:pPr>
            <w:r w:rsidRPr="002F7E97">
              <w:rPr>
                <w:szCs w:val="26"/>
              </w:rPr>
              <w:t>N</w:t>
            </w:r>
          </w:p>
        </w:tc>
        <w:tc>
          <w:tcPr>
            <w:tcW w:w="668" w:type="dxa"/>
            <w:tcBorders>
              <w:top w:val="single" w:sz="4" w:space="0" w:color="auto"/>
              <w:left w:val="single" w:sz="4" w:space="0" w:color="auto"/>
              <w:bottom w:val="single" w:sz="4" w:space="0" w:color="auto"/>
              <w:right w:val="single" w:sz="4" w:space="0" w:color="auto"/>
            </w:tcBorders>
            <w:hideMark/>
          </w:tcPr>
          <w:p w14:paraId="13B022B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72F8ED4"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6875381"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09B3256"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4CE6E91B"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51897ECF"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22D2A86A"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6939C7D" w14:textId="77777777" w:rsidR="00BB55F5" w:rsidRPr="002F7E97" w:rsidRDefault="00BB55F5" w:rsidP="003F7D80">
            <w:pPr>
              <w:rPr>
                <w:szCs w:val="26"/>
              </w:rPr>
            </w:pPr>
            <w:r w:rsidRPr="002F7E97">
              <w:rPr>
                <w:szCs w:val="26"/>
              </w:rPr>
              <w:t> </w:t>
            </w:r>
          </w:p>
        </w:tc>
      </w:tr>
      <w:tr w:rsidR="00BB55F5" w:rsidRPr="009A5100" w14:paraId="5C6FE0BB"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28E25DEC" w14:textId="77777777" w:rsidR="00BB55F5" w:rsidRPr="002F7E97" w:rsidRDefault="00784C95" w:rsidP="003F7D80">
            <w:pPr>
              <w:rPr>
                <w:szCs w:val="26"/>
              </w:rPr>
            </w:pPr>
            <w:r w:rsidRPr="002F7E97">
              <w:rPr>
                <w:szCs w:val="26"/>
              </w:rPr>
              <w:t>Quantitative descriptive***</w:t>
            </w:r>
          </w:p>
        </w:tc>
        <w:tc>
          <w:tcPr>
            <w:tcW w:w="1636" w:type="dxa"/>
            <w:tcBorders>
              <w:top w:val="single" w:sz="4" w:space="0" w:color="auto"/>
              <w:left w:val="single" w:sz="4" w:space="0" w:color="auto"/>
              <w:bottom w:val="single" w:sz="4" w:space="0" w:color="auto"/>
              <w:right w:val="single" w:sz="4" w:space="0" w:color="auto"/>
            </w:tcBorders>
            <w:hideMark/>
          </w:tcPr>
          <w:p w14:paraId="0F39ED78" w14:textId="77777777" w:rsidR="00BB55F5" w:rsidRPr="002F7E97" w:rsidRDefault="00BB55F5" w:rsidP="003F7D80">
            <w:pPr>
              <w:rPr>
                <w:szCs w:val="26"/>
              </w:rPr>
            </w:pPr>
            <w:r w:rsidRPr="002F7E97">
              <w:rPr>
                <w:szCs w:val="26"/>
              </w:rPr>
              <w:t>Strauss et al. (2021)</w:t>
            </w:r>
          </w:p>
        </w:tc>
        <w:tc>
          <w:tcPr>
            <w:tcW w:w="595" w:type="dxa"/>
            <w:tcBorders>
              <w:top w:val="single" w:sz="4" w:space="0" w:color="auto"/>
              <w:left w:val="single" w:sz="4" w:space="0" w:color="auto"/>
              <w:bottom w:val="single" w:sz="4" w:space="0" w:color="auto"/>
              <w:right w:val="single" w:sz="4" w:space="0" w:color="auto"/>
            </w:tcBorders>
            <w:hideMark/>
          </w:tcPr>
          <w:p w14:paraId="3C57DA0E"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11550D2D"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noWrap/>
            <w:hideMark/>
          </w:tcPr>
          <w:p w14:paraId="06E732C5"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6E93649D"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2787CBF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noWrap/>
            <w:hideMark/>
          </w:tcPr>
          <w:p w14:paraId="1FA81F4B" w14:textId="77777777" w:rsidR="00BB55F5" w:rsidRPr="002F7E97" w:rsidRDefault="00BB55F5" w:rsidP="003F7D80">
            <w:pPr>
              <w:rPr>
                <w:szCs w:val="26"/>
              </w:rPr>
            </w:pPr>
            <w:r w:rsidRPr="002F7E97">
              <w:rPr>
                <w:szCs w:val="26"/>
              </w:rPr>
              <w:t> </w:t>
            </w:r>
          </w:p>
        </w:tc>
        <w:tc>
          <w:tcPr>
            <w:tcW w:w="446" w:type="dxa"/>
            <w:tcBorders>
              <w:top w:val="single" w:sz="4" w:space="0" w:color="auto"/>
              <w:left w:val="single" w:sz="4" w:space="0" w:color="auto"/>
              <w:bottom w:val="single" w:sz="4" w:space="0" w:color="auto"/>
              <w:right w:val="single" w:sz="4" w:space="0" w:color="auto"/>
            </w:tcBorders>
            <w:noWrap/>
            <w:hideMark/>
          </w:tcPr>
          <w:p w14:paraId="0FC536F2"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1BD9AC52"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8B4876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0BC3EF0"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0C7249A" w14:textId="77777777" w:rsidR="00BB55F5" w:rsidRPr="002F7E97" w:rsidRDefault="006033F3"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12D3F041"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67B4ABF4"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19358E47"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69FFD14" w14:textId="77777777" w:rsidR="00BB55F5" w:rsidRPr="002F7E97" w:rsidRDefault="00BB55F5" w:rsidP="003F7D80">
            <w:pPr>
              <w:rPr>
                <w:szCs w:val="26"/>
              </w:rPr>
            </w:pPr>
            <w:r w:rsidRPr="002F7E97">
              <w:rPr>
                <w:szCs w:val="26"/>
              </w:rPr>
              <w:t> </w:t>
            </w:r>
          </w:p>
        </w:tc>
        <w:tc>
          <w:tcPr>
            <w:tcW w:w="668" w:type="dxa"/>
            <w:tcBorders>
              <w:top w:val="single" w:sz="4" w:space="0" w:color="auto"/>
              <w:left w:val="single" w:sz="4" w:space="0" w:color="auto"/>
              <w:bottom w:val="single" w:sz="4" w:space="0" w:color="auto"/>
              <w:right w:val="single" w:sz="4" w:space="0" w:color="auto"/>
            </w:tcBorders>
            <w:hideMark/>
          </w:tcPr>
          <w:p w14:paraId="32BCC674" w14:textId="77777777" w:rsidR="00BB55F5" w:rsidRPr="002F7E97" w:rsidRDefault="00BB55F5" w:rsidP="003F7D80">
            <w:pPr>
              <w:rPr>
                <w:szCs w:val="26"/>
              </w:rPr>
            </w:pPr>
            <w:r w:rsidRPr="002F7E97">
              <w:rPr>
                <w:szCs w:val="26"/>
              </w:rPr>
              <w:t> </w:t>
            </w:r>
          </w:p>
        </w:tc>
        <w:tc>
          <w:tcPr>
            <w:tcW w:w="595" w:type="dxa"/>
            <w:tcBorders>
              <w:top w:val="single" w:sz="4" w:space="0" w:color="auto"/>
              <w:left w:val="single" w:sz="4" w:space="0" w:color="auto"/>
              <w:bottom w:val="single" w:sz="4" w:space="0" w:color="auto"/>
              <w:right w:val="single" w:sz="4" w:space="0" w:color="auto"/>
            </w:tcBorders>
            <w:hideMark/>
          </w:tcPr>
          <w:p w14:paraId="0F160FFC" w14:textId="77777777" w:rsidR="00BB55F5" w:rsidRPr="002F7E97" w:rsidRDefault="00BB55F5" w:rsidP="003F7D80">
            <w:pPr>
              <w:rPr>
                <w:szCs w:val="26"/>
              </w:rPr>
            </w:pPr>
            <w:r w:rsidRPr="002F7E97">
              <w:rPr>
                <w:szCs w:val="26"/>
              </w:rPr>
              <w:t> </w:t>
            </w:r>
          </w:p>
        </w:tc>
      </w:tr>
      <w:tr w:rsidR="00BB55F5" w:rsidRPr="009A5100" w14:paraId="5F64A42A" w14:textId="77777777" w:rsidTr="002F7E97">
        <w:trPr>
          <w:gridAfter w:val="1"/>
          <w:wAfter w:w="6" w:type="dxa"/>
          <w:cantSplit/>
          <w:trHeight w:val="665"/>
        </w:trPr>
        <w:tc>
          <w:tcPr>
            <w:tcW w:w="1822" w:type="dxa"/>
            <w:tcBorders>
              <w:top w:val="single" w:sz="4" w:space="0" w:color="auto"/>
              <w:left w:val="single" w:sz="4" w:space="0" w:color="auto"/>
              <w:bottom w:val="single" w:sz="4" w:space="0" w:color="auto"/>
              <w:right w:val="single" w:sz="4" w:space="0" w:color="auto"/>
            </w:tcBorders>
            <w:hideMark/>
          </w:tcPr>
          <w:p w14:paraId="4B0D49E3" w14:textId="77777777" w:rsidR="00BB55F5" w:rsidRPr="002F7E97" w:rsidRDefault="00BB55F5" w:rsidP="003F7D80">
            <w:pPr>
              <w:rPr>
                <w:szCs w:val="26"/>
              </w:rPr>
            </w:pPr>
            <w:r w:rsidRPr="002F7E97">
              <w:rPr>
                <w:szCs w:val="26"/>
              </w:rPr>
              <w:t>Mixed Methods****</w:t>
            </w:r>
          </w:p>
        </w:tc>
        <w:tc>
          <w:tcPr>
            <w:tcW w:w="1636" w:type="dxa"/>
            <w:tcBorders>
              <w:top w:val="single" w:sz="4" w:space="0" w:color="auto"/>
              <w:left w:val="single" w:sz="4" w:space="0" w:color="auto"/>
              <w:bottom w:val="single" w:sz="4" w:space="0" w:color="auto"/>
              <w:right w:val="single" w:sz="4" w:space="0" w:color="auto"/>
            </w:tcBorders>
            <w:hideMark/>
          </w:tcPr>
          <w:p w14:paraId="57D86F24" w14:textId="77777777" w:rsidR="00BB55F5" w:rsidRPr="002F7E97" w:rsidRDefault="00BB55F5" w:rsidP="003F7D80">
            <w:pPr>
              <w:rPr>
                <w:szCs w:val="26"/>
              </w:rPr>
            </w:pPr>
            <w:r w:rsidRPr="002F7E97">
              <w:rPr>
                <w:szCs w:val="26"/>
              </w:rPr>
              <w:t>Strang et al. (2021)</w:t>
            </w:r>
          </w:p>
        </w:tc>
        <w:tc>
          <w:tcPr>
            <w:tcW w:w="595" w:type="dxa"/>
            <w:tcBorders>
              <w:top w:val="single" w:sz="4" w:space="0" w:color="auto"/>
              <w:left w:val="single" w:sz="4" w:space="0" w:color="auto"/>
              <w:bottom w:val="single" w:sz="4" w:space="0" w:color="auto"/>
              <w:right w:val="single" w:sz="4" w:space="0" w:color="auto"/>
            </w:tcBorders>
            <w:hideMark/>
          </w:tcPr>
          <w:p w14:paraId="252CA494"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CB275D7"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255F9C2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FF6AFAD"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15BE7770"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6F8B344"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E021EA7"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25EDC89"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C3F54E0"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4A7FECD"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2BE6C7C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F8A0351"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CAE09D9"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BBCB85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1F92B89"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hideMark/>
          </w:tcPr>
          <w:p w14:paraId="5F08149D" w14:textId="77777777" w:rsidR="00BB55F5" w:rsidRPr="002F7E97" w:rsidRDefault="00BB55F5" w:rsidP="003F7D80">
            <w:pPr>
              <w:rPr>
                <w:szCs w:val="26"/>
              </w:rPr>
            </w:pPr>
            <w:r w:rsidRPr="002F7E97">
              <w:rPr>
                <w:szCs w:val="26"/>
              </w:rPr>
              <w:t>CT</w:t>
            </w:r>
          </w:p>
        </w:tc>
        <w:tc>
          <w:tcPr>
            <w:tcW w:w="595" w:type="dxa"/>
            <w:tcBorders>
              <w:top w:val="single" w:sz="4" w:space="0" w:color="auto"/>
              <w:left w:val="single" w:sz="4" w:space="0" w:color="auto"/>
              <w:bottom w:val="single" w:sz="4" w:space="0" w:color="auto"/>
              <w:right w:val="single" w:sz="4" w:space="0" w:color="auto"/>
            </w:tcBorders>
            <w:hideMark/>
          </w:tcPr>
          <w:p w14:paraId="540BAFD0" w14:textId="77777777" w:rsidR="00BB55F5" w:rsidRPr="002F7E97" w:rsidRDefault="00BB55F5" w:rsidP="003F7D80">
            <w:pPr>
              <w:rPr>
                <w:szCs w:val="26"/>
              </w:rPr>
            </w:pPr>
            <w:r w:rsidRPr="002F7E97">
              <w:rPr>
                <w:szCs w:val="26"/>
              </w:rPr>
              <w:t>Y</w:t>
            </w:r>
          </w:p>
        </w:tc>
      </w:tr>
      <w:tr w:rsidR="00BB55F5" w:rsidRPr="009A5100" w14:paraId="65691BD8"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32FAC4C9" w14:textId="77777777" w:rsidR="00BB55F5" w:rsidRPr="002F7E97" w:rsidRDefault="00784C95" w:rsidP="003F7D80">
            <w:pPr>
              <w:rPr>
                <w:szCs w:val="26"/>
              </w:rPr>
            </w:pPr>
            <w:r w:rsidRPr="002F7E97">
              <w:rPr>
                <w:szCs w:val="26"/>
              </w:rPr>
              <w:t>Mixed Methods****</w:t>
            </w:r>
          </w:p>
        </w:tc>
        <w:tc>
          <w:tcPr>
            <w:tcW w:w="1636" w:type="dxa"/>
            <w:tcBorders>
              <w:top w:val="single" w:sz="4" w:space="0" w:color="auto"/>
              <w:left w:val="single" w:sz="4" w:space="0" w:color="auto"/>
              <w:bottom w:val="single" w:sz="4" w:space="0" w:color="auto"/>
              <w:right w:val="single" w:sz="4" w:space="0" w:color="auto"/>
            </w:tcBorders>
            <w:hideMark/>
          </w:tcPr>
          <w:p w14:paraId="595C3194" w14:textId="77777777" w:rsidR="00BB55F5" w:rsidRPr="002F7E97" w:rsidRDefault="00BB55F5" w:rsidP="003F7D80">
            <w:pPr>
              <w:rPr>
                <w:szCs w:val="26"/>
              </w:rPr>
            </w:pPr>
            <w:r w:rsidRPr="002F7E97">
              <w:rPr>
                <w:szCs w:val="26"/>
              </w:rPr>
              <w:t>Han et al. (2024)</w:t>
            </w:r>
          </w:p>
        </w:tc>
        <w:tc>
          <w:tcPr>
            <w:tcW w:w="595" w:type="dxa"/>
            <w:tcBorders>
              <w:top w:val="single" w:sz="4" w:space="0" w:color="auto"/>
              <w:left w:val="single" w:sz="4" w:space="0" w:color="auto"/>
              <w:bottom w:val="single" w:sz="4" w:space="0" w:color="auto"/>
              <w:right w:val="single" w:sz="4" w:space="0" w:color="auto"/>
            </w:tcBorders>
            <w:hideMark/>
          </w:tcPr>
          <w:p w14:paraId="40E6DD72"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3CA40B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121B8AC"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5B672A0"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35863A6"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0F3DD81"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46855DA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565B312"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9937B41"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9EC2B8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44FB03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0290334"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506CC312"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778479E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30468AF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1D4EB233"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6F172165" w14:textId="77777777" w:rsidR="00BB55F5" w:rsidRPr="002F7E97" w:rsidRDefault="00BB55F5" w:rsidP="003F7D80">
            <w:pPr>
              <w:rPr>
                <w:szCs w:val="26"/>
              </w:rPr>
            </w:pPr>
            <w:r w:rsidRPr="002F7E97">
              <w:rPr>
                <w:szCs w:val="26"/>
              </w:rPr>
              <w:t>Y</w:t>
            </w:r>
          </w:p>
        </w:tc>
      </w:tr>
      <w:tr w:rsidR="00BB55F5" w:rsidRPr="009A5100" w14:paraId="360D2A67"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0C5E2CED" w14:textId="77777777" w:rsidR="00BB55F5" w:rsidRPr="002F7E97" w:rsidRDefault="00784C95" w:rsidP="003F7D80">
            <w:pPr>
              <w:rPr>
                <w:szCs w:val="26"/>
              </w:rPr>
            </w:pPr>
            <w:r w:rsidRPr="002F7E97">
              <w:rPr>
                <w:szCs w:val="26"/>
              </w:rPr>
              <w:t>Mixed Methods****</w:t>
            </w:r>
          </w:p>
        </w:tc>
        <w:tc>
          <w:tcPr>
            <w:tcW w:w="1636" w:type="dxa"/>
            <w:tcBorders>
              <w:top w:val="single" w:sz="4" w:space="0" w:color="auto"/>
              <w:left w:val="single" w:sz="4" w:space="0" w:color="auto"/>
              <w:bottom w:val="single" w:sz="4" w:space="0" w:color="auto"/>
              <w:right w:val="single" w:sz="4" w:space="0" w:color="auto"/>
            </w:tcBorders>
            <w:hideMark/>
          </w:tcPr>
          <w:p w14:paraId="13EE3274" w14:textId="77777777" w:rsidR="00BB55F5" w:rsidRPr="002F7E97" w:rsidRDefault="00BB55F5" w:rsidP="003F7D80">
            <w:pPr>
              <w:rPr>
                <w:szCs w:val="26"/>
              </w:rPr>
            </w:pPr>
            <w:r w:rsidRPr="002F7E97">
              <w:rPr>
                <w:szCs w:val="26"/>
              </w:rPr>
              <w:t>Hall et al. (2020)</w:t>
            </w:r>
          </w:p>
        </w:tc>
        <w:tc>
          <w:tcPr>
            <w:tcW w:w="595" w:type="dxa"/>
            <w:tcBorders>
              <w:top w:val="single" w:sz="4" w:space="0" w:color="auto"/>
              <w:left w:val="single" w:sz="4" w:space="0" w:color="auto"/>
              <w:bottom w:val="single" w:sz="4" w:space="0" w:color="auto"/>
              <w:right w:val="single" w:sz="4" w:space="0" w:color="auto"/>
            </w:tcBorders>
            <w:hideMark/>
          </w:tcPr>
          <w:p w14:paraId="34124204"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3B7B5DEF"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6CF626F"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5CFFF02C"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1ADBC7F"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61253F4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6CF9A39E"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4006C4E8"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5EBCD052"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C90C40A"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8BD7CD7"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86B0958"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0D522227"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22F4F9F4"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2B25B991" w14:textId="77777777" w:rsidR="00BB55F5" w:rsidRPr="002F7E97" w:rsidRDefault="00BB55F5" w:rsidP="003F7D80">
            <w:pPr>
              <w:rPr>
                <w:szCs w:val="26"/>
              </w:rPr>
            </w:pPr>
            <w:r w:rsidRPr="002F7E97">
              <w:rPr>
                <w:szCs w:val="26"/>
              </w:rPr>
              <w:t>N</w:t>
            </w:r>
          </w:p>
        </w:tc>
        <w:tc>
          <w:tcPr>
            <w:tcW w:w="668" w:type="dxa"/>
            <w:tcBorders>
              <w:top w:val="single" w:sz="4" w:space="0" w:color="auto"/>
              <w:left w:val="single" w:sz="4" w:space="0" w:color="auto"/>
              <w:bottom w:val="single" w:sz="4" w:space="0" w:color="auto"/>
              <w:right w:val="single" w:sz="4" w:space="0" w:color="auto"/>
            </w:tcBorders>
            <w:hideMark/>
          </w:tcPr>
          <w:p w14:paraId="614CC4CB" w14:textId="77777777" w:rsidR="00BB55F5" w:rsidRPr="002F7E97" w:rsidRDefault="00BB55F5" w:rsidP="003F7D80">
            <w:pPr>
              <w:rPr>
                <w:szCs w:val="26"/>
              </w:rPr>
            </w:pPr>
            <w:r w:rsidRPr="002F7E97">
              <w:rPr>
                <w:szCs w:val="26"/>
              </w:rPr>
              <w:t>N</w:t>
            </w:r>
          </w:p>
        </w:tc>
        <w:tc>
          <w:tcPr>
            <w:tcW w:w="595" w:type="dxa"/>
            <w:tcBorders>
              <w:top w:val="single" w:sz="4" w:space="0" w:color="auto"/>
              <w:left w:val="single" w:sz="4" w:space="0" w:color="auto"/>
              <w:bottom w:val="single" w:sz="4" w:space="0" w:color="auto"/>
              <w:right w:val="single" w:sz="4" w:space="0" w:color="auto"/>
            </w:tcBorders>
            <w:hideMark/>
          </w:tcPr>
          <w:p w14:paraId="592686C5" w14:textId="77777777" w:rsidR="00BB55F5" w:rsidRPr="002F7E97" w:rsidRDefault="00BB55F5" w:rsidP="003F7D80">
            <w:pPr>
              <w:rPr>
                <w:szCs w:val="26"/>
              </w:rPr>
            </w:pPr>
            <w:r w:rsidRPr="002F7E97">
              <w:rPr>
                <w:szCs w:val="26"/>
              </w:rPr>
              <w:t>Y</w:t>
            </w:r>
          </w:p>
        </w:tc>
      </w:tr>
      <w:tr w:rsidR="00BB55F5" w:rsidRPr="009A5100" w14:paraId="62B3D834" w14:textId="77777777" w:rsidTr="002F7E97">
        <w:trPr>
          <w:gridAfter w:val="1"/>
          <w:wAfter w:w="6" w:type="dxa"/>
          <w:cantSplit/>
          <w:trHeight w:val="20"/>
        </w:trPr>
        <w:tc>
          <w:tcPr>
            <w:tcW w:w="1822" w:type="dxa"/>
            <w:tcBorders>
              <w:top w:val="single" w:sz="4" w:space="0" w:color="auto"/>
              <w:left w:val="single" w:sz="4" w:space="0" w:color="auto"/>
              <w:bottom w:val="single" w:sz="4" w:space="0" w:color="auto"/>
              <w:right w:val="single" w:sz="4" w:space="0" w:color="auto"/>
            </w:tcBorders>
            <w:hideMark/>
          </w:tcPr>
          <w:p w14:paraId="32208E68" w14:textId="77777777" w:rsidR="00BB55F5" w:rsidRPr="002F7E97" w:rsidRDefault="00784C95" w:rsidP="003F7D80">
            <w:pPr>
              <w:rPr>
                <w:szCs w:val="26"/>
              </w:rPr>
            </w:pPr>
            <w:r w:rsidRPr="002F7E97">
              <w:rPr>
                <w:szCs w:val="26"/>
              </w:rPr>
              <w:t>Mixed Methods****</w:t>
            </w:r>
          </w:p>
        </w:tc>
        <w:tc>
          <w:tcPr>
            <w:tcW w:w="1636" w:type="dxa"/>
            <w:tcBorders>
              <w:top w:val="single" w:sz="4" w:space="0" w:color="auto"/>
              <w:left w:val="single" w:sz="4" w:space="0" w:color="auto"/>
              <w:bottom w:val="single" w:sz="4" w:space="0" w:color="auto"/>
              <w:right w:val="single" w:sz="4" w:space="0" w:color="auto"/>
            </w:tcBorders>
            <w:hideMark/>
          </w:tcPr>
          <w:p w14:paraId="2603EF38" w14:textId="77777777" w:rsidR="00BB55F5" w:rsidRPr="002F7E97" w:rsidRDefault="00BB55F5" w:rsidP="003F7D80">
            <w:pPr>
              <w:rPr>
                <w:szCs w:val="26"/>
              </w:rPr>
            </w:pPr>
            <w:r w:rsidRPr="002F7E97">
              <w:rPr>
                <w:szCs w:val="26"/>
              </w:rPr>
              <w:t>Putnam et al. (2023)</w:t>
            </w:r>
          </w:p>
        </w:tc>
        <w:tc>
          <w:tcPr>
            <w:tcW w:w="595" w:type="dxa"/>
            <w:tcBorders>
              <w:top w:val="single" w:sz="4" w:space="0" w:color="auto"/>
              <w:left w:val="single" w:sz="4" w:space="0" w:color="auto"/>
              <w:bottom w:val="single" w:sz="4" w:space="0" w:color="auto"/>
              <w:right w:val="single" w:sz="4" w:space="0" w:color="auto"/>
            </w:tcBorders>
            <w:hideMark/>
          </w:tcPr>
          <w:p w14:paraId="7FFCFD19"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hideMark/>
          </w:tcPr>
          <w:p w14:paraId="2786AC68"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490E33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756A12EA"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01649C1D"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hideMark/>
          </w:tcPr>
          <w:p w14:paraId="0BC5B6D1" w14:textId="77777777" w:rsidR="00BB55F5" w:rsidRPr="002F7E97" w:rsidRDefault="00BB55F5" w:rsidP="003F7D80">
            <w:pPr>
              <w:rPr>
                <w:szCs w:val="26"/>
              </w:rPr>
            </w:pPr>
            <w:r w:rsidRPr="002F7E97">
              <w:rPr>
                <w:szCs w:val="26"/>
              </w:rPr>
              <w:t>Y</w:t>
            </w:r>
          </w:p>
        </w:tc>
        <w:tc>
          <w:tcPr>
            <w:tcW w:w="446" w:type="dxa"/>
            <w:tcBorders>
              <w:top w:val="single" w:sz="4" w:space="0" w:color="auto"/>
              <w:left w:val="single" w:sz="4" w:space="0" w:color="auto"/>
              <w:bottom w:val="single" w:sz="4" w:space="0" w:color="auto"/>
              <w:right w:val="single" w:sz="4" w:space="0" w:color="auto"/>
            </w:tcBorders>
            <w:hideMark/>
          </w:tcPr>
          <w:p w14:paraId="3B031ED5"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noWrap/>
            <w:hideMark/>
          </w:tcPr>
          <w:p w14:paraId="01C2AB7C"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noWrap/>
            <w:hideMark/>
          </w:tcPr>
          <w:p w14:paraId="2439649A" w14:textId="77777777" w:rsidR="00BB55F5" w:rsidRPr="002F7E97" w:rsidRDefault="00BB55F5" w:rsidP="003F7D80">
            <w:pPr>
              <w:rPr>
                <w:szCs w:val="26"/>
              </w:rPr>
            </w:pPr>
            <w:r w:rsidRPr="002F7E97">
              <w:rPr>
                <w:szCs w:val="26"/>
              </w:rPr>
              <w:t>N</w:t>
            </w:r>
          </w:p>
        </w:tc>
        <w:tc>
          <w:tcPr>
            <w:tcW w:w="668" w:type="dxa"/>
            <w:tcBorders>
              <w:top w:val="single" w:sz="4" w:space="0" w:color="auto"/>
              <w:left w:val="single" w:sz="4" w:space="0" w:color="auto"/>
              <w:bottom w:val="single" w:sz="4" w:space="0" w:color="auto"/>
              <w:right w:val="single" w:sz="4" w:space="0" w:color="auto"/>
            </w:tcBorders>
            <w:noWrap/>
            <w:hideMark/>
          </w:tcPr>
          <w:p w14:paraId="48D53666"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noWrap/>
            <w:hideMark/>
          </w:tcPr>
          <w:p w14:paraId="3694B85A" w14:textId="77777777" w:rsidR="00BB55F5" w:rsidRPr="002F7E97" w:rsidRDefault="00BB55F5" w:rsidP="003F7D80">
            <w:pPr>
              <w:rPr>
                <w:szCs w:val="26"/>
              </w:rPr>
            </w:pPr>
            <w:r w:rsidRPr="002F7E97">
              <w:rPr>
                <w:szCs w:val="26"/>
              </w:rPr>
              <w:t>CT</w:t>
            </w:r>
          </w:p>
        </w:tc>
        <w:tc>
          <w:tcPr>
            <w:tcW w:w="668" w:type="dxa"/>
            <w:tcBorders>
              <w:top w:val="single" w:sz="4" w:space="0" w:color="auto"/>
              <w:left w:val="single" w:sz="4" w:space="0" w:color="auto"/>
              <w:bottom w:val="single" w:sz="4" w:space="0" w:color="auto"/>
              <w:right w:val="single" w:sz="4" w:space="0" w:color="auto"/>
            </w:tcBorders>
            <w:noWrap/>
            <w:hideMark/>
          </w:tcPr>
          <w:p w14:paraId="0271319C"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noWrap/>
            <w:hideMark/>
          </w:tcPr>
          <w:p w14:paraId="4B88EA23"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noWrap/>
            <w:hideMark/>
          </w:tcPr>
          <w:p w14:paraId="5E8B30F5"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noWrap/>
            <w:hideMark/>
          </w:tcPr>
          <w:p w14:paraId="1CE21B98" w14:textId="77777777" w:rsidR="00BB55F5" w:rsidRPr="002F7E97" w:rsidRDefault="00BB55F5" w:rsidP="003F7D80">
            <w:pPr>
              <w:rPr>
                <w:szCs w:val="26"/>
              </w:rPr>
            </w:pPr>
            <w:r w:rsidRPr="002F7E97">
              <w:rPr>
                <w:szCs w:val="26"/>
              </w:rPr>
              <w:t>Y</w:t>
            </w:r>
          </w:p>
        </w:tc>
        <w:tc>
          <w:tcPr>
            <w:tcW w:w="668" w:type="dxa"/>
            <w:tcBorders>
              <w:top w:val="single" w:sz="4" w:space="0" w:color="auto"/>
              <w:left w:val="single" w:sz="4" w:space="0" w:color="auto"/>
              <w:bottom w:val="single" w:sz="4" w:space="0" w:color="auto"/>
              <w:right w:val="single" w:sz="4" w:space="0" w:color="auto"/>
            </w:tcBorders>
            <w:noWrap/>
            <w:hideMark/>
          </w:tcPr>
          <w:p w14:paraId="294961F9" w14:textId="77777777" w:rsidR="00BB55F5" w:rsidRPr="002F7E97" w:rsidRDefault="00BB55F5" w:rsidP="003F7D80">
            <w:pPr>
              <w:rPr>
                <w:szCs w:val="26"/>
              </w:rPr>
            </w:pPr>
            <w:r w:rsidRPr="002F7E97">
              <w:rPr>
                <w:szCs w:val="26"/>
              </w:rPr>
              <w:t>Y</w:t>
            </w:r>
          </w:p>
        </w:tc>
        <w:tc>
          <w:tcPr>
            <w:tcW w:w="595" w:type="dxa"/>
            <w:tcBorders>
              <w:top w:val="single" w:sz="4" w:space="0" w:color="auto"/>
              <w:left w:val="single" w:sz="4" w:space="0" w:color="auto"/>
              <w:bottom w:val="single" w:sz="4" w:space="0" w:color="auto"/>
              <w:right w:val="single" w:sz="4" w:space="0" w:color="auto"/>
            </w:tcBorders>
            <w:noWrap/>
            <w:hideMark/>
          </w:tcPr>
          <w:p w14:paraId="7F40596E" w14:textId="77777777" w:rsidR="00BB55F5" w:rsidRPr="002F7E97" w:rsidRDefault="00BB55F5" w:rsidP="003F7D80">
            <w:pPr>
              <w:rPr>
                <w:szCs w:val="26"/>
              </w:rPr>
            </w:pPr>
            <w:r w:rsidRPr="002F7E97">
              <w:rPr>
                <w:szCs w:val="26"/>
              </w:rPr>
              <w:t>N</w:t>
            </w:r>
          </w:p>
        </w:tc>
      </w:tr>
    </w:tbl>
    <w:p w14:paraId="287A3DDA" w14:textId="77777777" w:rsidR="00BB55F5" w:rsidRDefault="34C38F60" w:rsidP="00164BE1">
      <w:pPr>
        <w:rPr>
          <w:rFonts w:eastAsia="Gill Sans MT" w:cs="Gill Sans MT"/>
          <w:sz w:val="22"/>
          <w:szCs w:val="22"/>
        </w:rPr>
      </w:pPr>
      <w:r w:rsidRPr="1182AD7C">
        <w:rPr>
          <w:rFonts w:eastAsia="Gill Sans MT" w:cs="Gill Sans MT"/>
          <w:sz w:val="22"/>
          <w:szCs w:val="22"/>
        </w:rPr>
        <w:lastRenderedPageBreak/>
        <w:t>CT = can't tell; Y = yes; N = no.</w:t>
      </w:r>
      <w:r w:rsidR="00BB55F5">
        <w:br/>
      </w:r>
      <w:r w:rsidRPr="1182AD7C">
        <w:rPr>
          <w:rFonts w:eastAsia="Gill Sans MT" w:cs="Gill Sans MT"/>
          <w:sz w:val="22"/>
          <w:szCs w:val="22"/>
        </w:rPr>
        <w:t>*All Studies: 1 = Clear research questions/aims; 2 = Data collection addresses the research question.</w:t>
      </w:r>
      <w:r w:rsidR="00BB55F5">
        <w:br/>
      </w:r>
      <w:r w:rsidRPr="1182AD7C">
        <w:rPr>
          <w:rFonts w:eastAsia="Gill Sans MT" w:cs="Gill Sans MT"/>
          <w:sz w:val="22"/>
          <w:szCs w:val="22"/>
        </w:rPr>
        <w:t>**Qualitative: 3 = The qualitative approach is appropriate to answer the research question; 4 = The qualitative data collection method is adequate to address the research question; 5 = Findings adequately derived from the data; 6 = Interpretation of the results is substantiated by data; 7 = Coherence between data sources, collection, analysis, and interpretation.</w:t>
      </w:r>
      <w:r w:rsidR="00BB55F5">
        <w:br/>
      </w:r>
      <w:r w:rsidRPr="1182AD7C">
        <w:rPr>
          <w:rFonts w:eastAsia="Gill Sans MT" w:cs="Gill Sans MT"/>
          <w:sz w:val="22"/>
          <w:szCs w:val="22"/>
        </w:rPr>
        <w:t>***Quantitative Descriptive: 8 = Sampling strategy relevant to answer research question; 9 = Sample representative of target population; 10 = Measurements appropriate; 11 = Risk of nonresponse bias low; 12 = Statistical analysis appropriate to answer research question.</w:t>
      </w:r>
      <w:r w:rsidR="00BB55F5">
        <w:br/>
      </w:r>
      <w:r w:rsidRPr="1182AD7C">
        <w:rPr>
          <w:rFonts w:eastAsia="Gill Sans MT" w:cs="Gill Sans MT"/>
          <w:sz w:val="22"/>
          <w:szCs w:val="22"/>
        </w:rPr>
        <w:t>****Mixed Methods: 13 = Adequate rationale for using a mixed-methods design; 14 = Components of the study effectively integrated to answer the research question; 15 = Outputs of the integration of qualitative and quantitative components adequately interpreted; 16 = Divergences and inconsistencies between quantitative and qualitative results adequately addressed; 17 = Components of the study adhere to the quality criteria of each tradition of the methods involved.</w:t>
      </w:r>
    </w:p>
    <w:p w14:paraId="2D71AC6C" w14:textId="77777777" w:rsidR="003C746D" w:rsidRDefault="002C79F7" w:rsidP="3A3A8981">
      <w:pPr>
        <w:jc w:val="center"/>
        <w:rPr>
          <w:rStyle w:val="eop"/>
          <w:color w:val="000000"/>
          <w:shd w:val="clear" w:color="auto" w:fill="FFFFFF"/>
        </w:rPr>
        <w:sectPr w:rsidR="003C746D" w:rsidSect="00BB55F5">
          <w:headerReference w:type="default" r:id="rId24"/>
          <w:headerReference w:type="first" r:id="rId25"/>
          <w:footerReference w:type="first" r:id="rId26"/>
          <w:pgSz w:w="15840" w:h="12240" w:orient="landscape"/>
          <w:pgMar w:top="1800" w:right="1440" w:bottom="1800" w:left="1440" w:header="708" w:footer="708" w:gutter="0"/>
          <w:cols w:space="708"/>
          <w:docGrid w:linePitch="360"/>
        </w:sectPr>
      </w:pPr>
      <w:r w:rsidRPr="3A3A8981">
        <w:rPr>
          <w:rStyle w:val="normaltextrun"/>
          <w:color w:val="000000"/>
          <w:shd w:val="clear" w:color="auto" w:fill="FFFFFF"/>
        </w:rPr>
        <w:t xml:space="preserve">Table </w:t>
      </w:r>
      <w:r w:rsidR="00B42A7A" w:rsidRPr="3A3A8981">
        <w:rPr>
          <w:rStyle w:val="normaltextrun"/>
          <w:color w:val="000000"/>
          <w:shd w:val="clear" w:color="auto" w:fill="FFFFFF"/>
        </w:rPr>
        <w:t xml:space="preserve">4: </w:t>
      </w:r>
      <w:r w:rsidRPr="3A3A8981">
        <w:rPr>
          <w:rStyle w:val="normaltextrun"/>
          <w:color w:val="000000"/>
          <w:shd w:val="clear" w:color="auto" w:fill="FFFFFF"/>
        </w:rPr>
        <w:t xml:space="preserve">Quality Appraisal for Empirical Studies - </w:t>
      </w:r>
      <w:r w:rsidR="001F7107">
        <w:rPr>
          <w:rStyle w:val="normaltextrun"/>
          <w:color w:val="000000"/>
          <w:shd w:val="clear" w:color="auto" w:fill="FFFFFF"/>
        </w:rPr>
        <w:t>Mixed Methods Appraisal Tool</w:t>
      </w:r>
      <w:r w:rsidR="001F7107" w:rsidRPr="3A3A8981">
        <w:rPr>
          <w:rStyle w:val="normaltextrun"/>
          <w:color w:val="000000"/>
          <w:shd w:val="clear" w:color="auto" w:fill="FFFFFF"/>
        </w:rPr>
        <w:t xml:space="preserve"> </w:t>
      </w:r>
      <w:r w:rsidRPr="3A3A8981">
        <w:rPr>
          <w:rStyle w:val="normaltextrun"/>
          <w:color w:val="000000"/>
          <w:shd w:val="clear" w:color="auto" w:fill="FFFFFF"/>
        </w:rPr>
        <w:t>checklist</w:t>
      </w:r>
      <w:r w:rsidRPr="3A3A8981">
        <w:rPr>
          <w:rStyle w:val="eop"/>
          <w:color w:val="000000"/>
          <w:shd w:val="clear" w:color="auto" w:fill="FFFFFF"/>
        </w:rPr>
        <w:t> </w:t>
      </w:r>
    </w:p>
    <w:p w14:paraId="2AE55CF4" w14:textId="77777777" w:rsidR="00BB55F5" w:rsidRPr="002F7E97" w:rsidRDefault="00BB55F5" w:rsidP="3A3A8981">
      <w:pPr>
        <w:jc w:val="center"/>
        <w:rPr>
          <w:rStyle w:val="eop"/>
          <w:color w:val="000000"/>
        </w:rPr>
      </w:pPr>
    </w:p>
    <w:p w14:paraId="3C2BB955" w14:textId="77777777" w:rsidR="3A3A8981" w:rsidRDefault="10722091" w:rsidP="00164BE1">
      <w:pPr>
        <w:pStyle w:val="Heading2"/>
      </w:pPr>
      <w:bookmarkStart w:id="139" w:name="_Toc214026563"/>
      <w:r>
        <w:t>Appendix 5</w:t>
      </w:r>
      <w:bookmarkEnd w:id="139"/>
    </w:p>
    <w:tbl>
      <w:tblPr>
        <w:tblW w:w="84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5103"/>
        <w:gridCol w:w="1134"/>
      </w:tblGrid>
      <w:tr w:rsidR="00BB55F5" w:rsidRPr="00BB55F5" w14:paraId="4D5EDAFB" w14:textId="77777777" w:rsidTr="003C746D">
        <w:trPr>
          <w:trHeight w:val="288"/>
        </w:trPr>
        <w:tc>
          <w:tcPr>
            <w:tcW w:w="8497" w:type="dxa"/>
            <w:gridSpan w:val="3"/>
            <w:tcBorders>
              <w:top w:val="single" w:sz="6" w:space="0" w:color="auto"/>
              <w:left w:val="single" w:sz="6" w:space="0" w:color="auto"/>
              <w:bottom w:val="single" w:sz="6" w:space="0" w:color="auto"/>
              <w:right w:val="single" w:sz="6" w:space="0" w:color="auto"/>
            </w:tcBorders>
            <w:hideMark/>
          </w:tcPr>
          <w:p w14:paraId="7471D0A9" w14:textId="77777777" w:rsidR="00BB55F5" w:rsidRPr="00BB55F5" w:rsidRDefault="00101D9A" w:rsidP="00BB55F5">
            <w:pPr>
              <w:spacing w:after="0"/>
              <w:jc w:val="center"/>
              <w:textAlignment w:val="baseline"/>
              <w:rPr>
                <w:rFonts w:ascii="Segoe UI" w:hAnsi="Segoe UI" w:cs="Segoe UI"/>
                <w:sz w:val="18"/>
                <w:szCs w:val="18"/>
                <w:lang w:eastAsia="en-GB"/>
              </w:rPr>
            </w:pPr>
            <w:r>
              <w:rPr>
                <w:rFonts w:cs="Segoe UI"/>
                <w:b/>
                <w:bCs/>
                <w:sz w:val="22"/>
                <w:szCs w:val="22"/>
                <w:lang w:eastAsia="en-GB"/>
              </w:rPr>
              <w:t>Autism CRC</w:t>
            </w:r>
            <w:r w:rsidR="00BB55F5" w:rsidRPr="00BB55F5">
              <w:rPr>
                <w:rFonts w:cs="Segoe UI"/>
                <w:b/>
                <w:bCs/>
                <w:sz w:val="22"/>
                <w:szCs w:val="22"/>
                <w:lang w:eastAsia="en-GB"/>
              </w:rPr>
              <w:t xml:space="preserve"> (2024)</w:t>
            </w:r>
            <w:r w:rsidR="00BB55F5" w:rsidRPr="00BB55F5">
              <w:rPr>
                <w:rFonts w:cs="Segoe UI"/>
                <w:sz w:val="22"/>
                <w:szCs w:val="22"/>
                <w:lang w:eastAsia="en-GB"/>
              </w:rPr>
              <w:t> </w:t>
            </w:r>
          </w:p>
        </w:tc>
      </w:tr>
      <w:tr w:rsidR="003C746D" w:rsidRPr="00BB55F5" w14:paraId="15BDEE2D"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4B03A52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b/>
                <w:bCs/>
                <w:sz w:val="22"/>
                <w:szCs w:val="22"/>
                <w:lang w:eastAsia="en-GB"/>
              </w:rPr>
              <w:t>Category</w:t>
            </w: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65E2A393"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b/>
                <w:bCs/>
                <w:sz w:val="22"/>
                <w:szCs w:val="22"/>
                <w:lang w:eastAsia="en-GB"/>
              </w:rPr>
              <w:t>Question</w:t>
            </w:r>
            <w:r w:rsidRPr="00BB55F5">
              <w:rPr>
                <w:rFonts w:cs="Segoe UI"/>
                <w:sz w:val="22"/>
                <w:szCs w:val="22"/>
                <w:lang w:eastAsia="en-GB"/>
              </w:rPr>
              <w:t> </w:t>
            </w:r>
          </w:p>
        </w:tc>
        <w:tc>
          <w:tcPr>
            <w:tcW w:w="1134" w:type="dxa"/>
            <w:tcBorders>
              <w:top w:val="single" w:sz="6" w:space="0" w:color="auto"/>
              <w:left w:val="single" w:sz="6" w:space="0" w:color="auto"/>
              <w:bottom w:val="single" w:sz="6" w:space="0" w:color="auto"/>
              <w:right w:val="single" w:sz="6" w:space="0" w:color="auto"/>
            </w:tcBorders>
            <w:hideMark/>
          </w:tcPr>
          <w:p w14:paraId="42AA2E45"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b/>
                <w:bCs/>
                <w:sz w:val="22"/>
                <w:szCs w:val="22"/>
                <w:lang w:eastAsia="en-GB"/>
              </w:rPr>
              <w:t>Answer</w:t>
            </w:r>
            <w:r w:rsidRPr="00BB55F5">
              <w:rPr>
                <w:rFonts w:cs="Segoe UI"/>
                <w:sz w:val="22"/>
                <w:szCs w:val="22"/>
                <w:lang w:eastAsia="en-GB"/>
              </w:rPr>
              <w:t> </w:t>
            </w:r>
          </w:p>
        </w:tc>
      </w:tr>
      <w:tr w:rsidR="003C746D" w:rsidRPr="00BB55F5" w14:paraId="5C36C4E5"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3266F769"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Authority (Organisation) </w:t>
            </w:r>
          </w:p>
        </w:tc>
        <w:tc>
          <w:tcPr>
            <w:tcW w:w="5103" w:type="dxa"/>
            <w:tcBorders>
              <w:top w:val="single" w:sz="6" w:space="0" w:color="auto"/>
              <w:left w:val="single" w:sz="6" w:space="0" w:color="auto"/>
              <w:bottom w:val="single" w:sz="6" w:space="0" w:color="auto"/>
              <w:right w:val="single" w:sz="6" w:space="0" w:color="auto"/>
            </w:tcBorders>
            <w:hideMark/>
          </w:tcPr>
          <w:p w14:paraId="332E406D"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Reputable organisation? </w:t>
            </w:r>
          </w:p>
        </w:tc>
        <w:tc>
          <w:tcPr>
            <w:tcW w:w="1134" w:type="dxa"/>
            <w:tcBorders>
              <w:top w:val="single" w:sz="6" w:space="0" w:color="auto"/>
              <w:left w:val="single" w:sz="6" w:space="0" w:color="auto"/>
              <w:bottom w:val="single" w:sz="6" w:space="0" w:color="auto"/>
              <w:right w:val="single" w:sz="6" w:space="0" w:color="auto"/>
            </w:tcBorders>
            <w:hideMark/>
          </w:tcPr>
          <w:p w14:paraId="106A61CE"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6F27CEB8"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3C2C73B6"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105FE3E3"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Authority in field? </w:t>
            </w:r>
          </w:p>
        </w:tc>
        <w:tc>
          <w:tcPr>
            <w:tcW w:w="1134" w:type="dxa"/>
            <w:tcBorders>
              <w:top w:val="single" w:sz="6" w:space="0" w:color="auto"/>
              <w:left w:val="single" w:sz="6" w:space="0" w:color="auto"/>
              <w:bottom w:val="single" w:sz="6" w:space="0" w:color="auto"/>
              <w:right w:val="single" w:sz="6" w:space="0" w:color="auto"/>
            </w:tcBorders>
            <w:hideMark/>
          </w:tcPr>
          <w:p w14:paraId="49B63BF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221449BB"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65324E12"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55E9F1A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Detailed ref. list or bibliography? </w:t>
            </w:r>
          </w:p>
        </w:tc>
        <w:tc>
          <w:tcPr>
            <w:tcW w:w="1134" w:type="dxa"/>
            <w:tcBorders>
              <w:top w:val="single" w:sz="6" w:space="0" w:color="auto"/>
              <w:left w:val="single" w:sz="6" w:space="0" w:color="auto"/>
              <w:bottom w:val="single" w:sz="6" w:space="0" w:color="auto"/>
              <w:right w:val="single" w:sz="6" w:space="0" w:color="auto"/>
            </w:tcBorders>
            <w:hideMark/>
          </w:tcPr>
          <w:p w14:paraId="0AE8DA88"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No </w:t>
            </w:r>
          </w:p>
        </w:tc>
      </w:tr>
      <w:tr w:rsidR="003C746D" w:rsidRPr="00BB55F5" w14:paraId="1489F31A"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7F5D58DB"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Accuracy </w:t>
            </w:r>
          </w:p>
        </w:tc>
        <w:tc>
          <w:tcPr>
            <w:tcW w:w="5103" w:type="dxa"/>
            <w:tcBorders>
              <w:top w:val="single" w:sz="6" w:space="0" w:color="auto"/>
              <w:left w:val="single" w:sz="6" w:space="0" w:color="auto"/>
              <w:bottom w:val="single" w:sz="6" w:space="0" w:color="auto"/>
              <w:right w:val="single" w:sz="6" w:space="0" w:color="auto"/>
            </w:tcBorders>
            <w:hideMark/>
          </w:tcPr>
          <w:p w14:paraId="3B26C62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Clearly stated aim? </w:t>
            </w:r>
          </w:p>
        </w:tc>
        <w:tc>
          <w:tcPr>
            <w:tcW w:w="1134" w:type="dxa"/>
            <w:tcBorders>
              <w:top w:val="single" w:sz="6" w:space="0" w:color="auto"/>
              <w:left w:val="single" w:sz="6" w:space="0" w:color="auto"/>
              <w:bottom w:val="single" w:sz="6" w:space="0" w:color="auto"/>
              <w:right w:val="single" w:sz="6" w:space="0" w:color="auto"/>
            </w:tcBorders>
            <w:hideMark/>
          </w:tcPr>
          <w:p w14:paraId="598D15CB"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615C67C8"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0B3FE492"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2D306A64"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Aim met? </w:t>
            </w:r>
          </w:p>
        </w:tc>
        <w:tc>
          <w:tcPr>
            <w:tcW w:w="1134" w:type="dxa"/>
            <w:tcBorders>
              <w:top w:val="single" w:sz="6" w:space="0" w:color="auto"/>
              <w:left w:val="single" w:sz="6" w:space="0" w:color="auto"/>
              <w:bottom w:val="single" w:sz="6" w:space="0" w:color="auto"/>
              <w:right w:val="single" w:sz="6" w:space="0" w:color="auto"/>
            </w:tcBorders>
            <w:hideMark/>
          </w:tcPr>
          <w:p w14:paraId="356E3E65"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6C1340FF"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31063B4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571BC6B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Methodology stated? </w:t>
            </w:r>
          </w:p>
        </w:tc>
        <w:tc>
          <w:tcPr>
            <w:tcW w:w="1134" w:type="dxa"/>
            <w:tcBorders>
              <w:top w:val="single" w:sz="6" w:space="0" w:color="auto"/>
              <w:left w:val="single" w:sz="6" w:space="0" w:color="auto"/>
              <w:bottom w:val="single" w:sz="6" w:space="0" w:color="auto"/>
              <w:right w:val="single" w:sz="6" w:space="0" w:color="auto"/>
            </w:tcBorders>
            <w:hideMark/>
          </w:tcPr>
          <w:p w14:paraId="5FA22FDE"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Can’t tell </w:t>
            </w:r>
          </w:p>
        </w:tc>
      </w:tr>
      <w:tr w:rsidR="003C746D" w:rsidRPr="00BB55F5" w14:paraId="055D9006"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39B15F5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64A25075"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Peer-reviewed? </w:t>
            </w:r>
          </w:p>
        </w:tc>
        <w:tc>
          <w:tcPr>
            <w:tcW w:w="1134" w:type="dxa"/>
            <w:tcBorders>
              <w:top w:val="single" w:sz="6" w:space="0" w:color="auto"/>
              <w:left w:val="single" w:sz="6" w:space="0" w:color="auto"/>
              <w:bottom w:val="single" w:sz="6" w:space="0" w:color="auto"/>
              <w:right w:val="single" w:sz="6" w:space="0" w:color="auto"/>
            </w:tcBorders>
            <w:hideMark/>
          </w:tcPr>
          <w:p w14:paraId="41F594E3"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Can’t tell </w:t>
            </w:r>
          </w:p>
        </w:tc>
      </w:tr>
      <w:tr w:rsidR="003C746D" w:rsidRPr="00BB55F5" w14:paraId="1D88CC37"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716AFB9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3041A4CC"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Edited by reputable authority? </w:t>
            </w:r>
          </w:p>
        </w:tc>
        <w:tc>
          <w:tcPr>
            <w:tcW w:w="1134" w:type="dxa"/>
            <w:tcBorders>
              <w:top w:val="single" w:sz="6" w:space="0" w:color="auto"/>
              <w:left w:val="single" w:sz="6" w:space="0" w:color="auto"/>
              <w:bottom w:val="single" w:sz="6" w:space="0" w:color="auto"/>
              <w:right w:val="single" w:sz="6" w:space="0" w:color="auto"/>
            </w:tcBorders>
            <w:hideMark/>
          </w:tcPr>
          <w:p w14:paraId="615BE5B9"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3DD8E3CA"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240F23F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73E26C6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Supported by authoritative, documented references or credible sources? </w:t>
            </w:r>
          </w:p>
        </w:tc>
        <w:tc>
          <w:tcPr>
            <w:tcW w:w="1134" w:type="dxa"/>
            <w:tcBorders>
              <w:top w:val="single" w:sz="6" w:space="0" w:color="auto"/>
              <w:left w:val="single" w:sz="6" w:space="0" w:color="auto"/>
              <w:bottom w:val="single" w:sz="6" w:space="0" w:color="auto"/>
              <w:right w:val="single" w:sz="6" w:space="0" w:color="auto"/>
            </w:tcBorders>
            <w:hideMark/>
          </w:tcPr>
          <w:p w14:paraId="506495EF"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No </w:t>
            </w:r>
          </w:p>
        </w:tc>
      </w:tr>
      <w:tr w:rsidR="003C746D" w:rsidRPr="00BB55F5" w14:paraId="68D2DF74"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44A7A0C9"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6DD02824"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Representative of work in the field? </w:t>
            </w:r>
          </w:p>
        </w:tc>
        <w:tc>
          <w:tcPr>
            <w:tcW w:w="1134" w:type="dxa"/>
            <w:tcBorders>
              <w:top w:val="single" w:sz="6" w:space="0" w:color="auto"/>
              <w:left w:val="single" w:sz="6" w:space="0" w:color="auto"/>
              <w:bottom w:val="single" w:sz="6" w:space="0" w:color="auto"/>
              <w:right w:val="single" w:sz="6" w:space="0" w:color="auto"/>
            </w:tcBorders>
            <w:hideMark/>
          </w:tcPr>
          <w:p w14:paraId="65A0E736"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5571E3D9"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7CD3410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4F71915D"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Data collection explicit and appropriate for research? </w:t>
            </w:r>
          </w:p>
        </w:tc>
        <w:tc>
          <w:tcPr>
            <w:tcW w:w="1134" w:type="dxa"/>
            <w:tcBorders>
              <w:top w:val="single" w:sz="6" w:space="0" w:color="auto"/>
              <w:left w:val="single" w:sz="6" w:space="0" w:color="auto"/>
              <w:bottom w:val="single" w:sz="6" w:space="0" w:color="auto"/>
              <w:right w:val="single" w:sz="6" w:space="0" w:color="auto"/>
            </w:tcBorders>
            <w:hideMark/>
          </w:tcPr>
          <w:p w14:paraId="52E27A12"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2B414CD4"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0D3ED779"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3EDCF60E"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If secondary material: is original accurate, unbiased interpretation or analysis? </w:t>
            </w:r>
          </w:p>
        </w:tc>
        <w:tc>
          <w:tcPr>
            <w:tcW w:w="1134" w:type="dxa"/>
            <w:tcBorders>
              <w:top w:val="single" w:sz="6" w:space="0" w:color="auto"/>
              <w:left w:val="single" w:sz="6" w:space="0" w:color="auto"/>
              <w:bottom w:val="single" w:sz="6" w:space="0" w:color="auto"/>
              <w:right w:val="single" w:sz="6" w:space="0" w:color="auto"/>
            </w:tcBorders>
            <w:hideMark/>
          </w:tcPr>
          <w:p w14:paraId="3DD83A4C"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Can’t tell </w:t>
            </w:r>
          </w:p>
        </w:tc>
      </w:tr>
      <w:tr w:rsidR="003C746D" w:rsidRPr="00BB55F5" w14:paraId="3F8015AC"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032D24FB"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Coverage  </w:t>
            </w:r>
          </w:p>
        </w:tc>
        <w:tc>
          <w:tcPr>
            <w:tcW w:w="5103" w:type="dxa"/>
            <w:tcBorders>
              <w:top w:val="single" w:sz="6" w:space="0" w:color="auto"/>
              <w:left w:val="single" w:sz="6" w:space="0" w:color="auto"/>
              <w:bottom w:val="single" w:sz="6" w:space="0" w:color="auto"/>
              <w:right w:val="single" w:sz="6" w:space="0" w:color="auto"/>
            </w:tcBorders>
            <w:hideMark/>
          </w:tcPr>
          <w:p w14:paraId="75F05AFE"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Limits clearly stated? </w:t>
            </w:r>
          </w:p>
        </w:tc>
        <w:tc>
          <w:tcPr>
            <w:tcW w:w="1134" w:type="dxa"/>
            <w:tcBorders>
              <w:top w:val="single" w:sz="6" w:space="0" w:color="auto"/>
              <w:left w:val="single" w:sz="6" w:space="0" w:color="auto"/>
              <w:bottom w:val="single" w:sz="6" w:space="0" w:color="auto"/>
              <w:right w:val="single" w:sz="6" w:space="0" w:color="auto"/>
            </w:tcBorders>
            <w:hideMark/>
          </w:tcPr>
          <w:p w14:paraId="20DFA9C1"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67509F1B"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2FCC490B"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Objectivity  </w:t>
            </w:r>
          </w:p>
        </w:tc>
        <w:tc>
          <w:tcPr>
            <w:tcW w:w="5103" w:type="dxa"/>
            <w:tcBorders>
              <w:top w:val="single" w:sz="6" w:space="0" w:color="auto"/>
              <w:left w:val="single" w:sz="6" w:space="0" w:color="auto"/>
              <w:bottom w:val="single" w:sz="6" w:space="0" w:color="auto"/>
              <w:right w:val="single" w:sz="6" w:space="0" w:color="auto"/>
            </w:tcBorders>
            <w:hideMark/>
          </w:tcPr>
          <w:p w14:paraId="4B1AF181"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Author’s standpoint clear? </w:t>
            </w:r>
          </w:p>
        </w:tc>
        <w:tc>
          <w:tcPr>
            <w:tcW w:w="1134" w:type="dxa"/>
            <w:tcBorders>
              <w:top w:val="single" w:sz="6" w:space="0" w:color="auto"/>
              <w:left w:val="single" w:sz="6" w:space="0" w:color="auto"/>
              <w:bottom w:val="single" w:sz="6" w:space="0" w:color="auto"/>
              <w:right w:val="single" w:sz="6" w:space="0" w:color="auto"/>
            </w:tcBorders>
            <w:hideMark/>
          </w:tcPr>
          <w:p w14:paraId="63AFB8C7"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75A8B94B"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1AF4AF78"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37FC4E35"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Work balanced in presentation? </w:t>
            </w:r>
          </w:p>
        </w:tc>
        <w:tc>
          <w:tcPr>
            <w:tcW w:w="1134" w:type="dxa"/>
            <w:tcBorders>
              <w:top w:val="single" w:sz="6" w:space="0" w:color="auto"/>
              <w:left w:val="single" w:sz="6" w:space="0" w:color="auto"/>
              <w:bottom w:val="single" w:sz="6" w:space="0" w:color="auto"/>
              <w:right w:val="single" w:sz="6" w:space="0" w:color="auto"/>
            </w:tcBorders>
            <w:hideMark/>
          </w:tcPr>
          <w:p w14:paraId="65512942"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042C88D0"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64D956CC"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Date  </w:t>
            </w:r>
          </w:p>
        </w:tc>
        <w:tc>
          <w:tcPr>
            <w:tcW w:w="5103" w:type="dxa"/>
            <w:tcBorders>
              <w:top w:val="single" w:sz="6" w:space="0" w:color="auto"/>
              <w:left w:val="single" w:sz="6" w:space="0" w:color="auto"/>
              <w:bottom w:val="single" w:sz="6" w:space="0" w:color="auto"/>
              <w:right w:val="single" w:sz="6" w:space="0" w:color="auto"/>
            </w:tcBorders>
            <w:hideMark/>
          </w:tcPr>
          <w:p w14:paraId="00E3C753"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Clearly state date related to content? </w:t>
            </w:r>
          </w:p>
        </w:tc>
        <w:tc>
          <w:tcPr>
            <w:tcW w:w="1134" w:type="dxa"/>
            <w:tcBorders>
              <w:top w:val="single" w:sz="6" w:space="0" w:color="auto"/>
              <w:left w:val="single" w:sz="6" w:space="0" w:color="auto"/>
              <w:bottom w:val="single" w:sz="6" w:space="0" w:color="auto"/>
              <w:right w:val="single" w:sz="6" w:space="0" w:color="auto"/>
            </w:tcBorders>
            <w:hideMark/>
          </w:tcPr>
          <w:p w14:paraId="3D626E41"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1BC53C8D"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3B89404C"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1B7467F2"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Bibliography: key contemporary material included? </w:t>
            </w:r>
          </w:p>
        </w:tc>
        <w:tc>
          <w:tcPr>
            <w:tcW w:w="1134" w:type="dxa"/>
            <w:tcBorders>
              <w:top w:val="single" w:sz="6" w:space="0" w:color="auto"/>
              <w:left w:val="single" w:sz="6" w:space="0" w:color="auto"/>
              <w:bottom w:val="single" w:sz="6" w:space="0" w:color="auto"/>
              <w:right w:val="single" w:sz="6" w:space="0" w:color="auto"/>
            </w:tcBorders>
            <w:hideMark/>
          </w:tcPr>
          <w:p w14:paraId="5BC47B9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No </w:t>
            </w:r>
          </w:p>
        </w:tc>
      </w:tr>
      <w:tr w:rsidR="003C746D" w:rsidRPr="00BB55F5" w14:paraId="549C4C25"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78B09CA6"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Significance </w:t>
            </w:r>
          </w:p>
        </w:tc>
        <w:tc>
          <w:tcPr>
            <w:tcW w:w="5103" w:type="dxa"/>
            <w:tcBorders>
              <w:top w:val="single" w:sz="6" w:space="0" w:color="auto"/>
              <w:left w:val="single" w:sz="6" w:space="0" w:color="auto"/>
              <w:bottom w:val="single" w:sz="6" w:space="0" w:color="auto"/>
              <w:right w:val="single" w:sz="6" w:space="0" w:color="auto"/>
            </w:tcBorders>
            <w:hideMark/>
          </w:tcPr>
          <w:p w14:paraId="2A768BAF"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Meaningful? (incl. feasibility, utility, relevance) </w:t>
            </w:r>
          </w:p>
        </w:tc>
        <w:tc>
          <w:tcPr>
            <w:tcW w:w="1134" w:type="dxa"/>
            <w:tcBorders>
              <w:top w:val="single" w:sz="6" w:space="0" w:color="auto"/>
              <w:left w:val="single" w:sz="6" w:space="0" w:color="auto"/>
              <w:bottom w:val="single" w:sz="6" w:space="0" w:color="auto"/>
              <w:right w:val="single" w:sz="6" w:space="0" w:color="auto"/>
            </w:tcBorders>
            <w:hideMark/>
          </w:tcPr>
          <w:p w14:paraId="20D98A53"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71361F3D"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0B2217E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35FC11C6"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Adds context? </w:t>
            </w:r>
          </w:p>
        </w:tc>
        <w:tc>
          <w:tcPr>
            <w:tcW w:w="1134" w:type="dxa"/>
            <w:tcBorders>
              <w:top w:val="single" w:sz="6" w:space="0" w:color="auto"/>
              <w:left w:val="single" w:sz="6" w:space="0" w:color="auto"/>
              <w:bottom w:val="single" w:sz="6" w:space="0" w:color="auto"/>
              <w:right w:val="single" w:sz="6" w:space="0" w:color="auto"/>
            </w:tcBorders>
            <w:hideMark/>
          </w:tcPr>
          <w:p w14:paraId="2242A163"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68E3E8FA"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445963E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345AF27B"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Enriches/add something unique to research? </w:t>
            </w:r>
          </w:p>
        </w:tc>
        <w:tc>
          <w:tcPr>
            <w:tcW w:w="1134" w:type="dxa"/>
            <w:tcBorders>
              <w:top w:val="single" w:sz="6" w:space="0" w:color="auto"/>
              <w:left w:val="single" w:sz="6" w:space="0" w:color="auto"/>
              <w:bottom w:val="single" w:sz="6" w:space="0" w:color="auto"/>
              <w:right w:val="single" w:sz="6" w:space="0" w:color="auto"/>
            </w:tcBorders>
            <w:hideMark/>
          </w:tcPr>
          <w:p w14:paraId="201536CC"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1DEF08BB"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0A6DB9DB"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2E7FC3C7"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Strengthens or refutes current position? </w:t>
            </w:r>
          </w:p>
        </w:tc>
        <w:tc>
          <w:tcPr>
            <w:tcW w:w="1134" w:type="dxa"/>
            <w:tcBorders>
              <w:top w:val="single" w:sz="6" w:space="0" w:color="auto"/>
              <w:left w:val="single" w:sz="6" w:space="0" w:color="auto"/>
              <w:bottom w:val="single" w:sz="6" w:space="0" w:color="auto"/>
              <w:right w:val="single" w:sz="6" w:space="0" w:color="auto"/>
            </w:tcBorders>
            <w:hideMark/>
          </w:tcPr>
          <w:p w14:paraId="76866C20"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53FC2739"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762EA035"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75C50CE2"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Research area lesser without it? </w:t>
            </w:r>
          </w:p>
        </w:tc>
        <w:tc>
          <w:tcPr>
            <w:tcW w:w="1134" w:type="dxa"/>
            <w:tcBorders>
              <w:top w:val="single" w:sz="6" w:space="0" w:color="auto"/>
              <w:left w:val="single" w:sz="6" w:space="0" w:color="auto"/>
              <w:bottom w:val="single" w:sz="6" w:space="0" w:color="auto"/>
              <w:right w:val="single" w:sz="6" w:space="0" w:color="auto"/>
            </w:tcBorders>
            <w:hideMark/>
          </w:tcPr>
          <w:p w14:paraId="238C2F37"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5B85606E"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0B79922C"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51E95B01"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Integral, representative, typical? </w:t>
            </w:r>
          </w:p>
        </w:tc>
        <w:tc>
          <w:tcPr>
            <w:tcW w:w="1134" w:type="dxa"/>
            <w:tcBorders>
              <w:top w:val="single" w:sz="6" w:space="0" w:color="auto"/>
              <w:left w:val="single" w:sz="6" w:space="0" w:color="auto"/>
              <w:bottom w:val="single" w:sz="6" w:space="0" w:color="auto"/>
              <w:right w:val="single" w:sz="6" w:space="0" w:color="auto"/>
            </w:tcBorders>
            <w:hideMark/>
          </w:tcPr>
          <w:p w14:paraId="005517F9"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r w:rsidR="003C746D" w:rsidRPr="00BB55F5" w14:paraId="78293734" w14:textId="77777777" w:rsidTr="003C746D">
        <w:trPr>
          <w:trHeight w:val="288"/>
        </w:trPr>
        <w:tc>
          <w:tcPr>
            <w:tcW w:w="2260" w:type="dxa"/>
            <w:tcBorders>
              <w:top w:val="single" w:sz="6" w:space="0" w:color="auto"/>
              <w:left w:val="single" w:sz="6" w:space="0" w:color="auto"/>
              <w:bottom w:val="single" w:sz="6" w:space="0" w:color="auto"/>
              <w:right w:val="single" w:sz="6" w:space="0" w:color="auto"/>
            </w:tcBorders>
            <w:hideMark/>
          </w:tcPr>
          <w:p w14:paraId="26D145E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 </w:t>
            </w:r>
          </w:p>
        </w:tc>
        <w:tc>
          <w:tcPr>
            <w:tcW w:w="5103" w:type="dxa"/>
            <w:tcBorders>
              <w:top w:val="single" w:sz="6" w:space="0" w:color="auto"/>
              <w:left w:val="single" w:sz="6" w:space="0" w:color="auto"/>
              <w:bottom w:val="single" w:sz="6" w:space="0" w:color="auto"/>
              <w:right w:val="single" w:sz="6" w:space="0" w:color="auto"/>
            </w:tcBorders>
            <w:hideMark/>
          </w:tcPr>
          <w:p w14:paraId="4573DDBA"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Impact or influence? </w:t>
            </w:r>
          </w:p>
        </w:tc>
        <w:tc>
          <w:tcPr>
            <w:tcW w:w="1134" w:type="dxa"/>
            <w:tcBorders>
              <w:top w:val="single" w:sz="6" w:space="0" w:color="auto"/>
              <w:left w:val="single" w:sz="6" w:space="0" w:color="auto"/>
              <w:bottom w:val="single" w:sz="6" w:space="0" w:color="auto"/>
              <w:right w:val="single" w:sz="6" w:space="0" w:color="auto"/>
            </w:tcBorders>
            <w:hideMark/>
          </w:tcPr>
          <w:p w14:paraId="090DF97F" w14:textId="77777777" w:rsidR="00BB55F5" w:rsidRPr="00BB55F5" w:rsidRDefault="00BB55F5" w:rsidP="00BB55F5">
            <w:pPr>
              <w:spacing w:after="0"/>
              <w:textAlignment w:val="baseline"/>
              <w:rPr>
                <w:rFonts w:ascii="Segoe UI" w:hAnsi="Segoe UI" w:cs="Segoe UI"/>
                <w:sz w:val="18"/>
                <w:szCs w:val="18"/>
                <w:lang w:eastAsia="en-GB"/>
              </w:rPr>
            </w:pPr>
            <w:r w:rsidRPr="00BB55F5">
              <w:rPr>
                <w:rFonts w:cs="Segoe UI"/>
                <w:sz w:val="22"/>
                <w:szCs w:val="22"/>
                <w:lang w:eastAsia="en-GB"/>
              </w:rPr>
              <w:t>Yes </w:t>
            </w:r>
          </w:p>
        </w:tc>
      </w:tr>
    </w:tbl>
    <w:p w14:paraId="6037BD53" w14:textId="77777777" w:rsidR="00514C03" w:rsidRDefault="00BB55F5" w:rsidP="3A3A8981">
      <w:pPr>
        <w:jc w:val="center"/>
        <w:rPr>
          <w:rStyle w:val="normaltextrun"/>
          <w:color w:val="000000"/>
          <w:shd w:val="clear" w:color="auto" w:fill="FFFFFF"/>
        </w:rPr>
      </w:pPr>
      <w:r w:rsidRPr="3A3A8981">
        <w:rPr>
          <w:rStyle w:val="normaltextrun"/>
          <w:color w:val="000000"/>
          <w:shd w:val="clear" w:color="auto" w:fill="FFFFFF"/>
        </w:rPr>
        <w:t xml:space="preserve">Table </w:t>
      </w:r>
      <w:r w:rsidR="00B42A7A" w:rsidRPr="3A3A8981">
        <w:rPr>
          <w:rStyle w:val="normaltextrun"/>
          <w:color w:val="000000"/>
          <w:shd w:val="clear" w:color="auto" w:fill="FFFFFF"/>
        </w:rPr>
        <w:t xml:space="preserve">5: </w:t>
      </w:r>
      <w:r w:rsidRPr="3A3A8981">
        <w:rPr>
          <w:rStyle w:val="normaltextrun"/>
          <w:color w:val="000000"/>
          <w:shd w:val="clear" w:color="auto" w:fill="FFFFFF"/>
        </w:rPr>
        <w:t xml:space="preserve">Quality Appraisal for Grey Literature - </w:t>
      </w:r>
      <w:r w:rsidR="001F7107">
        <w:rPr>
          <w:rStyle w:val="normaltextrun"/>
          <w:color w:val="000000"/>
          <w:shd w:val="clear" w:color="auto" w:fill="FFFFFF"/>
        </w:rPr>
        <w:t>Authority, Accuracy, Coverage, Objectivity, Date, And Significance</w:t>
      </w:r>
      <w:r w:rsidR="001F7107" w:rsidRPr="3A3A8981">
        <w:rPr>
          <w:rStyle w:val="normaltextrun"/>
          <w:color w:val="000000"/>
          <w:shd w:val="clear" w:color="auto" w:fill="FFFFFF"/>
        </w:rPr>
        <w:t xml:space="preserve"> </w:t>
      </w:r>
      <w:r w:rsidRPr="3A3A8981">
        <w:rPr>
          <w:rStyle w:val="normaltextrun"/>
          <w:color w:val="000000"/>
          <w:shd w:val="clear" w:color="auto" w:fill="FFFFFF"/>
        </w:rPr>
        <w:t>checklist</w:t>
      </w:r>
    </w:p>
    <w:p w14:paraId="556707AC" w14:textId="77777777" w:rsidR="00514C03" w:rsidRDefault="00514C03">
      <w:pPr>
        <w:spacing w:after="0"/>
        <w:rPr>
          <w:rStyle w:val="normaltextrun"/>
          <w:color w:val="000000"/>
          <w:shd w:val="clear" w:color="auto" w:fill="FFFFFF"/>
        </w:rPr>
      </w:pPr>
      <w:r>
        <w:rPr>
          <w:rStyle w:val="normaltextrun"/>
          <w:color w:val="000000"/>
          <w:shd w:val="clear" w:color="auto" w:fill="FFFFFF"/>
        </w:rPr>
        <w:br w:type="page"/>
      </w:r>
    </w:p>
    <w:p w14:paraId="6C9E2840" w14:textId="77777777" w:rsidR="51399CC0" w:rsidRPr="00514C03" w:rsidRDefault="16FD9A6E" w:rsidP="00164BE1">
      <w:pPr>
        <w:pStyle w:val="Heading2"/>
        <w:rPr>
          <w:rStyle w:val="normaltextrun"/>
        </w:rPr>
      </w:pPr>
      <w:bookmarkStart w:id="140" w:name="_Toc214026564"/>
      <w:r w:rsidRPr="00164BE1">
        <w:lastRenderedPageBreak/>
        <w:t>Appendix 6</w:t>
      </w:r>
      <w:bookmarkEnd w:id="140"/>
    </w:p>
    <w:p w14:paraId="0A7B0621" w14:textId="77777777" w:rsidR="12F89AD7" w:rsidRPr="00514C03" w:rsidRDefault="1AF5AEA0" w:rsidP="00164BE1">
      <w:pPr>
        <w:pStyle w:val="Heading3"/>
      </w:pPr>
      <w:r w:rsidRPr="00514C03">
        <w:t>Mixed Methods Appraisal Tool</w:t>
      </w:r>
    </w:p>
    <w:p w14:paraId="2CA6E29A" w14:textId="77777777" w:rsidR="12F89AD7" w:rsidRDefault="1AF5AEA0" w:rsidP="6900DDF5">
      <w:pPr>
        <w:rPr>
          <w:rStyle w:val="SuperscriptRefChar"/>
          <w:highlight w:val="yellow"/>
        </w:rPr>
      </w:pPr>
      <w:r>
        <w:t>Of the 32 studies included, 31 were assessed using the Mixed Methods Appraisal Tool</w:t>
      </w:r>
      <w:r w:rsidR="00406C58" w:rsidRPr="00406C58">
        <w:rPr>
          <w:color w:val="000000"/>
          <w:vertAlign w:val="superscript"/>
        </w:rPr>
        <w:t>56</w:t>
      </w:r>
      <w:r>
        <w:t xml:space="preserve"> quality appraisal tool. Details of this quality appraisal can be found in Appendix Table 4 and Appendix 5. All 31 studies received a Yes outcome for the two initial screening questions, which are “Are there clear research questions?” and “Do the collected data allow to address the research questions?”</w:t>
      </w:r>
      <w:r w:rsidR="00406C58" w:rsidRPr="00406C58">
        <w:rPr>
          <w:color w:val="000000"/>
          <w:vertAlign w:val="superscript"/>
        </w:rPr>
        <w:t>56</w:t>
      </w:r>
      <w:r w:rsidRPr="6900DDF5">
        <w:rPr>
          <w:rStyle w:val="SuperscriptRefChar"/>
        </w:rPr>
        <w:t>p. 2</w:t>
      </w:r>
    </w:p>
    <w:p w14:paraId="194FF3C8" w14:textId="77777777" w:rsidR="12F89AD7" w:rsidRDefault="12F89AD7">
      <w:r>
        <w:t xml:space="preserve"> Following screening, 20 studies were identified as qualitative, and their methodological quality was assessed across five areas based on the Mixed Methods Appraisal Tool appraisal guidelines. These areas include the adequacy of the qualitative approach and the data collection methods in relation to the research question, whether the findings and their interpretation are substantiated by the data, and whether there is coherence between data sources, collection, analysis and interpretation.</w:t>
      </w:r>
      <w:r w:rsidR="00406C58" w:rsidRPr="00406C58">
        <w:rPr>
          <w:color w:val="000000"/>
          <w:vertAlign w:val="superscript"/>
        </w:rPr>
        <w:t>56</w:t>
      </w:r>
      <w:r>
        <w:t xml:space="preserve"> Of the 20 studies assessed, 19</w:t>
      </w:r>
      <w:r w:rsidR="00406C58" w:rsidRPr="00406C58">
        <w:rPr>
          <w:color w:val="000000"/>
          <w:vertAlign w:val="superscript"/>
        </w:rPr>
        <w:t>61,63,71–74,76–79,81,84,86–91,112</w:t>
      </w:r>
      <w:r>
        <w:t xml:space="preserve"> were assigned a Yes outcome across all five areas. Only one qualitative study</w:t>
      </w:r>
      <w:r w:rsidR="00406C58" w:rsidRPr="00406C58">
        <w:rPr>
          <w:color w:val="000000"/>
          <w:vertAlign w:val="superscript"/>
        </w:rPr>
        <w:t>85</w:t>
      </w:r>
      <w:r>
        <w:t xml:space="preserve"> received a Can’t Tell judgement, as researchers were unable to ascertain if the interpretation of the results was sufficiently substantiated by data. </w:t>
      </w:r>
    </w:p>
    <w:p w14:paraId="2B47FE39" w14:textId="77777777" w:rsidR="12F89AD7" w:rsidRDefault="12F89AD7">
      <w:r>
        <w:t>An additional eight studies were identified as quantitative descriptive and were assessed across the five areas of the Mixed Methods Appraisal Tool. These areas include the appropriateness of the sampling strategy, measurements and statistical analyses, management of the risk of nonresponse bias and the representativeness of the sample.</w:t>
      </w:r>
      <w:r w:rsidR="00406C58" w:rsidRPr="00406C58">
        <w:rPr>
          <w:color w:val="000000"/>
          <w:vertAlign w:val="superscript"/>
        </w:rPr>
        <w:t>56</w:t>
      </w:r>
      <w:r>
        <w:t xml:space="preserve"> Three of the included studies</w:t>
      </w:r>
      <w:r w:rsidR="00406C58" w:rsidRPr="00406C58">
        <w:rPr>
          <w:color w:val="000000"/>
          <w:vertAlign w:val="superscript"/>
        </w:rPr>
        <w:t>65,67,68</w:t>
      </w:r>
      <w:r>
        <w:t xml:space="preserve"> were assigned a Yes outcome across all five areas. A No judgement was given to two included studies</w:t>
      </w:r>
      <w:r w:rsidR="00406C58" w:rsidRPr="00406C58">
        <w:rPr>
          <w:color w:val="000000"/>
          <w:vertAlign w:val="superscript"/>
        </w:rPr>
        <w:t>62,64</w:t>
      </w:r>
      <w:r>
        <w:t xml:space="preserve"> as it was not evident that the samples of participants were representative of the target population. Two studies</w:t>
      </w:r>
      <w:r w:rsidR="00406C58" w:rsidRPr="00406C58">
        <w:rPr>
          <w:color w:val="000000"/>
          <w:vertAlign w:val="superscript"/>
        </w:rPr>
        <w:t>66,70</w:t>
      </w:r>
      <w:r>
        <w:t xml:space="preserve"> received a Can’t Tell outcome for this question as it was not possible to identify if measures had been taken to manage non-response bias. Finally, one study</w:t>
      </w:r>
      <w:r w:rsidR="00406C58" w:rsidRPr="00406C58">
        <w:rPr>
          <w:color w:val="000000"/>
          <w:vertAlign w:val="superscript"/>
        </w:rPr>
        <w:t>75</w:t>
      </w:r>
      <w:r>
        <w:t xml:space="preserve"> received Can’t Tell judgements across all five areas as details of sampling, measurements, management of non-response bias, and statistical analysis were not readily available. </w:t>
      </w:r>
    </w:p>
    <w:p w14:paraId="03F09DE3" w14:textId="7D3C45F3" w:rsidR="12F89AD7" w:rsidRDefault="12F89AD7">
      <w:r>
        <w:t>The remaining four studies</w:t>
      </w:r>
      <w:r w:rsidR="00406C58" w:rsidRPr="00406C58">
        <w:rPr>
          <w:color w:val="000000"/>
          <w:vertAlign w:val="superscript"/>
        </w:rPr>
        <w:t>69,80,82,83</w:t>
      </w:r>
      <w:r w:rsidRPr="128FF07A">
        <w:rPr>
          <w:rStyle w:val="SuperscriptRefChar"/>
        </w:rPr>
        <w:t xml:space="preserve"> </w:t>
      </w:r>
      <w:r>
        <w:t>were identified as mixed methods, qualitative and quantitative descriptive designs, and were assessed across 15 areas, including five questions about the suitability of a mixed methods design and the integration of the different approaches.</w:t>
      </w:r>
      <w:r w:rsidR="00406C58" w:rsidRPr="00406C58">
        <w:rPr>
          <w:color w:val="000000"/>
          <w:vertAlign w:val="superscript"/>
        </w:rPr>
        <w:t>56</w:t>
      </w:r>
      <w:r>
        <w:t xml:space="preserve"> Only one study</w:t>
      </w:r>
      <w:r w:rsidR="00406C58" w:rsidRPr="00406C58">
        <w:rPr>
          <w:color w:val="000000"/>
          <w:vertAlign w:val="superscript"/>
        </w:rPr>
        <w:t>80</w:t>
      </w:r>
      <w:r>
        <w:t xml:space="preserve"> received a Yes judgement across all 15 indicators. Of the remaining three studies,</w:t>
      </w:r>
      <w:r w:rsidR="00406C58" w:rsidRPr="00406C58">
        <w:rPr>
          <w:color w:val="000000"/>
          <w:vertAlign w:val="superscript"/>
        </w:rPr>
        <w:t>69,82,83</w:t>
      </w:r>
      <w:r>
        <w:t xml:space="preserve"> all received Yes outcomes across all five qualitative areas and one study</w:t>
      </w:r>
      <w:r w:rsidR="00406C58" w:rsidRPr="00406C58">
        <w:rPr>
          <w:color w:val="000000"/>
          <w:vertAlign w:val="superscript"/>
        </w:rPr>
        <w:t>82</w:t>
      </w:r>
      <w:r>
        <w:t xml:space="preserve"> also received Yes outcomes across all five quantitative descriptive indicators. Within the quantitative descriptive appraisal one study</w:t>
      </w:r>
      <w:r w:rsidR="00406C58" w:rsidRPr="00406C58">
        <w:rPr>
          <w:color w:val="000000"/>
          <w:vertAlign w:val="superscript"/>
        </w:rPr>
        <w:t>83</w:t>
      </w:r>
      <w:r>
        <w:t xml:space="preserve"> received a Can’t Tell judgement as it was not clear if the measurements used within this study were appropriate. Additionally, another study</w:t>
      </w:r>
      <w:r w:rsidR="00406C58" w:rsidRPr="00406C58">
        <w:rPr>
          <w:color w:val="000000"/>
          <w:vertAlign w:val="superscript"/>
        </w:rPr>
        <w:t>69</w:t>
      </w:r>
      <w:r>
        <w:t xml:space="preserve"> was given a No judgement as the sample was not seen to represent the </w:t>
      </w:r>
      <w:r>
        <w:lastRenderedPageBreak/>
        <w:t xml:space="preserve">target </w:t>
      </w:r>
      <w:r w:rsidR="003C746D">
        <w:t>population and</w:t>
      </w:r>
      <w:r>
        <w:t xml:space="preserve"> also received a Can’t Tell judgement as it was unclear if there were measures in place to manage nonresponse bias. </w:t>
      </w:r>
    </w:p>
    <w:p w14:paraId="40E5C463" w14:textId="77777777" w:rsidR="12F89AD7" w:rsidRDefault="12F89AD7">
      <w:r>
        <w:t>Regarding the five mixed methods criteria, one study</w:t>
      </w:r>
      <w:r w:rsidR="00406C58" w:rsidRPr="00406C58">
        <w:rPr>
          <w:color w:val="000000"/>
          <w:vertAlign w:val="superscript"/>
        </w:rPr>
        <w:t>83</w:t>
      </w:r>
      <w:r>
        <w:t xml:space="preserve"> received two Can’t Tell outcomes as it was unclear if the outputs of the integration of the qualitative and quantitative results were adequately interpreted, and it was not evident if divergences and inconsistencies between qualitative and quantitative results were adequately addressed. Similarly, another study</w:t>
      </w:r>
      <w:r w:rsidR="00406C58" w:rsidRPr="00406C58">
        <w:rPr>
          <w:color w:val="000000"/>
          <w:vertAlign w:val="superscript"/>
        </w:rPr>
        <w:t>82</w:t>
      </w:r>
      <w:r>
        <w:t xml:space="preserve"> received a No judgement for these criteria also. Finally, a No judgement was assigned to one study</w:t>
      </w:r>
      <w:r w:rsidRPr="66CBBC5B">
        <w:rPr>
          <w:rStyle w:val="SuperscriptRefChar"/>
        </w:rPr>
        <w:t>77</w:t>
      </w:r>
      <w:r>
        <w:t xml:space="preserve"> because it was identified that the different components of the study did not adhere to the quality criteria of each method involved. </w:t>
      </w:r>
    </w:p>
    <w:p w14:paraId="49ABE946" w14:textId="77777777" w:rsidR="4065381B" w:rsidRPr="00514C03" w:rsidRDefault="4065381B" w:rsidP="00514C03">
      <w:pPr>
        <w:pStyle w:val="Heading3"/>
      </w:pPr>
      <w:r w:rsidRPr="00514C03">
        <w:t>Authority, Accuracy, Coverage, Objectivity, Date, And Significance Checklist</w:t>
      </w:r>
    </w:p>
    <w:p w14:paraId="6320FE11" w14:textId="77777777" w:rsidR="4065381B" w:rsidRDefault="4065381B">
      <w:r>
        <w:t>A single report</w:t>
      </w:r>
      <w:r w:rsidR="00406C58" w:rsidRPr="00406C58">
        <w:rPr>
          <w:color w:val="000000"/>
          <w:vertAlign w:val="superscript"/>
        </w:rPr>
        <w:t>60</w:t>
      </w:r>
      <w:r>
        <w:t xml:space="preserve"> was assessed using the domains of the Authority, Accuracy, Coverage, Objectivity, Date, And Significance </w:t>
      </w:r>
      <w:r w:rsidR="00F474F5">
        <w:t xml:space="preserve">(AACODS) </w:t>
      </w:r>
      <w:r>
        <w:t>checklist.</w:t>
      </w:r>
      <w:r w:rsidR="00406C58" w:rsidRPr="00406C58">
        <w:rPr>
          <w:color w:val="000000"/>
          <w:vertAlign w:val="superscript"/>
        </w:rPr>
        <w:t>58</w:t>
      </w:r>
      <w:r>
        <w:t xml:space="preserve"> A No judgement was given relating to the lack of inclusion of documented references and a detailed reference list. It was also not possible to identify a stated methodology, whether the report had been peer reviewed, and, as a secondary report, whether the results were based on an accurate unbiased interpretation. As such, it was given a Can’t Tell outcome for these indicators, while the remaining indicators received Yes outcomes. Details can be found in Appendix Table 5.</w:t>
      </w:r>
    </w:p>
    <w:p w14:paraId="03BFB1A3" w14:textId="77777777" w:rsidR="128FF07A" w:rsidRDefault="128FF07A" w:rsidP="128FF07A">
      <w:pPr>
        <w:sectPr w:rsidR="128FF07A" w:rsidSect="003C746D">
          <w:pgSz w:w="12240" w:h="15840"/>
          <w:pgMar w:top="1440" w:right="1800" w:bottom="1440" w:left="1800" w:header="708" w:footer="708" w:gutter="0"/>
          <w:cols w:space="708"/>
          <w:docGrid w:linePitch="360"/>
        </w:sectPr>
      </w:pPr>
    </w:p>
    <w:p w14:paraId="6C0E7D6C" w14:textId="77777777" w:rsidR="00AF77B4" w:rsidRPr="002F7E97" w:rsidRDefault="04706AD9" w:rsidP="00164BE1">
      <w:pPr>
        <w:pStyle w:val="Heading2"/>
        <w:rPr>
          <w:rStyle w:val="normaltextrun"/>
          <w:color w:val="000000"/>
        </w:rPr>
      </w:pPr>
      <w:bookmarkStart w:id="141" w:name="_Toc214026565"/>
      <w:r>
        <w:lastRenderedPageBreak/>
        <w:t>Appendix 7</w:t>
      </w:r>
      <w:bookmarkEnd w:id="141"/>
    </w:p>
    <w:p w14:paraId="02EE95D1" w14:textId="2BF032DF" w:rsidR="00AF77B4" w:rsidRDefault="004E4756" w:rsidP="00B14618">
      <w:pPr>
        <w:rPr>
          <w:rStyle w:val="normaltextrun"/>
          <w:color w:val="000000"/>
          <w:shd w:val="clear" w:color="auto" w:fill="FFFFFF"/>
        </w:rPr>
      </w:pPr>
      <w:r w:rsidRPr="00C84F7B">
        <w:rPr>
          <w:noProof/>
        </w:rPr>
        <w:drawing>
          <wp:inline distT="0" distB="0" distL="0" distR="0" wp14:anchorId="6DDC6BE5" wp14:editId="063149FD">
            <wp:extent cx="6000750" cy="6715125"/>
            <wp:effectExtent l="0" t="0" r="0" b="0"/>
            <wp:docPr id="1" name="Picture 1" descr="A PRISMA (Preferred Reporting Items for Systematic Reviews and Meta-Analyses) flow diagram illustrates the study selection process for a systematic review. The flow is structured vertically: identification at the top, screening in the middle, and inclusion at the bottom.&#10;&#10;Identification stage:&#10;&#10;Studies identified from databases and registers (n = 1394), including:&#10;&#10;Academic Search Complete (n = 407)&#10;&#10;PubMed (n = 373)&#10;&#10;PsycINFO (n = 342)&#10;&#10;CINAHL (n = 130)&#10;&#10;Google Scholar (n = 70)&#10;&#10;SocIndex (n = 32)&#10;&#10;BASE (n = 30)&#10;&#10;PsycArticles (n = 7)&#10;&#10;WorldCat (n = 3)&#10;&#10;References from other sources (grey literature) (n = 587).&#10;&#10;References removed due to duplication (n = 727):&#10;&#10;Duplicates identified manually (n = 16).&#10;&#10;Duplicates identified by Covidence (n = 711).&#10;&#10;Screening stage:&#10;&#10;Studies screened (n = 1254).&#10;&#10;Studies excluded (n = 1143).&#10;&#10;Studies sought for retrieval (n = 111), with none not retrieved (n = 0).&#10;&#10;Studies assessed for eligibility (n = 111).&#10;&#10;Studies excluded (n = 79) with reasons:&#10;&#10;Wrong setting (n = 4).&#10;&#10;Wrong outcomes (n = 20).&#10;&#10;Wrong indication (n = 2).&#10;&#10;Article retracted (n = 1).&#10;&#10;Wrong intervention (n = 10).&#10;&#10;Wrong study design (n = 28).&#10;&#10;Wrong patient population (n = 14).&#10;&#10;Included stage:&#10;&#10;Studies included in review (n = 3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RISMA (Preferred Reporting Items for Systematic Reviews and Meta-Analyses) flow diagram illustrates the study selection process for a systematic review. The flow is structured vertically: identification at the top, screening in the middle, and inclusion at the bottom.&#10;&#10;Identification stage:&#10;&#10;Studies identified from databases and registers (n = 1394), including:&#10;&#10;Academic Search Complete (n = 407)&#10;&#10;PubMed (n = 373)&#10;&#10;PsycINFO (n = 342)&#10;&#10;CINAHL (n = 130)&#10;&#10;Google Scholar (n = 70)&#10;&#10;SocIndex (n = 32)&#10;&#10;BASE (n = 30)&#10;&#10;PsycArticles (n = 7)&#10;&#10;WorldCat (n = 3)&#10;&#10;References from other sources (grey literature) (n = 587).&#10;&#10;References removed due to duplication (n = 727):&#10;&#10;Duplicates identified manually (n = 16).&#10;&#10;Duplicates identified by Covidence (n = 711).&#10;&#10;Screening stage:&#10;&#10;Studies screened (n = 1254).&#10;&#10;Studies excluded (n = 1143).&#10;&#10;Studies sought for retrieval (n = 111), with none not retrieved (n = 0).&#10;&#10;Studies assessed for eligibility (n = 111).&#10;&#10;Studies excluded (n = 79) with reasons:&#10;&#10;Wrong setting (n = 4).&#10;&#10;Wrong outcomes (n = 20).&#10;&#10;Wrong indication (n = 2).&#10;&#10;Article retracted (n = 1).&#10;&#10;Wrong intervention (n = 10).&#10;&#10;Wrong study design (n = 28).&#10;&#10;Wrong patient population (n = 14).&#10;&#10;Included stage:&#10;&#10;Studies included in review (n = 32).&#10;&#10;"/>
                    <pic:cNvPicPr>
                      <a:picLocks noRot="1" noChangeAspect="1" noEditPoints="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6715125"/>
                    </a:xfrm>
                    <a:prstGeom prst="rect">
                      <a:avLst/>
                    </a:prstGeom>
                    <a:noFill/>
                    <a:ln>
                      <a:noFill/>
                    </a:ln>
                  </pic:spPr>
                </pic:pic>
              </a:graphicData>
            </a:graphic>
          </wp:inline>
        </w:drawing>
      </w:r>
    </w:p>
    <w:p w14:paraId="15F636E3" w14:textId="77777777" w:rsidR="00B42A7A" w:rsidRPr="002C79F7" w:rsidRDefault="00B42A7A" w:rsidP="003C746D">
      <w:pPr>
        <w:rPr>
          <w:shd w:val="clear" w:color="auto" w:fill="FFFFFF"/>
        </w:rPr>
      </w:pPr>
      <w:r w:rsidRPr="003C746D">
        <w:rPr>
          <w:rStyle w:val="normaltextrun"/>
          <w:b/>
          <w:bCs/>
          <w:shd w:val="clear" w:color="auto" w:fill="FFFFFF"/>
        </w:rPr>
        <w:t>Figure 1:</w:t>
      </w:r>
      <w:r w:rsidRPr="3A3A8981">
        <w:rPr>
          <w:rStyle w:val="normaltextrun"/>
          <w:shd w:val="clear" w:color="auto" w:fill="FFFFFF"/>
        </w:rPr>
        <w:t xml:space="preserve"> P</w:t>
      </w:r>
      <w:r w:rsidR="001F7107">
        <w:rPr>
          <w:rStyle w:val="normaltextrun"/>
          <w:shd w:val="clear" w:color="auto" w:fill="FFFFFF"/>
        </w:rPr>
        <w:t>RISMA</w:t>
      </w:r>
      <w:r w:rsidRPr="3A3A8981">
        <w:rPr>
          <w:rStyle w:val="normaltextrun"/>
          <w:shd w:val="clear" w:color="auto" w:fill="FFFFFF"/>
        </w:rPr>
        <w:t xml:space="preserve"> Flow Chart</w:t>
      </w:r>
    </w:p>
    <w:sectPr w:rsidR="00B42A7A" w:rsidRPr="002C79F7" w:rsidSect="0033327F">
      <w:headerReference w:type="default" r:id="rId28"/>
      <w:headerReference w:type="first" r:id="rId29"/>
      <w:footerReference w:type="first" r:id="rId3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96B40" w14:textId="77777777" w:rsidR="002F6785" w:rsidRDefault="002F6785">
      <w:r>
        <w:separator/>
      </w:r>
    </w:p>
  </w:endnote>
  <w:endnote w:type="continuationSeparator" w:id="0">
    <w:p w14:paraId="78417975" w14:textId="77777777" w:rsidR="002F6785" w:rsidRDefault="002F6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Arial"/>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8B7B7" w14:textId="77777777" w:rsidR="007A6EC7" w:rsidRDefault="007A6EC7" w:rsidP="00BD58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14:paraId="7A5C90B1" w14:textId="77777777" w:rsidR="007A6EC7" w:rsidRDefault="007A6EC7" w:rsidP="00BD58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F89A7" w14:textId="77777777" w:rsidR="00BD5833" w:rsidRDefault="00BD5833" w:rsidP="00BD583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p w14:paraId="33D09998" w14:textId="77777777" w:rsidR="009C4D62" w:rsidRDefault="009C4D62" w:rsidP="00BD5833">
    <w:pPr>
      <w:pStyle w:val="Footer"/>
      <w:ind w:right="360"/>
      <w:jc w:val="center"/>
    </w:pPr>
  </w:p>
  <w:p w14:paraId="64A13276" w14:textId="77777777" w:rsidR="009C4D62" w:rsidRDefault="009C4D62" w:rsidP="3A3A8981">
    <w:pPr>
      <w:pStyle w:val="Footer"/>
      <w:jc w:val="right"/>
    </w:pPr>
  </w:p>
  <w:p w14:paraId="1719B555" w14:textId="77777777" w:rsidR="009C4D62" w:rsidRDefault="009C4D62" w:rsidP="3A3A8981">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A3A8981" w14:paraId="356EA49E" w14:textId="77777777" w:rsidTr="3A3A8981">
      <w:trPr>
        <w:trHeight w:val="300"/>
      </w:trPr>
      <w:tc>
        <w:tcPr>
          <w:tcW w:w="2880" w:type="dxa"/>
        </w:tcPr>
        <w:p w14:paraId="049D4B2F" w14:textId="77777777" w:rsidR="3A3A8981" w:rsidRDefault="3A3A8981" w:rsidP="3A3A8981">
          <w:pPr>
            <w:pStyle w:val="Header"/>
            <w:ind w:left="-115"/>
          </w:pPr>
        </w:p>
      </w:tc>
      <w:tc>
        <w:tcPr>
          <w:tcW w:w="2880" w:type="dxa"/>
        </w:tcPr>
        <w:p w14:paraId="215A03B2" w14:textId="77777777" w:rsidR="3A3A8981" w:rsidRDefault="3A3A8981" w:rsidP="3A3A8981">
          <w:pPr>
            <w:pStyle w:val="Header"/>
            <w:jc w:val="center"/>
          </w:pPr>
        </w:p>
      </w:tc>
      <w:tc>
        <w:tcPr>
          <w:tcW w:w="2880" w:type="dxa"/>
        </w:tcPr>
        <w:p w14:paraId="154C914B" w14:textId="77777777" w:rsidR="3A3A8981" w:rsidRDefault="3A3A8981" w:rsidP="3A3A8981">
          <w:pPr>
            <w:pStyle w:val="Header"/>
            <w:ind w:right="-115"/>
            <w:jc w:val="right"/>
          </w:pPr>
        </w:p>
      </w:tc>
    </w:tr>
  </w:tbl>
  <w:p w14:paraId="70AE07FA" w14:textId="77777777" w:rsidR="0046150A" w:rsidRDefault="004615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3A3A8981" w14:paraId="1AF9F717" w14:textId="77777777" w:rsidTr="3A3A8981">
      <w:trPr>
        <w:trHeight w:val="300"/>
      </w:trPr>
      <w:tc>
        <w:tcPr>
          <w:tcW w:w="4320" w:type="dxa"/>
        </w:tcPr>
        <w:p w14:paraId="5CEFE913" w14:textId="77777777" w:rsidR="3A3A8981" w:rsidRDefault="3A3A8981" w:rsidP="3A3A8981">
          <w:pPr>
            <w:pStyle w:val="Header"/>
            <w:ind w:left="-115"/>
          </w:pPr>
        </w:p>
      </w:tc>
      <w:tc>
        <w:tcPr>
          <w:tcW w:w="4320" w:type="dxa"/>
        </w:tcPr>
        <w:p w14:paraId="7ACD641A" w14:textId="77777777" w:rsidR="3A3A8981" w:rsidRDefault="3A3A8981" w:rsidP="3A3A8981">
          <w:pPr>
            <w:pStyle w:val="Header"/>
            <w:jc w:val="center"/>
          </w:pPr>
        </w:p>
      </w:tc>
      <w:tc>
        <w:tcPr>
          <w:tcW w:w="4320" w:type="dxa"/>
        </w:tcPr>
        <w:p w14:paraId="3486305C" w14:textId="77777777" w:rsidR="3A3A8981" w:rsidRDefault="3A3A8981" w:rsidP="3A3A8981">
          <w:pPr>
            <w:pStyle w:val="Header"/>
            <w:ind w:right="-115"/>
            <w:jc w:val="right"/>
          </w:pPr>
        </w:p>
      </w:tc>
    </w:tr>
  </w:tbl>
  <w:p w14:paraId="0288F3A4" w14:textId="77777777" w:rsidR="0046150A" w:rsidRDefault="0046150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3A3A8981" w14:paraId="5BA79F29" w14:textId="77777777" w:rsidTr="3A3A8981">
      <w:trPr>
        <w:trHeight w:val="300"/>
      </w:trPr>
      <w:tc>
        <w:tcPr>
          <w:tcW w:w="4320" w:type="dxa"/>
        </w:tcPr>
        <w:p w14:paraId="08CE5523" w14:textId="77777777" w:rsidR="3A3A8981" w:rsidRDefault="3A3A8981" w:rsidP="3A3A8981">
          <w:pPr>
            <w:pStyle w:val="Header"/>
            <w:ind w:left="-115"/>
          </w:pPr>
        </w:p>
      </w:tc>
      <w:tc>
        <w:tcPr>
          <w:tcW w:w="4320" w:type="dxa"/>
        </w:tcPr>
        <w:p w14:paraId="6EA4DFB3" w14:textId="77777777" w:rsidR="3A3A8981" w:rsidRDefault="3A3A8981" w:rsidP="3A3A8981">
          <w:pPr>
            <w:pStyle w:val="Header"/>
            <w:jc w:val="center"/>
          </w:pPr>
        </w:p>
      </w:tc>
      <w:tc>
        <w:tcPr>
          <w:tcW w:w="4320" w:type="dxa"/>
        </w:tcPr>
        <w:p w14:paraId="4626DAE0" w14:textId="77777777" w:rsidR="3A3A8981" w:rsidRDefault="3A3A8981" w:rsidP="3A3A8981">
          <w:pPr>
            <w:pStyle w:val="Header"/>
            <w:ind w:right="-115"/>
            <w:jc w:val="right"/>
          </w:pPr>
        </w:p>
      </w:tc>
    </w:tr>
  </w:tbl>
  <w:p w14:paraId="4891D54A" w14:textId="77777777" w:rsidR="0046150A" w:rsidRDefault="0046150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A3A8981" w14:paraId="23687FB2" w14:textId="77777777" w:rsidTr="3A3A8981">
      <w:trPr>
        <w:trHeight w:val="300"/>
      </w:trPr>
      <w:tc>
        <w:tcPr>
          <w:tcW w:w="2880" w:type="dxa"/>
        </w:tcPr>
        <w:p w14:paraId="64EBCAEA" w14:textId="77777777" w:rsidR="3A3A8981" w:rsidRDefault="3A3A8981" w:rsidP="3A3A8981">
          <w:pPr>
            <w:pStyle w:val="Header"/>
            <w:ind w:left="-115"/>
          </w:pPr>
        </w:p>
      </w:tc>
      <w:tc>
        <w:tcPr>
          <w:tcW w:w="2880" w:type="dxa"/>
        </w:tcPr>
        <w:p w14:paraId="44D4723C" w14:textId="77777777" w:rsidR="3A3A8981" w:rsidRDefault="3A3A8981" w:rsidP="3A3A8981">
          <w:pPr>
            <w:pStyle w:val="Header"/>
            <w:jc w:val="center"/>
          </w:pPr>
        </w:p>
      </w:tc>
      <w:tc>
        <w:tcPr>
          <w:tcW w:w="2880" w:type="dxa"/>
        </w:tcPr>
        <w:p w14:paraId="252F51F9" w14:textId="77777777" w:rsidR="3A3A8981" w:rsidRDefault="3A3A8981" w:rsidP="3A3A8981">
          <w:pPr>
            <w:pStyle w:val="Header"/>
            <w:ind w:right="-115"/>
            <w:jc w:val="right"/>
          </w:pPr>
        </w:p>
      </w:tc>
    </w:tr>
  </w:tbl>
  <w:p w14:paraId="7AF79904" w14:textId="77777777" w:rsidR="0046150A" w:rsidRDefault="004615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EACFD" w14:textId="77777777" w:rsidR="002F6785" w:rsidRDefault="002F6785">
      <w:r>
        <w:separator/>
      </w:r>
    </w:p>
  </w:footnote>
  <w:footnote w:type="continuationSeparator" w:id="0">
    <w:p w14:paraId="48642885" w14:textId="77777777" w:rsidR="002F6785" w:rsidRDefault="002F6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A3A8981" w14:paraId="7164784B" w14:textId="77777777" w:rsidTr="3A3A8981">
      <w:trPr>
        <w:trHeight w:val="300"/>
      </w:trPr>
      <w:tc>
        <w:tcPr>
          <w:tcW w:w="2880" w:type="dxa"/>
        </w:tcPr>
        <w:p w14:paraId="639CF829" w14:textId="77777777" w:rsidR="3A3A8981" w:rsidRDefault="3A3A8981" w:rsidP="3A3A8981">
          <w:pPr>
            <w:pStyle w:val="Header"/>
            <w:ind w:left="-115"/>
          </w:pPr>
        </w:p>
      </w:tc>
      <w:tc>
        <w:tcPr>
          <w:tcW w:w="2880" w:type="dxa"/>
        </w:tcPr>
        <w:p w14:paraId="17E9183C" w14:textId="77777777" w:rsidR="3A3A8981" w:rsidRDefault="3A3A8981" w:rsidP="3A3A8981">
          <w:pPr>
            <w:pStyle w:val="Header"/>
            <w:jc w:val="center"/>
          </w:pPr>
        </w:p>
      </w:tc>
      <w:tc>
        <w:tcPr>
          <w:tcW w:w="2880" w:type="dxa"/>
        </w:tcPr>
        <w:p w14:paraId="64537961" w14:textId="77777777" w:rsidR="3A3A8981" w:rsidRDefault="3A3A8981" w:rsidP="3A3A8981">
          <w:pPr>
            <w:pStyle w:val="Header"/>
            <w:ind w:right="-115"/>
            <w:jc w:val="right"/>
          </w:pPr>
        </w:p>
      </w:tc>
    </w:tr>
  </w:tbl>
  <w:p w14:paraId="3667D154" w14:textId="77777777" w:rsidR="0046150A" w:rsidRDefault="004615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6AAF2" w14:textId="77777777" w:rsidR="02A7DC7A" w:rsidRDefault="02A7DC7A" w:rsidP="02A7D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3A3A8981" w14:paraId="23C9E615" w14:textId="77777777" w:rsidTr="3A3A8981">
      <w:trPr>
        <w:trHeight w:val="300"/>
      </w:trPr>
      <w:tc>
        <w:tcPr>
          <w:tcW w:w="4320" w:type="dxa"/>
        </w:tcPr>
        <w:p w14:paraId="305C4A8F" w14:textId="77777777" w:rsidR="3A3A8981" w:rsidRDefault="3A3A8981" w:rsidP="3A3A8981">
          <w:pPr>
            <w:pStyle w:val="Header"/>
            <w:ind w:left="-115"/>
          </w:pPr>
        </w:p>
      </w:tc>
      <w:tc>
        <w:tcPr>
          <w:tcW w:w="4320" w:type="dxa"/>
        </w:tcPr>
        <w:p w14:paraId="5FA51DB9" w14:textId="77777777" w:rsidR="3A3A8981" w:rsidRDefault="3A3A8981" w:rsidP="3A3A8981">
          <w:pPr>
            <w:pStyle w:val="Header"/>
            <w:jc w:val="center"/>
          </w:pPr>
        </w:p>
      </w:tc>
      <w:tc>
        <w:tcPr>
          <w:tcW w:w="4320" w:type="dxa"/>
        </w:tcPr>
        <w:p w14:paraId="5C7230E0" w14:textId="77777777" w:rsidR="3A3A8981" w:rsidRDefault="3A3A8981" w:rsidP="3A3A8981">
          <w:pPr>
            <w:pStyle w:val="Header"/>
            <w:ind w:right="-115"/>
            <w:jc w:val="right"/>
          </w:pPr>
        </w:p>
      </w:tc>
    </w:tr>
  </w:tbl>
  <w:p w14:paraId="138C6BE7" w14:textId="77777777" w:rsidR="0046150A" w:rsidRDefault="0046150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F27AB" w14:textId="77777777" w:rsidR="02A7DC7A" w:rsidRDefault="02A7DC7A" w:rsidP="02A7DC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320"/>
      <w:gridCol w:w="4320"/>
      <w:gridCol w:w="4320"/>
    </w:tblGrid>
    <w:tr w:rsidR="3A3A8981" w14:paraId="5F4D2BDC" w14:textId="77777777" w:rsidTr="3A3A8981">
      <w:trPr>
        <w:trHeight w:val="300"/>
      </w:trPr>
      <w:tc>
        <w:tcPr>
          <w:tcW w:w="4320" w:type="dxa"/>
        </w:tcPr>
        <w:p w14:paraId="44CF3182" w14:textId="77777777" w:rsidR="3A3A8981" w:rsidRDefault="3A3A8981" w:rsidP="3A3A8981">
          <w:pPr>
            <w:pStyle w:val="Header"/>
            <w:ind w:left="-115"/>
          </w:pPr>
        </w:p>
      </w:tc>
      <w:tc>
        <w:tcPr>
          <w:tcW w:w="4320" w:type="dxa"/>
        </w:tcPr>
        <w:p w14:paraId="5BAB1C25" w14:textId="77777777" w:rsidR="3A3A8981" w:rsidRDefault="3A3A8981" w:rsidP="3A3A8981">
          <w:pPr>
            <w:pStyle w:val="Header"/>
            <w:jc w:val="center"/>
          </w:pPr>
        </w:p>
      </w:tc>
      <w:tc>
        <w:tcPr>
          <w:tcW w:w="4320" w:type="dxa"/>
        </w:tcPr>
        <w:p w14:paraId="4E63A210" w14:textId="77777777" w:rsidR="3A3A8981" w:rsidRDefault="3A3A8981" w:rsidP="3A3A8981">
          <w:pPr>
            <w:pStyle w:val="Header"/>
            <w:ind w:right="-115"/>
            <w:jc w:val="right"/>
          </w:pPr>
        </w:p>
      </w:tc>
    </w:tr>
  </w:tbl>
  <w:p w14:paraId="2E986DEA" w14:textId="77777777" w:rsidR="0046150A" w:rsidRDefault="0046150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B6AF3" w14:textId="77777777" w:rsidR="02A7DC7A" w:rsidRDefault="02A7DC7A" w:rsidP="02A7DC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A3A8981" w14:paraId="49AC42A1" w14:textId="77777777" w:rsidTr="3A3A8981">
      <w:trPr>
        <w:trHeight w:val="300"/>
      </w:trPr>
      <w:tc>
        <w:tcPr>
          <w:tcW w:w="2880" w:type="dxa"/>
        </w:tcPr>
        <w:p w14:paraId="7BC1B07D" w14:textId="77777777" w:rsidR="3A3A8981" w:rsidRDefault="3A3A8981" w:rsidP="3A3A8981">
          <w:pPr>
            <w:pStyle w:val="Header"/>
            <w:ind w:left="-115"/>
          </w:pPr>
        </w:p>
      </w:tc>
      <w:tc>
        <w:tcPr>
          <w:tcW w:w="2880" w:type="dxa"/>
        </w:tcPr>
        <w:p w14:paraId="509C96A2" w14:textId="77777777" w:rsidR="3A3A8981" w:rsidRDefault="3A3A8981" w:rsidP="3A3A8981">
          <w:pPr>
            <w:pStyle w:val="Header"/>
            <w:jc w:val="center"/>
          </w:pPr>
        </w:p>
      </w:tc>
      <w:tc>
        <w:tcPr>
          <w:tcW w:w="2880" w:type="dxa"/>
        </w:tcPr>
        <w:p w14:paraId="224B9BFF" w14:textId="77777777" w:rsidR="3A3A8981" w:rsidRDefault="3A3A8981" w:rsidP="3A3A8981">
          <w:pPr>
            <w:pStyle w:val="Header"/>
            <w:ind w:right="-115"/>
            <w:jc w:val="right"/>
          </w:pPr>
        </w:p>
      </w:tc>
    </w:tr>
  </w:tbl>
  <w:p w14:paraId="7084EEC8" w14:textId="77777777" w:rsidR="0046150A" w:rsidRDefault="004615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C66E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D4F86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D0E67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8587E54"/>
    <w:lvl w:ilvl="0">
      <w:start w:val="1"/>
      <w:numFmt w:val="decimal"/>
      <w:pStyle w:val="ListNumber2"/>
      <w:lvlText w:val="%1."/>
      <w:lvlJc w:val="left"/>
      <w:pPr>
        <w:tabs>
          <w:tab w:val="num" w:pos="641"/>
        </w:tabs>
        <w:ind w:left="641" w:hanging="357"/>
      </w:pPr>
      <w:rPr>
        <w:rFonts w:hint="default"/>
      </w:rPr>
    </w:lvl>
  </w:abstractNum>
  <w:abstractNum w:abstractNumId="4" w15:restartNumberingAfterBreak="0">
    <w:nsid w:val="FFFFFF80"/>
    <w:multiLevelType w:val="singleLevel"/>
    <w:tmpl w:val="568CB6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2813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28FE14"/>
    <w:lvl w:ilvl="0">
      <w:start w:val="1"/>
      <w:numFmt w:val="bullet"/>
      <w:pStyle w:val="ListBullet3"/>
      <w:lvlText w:val=""/>
      <w:lvlJc w:val="left"/>
      <w:pPr>
        <w:tabs>
          <w:tab w:val="num" w:pos="360"/>
        </w:tabs>
        <w:ind w:left="360" w:hanging="360"/>
      </w:pPr>
      <w:rPr>
        <w:rFonts w:ascii="Symbol" w:hAnsi="Symbol" w:hint="default"/>
        <w:sz w:val="20"/>
        <w:szCs w:val="20"/>
      </w:rPr>
    </w:lvl>
  </w:abstractNum>
  <w:abstractNum w:abstractNumId="7" w15:restartNumberingAfterBreak="0">
    <w:nsid w:val="FFFFFF83"/>
    <w:multiLevelType w:val="singleLevel"/>
    <w:tmpl w:val="1B8401F8"/>
    <w:lvl w:ilvl="0">
      <w:start w:val="1"/>
      <w:numFmt w:val="bullet"/>
      <w:pStyle w:val="ListBullet2"/>
      <w:lvlText w:val=""/>
      <w:lvlJc w:val="left"/>
      <w:pPr>
        <w:tabs>
          <w:tab w:val="num" w:pos="717"/>
        </w:tabs>
        <w:ind w:left="717" w:hanging="360"/>
      </w:pPr>
      <w:rPr>
        <w:rFonts w:ascii="Symbol" w:hAnsi="Symbol" w:cs="Times New Roman" w:hint="default"/>
        <w:sz w:val="20"/>
        <w:szCs w:val="20"/>
      </w:rPr>
    </w:lvl>
  </w:abstractNum>
  <w:abstractNum w:abstractNumId="8" w15:restartNumberingAfterBreak="0">
    <w:nsid w:val="FFFFFF88"/>
    <w:multiLevelType w:val="singleLevel"/>
    <w:tmpl w:val="5A3418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48239A0"/>
    <w:lvl w:ilvl="0">
      <w:start w:val="1"/>
      <w:numFmt w:val="bullet"/>
      <w:pStyle w:val="ListBullet"/>
      <w:lvlText w:val=""/>
      <w:lvlJc w:val="left"/>
      <w:pPr>
        <w:tabs>
          <w:tab w:val="num" w:pos="360"/>
        </w:tabs>
        <w:ind w:left="360" w:hanging="360"/>
      </w:pPr>
      <w:rPr>
        <w:rFonts w:ascii="Symbol" w:hAnsi="Symbol" w:hint="default"/>
        <w:sz w:val="20"/>
        <w:szCs w:val="20"/>
      </w:rPr>
    </w:lvl>
  </w:abstractNum>
  <w:abstractNum w:abstractNumId="10" w15:restartNumberingAfterBreak="0">
    <w:nsid w:val="058C0E59"/>
    <w:multiLevelType w:val="multilevel"/>
    <w:tmpl w:val="56D6C680"/>
    <w:lvl w:ilvl="0">
      <w:start w:val="1"/>
      <w:numFmt w:val="bullet"/>
      <w:pStyle w:val="SuperscriptRef"/>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5B77A41"/>
    <w:multiLevelType w:val="multilevel"/>
    <w:tmpl w:val="E4C4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0A4B5B"/>
    <w:multiLevelType w:val="hybridMultilevel"/>
    <w:tmpl w:val="FFFFFFFF"/>
    <w:lvl w:ilvl="0" w:tplc="0B668644">
      <w:start w:val="1"/>
      <w:numFmt w:val="bullet"/>
      <w:lvlText w:val=""/>
      <w:lvlJc w:val="left"/>
      <w:pPr>
        <w:ind w:left="720" w:hanging="360"/>
      </w:pPr>
      <w:rPr>
        <w:rFonts w:ascii="Symbol" w:hAnsi="Symbol" w:hint="default"/>
      </w:rPr>
    </w:lvl>
    <w:lvl w:ilvl="1" w:tplc="59C0A584">
      <w:start w:val="1"/>
      <w:numFmt w:val="bullet"/>
      <w:lvlText w:val="o"/>
      <w:lvlJc w:val="left"/>
      <w:pPr>
        <w:ind w:left="1440" w:hanging="360"/>
      </w:pPr>
      <w:rPr>
        <w:rFonts w:ascii="Courier New" w:hAnsi="Courier New" w:hint="default"/>
      </w:rPr>
    </w:lvl>
    <w:lvl w:ilvl="2" w:tplc="65EEC772">
      <w:start w:val="1"/>
      <w:numFmt w:val="bullet"/>
      <w:lvlText w:val=""/>
      <w:lvlJc w:val="left"/>
      <w:pPr>
        <w:ind w:left="2160" w:hanging="360"/>
      </w:pPr>
      <w:rPr>
        <w:rFonts w:ascii="Wingdings" w:hAnsi="Wingdings" w:hint="default"/>
      </w:rPr>
    </w:lvl>
    <w:lvl w:ilvl="3" w:tplc="EF30B1B4">
      <w:start w:val="1"/>
      <w:numFmt w:val="bullet"/>
      <w:lvlText w:val=""/>
      <w:lvlJc w:val="left"/>
      <w:pPr>
        <w:ind w:left="2880" w:hanging="360"/>
      </w:pPr>
      <w:rPr>
        <w:rFonts w:ascii="Symbol" w:hAnsi="Symbol" w:hint="default"/>
      </w:rPr>
    </w:lvl>
    <w:lvl w:ilvl="4" w:tplc="D3969E54">
      <w:start w:val="1"/>
      <w:numFmt w:val="bullet"/>
      <w:lvlText w:val="o"/>
      <w:lvlJc w:val="left"/>
      <w:pPr>
        <w:ind w:left="3600" w:hanging="360"/>
      </w:pPr>
      <w:rPr>
        <w:rFonts w:ascii="Courier New" w:hAnsi="Courier New" w:hint="default"/>
      </w:rPr>
    </w:lvl>
    <w:lvl w:ilvl="5" w:tplc="62A016A8">
      <w:start w:val="1"/>
      <w:numFmt w:val="bullet"/>
      <w:lvlText w:val=""/>
      <w:lvlJc w:val="left"/>
      <w:pPr>
        <w:ind w:left="4320" w:hanging="360"/>
      </w:pPr>
      <w:rPr>
        <w:rFonts w:ascii="Wingdings" w:hAnsi="Wingdings" w:hint="default"/>
      </w:rPr>
    </w:lvl>
    <w:lvl w:ilvl="6" w:tplc="7FFEACFE">
      <w:start w:val="1"/>
      <w:numFmt w:val="bullet"/>
      <w:lvlText w:val=""/>
      <w:lvlJc w:val="left"/>
      <w:pPr>
        <w:ind w:left="5040" w:hanging="360"/>
      </w:pPr>
      <w:rPr>
        <w:rFonts w:ascii="Symbol" w:hAnsi="Symbol" w:hint="default"/>
      </w:rPr>
    </w:lvl>
    <w:lvl w:ilvl="7" w:tplc="08341CF8">
      <w:start w:val="1"/>
      <w:numFmt w:val="bullet"/>
      <w:lvlText w:val="o"/>
      <w:lvlJc w:val="left"/>
      <w:pPr>
        <w:ind w:left="5760" w:hanging="360"/>
      </w:pPr>
      <w:rPr>
        <w:rFonts w:ascii="Courier New" w:hAnsi="Courier New" w:hint="default"/>
      </w:rPr>
    </w:lvl>
    <w:lvl w:ilvl="8" w:tplc="C58880D2">
      <w:start w:val="1"/>
      <w:numFmt w:val="bullet"/>
      <w:lvlText w:val=""/>
      <w:lvlJc w:val="left"/>
      <w:pPr>
        <w:ind w:left="6480" w:hanging="360"/>
      </w:pPr>
      <w:rPr>
        <w:rFonts w:ascii="Wingdings" w:hAnsi="Wingdings" w:hint="default"/>
      </w:rPr>
    </w:lvl>
  </w:abstractNum>
  <w:abstractNum w:abstractNumId="13" w15:restartNumberingAfterBreak="0">
    <w:nsid w:val="0E9C9ACF"/>
    <w:multiLevelType w:val="hybridMultilevel"/>
    <w:tmpl w:val="FFFFFFFF"/>
    <w:lvl w:ilvl="0" w:tplc="988A6934">
      <w:start w:val="1"/>
      <w:numFmt w:val="decimal"/>
      <w:lvlText w:val="%1."/>
      <w:lvlJc w:val="left"/>
      <w:pPr>
        <w:ind w:left="720" w:hanging="360"/>
      </w:pPr>
    </w:lvl>
    <w:lvl w:ilvl="1" w:tplc="468618B0">
      <w:start w:val="1"/>
      <w:numFmt w:val="decimal"/>
      <w:lvlText w:val="%2."/>
      <w:lvlJc w:val="left"/>
      <w:pPr>
        <w:ind w:left="1440" w:hanging="360"/>
      </w:pPr>
    </w:lvl>
    <w:lvl w:ilvl="2" w:tplc="6D8E738A">
      <w:start w:val="1"/>
      <w:numFmt w:val="lowerRoman"/>
      <w:lvlText w:val="%3."/>
      <w:lvlJc w:val="right"/>
      <w:pPr>
        <w:ind w:left="2160" w:hanging="180"/>
      </w:pPr>
    </w:lvl>
    <w:lvl w:ilvl="3" w:tplc="D9F2C0C2">
      <w:start w:val="1"/>
      <w:numFmt w:val="decimal"/>
      <w:lvlText w:val="%4."/>
      <w:lvlJc w:val="left"/>
      <w:pPr>
        <w:ind w:left="2880" w:hanging="360"/>
      </w:pPr>
    </w:lvl>
    <w:lvl w:ilvl="4" w:tplc="481CB9F6">
      <w:start w:val="1"/>
      <w:numFmt w:val="lowerLetter"/>
      <w:lvlText w:val="%5."/>
      <w:lvlJc w:val="left"/>
      <w:pPr>
        <w:ind w:left="3600" w:hanging="360"/>
      </w:pPr>
    </w:lvl>
    <w:lvl w:ilvl="5" w:tplc="8C10B5C2">
      <w:start w:val="1"/>
      <w:numFmt w:val="lowerRoman"/>
      <w:lvlText w:val="%6."/>
      <w:lvlJc w:val="right"/>
      <w:pPr>
        <w:ind w:left="4320" w:hanging="180"/>
      </w:pPr>
    </w:lvl>
    <w:lvl w:ilvl="6" w:tplc="88EEA054">
      <w:start w:val="1"/>
      <w:numFmt w:val="decimal"/>
      <w:lvlText w:val="%7."/>
      <w:lvlJc w:val="left"/>
      <w:pPr>
        <w:ind w:left="5040" w:hanging="360"/>
      </w:pPr>
    </w:lvl>
    <w:lvl w:ilvl="7" w:tplc="21761906">
      <w:start w:val="1"/>
      <w:numFmt w:val="lowerLetter"/>
      <w:lvlText w:val="%8."/>
      <w:lvlJc w:val="left"/>
      <w:pPr>
        <w:ind w:left="5760" w:hanging="360"/>
      </w:pPr>
    </w:lvl>
    <w:lvl w:ilvl="8" w:tplc="7D628364">
      <w:start w:val="1"/>
      <w:numFmt w:val="lowerRoman"/>
      <w:lvlText w:val="%9."/>
      <w:lvlJc w:val="right"/>
      <w:pPr>
        <w:ind w:left="6480" w:hanging="180"/>
      </w:pPr>
    </w:lvl>
  </w:abstractNum>
  <w:abstractNum w:abstractNumId="14" w15:restartNumberingAfterBreak="0">
    <w:nsid w:val="11B90198"/>
    <w:multiLevelType w:val="hybridMultilevel"/>
    <w:tmpl w:val="FFFFFFFF"/>
    <w:lvl w:ilvl="0" w:tplc="BA4EC298">
      <w:start w:val="1"/>
      <w:numFmt w:val="bullet"/>
      <w:lvlText w:val=""/>
      <w:lvlJc w:val="left"/>
      <w:pPr>
        <w:ind w:left="720" w:hanging="360"/>
      </w:pPr>
      <w:rPr>
        <w:rFonts w:ascii="Symbol" w:hAnsi="Symbol" w:hint="default"/>
      </w:rPr>
    </w:lvl>
    <w:lvl w:ilvl="1" w:tplc="F2C2AA84">
      <w:start w:val="1"/>
      <w:numFmt w:val="bullet"/>
      <w:lvlText w:val="o"/>
      <w:lvlJc w:val="left"/>
      <w:pPr>
        <w:ind w:left="1440" w:hanging="360"/>
      </w:pPr>
      <w:rPr>
        <w:rFonts w:ascii="Courier New" w:hAnsi="Courier New" w:hint="default"/>
      </w:rPr>
    </w:lvl>
    <w:lvl w:ilvl="2" w:tplc="1B40D292">
      <w:start w:val="1"/>
      <w:numFmt w:val="bullet"/>
      <w:lvlText w:val=""/>
      <w:lvlJc w:val="left"/>
      <w:pPr>
        <w:ind w:left="2160" w:hanging="360"/>
      </w:pPr>
      <w:rPr>
        <w:rFonts w:ascii="Wingdings" w:hAnsi="Wingdings" w:hint="default"/>
      </w:rPr>
    </w:lvl>
    <w:lvl w:ilvl="3" w:tplc="C8B08AD4">
      <w:start w:val="1"/>
      <w:numFmt w:val="bullet"/>
      <w:lvlText w:val=""/>
      <w:lvlJc w:val="left"/>
      <w:pPr>
        <w:ind w:left="2880" w:hanging="360"/>
      </w:pPr>
      <w:rPr>
        <w:rFonts w:ascii="Symbol" w:hAnsi="Symbol" w:hint="default"/>
      </w:rPr>
    </w:lvl>
    <w:lvl w:ilvl="4" w:tplc="59FCB330">
      <w:start w:val="1"/>
      <w:numFmt w:val="bullet"/>
      <w:lvlText w:val="o"/>
      <w:lvlJc w:val="left"/>
      <w:pPr>
        <w:ind w:left="3600" w:hanging="360"/>
      </w:pPr>
      <w:rPr>
        <w:rFonts w:ascii="Courier New" w:hAnsi="Courier New" w:hint="default"/>
      </w:rPr>
    </w:lvl>
    <w:lvl w:ilvl="5" w:tplc="C4940888">
      <w:start w:val="1"/>
      <w:numFmt w:val="bullet"/>
      <w:lvlText w:val=""/>
      <w:lvlJc w:val="left"/>
      <w:pPr>
        <w:ind w:left="4320" w:hanging="360"/>
      </w:pPr>
      <w:rPr>
        <w:rFonts w:ascii="Wingdings" w:hAnsi="Wingdings" w:hint="default"/>
      </w:rPr>
    </w:lvl>
    <w:lvl w:ilvl="6" w:tplc="A16AC736">
      <w:start w:val="1"/>
      <w:numFmt w:val="bullet"/>
      <w:lvlText w:val=""/>
      <w:lvlJc w:val="left"/>
      <w:pPr>
        <w:ind w:left="5040" w:hanging="360"/>
      </w:pPr>
      <w:rPr>
        <w:rFonts w:ascii="Symbol" w:hAnsi="Symbol" w:hint="default"/>
      </w:rPr>
    </w:lvl>
    <w:lvl w:ilvl="7" w:tplc="F308187C">
      <w:start w:val="1"/>
      <w:numFmt w:val="bullet"/>
      <w:lvlText w:val="o"/>
      <w:lvlJc w:val="left"/>
      <w:pPr>
        <w:ind w:left="5760" w:hanging="360"/>
      </w:pPr>
      <w:rPr>
        <w:rFonts w:ascii="Courier New" w:hAnsi="Courier New" w:hint="default"/>
      </w:rPr>
    </w:lvl>
    <w:lvl w:ilvl="8" w:tplc="D06076DA">
      <w:start w:val="1"/>
      <w:numFmt w:val="bullet"/>
      <w:lvlText w:val=""/>
      <w:lvlJc w:val="left"/>
      <w:pPr>
        <w:ind w:left="6480" w:hanging="360"/>
      </w:pPr>
      <w:rPr>
        <w:rFonts w:ascii="Wingdings" w:hAnsi="Wingdings" w:hint="default"/>
      </w:rPr>
    </w:lvl>
  </w:abstractNum>
  <w:abstractNum w:abstractNumId="15" w15:restartNumberingAfterBreak="0">
    <w:nsid w:val="2E7D1B1F"/>
    <w:multiLevelType w:val="multilevel"/>
    <w:tmpl w:val="2FCA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5C605F"/>
    <w:multiLevelType w:val="hybridMultilevel"/>
    <w:tmpl w:val="FFFFFFFF"/>
    <w:lvl w:ilvl="0" w:tplc="731C551E">
      <w:start w:val="1"/>
      <w:numFmt w:val="decimal"/>
      <w:lvlText w:val="%1."/>
      <w:lvlJc w:val="left"/>
      <w:pPr>
        <w:ind w:left="720" w:hanging="360"/>
      </w:pPr>
    </w:lvl>
    <w:lvl w:ilvl="1" w:tplc="E43EBE98">
      <w:start w:val="1"/>
      <w:numFmt w:val="decimal"/>
      <w:lvlText w:val="%2."/>
      <w:lvlJc w:val="left"/>
      <w:pPr>
        <w:ind w:left="1440" w:hanging="360"/>
      </w:pPr>
    </w:lvl>
    <w:lvl w:ilvl="2" w:tplc="640CA5FE">
      <w:start w:val="1"/>
      <w:numFmt w:val="lowerRoman"/>
      <w:lvlText w:val="%3."/>
      <w:lvlJc w:val="right"/>
      <w:pPr>
        <w:ind w:left="2160" w:hanging="180"/>
      </w:pPr>
    </w:lvl>
    <w:lvl w:ilvl="3" w:tplc="72E2B906">
      <w:start w:val="1"/>
      <w:numFmt w:val="decimal"/>
      <w:lvlText w:val="%4."/>
      <w:lvlJc w:val="left"/>
      <w:pPr>
        <w:ind w:left="2880" w:hanging="360"/>
      </w:pPr>
    </w:lvl>
    <w:lvl w:ilvl="4" w:tplc="CE926BC4">
      <w:start w:val="1"/>
      <w:numFmt w:val="lowerLetter"/>
      <w:lvlText w:val="%5."/>
      <w:lvlJc w:val="left"/>
      <w:pPr>
        <w:ind w:left="3600" w:hanging="360"/>
      </w:pPr>
    </w:lvl>
    <w:lvl w:ilvl="5" w:tplc="BF48DF76">
      <w:start w:val="1"/>
      <w:numFmt w:val="lowerRoman"/>
      <w:lvlText w:val="%6."/>
      <w:lvlJc w:val="right"/>
      <w:pPr>
        <w:ind w:left="4320" w:hanging="180"/>
      </w:pPr>
    </w:lvl>
    <w:lvl w:ilvl="6" w:tplc="4364DA90">
      <w:start w:val="1"/>
      <w:numFmt w:val="decimal"/>
      <w:lvlText w:val="%7."/>
      <w:lvlJc w:val="left"/>
      <w:pPr>
        <w:ind w:left="5040" w:hanging="360"/>
      </w:pPr>
    </w:lvl>
    <w:lvl w:ilvl="7" w:tplc="7E1ED9A4">
      <w:start w:val="1"/>
      <w:numFmt w:val="lowerLetter"/>
      <w:lvlText w:val="%8."/>
      <w:lvlJc w:val="left"/>
      <w:pPr>
        <w:ind w:left="5760" w:hanging="360"/>
      </w:pPr>
    </w:lvl>
    <w:lvl w:ilvl="8" w:tplc="F5C2B88E">
      <w:start w:val="1"/>
      <w:numFmt w:val="lowerRoman"/>
      <w:lvlText w:val="%9."/>
      <w:lvlJc w:val="right"/>
      <w:pPr>
        <w:ind w:left="6480" w:hanging="180"/>
      </w:pPr>
    </w:lvl>
  </w:abstractNum>
  <w:abstractNum w:abstractNumId="17" w15:restartNumberingAfterBreak="0">
    <w:nsid w:val="3789373E"/>
    <w:multiLevelType w:val="multilevel"/>
    <w:tmpl w:val="FC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DD11EE"/>
    <w:multiLevelType w:val="multilevel"/>
    <w:tmpl w:val="F120E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107F11"/>
    <w:multiLevelType w:val="multilevel"/>
    <w:tmpl w:val="E844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033522"/>
    <w:multiLevelType w:val="multilevel"/>
    <w:tmpl w:val="22EC2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1DB1DD"/>
    <w:multiLevelType w:val="hybridMultilevel"/>
    <w:tmpl w:val="FFFFFFFF"/>
    <w:lvl w:ilvl="0" w:tplc="7712663C">
      <w:start w:val="1"/>
      <w:numFmt w:val="decimal"/>
      <w:lvlText w:val="%1."/>
      <w:lvlJc w:val="left"/>
      <w:pPr>
        <w:ind w:left="360" w:hanging="360"/>
      </w:pPr>
    </w:lvl>
    <w:lvl w:ilvl="1" w:tplc="7F183330">
      <w:start w:val="1"/>
      <w:numFmt w:val="decimal"/>
      <w:lvlText w:val="%2."/>
      <w:lvlJc w:val="left"/>
      <w:pPr>
        <w:ind w:left="1080" w:hanging="360"/>
      </w:pPr>
    </w:lvl>
    <w:lvl w:ilvl="2" w:tplc="3EC80D5C">
      <w:start w:val="1"/>
      <w:numFmt w:val="lowerRoman"/>
      <w:lvlText w:val="%3."/>
      <w:lvlJc w:val="right"/>
      <w:pPr>
        <w:ind w:left="1800" w:hanging="180"/>
      </w:pPr>
    </w:lvl>
    <w:lvl w:ilvl="3" w:tplc="CF4AD36E">
      <w:start w:val="1"/>
      <w:numFmt w:val="decimal"/>
      <w:lvlText w:val="%4."/>
      <w:lvlJc w:val="left"/>
      <w:pPr>
        <w:ind w:left="2520" w:hanging="360"/>
      </w:pPr>
    </w:lvl>
    <w:lvl w:ilvl="4" w:tplc="BD946C6E">
      <w:start w:val="1"/>
      <w:numFmt w:val="lowerLetter"/>
      <w:lvlText w:val="%5."/>
      <w:lvlJc w:val="left"/>
      <w:pPr>
        <w:ind w:left="3240" w:hanging="360"/>
      </w:pPr>
    </w:lvl>
    <w:lvl w:ilvl="5" w:tplc="2268773E">
      <w:start w:val="1"/>
      <w:numFmt w:val="lowerRoman"/>
      <w:lvlText w:val="%6."/>
      <w:lvlJc w:val="right"/>
      <w:pPr>
        <w:ind w:left="3960" w:hanging="180"/>
      </w:pPr>
    </w:lvl>
    <w:lvl w:ilvl="6" w:tplc="1AACA502">
      <w:start w:val="1"/>
      <w:numFmt w:val="decimal"/>
      <w:lvlText w:val="%7."/>
      <w:lvlJc w:val="left"/>
      <w:pPr>
        <w:ind w:left="4680" w:hanging="360"/>
      </w:pPr>
    </w:lvl>
    <w:lvl w:ilvl="7" w:tplc="D7E641BC">
      <w:start w:val="1"/>
      <w:numFmt w:val="lowerLetter"/>
      <w:lvlText w:val="%8."/>
      <w:lvlJc w:val="left"/>
      <w:pPr>
        <w:ind w:left="5400" w:hanging="360"/>
      </w:pPr>
    </w:lvl>
    <w:lvl w:ilvl="8" w:tplc="382C7B48">
      <w:start w:val="1"/>
      <w:numFmt w:val="lowerRoman"/>
      <w:lvlText w:val="%9."/>
      <w:lvlJc w:val="right"/>
      <w:pPr>
        <w:ind w:left="6120" w:hanging="180"/>
      </w:pPr>
    </w:lvl>
  </w:abstractNum>
  <w:abstractNum w:abstractNumId="22" w15:restartNumberingAfterBreak="0">
    <w:nsid w:val="54080B79"/>
    <w:multiLevelType w:val="multilevel"/>
    <w:tmpl w:val="C92C1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9A4C73"/>
    <w:multiLevelType w:val="hybridMultilevel"/>
    <w:tmpl w:val="FFFFFFFF"/>
    <w:lvl w:ilvl="0" w:tplc="A38E0BA0">
      <w:start w:val="1"/>
      <w:numFmt w:val="decimal"/>
      <w:lvlText w:val="%1."/>
      <w:lvlJc w:val="left"/>
      <w:pPr>
        <w:ind w:left="720" w:hanging="360"/>
      </w:pPr>
    </w:lvl>
    <w:lvl w:ilvl="1" w:tplc="3704EC0E">
      <w:start w:val="1"/>
      <w:numFmt w:val="lowerLetter"/>
      <w:lvlText w:val="%2."/>
      <w:lvlJc w:val="left"/>
      <w:pPr>
        <w:ind w:left="1440" w:hanging="360"/>
      </w:pPr>
    </w:lvl>
    <w:lvl w:ilvl="2" w:tplc="5B1EE086">
      <w:start w:val="1"/>
      <w:numFmt w:val="lowerRoman"/>
      <w:lvlText w:val="%3."/>
      <w:lvlJc w:val="right"/>
      <w:pPr>
        <w:ind w:left="2160" w:hanging="180"/>
      </w:pPr>
    </w:lvl>
    <w:lvl w:ilvl="3" w:tplc="FC5AABA6">
      <w:start w:val="1"/>
      <w:numFmt w:val="decimal"/>
      <w:lvlText w:val="%4."/>
      <w:lvlJc w:val="left"/>
      <w:pPr>
        <w:ind w:left="2880" w:hanging="360"/>
      </w:pPr>
    </w:lvl>
    <w:lvl w:ilvl="4" w:tplc="7C24DF1C">
      <w:start w:val="1"/>
      <w:numFmt w:val="lowerLetter"/>
      <w:lvlText w:val="%5."/>
      <w:lvlJc w:val="left"/>
      <w:pPr>
        <w:ind w:left="3600" w:hanging="360"/>
      </w:pPr>
    </w:lvl>
    <w:lvl w:ilvl="5" w:tplc="ED266D84">
      <w:start w:val="1"/>
      <w:numFmt w:val="lowerRoman"/>
      <w:lvlText w:val="%6."/>
      <w:lvlJc w:val="right"/>
      <w:pPr>
        <w:ind w:left="4320" w:hanging="180"/>
      </w:pPr>
    </w:lvl>
    <w:lvl w:ilvl="6" w:tplc="BB66A85A">
      <w:start w:val="1"/>
      <w:numFmt w:val="decimal"/>
      <w:lvlText w:val="%7."/>
      <w:lvlJc w:val="left"/>
      <w:pPr>
        <w:ind w:left="5040" w:hanging="360"/>
      </w:pPr>
    </w:lvl>
    <w:lvl w:ilvl="7" w:tplc="18A83CAE">
      <w:start w:val="1"/>
      <w:numFmt w:val="lowerLetter"/>
      <w:lvlText w:val="%8."/>
      <w:lvlJc w:val="left"/>
      <w:pPr>
        <w:ind w:left="5760" w:hanging="360"/>
      </w:pPr>
    </w:lvl>
    <w:lvl w:ilvl="8" w:tplc="4EE29202">
      <w:start w:val="1"/>
      <w:numFmt w:val="lowerRoman"/>
      <w:lvlText w:val="%9."/>
      <w:lvlJc w:val="right"/>
      <w:pPr>
        <w:ind w:left="6480" w:hanging="180"/>
      </w:pPr>
    </w:lvl>
  </w:abstractNum>
  <w:abstractNum w:abstractNumId="24" w15:restartNumberingAfterBreak="0">
    <w:nsid w:val="565B2B53"/>
    <w:multiLevelType w:val="multilevel"/>
    <w:tmpl w:val="7656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C42920"/>
    <w:multiLevelType w:val="hybridMultilevel"/>
    <w:tmpl w:val="FFFFFFFF"/>
    <w:lvl w:ilvl="0" w:tplc="A7A291DE">
      <w:start w:val="1"/>
      <w:numFmt w:val="decimal"/>
      <w:lvlText w:val="%1."/>
      <w:lvlJc w:val="left"/>
      <w:pPr>
        <w:ind w:left="720" w:hanging="360"/>
      </w:pPr>
    </w:lvl>
    <w:lvl w:ilvl="1" w:tplc="84F42036">
      <w:start w:val="1"/>
      <w:numFmt w:val="decimal"/>
      <w:lvlText w:val="%2."/>
      <w:lvlJc w:val="left"/>
      <w:pPr>
        <w:ind w:left="1440" w:hanging="360"/>
      </w:pPr>
    </w:lvl>
    <w:lvl w:ilvl="2" w:tplc="10B6708A">
      <w:start w:val="1"/>
      <w:numFmt w:val="lowerRoman"/>
      <w:lvlText w:val="%3."/>
      <w:lvlJc w:val="right"/>
      <w:pPr>
        <w:ind w:left="2160" w:hanging="180"/>
      </w:pPr>
    </w:lvl>
    <w:lvl w:ilvl="3" w:tplc="E5C2D998">
      <w:start w:val="1"/>
      <w:numFmt w:val="decimal"/>
      <w:lvlText w:val="%4."/>
      <w:lvlJc w:val="left"/>
      <w:pPr>
        <w:ind w:left="2880" w:hanging="360"/>
      </w:pPr>
    </w:lvl>
    <w:lvl w:ilvl="4" w:tplc="40EC21E2">
      <w:start w:val="1"/>
      <w:numFmt w:val="lowerLetter"/>
      <w:lvlText w:val="%5."/>
      <w:lvlJc w:val="left"/>
      <w:pPr>
        <w:ind w:left="3600" w:hanging="360"/>
      </w:pPr>
    </w:lvl>
    <w:lvl w:ilvl="5" w:tplc="331661E2">
      <w:start w:val="1"/>
      <w:numFmt w:val="lowerRoman"/>
      <w:lvlText w:val="%6."/>
      <w:lvlJc w:val="right"/>
      <w:pPr>
        <w:ind w:left="4320" w:hanging="180"/>
      </w:pPr>
    </w:lvl>
    <w:lvl w:ilvl="6" w:tplc="7F22DC4C">
      <w:start w:val="1"/>
      <w:numFmt w:val="decimal"/>
      <w:lvlText w:val="%7."/>
      <w:lvlJc w:val="left"/>
      <w:pPr>
        <w:ind w:left="5040" w:hanging="360"/>
      </w:pPr>
    </w:lvl>
    <w:lvl w:ilvl="7" w:tplc="F58A75DC">
      <w:start w:val="1"/>
      <w:numFmt w:val="lowerLetter"/>
      <w:lvlText w:val="%8."/>
      <w:lvlJc w:val="left"/>
      <w:pPr>
        <w:ind w:left="5760" w:hanging="360"/>
      </w:pPr>
    </w:lvl>
    <w:lvl w:ilvl="8" w:tplc="DC22851A">
      <w:start w:val="1"/>
      <w:numFmt w:val="lowerRoman"/>
      <w:lvlText w:val="%9."/>
      <w:lvlJc w:val="right"/>
      <w:pPr>
        <w:ind w:left="6480" w:hanging="180"/>
      </w:pPr>
    </w:lvl>
  </w:abstractNum>
  <w:abstractNum w:abstractNumId="26" w15:restartNumberingAfterBreak="0">
    <w:nsid w:val="7382DF48"/>
    <w:multiLevelType w:val="hybridMultilevel"/>
    <w:tmpl w:val="FFFFFFFF"/>
    <w:lvl w:ilvl="0" w:tplc="9CA26A2A">
      <w:start w:val="1"/>
      <w:numFmt w:val="decimal"/>
      <w:lvlText w:val="%1."/>
      <w:lvlJc w:val="left"/>
      <w:pPr>
        <w:ind w:left="720" w:hanging="360"/>
      </w:pPr>
    </w:lvl>
    <w:lvl w:ilvl="1" w:tplc="3C80491C">
      <w:start w:val="1"/>
      <w:numFmt w:val="lowerLetter"/>
      <w:lvlText w:val="%2."/>
      <w:lvlJc w:val="left"/>
      <w:pPr>
        <w:ind w:left="1440" w:hanging="360"/>
      </w:pPr>
    </w:lvl>
    <w:lvl w:ilvl="2" w:tplc="4418C310">
      <w:start w:val="1"/>
      <w:numFmt w:val="lowerRoman"/>
      <w:lvlText w:val="%3."/>
      <w:lvlJc w:val="right"/>
      <w:pPr>
        <w:ind w:left="2160" w:hanging="180"/>
      </w:pPr>
    </w:lvl>
    <w:lvl w:ilvl="3" w:tplc="BA62EC5A">
      <w:start w:val="1"/>
      <w:numFmt w:val="decimal"/>
      <w:lvlText w:val="%4."/>
      <w:lvlJc w:val="left"/>
      <w:pPr>
        <w:ind w:left="2880" w:hanging="360"/>
      </w:pPr>
    </w:lvl>
    <w:lvl w:ilvl="4" w:tplc="C1ECFFFC">
      <w:start w:val="1"/>
      <w:numFmt w:val="lowerLetter"/>
      <w:lvlText w:val="%5."/>
      <w:lvlJc w:val="left"/>
      <w:pPr>
        <w:ind w:left="3600" w:hanging="360"/>
      </w:pPr>
    </w:lvl>
    <w:lvl w:ilvl="5" w:tplc="0F244614">
      <w:start w:val="1"/>
      <w:numFmt w:val="lowerRoman"/>
      <w:lvlText w:val="%6."/>
      <w:lvlJc w:val="right"/>
      <w:pPr>
        <w:ind w:left="4320" w:hanging="180"/>
      </w:pPr>
    </w:lvl>
    <w:lvl w:ilvl="6" w:tplc="04B85DA8">
      <w:start w:val="1"/>
      <w:numFmt w:val="decimal"/>
      <w:lvlText w:val="%7."/>
      <w:lvlJc w:val="left"/>
      <w:pPr>
        <w:ind w:left="5040" w:hanging="360"/>
      </w:pPr>
    </w:lvl>
    <w:lvl w:ilvl="7" w:tplc="48DA2DB0">
      <w:start w:val="1"/>
      <w:numFmt w:val="lowerLetter"/>
      <w:lvlText w:val="%8."/>
      <w:lvlJc w:val="left"/>
      <w:pPr>
        <w:ind w:left="5760" w:hanging="360"/>
      </w:pPr>
    </w:lvl>
    <w:lvl w:ilvl="8" w:tplc="3BC6905A">
      <w:start w:val="1"/>
      <w:numFmt w:val="lowerRoman"/>
      <w:lvlText w:val="%9."/>
      <w:lvlJc w:val="right"/>
      <w:pPr>
        <w:ind w:left="6480" w:hanging="180"/>
      </w:pPr>
    </w:lvl>
  </w:abstractNum>
  <w:abstractNum w:abstractNumId="27" w15:restartNumberingAfterBreak="0">
    <w:nsid w:val="7475010B"/>
    <w:multiLevelType w:val="hybridMultilevel"/>
    <w:tmpl w:val="FFFFFFFF"/>
    <w:lvl w:ilvl="0" w:tplc="2A94CEC6">
      <w:start w:val="1"/>
      <w:numFmt w:val="decimal"/>
      <w:lvlText w:val="%1."/>
      <w:lvlJc w:val="left"/>
      <w:pPr>
        <w:ind w:left="720" w:hanging="360"/>
      </w:pPr>
    </w:lvl>
    <w:lvl w:ilvl="1" w:tplc="14100220">
      <w:start w:val="1"/>
      <w:numFmt w:val="lowerLetter"/>
      <w:lvlText w:val="%2."/>
      <w:lvlJc w:val="left"/>
      <w:pPr>
        <w:ind w:left="1440" w:hanging="360"/>
      </w:pPr>
    </w:lvl>
    <w:lvl w:ilvl="2" w:tplc="E1925108">
      <w:start w:val="1"/>
      <w:numFmt w:val="lowerRoman"/>
      <w:lvlText w:val="%3."/>
      <w:lvlJc w:val="right"/>
      <w:pPr>
        <w:ind w:left="2160" w:hanging="180"/>
      </w:pPr>
    </w:lvl>
    <w:lvl w:ilvl="3" w:tplc="0C404A1A">
      <w:start w:val="1"/>
      <w:numFmt w:val="decimal"/>
      <w:lvlText w:val="%4."/>
      <w:lvlJc w:val="left"/>
      <w:pPr>
        <w:ind w:left="2880" w:hanging="360"/>
      </w:pPr>
    </w:lvl>
    <w:lvl w:ilvl="4" w:tplc="13D8977C">
      <w:start w:val="1"/>
      <w:numFmt w:val="lowerLetter"/>
      <w:lvlText w:val="%5."/>
      <w:lvlJc w:val="left"/>
      <w:pPr>
        <w:ind w:left="3600" w:hanging="360"/>
      </w:pPr>
    </w:lvl>
    <w:lvl w:ilvl="5" w:tplc="DF3CBB06">
      <w:start w:val="1"/>
      <w:numFmt w:val="lowerRoman"/>
      <w:lvlText w:val="%6."/>
      <w:lvlJc w:val="right"/>
      <w:pPr>
        <w:ind w:left="4320" w:hanging="180"/>
      </w:pPr>
    </w:lvl>
    <w:lvl w:ilvl="6" w:tplc="6E76FF5E">
      <w:start w:val="1"/>
      <w:numFmt w:val="decimal"/>
      <w:lvlText w:val="%7."/>
      <w:lvlJc w:val="left"/>
      <w:pPr>
        <w:ind w:left="5040" w:hanging="360"/>
      </w:pPr>
    </w:lvl>
    <w:lvl w:ilvl="7" w:tplc="51B61812">
      <w:start w:val="1"/>
      <w:numFmt w:val="lowerLetter"/>
      <w:lvlText w:val="%8."/>
      <w:lvlJc w:val="left"/>
      <w:pPr>
        <w:ind w:left="5760" w:hanging="360"/>
      </w:pPr>
    </w:lvl>
    <w:lvl w:ilvl="8" w:tplc="CDEA10B2">
      <w:start w:val="1"/>
      <w:numFmt w:val="lowerRoman"/>
      <w:lvlText w:val="%9."/>
      <w:lvlJc w:val="right"/>
      <w:pPr>
        <w:ind w:left="6480" w:hanging="180"/>
      </w:pPr>
    </w:lvl>
  </w:abstractNum>
  <w:abstractNum w:abstractNumId="28" w15:restartNumberingAfterBreak="0">
    <w:nsid w:val="7759AED3"/>
    <w:multiLevelType w:val="hybridMultilevel"/>
    <w:tmpl w:val="FFFFFFFF"/>
    <w:lvl w:ilvl="0" w:tplc="BF2A2FAC">
      <w:start w:val="1"/>
      <w:numFmt w:val="upperLetter"/>
      <w:lvlText w:val="%1."/>
      <w:lvlJc w:val="left"/>
      <w:pPr>
        <w:ind w:left="720" w:hanging="360"/>
      </w:pPr>
    </w:lvl>
    <w:lvl w:ilvl="1" w:tplc="625CFBC8">
      <w:start w:val="1"/>
      <w:numFmt w:val="lowerLetter"/>
      <w:lvlText w:val="%2."/>
      <w:lvlJc w:val="left"/>
      <w:pPr>
        <w:ind w:left="1440" w:hanging="360"/>
      </w:pPr>
    </w:lvl>
    <w:lvl w:ilvl="2" w:tplc="E2A0C93E">
      <w:start w:val="1"/>
      <w:numFmt w:val="lowerRoman"/>
      <w:lvlText w:val="%3."/>
      <w:lvlJc w:val="right"/>
      <w:pPr>
        <w:ind w:left="2160" w:hanging="180"/>
      </w:pPr>
    </w:lvl>
    <w:lvl w:ilvl="3" w:tplc="0C2438CA">
      <w:start w:val="1"/>
      <w:numFmt w:val="decimal"/>
      <w:lvlText w:val="%4."/>
      <w:lvlJc w:val="left"/>
      <w:pPr>
        <w:ind w:left="2880" w:hanging="360"/>
      </w:pPr>
    </w:lvl>
    <w:lvl w:ilvl="4" w:tplc="1C542D96">
      <w:start w:val="1"/>
      <w:numFmt w:val="lowerLetter"/>
      <w:lvlText w:val="%5."/>
      <w:lvlJc w:val="left"/>
      <w:pPr>
        <w:ind w:left="3600" w:hanging="360"/>
      </w:pPr>
    </w:lvl>
    <w:lvl w:ilvl="5" w:tplc="559CC6C0">
      <w:start w:val="1"/>
      <w:numFmt w:val="lowerRoman"/>
      <w:lvlText w:val="%6."/>
      <w:lvlJc w:val="right"/>
      <w:pPr>
        <w:ind w:left="4320" w:hanging="180"/>
      </w:pPr>
    </w:lvl>
    <w:lvl w:ilvl="6" w:tplc="5562253A">
      <w:start w:val="1"/>
      <w:numFmt w:val="decimal"/>
      <w:lvlText w:val="%7."/>
      <w:lvlJc w:val="left"/>
      <w:pPr>
        <w:ind w:left="5040" w:hanging="360"/>
      </w:pPr>
    </w:lvl>
    <w:lvl w:ilvl="7" w:tplc="AF64FBC6">
      <w:start w:val="1"/>
      <w:numFmt w:val="lowerLetter"/>
      <w:lvlText w:val="%8."/>
      <w:lvlJc w:val="left"/>
      <w:pPr>
        <w:ind w:left="5760" w:hanging="360"/>
      </w:pPr>
    </w:lvl>
    <w:lvl w:ilvl="8" w:tplc="7ACA0D92">
      <w:start w:val="1"/>
      <w:numFmt w:val="lowerRoman"/>
      <w:lvlText w:val="%9."/>
      <w:lvlJc w:val="right"/>
      <w:pPr>
        <w:ind w:left="6480" w:hanging="180"/>
      </w:pPr>
    </w:lvl>
  </w:abstractNum>
  <w:num w:numId="1" w16cid:durableId="1122580401">
    <w:abstractNumId w:val="9"/>
  </w:num>
  <w:num w:numId="2" w16cid:durableId="1166743604">
    <w:abstractNumId w:val="9"/>
  </w:num>
  <w:num w:numId="3" w16cid:durableId="858157520">
    <w:abstractNumId w:val="7"/>
  </w:num>
  <w:num w:numId="4" w16cid:durableId="34932901">
    <w:abstractNumId w:val="7"/>
  </w:num>
  <w:num w:numId="5" w16cid:durableId="1454324196">
    <w:abstractNumId w:val="6"/>
  </w:num>
  <w:num w:numId="6" w16cid:durableId="358048196">
    <w:abstractNumId w:val="6"/>
  </w:num>
  <w:num w:numId="7" w16cid:durableId="1863859941">
    <w:abstractNumId w:val="8"/>
  </w:num>
  <w:num w:numId="8" w16cid:durableId="241989641">
    <w:abstractNumId w:val="8"/>
  </w:num>
  <w:num w:numId="9" w16cid:durableId="1309743402">
    <w:abstractNumId w:val="3"/>
  </w:num>
  <w:num w:numId="10" w16cid:durableId="165245913">
    <w:abstractNumId w:val="3"/>
  </w:num>
  <w:num w:numId="11" w16cid:durableId="325059711">
    <w:abstractNumId w:val="2"/>
  </w:num>
  <w:num w:numId="12" w16cid:durableId="537934965">
    <w:abstractNumId w:val="2"/>
  </w:num>
  <w:num w:numId="13" w16cid:durableId="68357797">
    <w:abstractNumId w:val="5"/>
  </w:num>
  <w:num w:numId="14" w16cid:durableId="29645636">
    <w:abstractNumId w:val="4"/>
  </w:num>
  <w:num w:numId="15" w16cid:durableId="21635926">
    <w:abstractNumId w:val="1"/>
  </w:num>
  <w:num w:numId="16" w16cid:durableId="1354842742">
    <w:abstractNumId w:val="0"/>
  </w:num>
  <w:num w:numId="17" w16cid:durableId="1598097235">
    <w:abstractNumId w:val="22"/>
  </w:num>
  <w:num w:numId="18" w16cid:durableId="538710613">
    <w:abstractNumId w:val="17"/>
  </w:num>
  <w:num w:numId="19" w16cid:durableId="2089615427">
    <w:abstractNumId w:val="15"/>
  </w:num>
  <w:num w:numId="20" w16cid:durableId="666440965">
    <w:abstractNumId w:val="24"/>
  </w:num>
  <w:num w:numId="21" w16cid:durableId="229653636">
    <w:abstractNumId w:val="19"/>
  </w:num>
  <w:num w:numId="22" w16cid:durableId="1585605716">
    <w:abstractNumId w:val="18"/>
  </w:num>
  <w:num w:numId="23" w16cid:durableId="573592236">
    <w:abstractNumId w:val="20"/>
  </w:num>
  <w:num w:numId="24" w16cid:durableId="1529903030">
    <w:abstractNumId w:val="11"/>
  </w:num>
  <w:num w:numId="25" w16cid:durableId="1470784602">
    <w:abstractNumId w:val="10"/>
  </w:num>
  <w:num w:numId="26" w16cid:durableId="296767484">
    <w:abstractNumId w:val="21"/>
  </w:num>
  <w:num w:numId="27" w16cid:durableId="1161312666">
    <w:abstractNumId w:val="12"/>
  </w:num>
  <w:num w:numId="28" w16cid:durableId="2067483004">
    <w:abstractNumId w:val="28"/>
  </w:num>
  <w:num w:numId="29" w16cid:durableId="1674644733">
    <w:abstractNumId w:val="27"/>
  </w:num>
  <w:num w:numId="30" w16cid:durableId="1699888835">
    <w:abstractNumId w:val="23"/>
  </w:num>
  <w:num w:numId="31" w16cid:durableId="1869029460">
    <w:abstractNumId w:val="26"/>
  </w:num>
  <w:num w:numId="32" w16cid:durableId="1560555720">
    <w:abstractNumId w:val="14"/>
  </w:num>
  <w:num w:numId="33" w16cid:durableId="650063768">
    <w:abstractNumId w:val="25"/>
  </w:num>
  <w:num w:numId="34" w16cid:durableId="414087709">
    <w:abstractNumId w:val="16"/>
  </w:num>
  <w:num w:numId="35" w16cid:durableId="317285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E01"/>
    <w:rsid w:val="00000613"/>
    <w:rsid w:val="00000816"/>
    <w:rsid w:val="00000B5C"/>
    <w:rsid w:val="00001054"/>
    <w:rsid w:val="000010CE"/>
    <w:rsid w:val="0000212A"/>
    <w:rsid w:val="0000228C"/>
    <w:rsid w:val="000025CF"/>
    <w:rsid w:val="00002D50"/>
    <w:rsid w:val="0000301E"/>
    <w:rsid w:val="000032B6"/>
    <w:rsid w:val="00003C90"/>
    <w:rsid w:val="000044A6"/>
    <w:rsid w:val="0000504D"/>
    <w:rsid w:val="000050EE"/>
    <w:rsid w:val="00007097"/>
    <w:rsid w:val="00010397"/>
    <w:rsid w:val="00011415"/>
    <w:rsid w:val="00011E90"/>
    <w:rsid w:val="000127E9"/>
    <w:rsid w:val="00012CFB"/>
    <w:rsid w:val="0001336A"/>
    <w:rsid w:val="00013825"/>
    <w:rsid w:val="00014930"/>
    <w:rsid w:val="00014AC0"/>
    <w:rsid w:val="00014BBE"/>
    <w:rsid w:val="00015154"/>
    <w:rsid w:val="00016204"/>
    <w:rsid w:val="00016336"/>
    <w:rsid w:val="000163BD"/>
    <w:rsid w:val="00016D29"/>
    <w:rsid w:val="00016E20"/>
    <w:rsid w:val="000172A0"/>
    <w:rsid w:val="000175C3"/>
    <w:rsid w:val="00020570"/>
    <w:rsid w:val="0002065B"/>
    <w:rsid w:val="00020F20"/>
    <w:rsid w:val="00021053"/>
    <w:rsid w:val="00022B60"/>
    <w:rsid w:val="0002332A"/>
    <w:rsid w:val="000236E1"/>
    <w:rsid w:val="0002425F"/>
    <w:rsid w:val="000248BC"/>
    <w:rsid w:val="00024B75"/>
    <w:rsid w:val="00025B76"/>
    <w:rsid w:val="000266EA"/>
    <w:rsid w:val="00026B7C"/>
    <w:rsid w:val="00027539"/>
    <w:rsid w:val="00027710"/>
    <w:rsid w:val="0002787B"/>
    <w:rsid w:val="000279B4"/>
    <w:rsid w:val="0003085D"/>
    <w:rsid w:val="000311EC"/>
    <w:rsid w:val="00032610"/>
    <w:rsid w:val="00032A20"/>
    <w:rsid w:val="00033019"/>
    <w:rsid w:val="000330EC"/>
    <w:rsid w:val="000334EE"/>
    <w:rsid w:val="000337AD"/>
    <w:rsid w:val="00033963"/>
    <w:rsid w:val="00034990"/>
    <w:rsid w:val="00034A1E"/>
    <w:rsid w:val="000354AC"/>
    <w:rsid w:val="00036BC9"/>
    <w:rsid w:val="00037342"/>
    <w:rsid w:val="00040156"/>
    <w:rsid w:val="00040264"/>
    <w:rsid w:val="0004045C"/>
    <w:rsid w:val="000413F8"/>
    <w:rsid w:val="00041712"/>
    <w:rsid w:val="00044739"/>
    <w:rsid w:val="0004555C"/>
    <w:rsid w:val="00046469"/>
    <w:rsid w:val="00046482"/>
    <w:rsid w:val="00046EAF"/>
    <w:rsid w:val="0004709C"/>
    <w:rsid w:val="00047784"/>
    <w:rsid w:val="00050398"/>
    <w:rsid w:val="000512F8"/>
    <w:rsid w:val="000512FF"/>
    <w:rsid w:val="00051337"/>
    <w:rsid w:val="00051874"/>
    <w:rsid w:val="00053FD4"/>
    <w:rsid w:val="00054935"/>
    <w:rsid w:val="000554C9"/>
    <w:rsid w:val="00055AA0"/>
    <w:rsid w:val="00055F26"/>
    <w:rsid w:val="0005608A"/>
    <w:rsid w:val="00056F03"/>
    <w:rsid w:val="000577D9"/>
    <w:rsid w:val="000578A3"/>
    <w:rsid w:val="0005AB94"/>
    <w:rsid w:val="000617BC"/>
    <w:rsid w:val="000617EE"/>
    <w:rsid w:val="00061ADE"/>
    <w:rsid w:val="00061E05"/>
    <w:rsid w:val="00061E84"/>
    <w:rsid w:val="00061EAA"/>
    <w:rsid w:val="00062147"/>
    <w:rsid w:val="000629FF"/>
    <w:rsid w:val="00063E2F"/>
    <w:rsid w:val="0006417A"/>
    <w:rsid w:val="0006426E"/>
    <w:rsid w:val="00064325"/>
    <w:rsid w:val="00065406"/>
    <w:rsid w:val="00065CB7"/>
    <w:rsid w:val="00065F5B"/>
    <w:rsid w:val="00066C14"/>
    <w:rsid w:val="000677A2"/>
    <w:rsid w:val="00067864"/>
    <w:rsid w:val="00067ABF"/>
    <w:rsid w:val="000703B4"/>
    <w:rsid w:val="000709CB"/>
    <w:rsid w:val="00073141"/>
    <w:rsid w:val="00073150"/>
    <w:rsid w:val="000733ED"/>
    <w:rsid w:val="000736F7"/>
    <w:rsid w:val="00073A56"/>
    <w:rsid w:val="00073AB7"/>
    <w:rsid w:val="000757E7"/>
    <w:rsid w:val="000761F2"/>
    <w:rsid w:val="00076C0D"/>
    <w:rsid w:val="00076D1F"/>
    <w:rsid w:val="00077AC1"/>
    <w:rsid w:val="00077E51"/>
    <w:rsid w:val="000802A9"/>
    <w:rsid w:val="00080719"/>
    <w:rsid w:val="00081071"/>
    <w:rsid w:val="00083399"/>
    <w:rsid w:val="00083952"/>
    <w:rsid w:val="00083E86"/>
    <w:rsid w:val="00084399"/>
    <w:rsid w:val="00084464"/>
    <w:rsid w:val="00084989"/>
    <w:rsid w:val="00086AE0"/>
    <w:rsid w:val="00087A7E"/>
    <w:rsid w:val="000908B9"/>
    <w:rsid w:val="000914BE"/>
    <w:rsid w:val="00091C75"/>
    <w:rsid w:val="00092006"/>
    <w:rsid w:val="00092E7D"/>
    <w:rsid w:val="000931F8"/>
    <w:rsid w:val="000932C2"/>
    <w:rsid w:val="00093D39"/>
    <w:rsid w:val="00093EDC"/>
    <w:rsid w:val="000944E7"/>
    <w:rsid w:val="00094EAD"/>
    <w:rsid w:val="00095334"/>
    <w:rsid w:val="00095A26"/>
    <w:rsid w:val="00096B12"/>
    <w:rsid w:val="00097A90"/>
    <w:rsid w:val="00097F90"/>
    <w:rsid w:val="000A01A7"/>
    <w:rsid w:val="000A0895"/>
    <w:rsid w:val="000A10EE"/>
    <w:rsid w:val="000A13BE"/>
    <w:rsid w:val="000A15B7"/>
    <w:rsid w:val="000A1A95"/>
    <w:rsid w:val="000A1B71"/>
    <w:rsid w:val="000A3D9A"/>
    <w:rsid w:val="000A47C4"/>
    <w:rsid w:val="000A4C1D"/>
    <w:rsid w:val="000A4CC7"/>
    <w:rsid w:val="000A5524"/>
    <w:rsid w:val="000A61A7"/>
    <w:rsid w:val="000A6327"/>
    <w:rsid w:val="000A66D7"/>
    <w:rsid w:val="000A6A91"/>
    <w:rsid w:val="000A78BF"/>
    <w:rsid w:val="000B00B2"/>
    <w:rsid w:val="000B113C"/>
    <w:rsid w:val="000B1435"/>
    <w:rsid w:val="000B1764"/>
    <w:rsid w:val="000B2114"/>
    <w:rsid w:val="000B25D9"/>
    <w:rsid w:val="000B2648"/>
    <w:rsid w:val="000B291C"/>
    <w:rsid w:val="000B2ADB"/>
    <w:rsid w:val="000B32FF"/>
    <w:rsid w:val="000B4010"/>
    <w:rsid w:val="000B428C"/>
    <w:rsid w:val="000B47C7"/>
    <w:rsid w:val="000B4C00"/>
    <w:rsid w:val="000B639C"/>
    <w:rsid w:val="000B6857"/>
    <w:rsid w:val="000C0BF5"/>
    <w:rsid w:val="000C0DCB"/>
    <w:rsid w:val="000C0E59"/>
    <w:rsid w:val="000C187B"/>
    <w:rsid w:val="000C1BE5"/>
    <w:rsid w:val="000C1E65"/>
    <w:rsid w:val="000C1F5D"/>
    <w:rsid w:val="000C28DE"/>
    <w:rsid w:val="000C31B6"/>
    <w:rsid w:val="000C31FA"/>
    <w:rsid w:val="000C38C7"/>
    <w:rsid w:val="000C3A0B"/>
    <w:rsid w:val="000C4047"/>
    <w:rsid w:val="000C4A9B"/>
    <w:rsid w:val="000C56DE"/>
    <w:rsid w:val="000C5E8D"/>
    <w:rsid w:val="000C667F"/>
    <w:rsid w:val="000C6CA9"/>
    <w:rsid w:val="000C6EBE"/>
    <w:rsid w:val="000C7278"/>
    <w:rsid w:val="000C7B3E"/>
    <w:rsid w:val="000D0177"/>
    <w:rsid w:val="000D0411"/>
    <w:rsid w:val="000D125B"/>
    <w:rsid w:val="000D13F5"/>
    <w:rsid w:val="000D18D4"/>
    <w:rsid w:val="000D208B"/>
    <w:rsid w:val="000D2271"/>
    <w:rsid w:val="000D3469"/>
    <w:rsid w:val="000D3863"/>
    <w:rsid w:val="000D3D5A"/>
    <w:rsid w:val="000D4D2F"/>
    <w:rsid w:val="000D5BE0"/>
    <w:rsid w:val="000D5BF7"/>
    <w:rsid w:val="000D6835"/>
    <w:rsid w:val="000DEBB5"/>
    <w:rsid w:val="000E0CC1"/>
    <w:rsid w:val="000E0E10"/>
    <w:rsid w:val="000E0F7B"/>
    <w:rsid w:val="000E2027"/>
    <w:rsid w:val="000E20B9"/>
    <w:rsid w:val="000E268E"/>
    <w:rsid w:val="000E2A49"/>
    <w:rsid w:val="000E2F97"/>
    <w:rsid w:val="000E3335"/>
    <w:rsid w:val="000E39ED"/>
    <w:rsid w:val="000E3E08"/>
    <w:rsid w:val="000E45BD"/>
    <w:rsid w:val="000E49BB"/>
    <w:rsid w:val="000E589C"/>
    <w:rsid w:val="000E5B3A"/>
    <w:rsid w:val="000E5C11"/>
    <w:rsid w:val="000E67E2"/>
    <w:rsid w:val="000E6C36"/>
    <w:rsid w:val="000E6E71"/>
    <w:rsid w:val="000E70CA"/>
    <w:rsid w:val="000E7306"/>
    <w:rsid w:val="000E7CEA"/>
    <w:rsid w:val="000F0CAE"/>
    <w:rsid w:val="000F0DC1"/>
    <w:rsid w:val="000F280B"/>
    <w:rsid w:val="000F2B2E"/>
    <w:rsid w:val="000F3ABA"/>
    <w:rsid w:val="000F3CDE"/>
    <w:rsid w:val="000F40A9"/>
    <w:rsid w:val="000F4160"/>
    <w:rsid w:val="000F416F"/>
    <w:rsid w:val="000F4357"/>
    <w:rsid w:val="000F4A1B"/>
    <w:rsid w:val="000F522E"/>
    <w:rsid w:val="000F593A"/>
    <w:rsid w:val="000F778D"/>
    <w:rsid w:val="000F7EA8"/>
    <w:rsid w:val="00100240"/>
    <w:rsid w:val="00100268"/>
    <w:rsid w:val="00101AD7"/>
    <w:rsid w:val="00101C26"/>
    <w:rsid w:val="00101D9A"/>
    <w:rsid w:val="00102427"/>
    <w:rsid w:val="00102842"/>
    <w:rsid w:val="00102E95"/>
    <w:rsid w:val="00103319"/>
    <w:rsid w:val="001036E9"/>
    <w:rsid w:val="0010380B"/>
    <w:rsid w:val="00103B75"/>
    <w:rsid w:val="00103F6B"/>
    <w:rsid w:val="00105E88"/>
    <w:rsid w:val="00105FB6"/>
    <w:rsid w:val="001062E0"/>
    <w:rsid w:val="001063E4"/>
    <w:rsid w:val="0010696D"/>
    <w:rsid w:val="00107557"/>
    <w:rsid w:val="00110391"/>
    <w:rsid w:val="0011062B"/>
    <w:rsid w:val="00110858"/>
    <w:rsid w:val="00110C7F"/>
    <w:rsid w:val="00110D2F"/>
    <w:rsid w:val="00111708"/>
    <w:rsid w:val="00112222"/>
    <w:rsid w:val="00112531"/>
    <w:rsid w:val="001129CD"/>
    <w:rsid w:val="00112D4A"/>
    <w:rsid w:val="00113C29"/>
    <w:rsid w:val="00114FC0"/>
    <w:rsid w:val="001159DC"/>
    <w:rsid w:val="001160FC"/>
    <w:rsid w:val="001164EA"/>
    <w:rsid w:val="001168DC"/>
    <w:rsid w:val="001175EF"/>
    <w:rsid w:val="00117BCA"/>
    <w:rsid w:val="00117CFB"/>
    <w:rsid w:val="00117EF7"/>
    <w:rsid w:val="00117F5D"/>
    <w:rsid w:val="00120F02"/>
    <w:rsid w:val="00121579"/>
    <w:rsid w:val="00121AB4"/>
    <w:rsid w:val="00121ED2"/>
    <w:rsid w:val="00122165"/>
    <w:rsid w:val="00123077"/>
    <w:rsid w:val="001239B5"/>
    <w:rsid w:val="00123B69"/>
    <w:rsid w:val="00125034"/>
    <w:rsid w:val="0012575C"/>
    <w:rsid w:val="00125C81"/>
    <w:rsid w:val="00125E26"/>
    <w:rsid w:val="001266C2"/>
    <w:rsid w:val="00127BBB"/>
    <w:rsid w:val="00127F61"/>
    <w:rsid w:val="00131D84"/>
    <w:rsid w:val="00132C54"/>
    <w:rsid w:val="00132D1E"/>
    <w:rsid w:val="001336BA"/>
    <w:rsid w:val="00133862"/>
    <w:rsid w:val="00134098"/>
    <w:rsid w:val="001356E8"/>
    <w:rsid w:val="00135754"/>
    <w:rsid w:val="0013579A"/>
    <w:rsid w:val="00136BEB"/>
    <w:rsid w:val="00136CA5"/>
    <w:rsid w:val="00136DB6"/>
    <w:rsid w:val="001371B3"/>
    <w:rsid w:val="001378EE"/>
    <w:rsid w:val="001414CC"/>
    <w:rsid w:val="00142407"/>
    <w:rsid w:val="00142AAD"/>
    <w:rsid w:val="001431F1"/>
    <w:rsid w:val="0014366F"/>
    <w:rsid w:val="00144BF2"/>
    <w:rsid w:val="001461AD"/>
    <w:rsid w:val="00147498"/>
    <w:rsid w:val="001474D2"/>
    <w:rsid w:val="0015109F"/>
    <w:rsid w:val="00151EFD"/>
    <w:rsid w:val="00153A8B"/>
    <w:rsid w:val="00153B66"/>
    <w:rsid w:val="00154599"/>
    <w:rsid w:val="001545C0"/>
    <w:rsid w:val="001554F9"/>
    <w:rsid w:val="00155779"/>
    <w:rsid w:val="00155787"/>
    <w:rsid w:val="001557E9"/>
    <w:rsid w:val="00155C29"/>
    <w:rsid w:val="00155CEC"/>
    <w:rsid w:val="00155F44"/>
    <w:rsid w:val="00156079"/>
    <w:rsid w:val="00156A1B"/>
    <w:rsid w:val="00156A6D"/>
    <w:rsid w:val="00157500"/>
    <w:rsid w:val="001578D0"/>
    <w:rsid w:val="00160587"/>
    <w:rsid w:val="00160E23"/>
    <w:rsid w:val="001618C5"/>
    <w:rsid w:val="00161F5C"/>
    <w:rsid w:val="00161F8E"/>
    <w:rsid w:val="00162720"/>
    <w:rsid w:val="001643DD"/>
    <w:rsid w:val="001647E7"/>
    <w:rsid w:val="00164BE1"/>
    <w:rsid w:val="00165A57"/>
    <w:rsid w:val="00165B7E"/>
    <w:rsid w:val="00165FF5"/>
    <w:rsid w:val="00167B3E"/>
    <w:rsid w:val="00170EBA"/>
    <w:rsid w:val="0017183E"/>
    <w:rsid w:val="00171D04"/>
    <w:rsid w:val="00171EBE"/>
    <w:rsid w:val="00172893"/>
    <w:rsid w:val="001732B3"/>
    <w:rsid w:val="00174632"/>
    <w:rsid w:val="001759A1"/>
    <w:rsid w:val="001767D7"/>
    <w:rsid w:val="0017798D"/>
    <w:rsid w:val="00177D9D"/>
    <w:rsid w:val="00180DB8"/>
    <w:rsid w:val="001814E2"/>
    <w:rsid w:val="0018179A"/>
    <w:rsid w:val="00181FE6"/>
    <w:rsid w:val="00182073"/>
    <w:rsid w:val="001822FB"/>
    <w:rsid w:val="001833CD"/>
    <w:rsid w:val="00183B41"/>
    <w:rsid w:val="00183D88"/>
    <w:rsid w:val="001843D6"/>
    <w:rsid w:val="001860CC"/>
    <w:rsid w:val="001862FB"/>
    <w:rsid w:val="00186936"/>
    <w:rsid w:val="00187110"/>
    <w:rsid w:val="0018774A"/>
    <w:rsid w:val="00187AB6"/>
    <w:rsid w:val="001909FF"/>
    <w:rsid w:val="00192D02"/>
    <w:rsid w:val="00193DAC"/>
    <w:rsid w:val="00194030"/>
    <w:rsid w:val="001945E7"/>
    <w:rsid w:val="001949C9"/>
    <w:rsid w:val="0019510D"/>
    <w:rsid w:val="001965F7"/>
    <w:rsid w:val="00197802"/>
    <w:rsid w:val="00197DEB"/>
    <w:rsid w:val="00197E48"/>
    <w:rsid w:val="001A0CC5"/>
    <w:rsid w:val="001A100F"/>
    <w:rsid w:val="001A26E7"/>
    <w:rsid w:val="001A2859"/>
    <w:rsid w:val="001A30CE"/>
    <w:rsid w:val="001A405A"/>
    <w:rsid w:val="001A4896"/>
    <w:rsid w:val="001A5813"/>
    <w:rsid w:val="001A584E"/>
    <w:rsid w:val="001A7102"/>
    <w:rsid w:val="001A7355"/>
    <w:rsid w:val="001A7C19"/>
    <w:rsid w:val="001B00FC"/>
    <w:rsid w:val="001B182D"/>
    <w:rsid w:val="001B18A8"/>
    <w:rsid w:val="001B197B"/>
    <w:rsid w:val="001B198C"/>
    <w:rsid w:val="001B1EF2"/>
    <w:rsid w:val="001B29CC"/>
    <w:rsid w:val="001B50E5"/>
    <w:rsid w:val="001B5768"/>
    <w:rsid w:val="001B5801"/>
    <w:rsid w:val="001B5BFB"/>
    <w:rsid w:val="001B5D64"/>
    <w:rsid w:val="001B77C1"/>
    <w:rsid w:val="001B7FE7"/>
    <w:rsid w:val="001C0899"/>
    <w:rsid w:val="001C11F7"/>
    <w:rsid w:val="001C1459"/>
    <w:rsid w:val="001C1ADF"/>
    <w:rsid w:val="001C2A0F"/>
    <w:rsid w:val="001C2A3F"/>
    <w:rsid w:val="001C2C81"/>
    <w:rsid w:val="001C37C4"/>
    <w:rsid w:val="001C4DE7"/>
    <w:rsid w:val="001C53D9"/>
    <w:rsid w:val="001C57E5"/>
    <w:rsid w:val="001C626C"/>
    <w:rsid w:val="001C6868"/>
    <w:rsid w:val="001C714B"/>
    <w:rsid w:val="001C731E"/>
    <w:rsid w:val="001C74DC"/>
    <w:rsid w:val="001C7C5B"/>
    <w:rsid w:val="001C7CB3"/>
    <w:rsid w:val="001C7F23"/>
    <w:rsid w:val="001CC98A"/>
    <w:rsid w:val="001D07D1"/>
    <w:rsid w:val="001D0840"/>
    <w:rsid w:val="001D149D"/>
    <w:rsid w:val="001D28DE"/>
    <w:rsid w:val="001D32B6"/>
    <w:rsid w:val="001D3956"/>
    <w:rsid w:val="001D4931"/>
    <w:rsid w:val="001D4BB2"/>
    <w:rsid w:val="001D62E3"/>
    <w:rsid w:val="001D717C"/>
    <w:rsid w:val="001D7E5A"/>
    <w:rsid w:val="001E01BC"/>
    <w:rsid w:val="001E073E"/>
    <w:rsid w:val="001E0B3A"/>
    <w:rsid w:val="001E10F2"/>
    <w:rsid w:val="001E1183"/>
    <w:rsid w:val="001E1F1A"/>
    <w:rsid w:val="001E22EA"/>
    <w:rsid w:val="001E293C"/>
    <w:rsid w:val="001E2F19"/>
    <w:rsid w:val="001E3327"/>
    <w:rsid w:val="001E4122"/>
    <w:rsid w:val="001E504D"/>
    <w:rsid w:val="001E6802"/>
    <w:rsid w:val="001E6A4B"/>
    <w:rsid w:val="001E70FB"/>
    <w:rsid w:val="001E7CF0"/>
    <w:rsid w:val="001F05B9"/>
    <w:rsid w:val="001F263E"/>
    <w:rsid w:val="001F2759"/>
    <w:rsid w:val="001F2EF5"/>
    <w:rsid w:val="001F36F4"/>
    <w:rsid w:val="001F3D1E"/>
    <w:rsid w:val="001F3D70"/>
    <w:rsid w:val="001F40F8"/>
    <w:rsid w:val="001F51BB"/>
    <w:rsid w:val="001F541B"/>
    <w:rsid w:val="001F5CED"/>
    <w:rsid w:val="001F5D14"/>
    <w:rsid w:val="001F5D23"/>
    <w:rsid w:val="001F62DA"/>
    <w:rsid w:val="001F687F"/>
    <w:rsid w:val="001F6B5C"/>
    <w:rsid w:val="001F701C"/>
    <w:rsid w:val="001F7107"/>
    <w:rsid w:val="001F71BD"/>
    <w:rsid w:val="001F7A43"/>
    <w:rsid w:val="001F7C71"/>
    <w:rsid w:val="0020125E"/>
    <w:rsid w:val="002014E3"/>
    <w:rsid w:val="00202118"/>
    <w:rsid w:val="0020266C"/>
    <w:rsid w:val="002033BD"/>
    <w:rsid w:val="00203763"/>
    <w:rsid w:val="0020431A"/>
    <w:rsid w:val="00204454"/>
    <w:rsid w:val="0020455D"/>
    <w:rsid w:val="00205D9D"/>
    <w:rsid w:val="002062DC"/>
    <w:rsid w:val="0020648A"/>
    <w:rsid w:val="002064B0"/>
    <w:rsid w:val="0020680D"/>
    <w:rsid w:val="00207467"/>
    <w:rsid w:val="00210C9C"/>
    <w:rsid w:val="00211871"/>
    <w:rsid w:val="002125B5"/>
    <w:rsid w:val="00212FF6"/>
    <w:rsid w:val="00213655"/>
    <w:rsid w:val="002137BA"/>
    <w:rsid w:val="0021414F"/>
    <w:rsid w:val="00215B86"/>
    <w:rsid w:val="00216F06"/>
    <w:rsid w:val="00216FAA"/>
    <w:rsid w:val="002170AB"/>
    <w:rsid w:val="0021725D"/>
    <w:rsid w:val="00217297"/>
    <w:rsid w:val="00217524"/>
    <w:rsid w:val="002176F6"/>
    <w:rsid w:val="00221476"/>
    <w:rsid w:val="0022164C"/>
    <w:rsid w:val="002222B1"/>
    <w:rsid w:val="00223445"/>
    <w:rsid w:val="00223DC9"/>
    <w:rsid w:val="00223FFB"/>
    <w:rsid w:val="00224066"/>
    <w:rsid w:val="0022406C"/>
    <w:rsid w:val="0022679B"/>
    <w:rsid w:val="002268BB"/>
    <w:rsid w:val="002272EA"/>
    <w:rsid w:val="00227988"/>
    <w:rsid w:val="00227A41"/>
    <w:rsid w:val="00227DAE"/>
    <w:rsid w:val="0023030C"/>
    <w:rsid w:val="00230BE3"/>
    <w:rsid w:val="00230EAB"/>
    <w:rsid w:val="00231635"/>
    <w:rsid w:val="00231D7E"/>
    <w:rsid w:val="00231E71"/>
    <w:rsid w:val="0023284A"/>
    <w:rsid w:val="0023346B"/>
    <w:rsid w:val="00233640"/>
    <w:rsid w:val="00234205"/>
    <w:rsid w:val="002349D0"/>
    <w:rsid w:val="002351AD"/>
    <w:rsid w:val="00235BC6"/>
    <w:rsid w:val="0023601D"/>
    <w:rsid w:val="002379CF"/>
    <w:rsid w:val="00237A31"/>
    <w:rsid w:val="0023DDF8"/>
    <w:rsid w:val="00240F1D"/>
    <w:rsid w:val="002412C5"/>
    <w:rsid w:val="002414F8"/>
    <w:rsid w:val="002415A6"/>
    <w:rsid w:val="002419A1"/>
    <w:rsid w:val="00241C97"/>
    <w:rsid w:val="00241F92"/>
    <w:rsid w:val="00242506"/>
    <w:rsid w:val="00242B5E"/>
    <w:rsid w:val="002433EB"/>
    <w:rsid w:val="002436A1"/>
    <w:rsid w:val="00243A27"/>
    <w:rsid w:val="00243D3B"/>
    <w:rsid w:val="002448C2"/>
    <w:rsid w:val="00244FD7"/>
    <w:rsid w:val="00245066"/>
    <w:rsid w:val="00245276"/>
    <w:rsid w:val="0024527D"/>
    <w:rsid w:val="00245A0A"/>
    <w:rsid w:val="00245F79"/>
    <w:rsid w:val="0024782B"/>
    <w:rsid w:val="00247997"/>
    <w:rsid w:val="0025050B"/>
    <w:rsid w:val="00250A86"/>
    <w:rsid w:val="00250E77"/>
    <w:rsid w:val="002519C8"/>
    <w:rsid w:val="002522FC"/>
    <w:rsid w:val="0025243A"/>
    <w:rsid w:val="00252FE7"/>
    <w:rsid w:val="002533C5"/>
    <w:rsid w:val="0025432D"/>
    <w:rsid w:val="002544BF"/>
    <w:rsid w:val="00254634"/>
    <w:rsid w:val="00254E31"/>
    <w:rsid w:val="002555A3"/>
    <w:rsid w:val="00255C36"/>
    <w:rsid w:val="00256187"/>
    <w:rsid w:val="002616B9"/>
    <w:rsid w:val="002619B6"/>
    <w:rsid w:val="002624FB"/>
    <w:rsid w:val="0026377D"/>
    <w:rsid w:val="002647B5"/>
    <w:rsid w:val="00264972"/>
    <w:rsid w:val="00265DE6"/>
    <w:rsid w:val="0026636D"/>
    <w:rsid w:val="00266B67"/>
    <w:rsid w:val="00266D8F"/>
    <w:rsid w:val="002672FB"/>
    <w:rsid w:val="00270AF8"/>
    <w:rsid w:val="00271E6A"/>
    <w:rsid w:val="002726F0"/>
    <w:rsid w:val="00272A72"/>
    <w:rsid w:val="002737B7"/>
    <w:rsid w:val="0027397C"/>
    <w:rsid w:val="00273CC3"/>
    <w:rsid w:val="00274B5F"/>
    <w:rsid w:val="002758D5"/>
    <w:rsid w:val="00275C86"/>
    <w:rsid w:val="0027647E"/>
    <w:rsid w:val="002768B5"/>
    <w:rsid w:val="0027BD85"/>
    <w:rsid w:val="0028082D"/>
    <w:rsid w:val="00280A71"/>
    <w:rsid w:val="00280C70"/>
    <w:rsid w:val="00280D99"/>
    <w:rsid w:val="00281277"/>
    <w:rsid w:val="002840B3"/>
    <w:rsid w:val="002852FB"/>
    <w:rsid w:val="00285C6D"/>
    <w:rsid w:val="00285F5D"/>
    <w:rsid w:val="00287B8E"/>
    <w:rsid w:val="00287F41"/>
    <w:rsid w:val="0029002D"/>
    <w:rsid w:val="002905FE"/>
    <w:rsid w:val="00291933"/>
    <w:rsid w:val="00291BB9"/>
    <w:rsid w:val="002934AE"/>
    <w:rsid w:val="00293967"/>
    <w:rsid w:val="00293CA8"/>
    <w:rsid w:val="00294A9A"/>
    <w:rsid w:val="00294DFE"/>
    <w:rsid w:val="00295D77"/>
    <w:rsid w:val="00296181"/>
    <w:rsid w:val="002963BE"/>
    <w:rsid w:val="00297C2A"/>
    <w:rsid w:val="00297C65"/>
    <w:rsid w:val="002A040F"/>
    <w:rsid w:val="002A0A84"/>
    <w:rsid w:val="002A0FED"/>
    <w:rsid w:val="002A2BA8"/>
    <w:rsid w:val="002A35C9"/>
    <w:rsid w:val="002A3600"/>
    <w:rsid w:val="002A3640"/>
    <w:rsid w:val="002A42E2"/>
    <w:rsid w:val="002A49D2"/>
    <w:rsid w:val="002A57FE"/>
    <w:rsid w:val="002A5875"/>
    <w:rsid w:val="002A5A10"/>
    <w:rsid w:val="002A5E09"/>
    <w:rsid w:val="002A633D"/>
    <w:rsid w:val="002A7FA9"/>
    <w:rsid w:val="002B0075"/>
    <w:rsid w:val="002B184C"/>
    <w:rsid w:val="002B23C1"/>
    <w:rsid w:val="002B27EC"/>
    <w:rsid w:val="002B34CE"/>
    <w:rsid w:val="002B3B09"/>
    <w:rsid w:val="002B40A6"/>
    <w:rsid w:val="002B419D"/>
    <w:rsid w:val="002B5101"/>
    <w:rsid w:val="002B7BF8"/>
    <w:rsid w:val="002C0747"/>
    <w:rsid w:val="002C15FE"/>
    <w:rsid w:val="002C2F1F"/>
    <w:rsid w:val="002C2F8F"/>
    <w:rsid w:val="002C3A29"/>
    <w:rsid w:val="002C4D9B"/>
    <w:rsid w:val="002C5B86"/>
    <w:rsid w:val="002C649A"/>
    <w:rsid w:val="002C69F3"/>
    <w:rsid w:val="002C725F"/>
    <w:rsid w:val="002C7663"/>
    <w:rsid w:val="002C79F7"/>
    <w:rsid w:val="002C7F10"/>
    <w:rsid w:val="002D03FE"/>
    <w:rsid w:val="002D0838"/>
    <w:rsid w:val="002D0F83"/>
    <w:rsid w:val="002D21BD"/>
    <w:rsid w:val="002D21F9"/>
    <w:rsid w:val="002D2B62"/>
    <w:rsid w:val="002D364C"/>
    <w:rsid w:val="002D3932"/>
    <w:rsid w:val="002D5549"/>
    <w:rsid w:val="002D561D"/>
    <w:rsid w:val="002D5B48"/>
    <w:rsid w:val="002D64B1"/>
    <w:rsid w:val="002D67C2"/>
    <w:rsid w:val="002D7322"/>
    <w:rsid w:val="002E0A5E"/>
    <w:rsid w:val="002E144F"/>
    <w:rsid w:val="002E2932"/>
    <w:rsid w:val="002E2C9F"/>
    <w:rsid w:val="002E32EE"/>
    <w:rsid w:val="002E3C88"/>
    <w:rsid w:val="002E4335"/>
    <w:rsid w:val="002E4456"/>
    <w:rsid w:val="002E588B"/>
    <w:rsid w:val="002E5DC1"/>
    <w:rsid w:val="002E60BD"/>
    <w:rsid w:val="002E7C25"/>
    <w:rsid w:val="002E7FFC"/>
    <w:rsid w:val="002F02CE"/>
    <w:rsid w:val="002F0335"/>
    <w:rsid w:val="002F0622"/>
    <w:rsid w:val="002F066E"/>
    <w:rsid w:val="002F0FEF"/>
    <w:rsid w:val="002F1AD1"/>
    <w:rsid w:val="002F2182"/>
    <w:rsid w:val="002F2C15"/>
    <w:rsid w:val="002F340A"/>
    <w:rsid w:val="002F5D50"/>
    <w:rsid w:val="002F6785"/>
    <w:rsid w:val="002F738B"/>
    <w:rsid w:val="002F7E97"/>
    <w:rsid w:val="003002E3"/>
    <w:rsid w:val="00301127"/>
    <w:rsid w:val="00301255"/>
    <w:rsid w:val="00304869"/>
    <w:rsid w:val="00304B70"/>
    <w:rsid w:val="00305027"/>
    <w:rsid w:val="003052BA"/>
    <w:rsid w:val="00305BFC"/>
    <w:rsid w:val="003069EA"/>
    <w:rsid w:val="003101FD"/>
    <w:rsid w:val="0031023A"/>
    <w:rsid w:val="00310500"/>
    <w:rsid w:val="00310FBD"/>
    <w:rsid w:val="00311991"/>
    <w:rsid w:val="00311E51"/>
    <w:rsid w:val="00312977"/>
    <w:rsid w:val="00313836"/>
    <w:rsid w:val="00314141"/>
    <w:rsid w:val="00314287"/>
    <w:rsid w:val="003158F0"/>
    <w:rsid w:val="00315AF1"/>
    <w:rsid w:val="00315DA2"/>
    <w:rsid w:val="003167B0"/>
    <w:rsid w:val="00316D48"/>
    <w:rsid w:val="003175F5"/>
    <w:rsid w:val="00317C0B"/>
    <w:rsid w:val="00317DF8"/>
    <w:rsid w:val="003208C0"/>
    <w:rsid w:val="00320D87"/>
    <w:rsid w:val="00321278"/>
    <w:rsid w:val="00321FAC"/>
    <w:rsid w:val="00322C6C"/>
    <w:rsid w:val="00322E89"/>
    <w:rsid w:val="00323F95"/>
    <w:rsid w:val="00324B51"/>
    <w:rsid w:val="0032530E"/>
    <w:rsid w:val="00326022"/>
    <w:rsid w:val="00326B67"/>
    <w:rsid w:val="00326EDA"/>
    <w:rsid w:val="00327B31"/>
    <w:rsid w:val="00327E4B"/>
    <w:rsid w:val="00331589"/>
    <w:rsid w:val="0033217B"/>
    <w:rsid w:val="00332EA8"/>
    <w:rsid w:val="0033327F"/>
    <w:rsid w:val="00333C96"/>
    <w:rsid w:val="00334A8A"/>
    <w:rsid w:val="00334F8A"/>
    <w:rsid w:val="00335900"/>
    <w:rsid w:val="00335C01"/>
    <w:rsid w:val="00335C1C"/>
    <w:rsid w:val="0033603F"/>
    <w:rsid w:val="003368BD"/>
    <w:rsid w:val="00336908"/>
    <w:rsid w:val="00337B73"/>
    <w:rsid w:val="00337C11"/>
    <w:rsid w:val="00340130"/>
    <w:rsid w:val="003409AD"/>
    <w:rsid w:val="00340AAD"/>
    <w:rsid w:val="003411F0"/>
    <w:rsid w:val="003417B0"/>
    <w:rsid w:val="00341C59"/>
    <w:rsid w:val="003420AF"/>
    <w:rsid w:val="00342F0A"/>
    <w:rsid w:val="003439EF"/>
    <w:rsid w:val="00343A94"/>
    <w:rsid w:val="0034414F"/>
    <w:rsid w:val="003448A0"/>
    <w:rsid w:val="0034528A"/>
    <w:rsid w:val="00345337"/>
    <w:rsid w:val="0034571B"/>
    <w:rsid w:val="00347243"/>
    <w:rsid w:val="0035027A"/>
    <w:rsid w:val="00350FEC"/>
    <w:rsid w:val="00351608"/>
    <w:rsid w:val="00351964"/>
    <w:rsid w:val="00351A53"/>
    <w:rsid w:val="00351EB3"/>
    <w:rsid w:val="00352CEC"/>
    <w:rsid w:val="00352F0E"/>
    <w:rsid w:val="0035337F"/>
    <w:rsid w:val="0035391D"/>
    <w:rsid w:val="00353A59"/>
    <w:rsid w:val="00353C50"/>
    <w:rsid w:val="00354E70"/>
    <w:rsid w:val="00355585"/>
    <w:rsid w:val="003560AB"/>
    <w:rsid w:val="00356ADF"/>
    <w:rsid w:val="00357A92"/>
    <w:rsid w:val="00360BCB"/>
    <w:rsid w:val="00362F09"/>
    <w:rsid w:val="003630CA"/>
    <w:rsid w:val="00363AE0"/>
    <w:rsid w:val="00363F33"/>
    <w:rsid w:val="00363FBA"/>
    <w:rsid w:val="00364272"/>
    <w:rsid w:val="00365136"/>
    <w:rsid w:val="00365214"/>
    <w:rsid w:val="00365D5D"/>
    <w:rsid w:val="00365F46"/>
    <w:rsid w:val="00366763"/>
    <w:rsid w:val="00366F2F"/>
    <w:rsid w:val="00367951"/>
    <w:rsid w:val="0037129C"/>
    <w:rsid w:val="00371AED"/>
    <w:rsid w:val="00372797"/>
    <w:rsid w:val="00372B81"/>
    <w:rsid w:val="003739D6"/>
    <w:rsid w:val="0037426C"/>
    <w:rsid w:val="0037531F"/>
    <w:rsid w:val="00375AE5"/>
    <w:rsid w:val="00375C2A"/>
    <w:rsid w:val="00375DC3"/>
    <w:rsid w:val="003761F5"/>
    <w:rsid w:val="00377C43"/>
    <w:rsid w:val="00380752"/>
    <w:rsid w:val="00380A28"/>
    <w:rsid w:val="00381396"/>
    <w:rsid w:val="00381F3A"/>
    <w:rsid w:val="00382513"/>
    <w:rsid w:val="00382BC4"/>
    <w:rsid w:val="003844EA"/>
    <w:rsid w:val="003845BC"/>
    <w:rsid w:val="00384FD8"/>
    <w:rsid w:val="00385579"/>
    <w:rsid w:val="00385E56"/>
    <w:rsid w:val="0038610B"/>
    <w:rsid w:val="003865F5"/>
    <w:rsid w:val="00386A55"/>
    <w:rsid w:val="00387237"/>
    <w:rsid w:val="0038732A"/>
    <w:rsid w:val="00387570"/>
    <w:rsid w:val="00387ADA"/>
    <w:rsid w:val="00390481"/>
    <w:rsid w:val="00390544"/>
    <w:rsid w:val="00391CDC"/>
    <w:rsid w:val="00392284"/>
    <w:rsid w:val="00392766"/>
    <w:rsid w:val="00392971"/>
    <w:rsid w:val="00392E10"/>
    <w:rsid w:val="003949F0"/>
    <w:rsid w:val="0039511E"/>
    <w:rsid w:val="00395235"/>
    <w:rsid w:val="00395DEF"/>
    <w:rsid w:val="00395EF6"/>
    <w:rsid w:val="0039615B"/>
    <w:rsid w:val="00396379"/>
    <w:rsid w:val="0039648C"/>
    <w:rsid w:val="00396BEC"/>
    <w:rsid w:val="00396D16"/>
    <w:rsid w:val="00396D79"/>
    <w:rsid w:val="00396DF5"/>
    <w:rsid w:val="00396E25"/>
    <w:rsid w:val="00396FD1"/>
    <w:rsid w:val="00397F11"/>
    <w:rsid w:val="003A08E9"/>
    <w:rsid w:val="003A0AE2"/>
    <w:rsid w:val="003A1B8D"/>
    <w:rsid w:val="003A282D"/>
    <w:rsid w:val="003A3FCE"/>
    <w:rsid w:val="003A3FF9"/>
    <w:rsid w:val="003A431C"/>
    <w:rsid w:val="003A44C8"/>
    <w:rsid w:val="003A4C15"/>
    <w:rsid w:val="003A552D"/>
    <w:rsid w:val="003A58B6"/>
    <w:rsid w:val="003A64E2"/>
    <w:rsid w:val="003A6612"/>
    <w:rsid w:val="003A6CFE"/>
    <w:rsid w:val="003A7207"/>
    <w:rsid w:val="003A7683"/>
    <w:rsid w:val="003B011A"/>
    <w:rsid w:val="003B0D49"/>
    <w:rsid w:val="003B0E82"/>
    <w:rsid w:val="003B0F3A"/>
    <w:rsid w:val="003B10EC"/>
    <w:rsid w:val="003B2933"/>
    <w:rsid w:val="003B3142"/>
    <w:rsid w:val="003B319C"/>
    <w:rsid w:val="003B31DA"/>
    <w:rsid w:val="003B3380"/>
    <w:rsid w:val="003B35B5"/>
    <w:rsid w:val="003B35F7"/>
    <w:rsid w:val="003B425F"/>
    <w:rsid w:val="003B58D2"/>
    <w:rsid w:val="003B6938"/>
    <w:rsid w:val="003B6D4E"/>
    <w:rsid w:val="003B712E"/>
    <w:rsid w:val="003B71B9"/>
    <w:rsid w:val="003B74D7"/>
    <w:rsid w:val="003B7545"/>
    <w:rsid w:val="003B7785"/>
    <w:rsid w:val="003C0142"/>
    <w:rsid w:val="003C11CC"/>
    <w:rsid w:val="003C146F"/>
    <w:rsid w:val="003C2496"/>
    <w:rsid w:val="003C2E22"/>
    <w:rsid w:val="003C42F7"/>
    <w:rsid w:val="003C4DF9"/>
    <w:rsid w:val="003C5041"/>
    <w:rsid w:val="003C67FD"/>
    <w:rsid w:val="003C746D"/>
    <w:rsid w:val="003C7ABF"/>
    <w:rsid w:val="003C7E0A"/>
    <w:rsid w:val="003D11CB"/>
    <w:rsid w:val="003D14F7"/>
    <w:rsid w:val="003D154D"/>
    <w:rsid w:val="003D2027"/>
    <w:rsid w:val="003D225C"/>
    <w:rsid w:val="003D27CE"/>
    <w:rsid w:val="003D35D6"/>
    <w:rsid w:val="003D36CF"/>
    <w:rsid w:val="003D6339"/>
    <w:rsid w:val="003D6E15"/>
    <w:rsid w:val="003D74C8"/>
    <w:rsid w:val="003D785E"/>
    <w:rsid w:val="003D7DCE"/>
    <w:rsid w:val="003E0041"/>
    <w:rsid w:val="003E048A"/>
    <w:rsid w:val="003E05EB"/>
    <w:rsid w:val="003E1A6D"/>
    <w:rsid w:val="003E1CD4"/>
    <w:rsid w:val="003E24CE"/>
    <w:rsid w:val="003E3495"/>
    <w:rsid w:val="003E387B"/>
    <w:rsid w:val="003E3C2C"/>
    <w:rsid w:val="003E5B1C"/>
    <w:rsid w:val="003E65FB"/>
    <w:rsid w:val="003E6F97"/>
    <w:rsid w:val="003E7A89"/>
    <w:rsid w:val="003F0F4F"/>
    <w:rsid w:val="003F1B00"/>
    <w:rsid w:val="003F1C4E"/>
    <w:rsid w:val="003F225D"/>
    <w:rsid w:val="003F26CC"/>
    <w:rsid w:val="003F2E29"/>
    <w:rsid w:val="003F32FD"/>
    <w:rsid w:val="003F3578"/>
    <w:rsid w:val="003F4B55"/>
    <w:rsid w:val="003F5426"/>
    <w:rsid w:val="003F5665"/>
    <w:rsid w:val="003F5CC2"/>
    <w:rsid w:val="003F6433"/>
    <w:rsid w:val="003F7382"/>
    <w:rsid w:val="003F7888"/>
    <w:rsid w:val="003F7D80"/>
    <w:rsid w:val="00401D5C"/>
    <w:rsid w:val="00401E7A"/>
    <w:rsid w:val="004031AA"/>
    <w:rsid w:val="00403A60"/>
    <w:rsid w:val="00404055"/>
    <w:rsid w:val="004040F4"/>
    <w:rsid w:val="00404192"/>
    <w:rsid w:val="00404323"/>
    <w:rsid w:val="0040468A"/>
    <w:rsid w:val="00406A87"/>
    <w:rsid w:val="00406C58"/>
    <w:rsid w:val="00407CBA"/>
    <w:rsid w:val="00410892"/>
    <w:rsid w:val="00410FAB"/>
    <w:rsid w:val="00411237"/>
    <w:rsid w:val="004114D8"/>
    <w:rsid w:val="00411A49"/>
    <w:rsid w:val="00411AF1"/>
    <w:rsid w:val="00411D9F"/>
    <w:rsid w:val="004124A8"/>
    <w:rsid w:val="00412562"/>
    <w:rsid w:val="00412BA1"/>
    <w:rsid w:val="00413DF5"/>
    <w:rsid w:val="0041416D"/>
    <w:rsid w:val="00414744"/>
    <w:rsid w:val="004156C3"/>
    <w:rsid w:val="00415A76"/>
    <w:rsid w:val="0041650B"/>
    <w:rsid w:val="00416D6F"/>
    <w:rsid w:val="004170D2"/>
    <w:rsid w:val="00417378"/>
    <w:rsid w:val="0041753D"/>
    <w:rsid w:val="00417F93"/>
    <w:rsid w:val="00420DC7"/>
    <w:rsid w:val="0042141E"/>
    <w:rsid w:val="0042202D"/>
    <w:rsid w:val="0042266D"/>
    <w:rsid w:val="00423823"/>
    <w:rsid w:val="004245E4"/>
    <w:rsid w:val="004247AD"/>
    <w:rsid w:val="00424A30"/>
    <w:rsid w:val="00424ADB"/>
    <w:rsid w:val="0042632A"/>
    <w:rsid w:val="0042665C"/>
    <w:rsid w:val="00426BA1"/>
    <w:rsid w:val="00426E6C"/>
    <w:rsid w:val="004270B5"/>
    <w:rsid w:val="004300F9"/>
    <w:rsid w:val="00431405"/>
    <w:rsid w:val="00431CD7"/>
    <w:rsid w:val="00432FD2"/>
    <w:rsid w:val="0043490C"/>
    <w:rsid w:val="00435318"/>
    <w:rsid w:val="00435427"/>
    <w:rsid w:val="004354A9"/>
    <w:rsid w:val="004358AF"/>
    <w:rsid w:val="004362E9"/>
    <w:rsid w:val="0043681E"/>
    <w:rsid w:val="00437851"/>
    <w:rsid w:val="00440454"/>
    <w:rsid w:val="00440A24"/>
    <w:rsid w:val="00440A71"/>
    <w:rsid w:val="00441291"/>
    <w:rsid w:val="0044134A"/>
    <w:rsid w:val="0044164B"/>
    <w:rsid w:val="004417BF"/>
    <w:rsid w:val="00441A93"/>
    <w:rsid w:val="00441C73"/>
    <w:rsid w:val="004433FC"/>
    <w:rsid w:val="00443792"/>
    <w:rsid w:val="00443BC2"/>
    <w:rsid w:val="00444E7D"/>
    <w:rsid w:val="00445B1F"/>
    <w:rsid w:val="00445CBD"/>
    <w:rsid w:val="004466B7"/>
    <w:rsid w:val="00446823"/>
    <w:rsid w:val="00447478"/>
    <w:rsid w:val="00447F05"/>
    <w:rsid w:val="0045069A"/>
    <w:rsid w:val="0045104B"/>
    <w:rsid w:val="00451AF1"/>
    <w:rsid w:val="00451D81"/>
    <w:rsid w:val="00453616"/>
    <w:rsid w:val="00453662"/>
    <w:rsid w:val="00454D71"/>
    <w:rsid w:val="00454DB9"/>
    <w:rsid w:val="00455EF2"/>
    <w:rsid w:val="00456078"/>
    <w:rsid w:val="00457162"/>
    <w:rsid w:val="004575B1"/>
    <w:rsid w:val="00457648"/>
    <w:rsid w:val="00457C40"/>
    <w:rsid w:val="004604C1"/>
    <w:rsid w:val="00460AF9"/>
    <w:rsid w:val="0046150A"/>
    <w:rsid w:val="004615FA"/>
    <w:rsid w:val="00461F44"/>
    <w:rsid w:val="0046205A"/>
    <w:rsid w:val="00464330"/>
    <w:rsid w:val="0046441D"/>
    <w:rsid w:val="004652D6"/>
    <w:rsid w:val="00465A98"/>
    <w:rsid w:val="00466A9B"/>
    <w:rsid w:val="00467051"/>
    <w:rsid w:val="00467B7B"/>
    <w:rsid w:val="00467DA1"/>
    <w:rsid w:val="004705E0"/>
    <w:rsid w:val="004707AD"/>
    <w:rsid w:val="004711CE"/>
    <w:rsid w:val="00471CB3"/>
    <w:rsid w:val="00471E1B"/>
    <w:rsid w:val="0047335A"/>
    <w:rsid w:val="00473E79"/>
    <w:rsid w:val="004747F1"/>
    <w:rsid w:val="00474B86"/>
    <w:rsid w:val="00474C3D"/>
    <w:rsid w:val="0047614A"/>
    <w:rsid w:val="00476164"/>
    <w:rsid w:val="004761D9"/>
    <w:rsid w:val="00476AD0"/>
    <w:rsid w:val="00476D20"/>
    <w:rsid w:val="00476DE5"/>
    <w:rsid w:val="00477139"/>
    <w:rsid w:val="00479B26"/>
    <w:rsid w:val="004801D9"/>
    <w:rsid w:val="004804FF"/>
    <w:rsid w:val="0048087B"/>
    <w:rsid w:val="004809E1"/>
    <w:rsid w:val="004809E8"/>
    <w:rsid w:val="00481414"/>
    <w:rsid w:val="004825A8"/>
    <w:rsid w:val="00482FFA"/>
    <w:rsid w:val="00483065"/>
    <w:rsid w:val="004836FA"/>
    <w:rsid w:val="0048379B"/>
    <w:rsid w:val="00484427"/>
    <w:rsid w:val="0048514B"/>
    <w:rsid w:val="004863A6"/>
    <w:rsid w:val="00486FE5"/>
    <w:rsid w:val="004876CD"/>
    <w:rsid w:val="00487A3D"/>
    <w:rsid w:val="00487FEB"/>
    <w:rsid w:val="00490669"/>
    <w:rsid w:val="0049074B"/>
    <w:rsid w:val="00491698"/>
    <w:rsid w:val="004916FF"/>
    <w:rsid w:val="004924B9"/>
    <w:rsid w:val="00493486"/>
    <w:rsid w:val="004934C9"/>
    <w:rsid w:val="004943A6"/>
    <w:rsid w:val="004979D6"/>
    <w:rsid w:val="00497ABB"/>
    <w:rsid w:val="00497FC0"/>
    <w:rsid w:val="004A005F"/>
    <w:rsid w:val="004A04A0"/>
    <w:rsid w:val="004A0EBC"/>
    <w:rsid w:val="004A0F60"/>
    <w:rsid w:val="004A26C6"/>
    <w:rsid w:val="004A2D32"/>
    <w:rsid w:val="004A2E12"/>
    <w:rsid w:val="004A2F65"/>
    <w:rsid w:val="004A3C05"/>
    <w:rsid w:val="004A3D85"/>
    <w:rsid w:val="004A4CAB"/>
    <w:rsid w:val="004A5846"/>
    <w:rsid w:val="004A5EA4"/>
    <w:rsid w:val="004A5F94"/>
    <w:rsid w:val="004A6364"/>
    <w:rsid w:val="004B0796"/>
    <w:rsid w:val="004B094E"/>
    <w:rsid w:val="004B0B36"/>
    <w:rsid w:val="004B1183"/>
    <w:rsid w:val="004B142F"/>
    <w:rsid w:val="004B1B86"/>
    <w:rsid w:val="004B1E37"/>
    <w:rsid w:val="004B2603"/>
    <w:rsid w:val="004B26BA"/>
    <w:rsid w:val="004B2B9E"/>
    <w:rsid w:val="004B3EF0"/>
    <w:rsid w:val="004B44CC"/>
    <w:rsid w:val="004B48D8"/>
    <w:rsid w:val="004B4C32"/>
    <w:rsid w:val="004B537E"/>
    <w:rsid w:val="004B65B8"/>
    <w:rsid w:val="004B67BA"/>
    <w:rsid w:val="004B723E"/>
    <w:rsid w:val="004B769A"/>
    <w:rsid w:val="004B7FEB"/>
    <w:rsid w:val="004C0030"/>
    <w:rsid w:val="004C08C1"/>
    <w:rsid w:val="004C0E94"/>
    <w:rsid w:val="004C24BE"/>
    <w:rsid w:val="004C3A96"/>
    <w:rsid w:val="004C45E3"/>
    <w:rsid w:val="004C4939"/>
    <w:rsid w:val="004C5836"/>
    <w:rsid w:val="004C62E6"/>
    <w:rsid w:val="004C64F5"/>
    <w:rsid w:val="004C6EDC"/>
    <w:rsid w:val="004C72E3"/>
    <w:rsid w:val="004C7C0A"/>
    <w:rsid w:val="004D186E"/>
    <w:rsid w:val="004D1C8D"/>
    <w:rsid w:val="004D1F45"/>
    <w:rsid w:val="004D2234"/>
    <w:rsid w:val="004D2EC5"/>
    <w:rsid w:val="004D3DFC"/>
    <w:rsid w:val="004D3FC8"/>
    <w:rsid w:val="004D4055"/>
    <w:rsid w:val="004D47C5"/>
    <w:rsid w:val="004D555A"/>
    <w:rsid w:val="004D6A2F"/>
    <w:rsid w:val="004D7143"/>
    <w:rsid w:val="004D773B"/>
    <w:rsid w:val="004E0831"/>
    <w:rsid w:val="004E0941"/>
    <w:rsid w:val="004E1F1E"/>
    <w:rsid w:val="004E3D05"/>
    <w:rsid w:val="004E4539"/>
    <w:rsid w:val="004E4756"/>
    <w:rsid w:val="004E49D8"/>
    <w:rsid w:val="004E72FC"/>
    <w:rsid w:val="004E7519"/>
    <w:rsid w:val="004E7578"/>
    <w:rsid w:val="004E768F"/>
    <w:rsid w:val="004F07BA"/>
    <w:rsid w:val="004F097F"/>
    <w:rsid w:val="004F0FEC"/>
    <w:rsid w:val="004F13D4"/>
    <w:rsid w:val="004F193E"/>
    <w:rsid w:val="004F1A6D"/>
    <w:rsid w:val="004F1E82"/>
    <w:rsid w:val="004F225C"/>
    <w:rsid w:val="004F2A26"/>
    <w:rsid w:val="004F2E6F"/>
    <w:rsid w:val="004F2EA0"/>
    <w:rsid w:val="004F367E"/>
    <w:rsid w:val="004F3E98"/>
    <w:rsid w:val="004F548F"/>
    <w:rsid w:val="004F55CC"/>
    <w:rsid w:val="004F6497"/>
    <w:rsid w:val="004F7E2E"/>
    <w:rsid w:val="0050040F"/>
    <w:rsid w:val="005006B5"/>
    <w:rsid w:val="00500CCA"/>
    <w:rsid w:val="005010B7"/>
    <w:rsid w:val="00501654"/>
    <w:rsid w:val="00501975"/>
    <w:rsid w:val="00501F79"/>
    <w:rsid w:val="00502BCB"/>
    <w:rsid w:val="00503A11"/>
    <w:rsid w:val="005044B0"/>
    <w:rsid w:val="00504539"/>
    <w:rsid w:val="00504C5F"/>
    <w:rsid w:val="005051C2"/>
    <w:rsid w:val="005056FE"/>
    <w:rsid w:val="005076FF"/>
    <w:rsid w:val="00510BC4"/>
    <w:rsid w:val="00510FED"/>
    <w:rsid w:val="005115ED"/>
    <w:rsid w:val="005117F6"/>
    <w:rsid w:val="00511F12"/>
    <w:rsid w:val="00512E07"/>
    <w:rsid w:val="00512EF4"/>
    <w:rsid w:val="00513106"/>
    <w:rsid w:val="00513281"/>
    <w:rsid w:val="00513586"/>
    <w:rsid w:val="005144A1"/>
    <w:rsid w:val="00514BFD"/>
    <w:rsid w:val="00514C03"/>
    <w:rsid w:val="00514C25"/>
    <w:rsid w:val="00515A75"/>
    <w:rsid w:val="00515B32"/>
    <w:rsid w:val="00515C4B"/>
    <w:rsid w:val="00516770"/>
    <w:rsid w:val="005178B4"/>
    <w:rsid w:val="00517E42"/>
    <w:rsid w:val="00520E1C"/>
    <w:rsid w:val="00520F69"/>
    <w:rsid w:val="00521183"/>
    <w:rsid w:val="00521C26"/>
    <w:rsid w:val="0052236B"/>
    <w:rsid w:val="00522E8A"/>
    <w:rsid w:val="0052331E"/>
    <w:rsid w:val="00523EC1"/>
    <w:rsid w:val="00524281"/>
    <w:rsid w:val="00525563"/>
    <w:rsid w:val="00525908"/>
    <w:rsid w:val="00526A5F"/>
    <w:rsid w:val="00531198"/>
    <w:rsid w:val="00531378"/>
    <w:rsid w:val="00532104"/>
    <w:rsid w:val="00532A2B"/>
    <w:rsid w:val="00534009"/>
    <w:rsid w:val="0053501B"/>
    <w:rsid w:val="00535692"/>
    <w:rsid w:val="00535BB1"/>
    <w:rsid w:val="00536723"/>
    <w:rsid w:val="00537970"/>
    <w:rsid w:val="00540242"/>
    <w:rsid w:val="005415FD"/>
    <w:rsid w:val="005418EA"/>
    <w:rsid w:val="00542015"/>
    <w:rsid w:val="00543237"/>
    <w:rsid w:val="00544B06"/>
    <w:rsid w:val="005454FD"/>
    <w:rsid w:val="005455F0"/>
    <w:rsid w:val="005457F7"/>
    <w:rsid w:val="00546525"/>
    <w:rsid w:val="00546DE8"/>
    <w:rsid w:val="005478EC"/>
    <w:rsid w:val="00550AAC"/>
    <w:rsid w:val="00551936"/>
    <w:rsid w:val="00551E1B"/>
    <w:rsid w:val="00552659"/>
    <w:rsid w:val="005526BC"/>
    <w:rsid w:val="00552CB0"/>
    <w:rsid w:val="00552E76"/>
    <w:rsid w:val="0055344C"/>
    <w:rsid w:val="005544FE"/>
    <w:rsid w:val="005552CA"/>
    <w:rsid w:val="0055636D"/>
    <w:rsid w:val="00557CBE"/>
    <w:rsid w:val="00560B83"/>
    <w:rsid w:val="00561B18"/>
    <w:rsid w:val="005629BE"/>
    <w:rsid w:val="0056333E"/>
    <w:rsid w:val="005640D2"/>
    <w:rsid w:val="005641BA"/>
    <w:rsid w:val="005649E4"/>
    <w:rsid w:val="00566060"/>
    <w:rsid w:val="005667B9"/>
    <w:rsid w:val="00566B30"/>
    <w:rsid w:val="00567244"/>
    <w:rsid w:val="005677D4"/>
    <w:rsid w:val="0057067A"/>
    <w:rsid w:val="00570870"/>
    <w:rsid w:val="00570D64"/>
    <w:rsid w:val="00570F47"/>
    <w:rsid w:val="00571069"/>
    <w:rsid w:val="00572CE3"/>
    <w:rsid w:val="00573735"/>
    <w:rsid w:val="00573A3E"/>
    <w:rsid w:val="00576F29"/>
    <w:rsid w:val="005802AC"/>
    <w:rsid w:val="005803C0"/>
    <w:rsid w:val="00580409"/>
    <w:rsid w:val="00582893"/>
    <w:rsid w:val="00582EBD"/>
    <w:rsid w:val="005831E0"/>
    <w:rsid w:val="00583894"/>
    <w:rsid w:val="0058420D"/>
    <w:rsid w:val="005847ED"/>
    <w:rsid w:val="00584959"/>
    <w:rsid w:val="00584973"/>
    <w:rsid w:val="00584E72"/>
    <w:rsid w:val="00584EA8"/>
    <w:rsid w:val="00586E5C"/>
    <w:rsid w:val="005870A8"/>
    <w:rsid w:val="00587B9C"/>
    <w:rsid w:val="00587BDF"/>
    <w:rsid w:val="00587C1C"/>
    <w:rsid w:val="005905EE"/>
    <w:rsid w:val="00590DEC"/>
    <w:rsid w:val="00591B99"/>
    <w:rsid w:val="00591FD4"/>
    <w:rsid w:val="00592621"/>
    <w:rsid w:val="00592B9A"/>
    <w:rsid w:val="00593E11"/>
    <w:rsid w:val="00595263"/>
    <w:rsid w:val="005953EA"/>
    <w:rsid w:val="00596909"/>
    <w:rsid w:val="0059703B"/>
    <w:rsid w:val="005979C5"/>
    <w:rsid w:val="00597C78"/>
    <w:rsid w:val="00597CAA"/>
    <w:rsid w:val="00597D7B"/>
    <w:rsid w:val="005A0A26"/>
    <w:rsid w:val="005A1ADF"/>
    <w:rsid w:val="005A1F98"/>
    <w:rsid w:val="005A2421"/>
    <w:rsid w:val="005A279E"/>
    <w:rsid w:val="005A2D98"/>
    <w:rsid w:val="005A2E02"/>
    <w:rsid w:val="005A3299"/>
    <w:rsid w:val="005A35BF"/>
    <w:rsid w:val="005A5476"/>
    <w:rsid w:val="005A5B2A"/>
    <w:rsid w:val="005A5C18"/>
    <w:rsid w:val="005A5C19"/>
    <w:rsid w:val="005A6B71"/>
    <w:rsid w:val="005A6B75"/>
    <w:rsid w:val="005A73DC"/>
    <w:rsid w:val="005A77E0"/>
    <w:rsid w:val="005A7822"/>
    <w:rsid w:val="005A7F09"/>
    <w:rsid w:val="005B1544"/>
    <w:rsid w:val="005B1C99"/>
    <w:rsid w:val="005B1E31"/>
    <w:rsid w:val="005B232F"/>
    <w:rsid w:val="005B255F"/>
    <w:rsid w:val="005B2867"/>
    <w:rsid w:val="005B2CB8"/>
    <w:rsid w:val="005B4B55"/>
    <w:rsid w:val="005B50E8"/>
    <w:rsid w:val="005B5187"/>
    <w:rsid w:val="005B5D17"/>
    <w:rsid w:val="005B6662"/>
    <w:rsid w:val="005B67A1"/>
    <w:rsid w:val="005B6D17"/>
    <w:rsid w:val="005B7606"/>
    <w:rsid w:val="005B7EBC"/>
    <w:rsid w:val="005C04DD"/>
    <w:rsid w:val="005C05C5"/>
    <w:rsid w:val="005C0A05"/>
    <w:rsid w:val="005C0CB9"/>
    <w:rsid w:val="005C0DFA"/>
    <w:rsid w:val="005C14AE"/>
    <w:rsid w:val="005C2802"/>
    <w:rsid w:val="005C42B8"/>
    <w:rsid w:val="005C42DC"/>
    <w:rsid w:val="005C477D"/>
    <w:rsid w:val="005C477F"/>
    <w:rsid w:val="005C478B"/>
    <w:rsid w:val="005C52AF"/>
    <w:rsid w:val="005C5675"/>
    <w:rsid w:val="005C672C"/>
    <w:rsid w:val="005C7421"/>
    <w:rsid w:val="005D0043"/>
    <w:rsid w:val="005D07F8"/>
    <w:rsid w:val="005D152B"/>
    <w:rsid w:val="005D2D8D"/>
    <w:rsid w:val="005D2DC1"/>
    <w:rsid w:val="005D31CB"/>
    <w:rsid w:val="005D3703"/>
    <w:rsid w:val="005D4795"/>
    <w:rsid w:val="005D4A5C"/>
    <w:rsid w:val="005D5256"/>
    <w:rsid w:val="005D532E"/>
    <w:rsid w:val="005D5338"/>
    <w:rsid w:val="005D5A89"/>
    <w:rsid w:val="005D5E27"/>
    <w:rsid w:val="005D6642"/>
    <w:rsid w:val="005D6938"/>
    <w:rsid w:val="005D781D"/>
    <w:rsid w:val="005D798E"/>
    <w:rsid w:val="005DE67F"/>
    <w:rsid w:val="005E1440"/>
    <w:rsid w:val="005E28D2"/>
    <w:rsid w:val="005E3674"/>
    <w:rsid w:val="005E371A"/>
    <w:rsid w:val="005E3D18"/>
    <w:rsid w:val="005E3FD2"/>
    <w:rsid w:val="005E4346"/>
    <w:rsid w:val="005E4F91"/>
    <w:rsid w:val="005E57A6"/>
    <w:rsid w:val="005E58C7"/>
    <w:rsid w:val="005E684B"/>
    <w:rsid w:val="005E7239"/>
    <w:rsid w:val="005E7D27"/>
    <w:rsid w:val="005F07C2"/>
    <w:rsid w:val="005F0864"/>
    <w:rsid w:val="005F14ED"/>
    <w:rsid w:val="005F14FE"/>
    <w:rsid w:val="005F1590"/>
    <w:rsid w:val="005F2157"/>
    <w:rsid w:val="005F2D5A"/>
    <w:rsid w:val="005F3A14"/>
    <w:rsid w:val="005F3E7D"/>
    <w:rsid w:val="005F3E7F"/>
    <w:rsid w:val="005F4568"/>
    <w:rsid w:val="005F4F70"/>
    <w:rsid w:val="005F51F5"/>
    <w:rsid w:val="005F5909"/>
    <w:rsid w:val="005F5B41"/>
    <w:rsid w:val="005F5E4C"/>
    <w:rsid w:val="005F622B"/>
    <w:rsid w:val="005F65B7"/>
    <w:rsid w:val="005F6A3A"/>
    <w:rsid w:val="005F6DCD"/>
    <w:rsid w:val="005F73FD"/>
    <w:rsid w:val="005F7818"/>
    <w:rsid w:val="00600891"/>
    <w:rsid w:val="00600F55"/>
    <w:rsid w:val="00601D63"/>
    <w:rsid w:val="00601FDB"/>
    <w:rsid w:val="00602023"/>
    <w:rsid w:val="0060211F"/>
    <w:rsid w:val="006023C3"/>
    <w:rsid w:val="0060304B"/>
    <w:rsid w:val="006033F3"/>
    <w:rsid w:val="00603708"/>
    <w:rsid w:val="00603C9E"/>
    <w:rsid w:val="00604319"/>
    <w:rsid w:val="006053B9"/>
    <w:rsid w:val="00605538"/>
    <w:rsid w:val="00605558"/>
    <w:rsid w:val="006058D2"/>
    <w:rsid w:val="00605C8B"/>
    <w:rsid w:val="006066B9"/>
    <w:rsid w:val="0060757C"/>
    <w:rsid w:val="0060793F"/>
    <w:rsid w:val="00607CA9"/>
    <w:rsid w:val="00607F1A"/>
    <w:rsid w:val="0061019A"/>
    <w:rsid w:val="006105BD"/>
    <w:rsid w:val="006108DE"/>
    <w:rsid w:val="00610AC6"/>
    <w:rsid w:val="00611149"/>
    <w:rsid w:val="006120E0"/>
    <w:rsid w:val="006122C0"/>
    <w:rsid w:val="00612C04"/>
    <w:rsid w:val="00613AF4"/>
    <w:rsid w:val="00613C6A"/>
    <w:rsid w:val="006142B2"/>
    <w:rsid w:val="00614C15"/>
    <w:rsid w:val="00614D7B"/>
    <w:rsid w:val="006158C3"/>
    <w:rsid w:val="0061595E"/>
    <w:rsid w:val="00615EE6"/>
    <w:rsid w:val="00616264"/>
    <w:rsid w:val="00616D6A"/>
    <w:rsid w:val="006172FB"/>
    <w:rsid w:val="006175AE"/>
    <w:rsid w:val="00617DE7"/>
    <w:rsid w:val="00617F39"/>
    <w:rsid w:val="00620765"/>
    <w:rsid w:val="00620A3E"/>
    <w:rsid w:val="00620CE4"/>
    <w:rsid w:val="00621089"/>
    <w:rsid w:val="006217B7"/>
    <w:rsid w:val="00621AB5"/>
    <w:rsid w:val="00622508"/>
    <w:rsid w:val="006236DE"/>
    <w:rsid w:val="00624C29"/>
    <w:rsid w:val="00624D03"/>
    <w:rsid w:val="0062509D"/>
    <w:rsid w:val="0062519F"/>
    <w:rsid w:val="00626745"/>
    <w:rsid w:val="00626B52"/>
    <w:rsid w:val="006300C1"/>
    <w:rsid w:val="006305E7"/>
    <w:rsid w:val="00630687"/>
    <w:rsid w:val="00630785"/>
    <w:rsid w:val="006311C8"/>
    <w:rsid w:val="0063181F"/>
    <w:rsid w:val="00631A1A"/>
    <w:rsid w:val="0063202F"/>
    <w:rsid w:val="00632033"/>
    <w:rsid w:val="00632765"/>
    <w:rsid w:val="00632C68"/>
    <w:rsid w:val="00633A55"/>
    <w:rsid w:val="00634053"/>
    <w:rsid w:val="006343E0"/>
    <w:rsid w:val="006349ED"/>
    <w:rsid w:val="006363BB"/>
    <w:rsid w:val="0063646D"/>
    <w:rsid w:val="006366CA"/>
    <w:rsid w:val="00636987"/>
    <w:rsid w:val="00636C0A"/>
    <w:rsid w:val="00640244"/>
    <w:rsid w:val="006402C0"/>
    <w:rsid w:val="00641F36"/>
    <w:rsid w:val="00642A0F"/>
    <w:rsid w:val="00642AE7"/>
    <w:rsid w:val="00642D4C"/>
    <w:rsid w:val="00642E2F"/>
    <w:rsid w:val="0064369F"/>
    <w:rsid w:val="00643CA7"/>
    <w:rsid w:val="006452F7"/>
    <w:rsid w:val="0064568C"/>
    <w:rsid w:val="0064672F"/>
    <w:rsid w:val="00646C53"/>
    <w:rsid w:val="0064798C"/>
    <w:rsid w:val="00650D2E"/>
    <w:rsid w:val="00651098"/>
    <w:rsid w:val="00651321"/>
    <w:rsid w:val="00651AB4"/>
    <w:rsid w:val="00651BAB"/>
    <w:rsid w:val="00651DBA"/>
    <w:rsid w:val="00652501"/>
    <w:rsid w:val="00653175"/>
    <w:rsid w:val="006531DE"/>
    <w:rsid w:val="006533F2"/>
    <w:rsid w:val="0065407A"/>
    <w:rsid w:val="006541D7"/>
    <w:rsid w:val="00654870"/>
    <w:rsid w:val="00654D25"/>
    <w:rsid w:val="00654FDD"/>
    <w:rsid w:val="00655309"/>
    <w:rsid w:val="00655C94"/>
    <w:rsid w:val="00655F72"/>
    <w:rsid w:val="0065697A"/>
    <w:rsid w:val="00656C61"/>
    <w:rsid w:val="00656FC4"/>
    <w:rsid w:val="00657413"/>
    <w:rsid w:val="006578CA"/>
    <w:rsid w:val="00657BFB"/>
    <w:rsid w:val="00657C7C"/>
    <w:rsid w:val="00661502"/>
    <w:rsid w:val="00661D25"/>
    <w:rsid w:val="00661D90"/>
    <w:rsid w:val="00663B7B"/>
    <w:rsid w:val="00664FBB"/>
    <w:rsid w:val="00665EC2"/>
    <w:rsid w:val="0066649E"/>
    <w:rsid w:val="00666520"/>
    <w:rsid w:val="0066670C"/>
    <w:rsid w:val="0066674F"/>
    <w:rsid w:val="00666DF2"/>
    <w:rsid w:val="00667687"/>
    <w:rsid w:val="00667BCA"/>
    <w:rsid w:val="00667C81"/>
    <w:rsid w:val="006702BC"/>
    <w:rsid w:val="0067099C"/>
    <w:rsid w:val="0067120E"/>
    <w:rsid w:val="006716B1"/>
    <w:rsid w:val="006716CB"/>
    <w:rsid w:val="00672384"/>
    <w:rsid w:val="0067245C"/>
    <w:rsid w:val="00672DF3"/>
    <w:rsid w:val="00672F0E"/>
    <w:rsid w:val="0067403B"/>
    <w:rsid w:val="00675BFD"/>
    <w:rsid w:val="00676909"/>
    <w:rsid w:val="00677825"/>
    <w:rsid w:val="00680600"/>
    <w:rsid w:val="00680D96"/>
    <w:rsid w:val="006813E8"/>
    <w:rsid w:val="00681D66"/>
    <w:rsid w:val="00681DCA"/>
    <w:rsid w:val="006822D2"/>
    <w:rsid w:val="00682687"/>
    <w:rsid w:val="00682C82"/>
    <w:rsid w:val="0068366D"/>
    <w:rsid w:val="00683B61"/>
    <w:rsid w:val="00685173"/>
    <w:rsid w:val="00686801"/>
    <w:rsid w:val="00686E83"/>
    <w:rsid w:val="00687E09"/>
    <w:rsid w:val="00687FDA"/>
    <w:rsid w:val="00690B4D"/>
    <w:rsid w:val="00691162"/>
    <w:rsid w:val="00692117"/>
    <w:rsid w:val="00692279"/>
    <w:rsid w:val="00692686"/>
    <w:rsid w:val="006933D9"/>
    <w:rsid w:val="00693E87"/>
    <w:rsid w:val="00693E9C"/>
    <w:rsid w:val="00693FC2"/>
    <w:rsid w:val="0069406B"/>
    <w:rsid w:val="00694520"/>
    <w:rsid w:val="006949D3"/>
    <w:rsid w:val="00694E57"/>
    <w:rsid w:val="00696001"/>
    <w:rsid w:val="006960F6"/>
    <w:rsid w:val="006975F9"/>
    <w:rsid w:val="00697C29"/>
    <w:rsid w:val="00697C94"/>
    <w:rsid w:val="006A0359"/>
    <w:rsid w:val="006A04AA"/>
    <w:rsid w:val="006A1CB5"/>
    <w:rsid w:val="006A23D2"/>
    <w:rsid w:val="006A30C7"/>
    <w:rsid w:val="006A40C0"/>
    <w:rsid w:val="006A4FC1"/>
    <w:rsid w:val="006A52E5"/>
    <w:rsid w:val="006A6C33"/>
    <w:rsid w:val="006A73E7"/>
    <w:rsid w:val="006B053C"/>
    <w:rsid w:val="006B087A"/>
    <w:rsid w:val="006B0E9E"/>
    <w:rsid w:val="006B17DF"/>
    <w:rsid w:val="006B499C"/>
    <w:rsid w:val="006B4BD1"/>
    <w:rsid w:val="006B577C"/>
    <w:rsid w:val="006B5BFE"/>
    <w:rsid w:val="006B5FBC"/>
    <w:rsid w:val="006B69FF"/>
    <w:rsid w:val="006B762F"/>
    <w:rsid w:val="006B7B4A"/>
    <w:rsid w:val="006B7BCF"/>
    <w:rsid w:val="006B7D21"/>
    <w:rsid w:val="006C228A"/>
    <w:rsid w:val="006C2AA5"/>
    <w:rsid w:val="006C2D25"/>
    <w:rsid w:val="006C31BA"/>
    <w:rsid w:val="006C4534"/>
    <w:rsid w:val="006C4B7F"/>
    <w:rsid w:val="006C4CC3"/>
    <w:rsid w:val="006C56AF"/>
    <w:rsid w:val="006C5BFA"/>
    <w:rsid w:val="006C6C3E"/>
    <w:rsid w:val="006D042D"/>
    <w:rsid w:val="006D08FD"/>
    <w:rsid w:val="006D095B"/>
    <w:rsid w:val="006D0996"/>
    <w:rsid w:val="006D0ACE"/>
    <w:rsid w:val="006D1055"/>
    <w:rsid w:val="006D1521"/>
    <w:rsid w:val="006D1B29"/>
    <w:rsid w:val="006D2FC7"/>
    <w:rsid w:val="006D3339"/>
    <w:rsid w:val="006D49B6"/>
    <w:rsid w:val="006D5898"/>
    <w:rsid w:val="006D614C"/>
    <w:rsid w:val="006D65C9"/>
    <w:rsid w:val="006E09B7"/>
    <w:rsid w:val="006E148D"/>
    <w:rsid w:val="006E4924"/>
    <w:rsid w:val="006E4969"/>
    <w:rsid w:val="006E4F69"/>
    <w:rsid w:val="006E719C"/>
    <w:rsid w:val="006F0950"/>
    <w:rsid w:val="006F14E2"/>
    <w:rsid w:val="006F189A"/>
    <w:rsid w:val="006F18F6"/>
    <w:rsid w:val="006F2B32"/>
    <w:rsid w:val="006F2B8F"/>
    <w:rsid w:val="006F3456"/>
    <w:rsid w:val="006F34A8"/>
    <w:rsid w:val="006F394E"/>
    <w:rsid w:val="006F4472"/>
    <w:rsid w:val="006F4C41"/>
    <w:rsid w:val="006F5419"/>
    <w:rsid w:val="006F5AA4"/>
    <w:rsid w:val="006F6026"/>
    <w:rsid w:val="006F70CD"/>
    <w:rsid w:val="00700291"/>
    <w:rsid w:val="00700A31"/>
    <w:rsid w:val="00700A5F"/>
    <w:rsid w:val="00700B80"/>
    <w:rsid w:val="007018C2"/>
    <w:rsid w:val="00702C1F"/>
    <w:rsid w:val="00703AF3"/>
    <w:rsid w:val="00704479"/>
    <w:rsid w:val="0070469F"/>
    <w:rsid w:val="00704F05"/>
    <w:rsid w:val="00705018"/>
    <w:rsid w:val="00705080"/>
    <w:rsid w:val="00705223"/>
    <w:rsid w:val="007054B5"/>
    <w:rsid w:val="007054C3"/>
    <w:rsid w:val="0070679A"/>
    <w:rsid w:val="00706951"/>
    <w:rsid w:val="007071B9"/>
    <w:rsid w:val="007072FB"/>
    <w:rsid w:val="00707516"/>
    <w:rsid w:val="00707C39"/>
    <w:rsid w:val="00707DA9"/>
    <w:rsid w:val="00710B78"/>
    <w:rsid w:val="007116D0"/>
    <w:rsid w:val="00711731"/>
    <w:rsid w:val="007118D1"/>
    <w:rsid w:val="007124DE"/>
    <w:rsid w:val="00714318"/>
    <w:rsid w:val="00714AA7"/>
    <w:rsid w:val="0071546D"/>
    <w:rsid w:val="007156C1"/>
    <w:rsid w:val="007158D7"/>
    <w:rsid w:val="00715B09"/>
    <w:rsid w:val="00717B0C"/>
    <w:rsid w:val="00717D7B"/>
    <w:rsid w:val="0072130B"/>
    <w:rsid w:val="00721D86"/>
    <w:rsid w:val="00721DAB"/>
    <w:rsid w:val="0072217D"/>
    <w:rsid w:val="00723667"/>
    <w:rsid w:val="00723DF1"/>
    <w:rsid w:val="00723ED7"/>
    <w:rsid w:val="0072421C"/>
    <w:rsid w:val="0072474A"/>
    <w:rsid w:val="00724750"/>
    <w:rsid w:val="007255B2"/>
    <w:rsid w:val="0072583F"/>
    <w:rsid w:val="0072646E"/>
    <w:rsid w:val="00726D26"/>
    <w:rsid w:val="007271C6"/>
    <w:rsid w:val="007272E3"/>
    <w:rsid w:val="00727568"/>
    <w:rsid w:val="00727AC6"/>
    <w:rsid w:val="00727E48"/>
    <w:rsid w:val="007302A3"/>
    <w:rsid w:val="00731246"/>
    <w:rsid w:val="0073207E"/>
    <w:rsid w:val="0073288A"/>
    <w:rsid w:val="00733027"/>
    <w:rsid w:val="00733092"/>
    <w:rsid w:val="007330E2"/>
    <w:rsid w:val="007338AA"/>
    <w:rsid w:val="00733F3F"/>
    <w:rsid w:val="00734057"/>
    <w:rsid w:val="00734086"/>
    <w:rsid w:val="00734655"/>
    <w:rsid w:val="007347A6"/>
    <w:rsid w:val="007350BE"/>
    <w:rsid w:val="00735127"/>
    <w:rsid w:val="00736FB5"/>
    <w:rsid w:val="007407C8"/>
    <w:rsid w:val="00740C1D"/>
    <w:rsid w:val="00742FC8"/>
    <w:rsid w:val="00744B97"/>
    <w:rsid w:val="00744F76"/>
    <w:rsid w:val="00745729"/>
    <w:rsid w:val="00745D57"/>
    <w:rsid w:val="007463FD"/>
    <w:rsid w:val="007466AF"/>
    <w:rsid w:val="00746F37"/>
    <w:rsid w:val="00750059"/>
    <w:rsid w:val="00751B5F"/>
    <w:rsid w:val="00751CA7"/>
    <w:rsid w:val="00752434"/>
    <w:rsid w:val="00752928"/>
    <w:rsid w:val="0075292E"/>
    <w:rsid w:val="00752C34"/>
    <w:rsid w:val="007532BE"/>
    <w:rsid w:val="00753B90"/>
    <w:rsid w:val="0075531D"/>
    <w:rsid w:val="007555F4"/>
    <w:rsid w:val="00755C88"/>
    <w:rsid w:val="00756916"/>
    <w:rsid w:val="00756B01"/>
    <w:rsid w:val="00757272"/>
    <w:rsid w:val="00757891"/>
    <w:rsid w:val="00760285"/>
    <w:rsid w:val="007602CF"/>
    <w:rsid w:val="0076047E"/>
    <w:rsid w:val="00760610"/>
    <w:rsid w:val="00760B08"/>
    <w:rsid w:val="00761BB1"/>
    <w:rsid w:val="007620D6"/>
    <w:rsid w:val="007621CF"/>
    <w:rsid w:val="007625B5"/>
    <w:rsid w:val="007626F2"/>
    <w:rsid w:val="00762B89"/>
    <w:rsid w:val="00762C5E"/>
    <w:rsid w:val="00764246"/>
    <w:rsid w:val="00765B70"/>
    <w:rsid w:val="00766FB0"/>
    <w:rsid w:val="00770A56"/>
    <w:rsid w:val="00770D61"/>
    <w:rsid w:val="00770FEA"/>
    <w:rsid w:val="0077200B"/>
    <w:rsid w:val="00772528"/>
    <w:rsid w:val="00773AB5"/>
    <w:rsid w:val="0077416D"/>
    <w:rsid w:val="00774A13"/>
    <w:rsid w:val="00775941"/>
    <w:rsid w:val="007762C7"/>
    <w:rsid w:val="007763C4"/>
    <w:rsid w:val="00776BD0"/>
    <w:rsid w:val="00777448"/>
    <w:rsid w:val="007778EC"/>
    <w:rsid w:val="00780EBD"/>
    <w:rsid w:val="00780ECF"/>
    <w:rsid w:val="007813DD"/>
    <w:rsid w:val="00781E9A"/>
    <w:rsid w:val="007825C0"/>
    <w:rsid w:val="00782B85"/>
    <w:rsid w:val="0078355E"/>
    <w:rsid w:val="007839FB"/>
    <w:rsid w:val="00783A18"/>
    <w:rsid w:val="00784101"/>
    <w:rsid w:val="0078459A"/>
    <w:rsid w:val="0078475F"/>
    <w:rsid w:val="00784AEA"/>
    <w:rsid w:val="00784C95"/>
    <w:rsid w:val="00784FBD"/>
    <w:rsid w:val="00785652"/>
    <w:rsid w:val="00785E4A"/>
    <w:rsid w:val="007867AA"/>
    <w:rsid w:val="007870B6"/>
    <w:rsid w:val="00787E33"/>
    <w:rsid w:val="00791358"/>
    <w:rsid w:val="00791B41"/>
    <w:rsid w:val="007926E3"/>
    <w:rsid w:val="007928EA"/>
    <w:rsid w:val="007931CA"/>
    <w:rsid w:val="00794942"/>
    <w:rsid w:val="00794EE8"/>
    <w:rsid w:val="00795254"/>
    <w:rsid w:val="007965BB"/>
    <w:rsid w:val="0079776B"/>
    <w:rsid w:val="007978A1"/>
    <w:rsid w:val="007A02C7"/>
    <w:rsid w:val="007A0844"/>
    <w:rsid w:val="007A0A60"/>
    <w:rsid w:val="007A0BEC"/>
    <w:rsid w:val="007A106D"/>
    <w:rsid w:val="007A2745"/>
    <w:rsid w:val="007A2AB9"/>
    <w:rsid w:val="007A41E8"/>
    <w:rsid w:val="007A46E8"/>
    <w:rsid w:val="007A556E"/>
    <w:rsid w:val="007A6EC7"/>
    <w:rsid w:val="007A7363"/>
    <w:rsid w:val="007B0EF9"/>
    <w:rsid w:val="007B12AF"/>
    <w:rsid w:val="007B4AA8"/>
    <w:rsid w:val="007B5EA9"/>
    <w:rsid w:val="007B67F7"/>
    <w:rsid w:val="007B6FB8"/>
    <w:rsid w:val="007B7A33"/>
    <w:rsid w:val="007B7F7A"/>
    <w:rsid w:val="007C04C6"/>
    <w:rsid w:val="007C0985"/>
    <w:rsid w:val="007C1284"/>
    <w:rsid w:val="007C12FB"/>
    <w:rsid w:val="007C15E8"/>
    <w:rsid w:val="007C1D90"/>
    <w:rsid w:val="007C2376"/>
    <w:rsid w:val="007C2439"/>
    <w:rsid w:val="007C40B4"/>
    <w:rsid w:val="007C436A"/>
    <w:rsid w:val="007C50BE"/>
    <w:rsid w:val="007C59F9"/>
    <w:rsid w:val="007C67DB"/>
    <w:rsid w:val="007C6D8C"/>
    <w:rsid w:val="007D024E"/>
    <w:rsid w:val="007D04BE"/>
    <w:rsid w:val="007D100E"/>
    <w:rsid w:val="007D17EA"/>
    <w:rsid w:val="007D30DD"/>
    <w:rsid w:val="007D3113"/>
    <w:rsid w:val="007D3232"/>
    <w:rsid w:val="007D4A3C"/>
    <w:rsid w:val="007D503C"/>
    <w:rsid w:val="007D5692"/>
    <w:rsid w:val="007D6EF8"/>
    <w:rsid w:val="007D7395"/>
    <w:rsid w:val="007D7B04"/>
    <w:rsid w:val="007E115F"/>
    <w:rsid w:val="007E1456"/>
    <w:rsid w:val="007E1B43"/>
    <w:rsid w:val="007E1CB7"/>
    <w:rsid w:val="007E1E98"/>
    <w:rsid w:val="007E3199"/>
    <w:rsid w:val="007E37C2"/>
    <w:rsid w:val="007E3B33"/>
    <w:rsid w:val="007E3DC4"/>
    <w:rsid w:val="007E405B"/>
    <w:rsid w:val="007E42BE"/>
    <w:rsid w:val="007E45A1"/>
    <w:rsid w:val="007E4940"/>
    <w:rsid w:val="007E4A8E"/>
    <w:rsid w:val="007E4A9A"/>
    <w:rsid w:val="007E4F49"/>
    <w:rsid w:val="007E4FE0"/>
    <w:rsid w:val="007E5D39"/>
    <w:rsid w:val="007E5E2F"/>
    <w:rsid w:val="007E5F7F"/>
    <w:rsid w:val="007F00DD"/>
    <w:rsid w:val="007F21CE"/>
    <w:rsid w:val="007F225E"/>
    <w:rsid w:val="007F244F"/>
    <w:rsid w:val="007F46A7"/>
    <w:rsid w:val="007F5BDC"/>
    <w:rsid w:val="007F5F8C"/>
    <w:rsid w:val="007F61D5"/>
    <w:rsid w:val="007F62C0"/>
    <w:rsid w:val="00801269"/>
    <w:rsid w:val="008013A8"/>
    <w:rsid w:val="008019C2"/>
    <w:rsid w:val="00801EC9"/>
    <w:rsid w:val="008021A7"/>
    <w:rsid w:val="008023C3"/>
    <w:rsid w:val="008034CA"/>
    <w:rsid w:val="00803826"/>
    <w:rsid w:val="00804158"/>
    <w:rsid w:val="0080484E"/>
    <w:rsid w:val="00806363"/>
    <w:rsid w:val="0080698B"/>
    <w:rsid w:val="00806AD6"/>
    <w:rsid w:val="00807A3E"/>
    <w:rsid w:val="00807CDA"/>
    <w:rsid w:val="00811670"/>
    <w:rsid w:val="00811F0D"/>
    <w:rsid w:val="00812246"/>
    <w:rsid w:val="008127D6"/>
    <w:rsid w:val="008131FB"/>
    <w:rsid w:val="00813A37"/>
    <w:rsid w:val="00814DCB"/>
    <w:rsid w:val="008163AF"/>
    <w:rsid w:val="00816645"/>
    <w:rsid w:val="00817A67"/>
    <w:rsid w:val="00821931"/>
    <w:rsid w:val="008219B3"/>
    <w:rsid w:val="00822584"/>
    <w:rsid w:val="008226CB"/>
    <w:rsid w:val="0082285D"/>
    <w:rsid w:val="00823576"/>
    <w:rsid w:val="00823C42"/>
    <w:rsid w:val="00823D2B"/>
    <w:rsid w:val="00824EC0"/>
    <w:rsid w:val="00825E66"/>
    <w:rsid w:val="008260F6"/>
    <w:rsid w:val="00827085"/>
    <w:rsid w:val="0082710D"/>
    <w:rsid w:val="00827C1E"/>
    <w:rsid w:val="0082B379"/>
    <w:rsid w:val="0083122D"/>
    <w:rsid w:val="00831398"/>
    <w:rsid w:val="0083167E"/>
    <w:rsid w:val="00831FA1"/>
    <w:rsid w:val="0083200B"/>
    <w:rsid w:val="00832B3F"/>
    <w:rsid w:val="00833397"/>
    <w:rsid w:val="008335E6"/>
    <w:rsid w:val="00833A42"/>
    <w:rsid w:val="008340F3"/>
    <w:rsid w:val="00834F64"/>
    <w:rsid w:val="00835F8A"/>
    <w:rsid w:val="008361F4"/>
    <w:rsid w:val="00836BB3"/>
    <w:rsid w:val="00836DF2"/>
    <w:rsid w:val="008375CD"/>
    <w:rsid w:val="00837B67"/>
    <w:rsid w:val="00837B8C"/>
    <w:rsid w:val="00841385"/>
    <w:rsid w:val="00841393"/>
    <w:rsid w:val="00841526"/>
    <w:rsid w:val="0084165A"/>
    <w:rsid w:val="0084169D"/>
    <w:rsid w:val="008419A7"/>
    <w:rsid w:val="00841F70"/>
    <w:rsid w:val="00841FE3"/>
    <w:rsid w:val="008424FD"/>
    <w:rsid w:val="008425C7"/>
    <w:rsid w:val="008434B0"/>
    <w:rsid w:val="00844C14"/>
    <w:rsid w:val="00844EC2"/>
    <w:rsid w:val="00844F4D"/>
    <w:rsid w:val="00845A77"/>
    <w:rsid w:val="00845FFE"/>
    <w:rsid w:val="00846AE6"/>
    <w:rsid w:val="008473A2"/>
    <w:rsid w:val="008473EE"/>
    <w:rsid w:val="00850437"/>
    <w:rsid w:val="00850466"/>
    <w:rsid w:val="008507BE"/>
    <w:rsid w:val="00850F3F"/>
    <w:rsid w:val="00850FDE"/>
    <w:rsid w:val="0085129C"/>
    <w:rsid w:val="008519DF"/>
    <w:rsid w:val="00851A89"/>
    <w:rsid w:val="00851B4F"/>
    <w:rsid w:val="00851CAA"/>
    <w:rsid w:val="00852077"/>
    <w:rsid w:val="00852325"/>
    <w:rsid w:val="00852581"/>
    <w:rsid w:val="0085293D"/>
    <w:rsid w:val="00853286"/>
    <w:rsid w:val="00853766"/>
    <w:rsid w:val="00853A98"/>
    <w:rsid w:val="00854885"/>
    <w:rsid w:val="00854C6C"/>
    <w:rsid w:val="00855C6E"/>
    <w:rsid w:val="00855E16"/>
    <w:rsid w:val="00855F15"/>
    <w:rsid w:val="00856775"/>
    <w:rsid w:val="008568D2"/>
    <w:rsid w:val="00857BF0"/>
    <w:rsid w:val="008605AD"/>
    <w:rsid w:val="00860616"/>
    <w:rsid w:val="00860AE1"/>
    <w:rsid w:val="008618BA"/>
    <w:rsid w:val="00862788"/>
    <w:rsid w:val="00862870"/>
    <w:rsid w:val="00862958"/>
    <w:rsid w:val="00862FE2"/>
    <w:rsid w:val="00863233"/>
    <w:rsid w:val="00863547"/>
    <w:rsid w:val="00864578"/>
    <w:rsid w:val="0086522D"/>
    <w:rsid w:val="00866F7C"/>
    <w:rsid w:val="0086724B"/>
    <w:rsid w:val="00867AD9"/>
    <w:rsid w:val="0087022E"/>
    <w:rsid w:val="008719B5"/>
    <w:rsid w:val="00871D85"/>
    <w:rsid w:val="008721C0"/>
    <w:rsid w:val="008728A4"/>
    <w:rsid w:val="0087316E"/>
    <w:rsid w:val="008737ED"/>
    <w:rsid w:val="0087482A"/>
    <w:rsid w:val="00874982"/>
    <w:rsid w:val="00874D11"/>
    <w:rsid w:val="0087511F"/>
    <w:rsid w:val="00875D63"/>
    <w:rsid w:val="00876702"/>
    <w:rsid w:val="00876DB8"/>
    <w:rsid w:val="00877073"/>
    <w:rsid w:val="00877350"/>
    <w:rsid w:val="008801A1"/>
    <w:rsid w:val="008805B9"/>
    <w:rsid w:val="008819C0"/>
    <w:rsid w:val="008833B8"/>
    <w:rsid w:val="0088349D"/>
    <w:rsid w:val="00884045"/>
    <w:rsid w:val="0088465C"/>
    <w:rsid w:val="008849FD"/>
    <w:rsid w:val="00885CE8"/>
    <w:rsid w:val="00886098"/>
    <w:rsid w:val="008861A8"/>
    <w:rsid w:val="0088693F"/>
    <w:rsid w:val="00886A9A"/>
    <w:rsid w:val="0089005D"/>
    <w:rsid w:val="0089066A"/>
    <w:rsid w:val="00891092"/>
    <w:rsid w:val="008913B7"/>
    <w:rsid w:val="00891D5C"/>
    <w:rsid w:val="00892343"/>
    <w:rsid w:val="00892EE7"/>
    <w:rsid w:val="00893471"/>
    <w:rsid w:val="00893649"/>
    <w:rsid w:val="0089373C"/>
    <w:rsid w:val="008937ED"/>
    <w:rsid w:val="00893925"/>
    <w:rsid w:val="00893BB8"/>
    <w:rsid w:val="008941ED"/>
    <w:rsid w:val="0089538B"/>
    <w:rsid w:val="008963FA"/>
    <w:rsid w:val="00896ED8"/>
    <w:rsid w:val="00897332"/>
    <w:rsid w:val="008977EB"/>
    <w:rsid w:val="00897856"/>
    <w:rsid w:val="00897C1C"/>
    <w:rsid w:val="00897FA2"/>
    <w:rsid w:val="008A0280"/>
    <w:rsid w:val="008A036A"/>
    <w:rsid w:val="008A17D2"/>
    <w:rsid w:val="008A2CEE"/>
    <w:rsid w:val="008A2E01"/>
    <w:rsid w:val="008A30E1"/>
    <w:rsid w:val="008A5BDA"/>
    <w:rsid w:val="008A6951"/>
    <w:rsid w:val="008A6BCD"/>
    <w:rsid w:val="008A6CC0"/>
    <w:rsid w:val="008A7272"/>
    <w:rsid w:val="008A72E5"/>
    <w:rsid w:val="008B0CBB"/>
    <w:rsid w:val="008B2377"/>
    <w:rsid w:val="008B24DB"/>
    <w:rsid w:val="008B2A98"/>
    <w:rsid w:val="008B31D9"/>
    <w:rsid w:val="008B32B5"/>
    <w:rsid w:val="008B3B76"/>
    <w:rsid w:val="008B45C5"/>
    <w:rsid w:val="008B49A6"/>
    <w:rsid w:val="008B55CF"/>
    <w:rsid w:val="008B6211"/>
    <w:rsid w:val="008B727F"/>
    <w:rsid w:val="008B774F"/>
    <w:rsid w:val="008B7B1B"/>
    <w:rsid w:val="008B7E1E"/>
    <w:rsid w:val="008C032B"/>
    <w:rsid w:val="008C03BC"/>
    <w:rsid w:val="008C0EE9"/>
    <w:rsid w:val="008C0F39"/>
    <w:rsid w:val="008C1A69"/>
    <w:rsid w:val="008C267D"/>
    <w:rsid w:val="008C2A58"/>
    <w:rsid w:val="008C2AD4"/>
    <w:rsid w:val="008C2C92"/>
    <w:rsid w:val="008C325B"/>
    <w:rsid w:val="008C35C4"/>
    <w:rsid w:val="008C4930"/>
    <w:rsid w:val="008C5182"/>
    <w:rsid w:val="008C551D"/>
    <w:rsid w:val="008C5E58"/>
    <w:rsid w:val="008C6273"/>
    <w:rsid w:val="008C7500"/>
    <w:rsid w:val="008D014C"/>
    <w:rsid w:val="008D02C3"/>
    <w:rsid w:val="008D0EE3"/>
    <w:rsid w:val="008D15C7"/>
    <w:rsid w:val="008D1E4F"/>
    <w:rsid w:val="008D2212"/>
    <w:rsid w:val="008D2621"/>
    <w:rsid w:val="008D37F2"/>
    <w:rsid w:val="008D38FA"/>
    <w:rsid w:val="008D3CE8"/>
    <w:rsid w:val="008D44BC"/>
    <w:rsid w:val="008D47CD"/>
    <w:rsid w:val="008D4D80"/>
    <w:rsid w:val="008D56F3"/>
    <w:rsid w:val="008D6B3C"/>
    <w:rsid w:val="008DF6F1"/>
    <w:rsid w:val="008E0251"/>
    <w:rsid w:val="008E051E"/>
    <w:rsid w:val="008E0662"/>
    <w:rsid w:val="008E13F2"/>
    <w:rsid w:val="008E17E1"/>
    <w:rsid w:val="008E2EF4"/>
    <w:rsid w:val="008E3239"/>
    <w:rsid w:val="008E4098"/>
    <w:rsid w:val="008E461A"/>
    <w:rsid w:val="008E4F79"/>
    <w:rsid w:val="008E4FD9"/>
    <w:rsid w:val="008E507C"/>
    <w:rsid w:val="008E62B3"/>
    <w:rsid w:val="008E667E"/>
    <w:rsid w:val="008E6CE6"/>
    <w:rsid w:val="008F08B8"/>
    <w:rsid w:val="008F0C46"/>
    <w:rsid w:val="008F0D95"/>
    <w:rsid w:val="008F157A"/>
    <w:rsid w:val="008F22EE"/>
    <w:rsid w:val="008F230A"/>
    <w:rsid w:val="008F2480"/>
    <w:rsid w:val="008F29EC"/>
    <w:rsid w:val="008F30C9"/>
    <w:rsid w:val="008F4307"/>
    <w:rsid w:val="008F4D70"/>
    <w:rsid w:val="008F5868"/>
    <w:rsid w:val="008F6489"/>
    <w:rsid w:val="008F6757"/>
    <w:rsid w:val="008F686D"/>
    <w:rsid w:val="008F72E7"/>
    <w:rsid w:val="008F775A"/>
    <w:rsid w:val="008F7F3E"/>
    <w:rsid w:val="00901ACA"/>
    <w:rsid w:val="00902934"/>
    <w:rsid w:val="00902F00"/>
    <w:rsid w:val="00903E71"/>
    <w:rsid w:val="00904193"/>
    <w:rsid w:val="00904A3B"/>
    <w:rsid w:val="0090675F"/>
    <w:rsid w:val="00906BCE"/>
    <w:rsid w:val="00906C47"/>
    <w:rsid w:val="009072C7"/>
    <w:rsid w:val="009128DE"/>
    <w:rsid w:val="00912E57"/>
    <w:rsid w:val="00912F5D"/>
    <w:rsid w:val="00913C34"/>
    <w:rsid w:val="0091499A"/>
    <w:rsid w:val="00914CDD"/>
    <w:rsid w:val="0091565E"/>
    <w:rsid w:val="00915B3A"/>
    <w:rsid w:val="009164BF"/>
    <w:rsid w:val="0091672A"/>
    <w:rsid w:val="00916B2A"/>
    <w:rsid w:val="00916F56"/>
    <w:rsid w:val="009173C8"/>
    <w:rsid w:val="009213E3"/>
    <w:rsid w:val="0092177C"/>
    <w:rsid w:val="00922400"/>
    <w:rsid w:val="00922427"/>
    <w:rsid w:val="00922E50"/>
    <w:rsid w:val="009237B4"/>
    <w:rsid w:val="00923871"/>
    <w:rsid w:val="00923A42"/>
    <w:rsid w:val="00923C30"/>
    <w:rsid w:val="00923F89"/>
    <w:rsid w:val="009244CF"/>
    <w:rsid w:val="009250E4"/>
    <w:rsid w:val="00925CA7"/>
    <w:rsid w:val="00925E6B"/>
    <w:rsid w:val="0093026B"/>
    <w:rsid w:val="00930679"/>
    <w:rsid w:val="00931B63"/>
    <w:rsid w:val="009326E1"/>
    <w:rsid w:val="00932F9E"/>
    <w:rsid w:val="0093309D"/>
    <w:rsid w:val="009364D5"/>
    <w:rsid w:val="009369A5"/>
    <w:rsid w:val="009376DC"/>
    <w:rsid w:val="00937DCF"/>
    <w:rsid w:val="00940036"/>
    <w:rsid w:val="00940DD6"/>
    <w:rsid w:val="00941DC2"/>
    <w:rsid w:val="009420C9"/>
    <w:rsid w:val="00942A9C"/>
    <w:rsid w:val="00942BBE"/>
    <w:rsid w:val="00942C01"/>
    <w:rsid w:val="00942F20"/>
    <w:rsid w:val="009433C8"/>
    <w:rsid w:val="00943D1C"/>
    <w:rsid w:val="00943FF6"/>
    <w:rsid w:val="0094409D"/>
    <w:rsid w:val="009440F5"/>
    <w:rsid w:val="00944C5D"/>
    <w:rsid w:val="00944CF6"/>
    <w:rsid w:val="00944E17"/>
    <w:rsid w:val="00945549"/>
    <w:rsid w:val="00945ACB"/>
    <w:rsid w:val="00945CD6"/>
    <w:rsid w:val="0094617A"/>
    <w:rsid w:val="00950264"/>
    <w:rsid w:val="00950B2E"/>
    <w:rsid w:val="009510A2"/>
    <w:rsid w:val="00951EE7"/>
    <w:rsid w:val="0095248D"/>
    <w:rsid w:val="009526E3"/>
    <w:rsid w:val="00952C8F"/>
    <w:rsid w:val="0095358E"/>
    <w:rsid w:val="00953F60"/>
    <w:rsid w:val="009541E2"/>
    <w:rsid w:val="00954B32"/>
    <w:rsid w:val="009567EC"/>
    <w:rsid w:val="009578E4"/>
    <w:rsid w:val="00957FAC"/>
    <w:rsid w:val="00959283"/>
    <w:rsid w:val="00960435"/>
    <w:rsid w:val="00960B8D"/>
    <w:rsid w:val="0096115F"/>
    <w:rsid w:val="00961A13"/>
    <w:rsid w:val="00961F49"/>
    <w:rsid w:val="0096247F"/>
    <w:rsid w:val="00964D35"/>
    <w:rsid w:val="00964E09"/>
    <w:rsid w:val="009652BF"/>
    <w:rsid w:val="00965B90"/>
    <w:rsid w:val="009677D2"/>
    <w:rsid w:val="009679F8"/>
    <w:rsid w:val="00967EFE"/>
    <w:rsid w:val="00970AF0"/>
    <w:rsid w:val="00970B22"/>
    <w:rsid w:val="00970EAA"/>
    <w:rsid w:val="00972049"/>
    <w:rsid w:val="00973173"/>
    <w:rsid w:val="00973546"/>
    <w:rsid w:val="00974604"/>
    <w:rsid w:val="0097494A"/>
    <w:rsid w:val="009754FE"/>
    <w:rsid w:val="0097576A"/>
    <w:rsid w:val="00975883"/>
    <w:rsid w:val="00975F5C"/>
    <w:rsid w:val="009760E4"/>
    <w:rsid w:val="00977398"/>
    <w:rsid w:val="00977604"/>
    <w:rsid w:val="009779CB"/>
    <w:rsid w:val="009800E6"/>
    <w:rsid w:val="00980CA3"/>
    <w:rsid w:val="00981568"/>
    <w:rsid w:val="0098190C"/>
    <w:rsid w:val="00981F49"/>
    <w:rsid w:val="0098295B"/>
    <w:rsid w:val="00982F9C"/>
    <w:rsid w:val="009834D3"/>
    <w:rsid w:val="00983F17"/>
    <w:rsid w:val="0098474D"/>
    <w:rsid w:val="009853E2"/>
    <w:rsid w:val="009859BD"/>
    <w:rsid w:val="00985C2A"/>
    <w:rsid w:val="00985D34"/>
    <w:rsid w:val="00986115"/>
    <w:rsid w:val="00986162"/>
    <w:rsid w:val="009861A2"/>
    <w:rsid w:val="00986B23"/>
    <w:rsid w:val="00986C6C"/>
    <w:rsid w:val="00986CE6"/>
    <w:rsid w:val="00986D18"/>
    <w:rsid w:val="00987401"/>
    <w:rsid w:val="00987F92"/>
    <w:rsid w:val="00990015"/>
    <w:rsid w:val="00992A9D"/>
    <w:rsid w:val="0099377A"/>
    <w:rsid w:val="00993816"/>
    <w:rsid w:val="00993D09"/>
    <w:rsid w:val="0099465D"/>
    <w:rsid w:val="00994899"/>
    <w:rsid w:val="00994B9D"/>
    <w:rsid w:val="009959F0"/>
    <w:rsid w:val="00996129"/>
    <w:rsid w:val="009966D6"/>
    <w:rsid w:val="00996FAE"/>
    <w:rsid w:val="00996FEF"/>
    <w:rsid w:val="0099721F"/>
    <w:rsid w:val="00997E0C"/>
    <w:rsid w:val="009A079A"/>
    <w:rsid w:val="009A07EA"/>
    <w:rsid w:val="009A0BF2"/>
    <w:rsid w:val="009A1722"/>
    <w:rsid w:val="009A19CE"/>
    <w:rsid w:val="009A238D"/>
    <w:rsid w:val="009A285F"/>
    <w:rsid w:val="009A2A0F"/>
    <w:rsid w:val="009A442D"/>
    <w:rsid w:val="009A577A"/>
    <w:rsid w:val="009A68A7"/>
    <w:rsid w:val="009A6BD9"/>
    <w:rsid w:val="009A7BF0"/>
    <w:rsid w:val="009B3726"/>
    <w:rsid w:val="009B379A"/>
    <w:rsid w:val="009B423F"/>
    <w:rsid w:val="009B472C"/>
    <w:rsid w:val="009B4B1E"/>
    <w:rsid w:val="009B5356"/>
    <w:rsid w:val="009B5525"/>
    <w:rsid w:val="009B5D18"/>
    <w:rsid w:val="009B7148"/>
    <w:rsid w:val="009C0AAC"/>
    <w:rsid w:val="009C10FF"/>
    <w:rsid w:val="009C1575"/>
    <w:rsid w:val="009C1607"/>
    <w:rsid w:val="009C2270"/>
    <w:rsid w:val="009C267F"/>
    <w:rsid w:val="009C2868"/>
    <w:rsid w:val="009C2FA9"/>
    <w:rsid w:val="009C374A"/>
    <w:rsid w:val="009C3BD7"/>
    <w:rsid w:val="009C3BFB"/>
    <w:rsid w:val="009C4128"/>
    <w:rsid w:val="009C4793"/>
    <w:rsid w:val="009C4D62"/>
    <w:rsid w:val="009C614E"/>
    <w:rsid w:val="009C6566"/>
    <w:rsid w:val="009C6903"/>
    <w:rsid w:val="009C6933"/>
    <w:rsid w:val="009C6B15"/>
    <w:rsid w:val="009C6B21"/>
    <w:rsid w:val="009C73A4"/>
    <w:rsid w:val="009D0164"/>
    <w:rsid w:val="009D0831"/>
    <w:rsid w:val="009D0924"/>
    <w:rsid w:val="009D0B8B"/>
    <w:rsid w:val="009D1C2D"/>
    <w:rsid w:val="009D23FA"/>
    <w:rsid w:val="009D32ED"/>
    <w:rsid w:val="009D350E"/>
    <w:rsid w:val="009D3C3B"/>
    <w:rsid w:val="009D4D78"/>
    <w:rsid w:val="009D50E7"/>
    <w:rsid w:val="009D54DD"/>
    <w:rsid w:val="009D5548"/>
    <w:rsid w:val="009D59AF"/>
    <w:rsid w:val="009D5BD8"/>
    <w:rsid w:val="009D60A2"/>
    <w:rsid w:val="009D665C"/>
    <w:rsid w:val="009D7170"/>
    <w:rsid w:val="009D75F9"/>
    <w:rsid w:val="009D7B2F"/>
    <w:rsid w:val="009D7B6B"/>
    <w:rsid w:val="009E03D5"/>
    <w:rsid w:val="009E0531"/>
    <w:rsid w:val="009E0620"/>
    <w:rsid w:val="009E075F"/>
    <w:rsid w:val="009E0935"/>
    <w:rsid w:val="009E125B"/>
    <w:rsid w:val="009E1A8C"/>
    <w:rsid w:val="009E1CCB"/>
    <w:rsid w:val="009E24CA"/>
    <w:rsid w:val="009E2D53"/>
    <w:rsid w:val="009E311A"/>
    <w:rsid w:val="009E37FC"/>
    <w:rsid w:val="009E3826"/>
    <w:rsid w:val="009E3E0E"/>
    <w:rsid w:val="009E3FD9"/>
    <w:rsid w:val="009E415E"/>
    <w:rsid w:val="009E41E8"/>
    <w:rsid w:val="009E48BC"/>
    <w:rsid w:val="009E4BDA"/>
    <w:rsid w:val="009E5085"/>
    <w:rsid w:val="009E5446"/>
    <w:rsid w:val="009E57C5"/>
    <w:rsid w:val="009E5CCA"/>
    <w:rsid w:val="009E5EF6"/>
    <w:rsid w:val="009E630D"/>
    <w:rsid w:val="009E6BFD"/>
    <w:rsid w:val="009E788F"/>
    <w:rsid w:val="009F0374"/>
    <w:rsid w:val="009F0D23"/>
    <w:rsid w:val="009F0F0A"/>
    <w:rsid w:val="009F1B18"/>
    <w:rsid w:val="009F217A"/>
    <w:rsid w:val="009F4315"/>
    <w:rsid w:val="009F44D6"/>
    <w:rsid w:val="009F527F"/>
    <w:rsid w:val="009F5A71"/>
    <w:rsid w:val="009F6CDA"/>
    <w:rsid w:val="009F6DFC"/>
    <w:rsid w:val="009F7131"/>
    <w:rsid w:val="009F7538"/>
    <w:rsid w:val="009F75C0"/>
    <w:rsid w:val="009F7907"/>
    <w:rsid w:val="009F7BBB"/>
    <w:rsid w:val="00A005F7"/>
    <w:rsid w:val="00A01433"/>
    <w:rsid w:val="00A01925"/>
    <w:rsid w:val="00A01C80"/>
    <w:rsid w:val="00A02A23"/>
    <w:rsid w:val="00A0371A"/>
    <w:rsid w:val="00A03B95"/>
    <w:rsid w:val="00A03E3E"/>
    <w:rsid w:val="00A03F6A"/>
    <w:rsid w:val="00A041CD"/>
    <w:rsid w:val="00A048D5"/>
    <w:rsid w:val="00A05270"/>
    <w:rsid w:val="00A05277"/>
    <w:rsid w:val="00A05A5A"/>
    <w:rsid w:val="00A05E92"/>
    <w:rsid w:val="00A06E62"/>
    <w:rsid w:val="00A07B48"/>
    <w:rsid w:val="00A10676"/>
    <w:rsid w:val="00A1079B"/>
    <w:rsid w:val="00A108A4"/>
    <w:rsid w:val="00A10A82"/>
    <w:rsid w:val="00A10B3C"/>
    <w:rsid w:val="00A10B9F"/>
    <w:rsid w:val="00A11D77"/>
    <w:rsid w:val="00A124C7"/>
    <w:rsid w:val="00A130BE"/>
    <w:rsid w:val="00A136A2"/>
    <w:rsid w:val="00A14354"/>
    <w:rsid w:val="00A14847"/>
    <w:rsid w:val="00A15422"/>
    <w:rsid w:val="00A15834"/>
    <w:rsid w:val="00A1584C"/>
    <w:rsid w:val="00A161F4"/>
    <w:rsid w:val="00A164A8"/>
    <w:rsid w:val="00A16A94"/>
    <w:rsid w:val="00A1713F"/>
    <w:rsid w:val="00A17386"/>
    <w:rsid w:val="00A173A4"/>
    <w:rsid w:val="00A17707"/>
    <w:rsid w:val="00A179C5"/>
    <w:rsid w:val="00A2075F"/>
    <w:rsid w:val="00A20D69"/>
    <w:rsid w:val="00A21EE6"/>
    <w:rsid w:val="00A2258E"/>
    <w:rsid w:val="00A22E02"/>
    <w:rsid w:val="00A23409"/>
    <w:rsid w:val="00A2370F"/>
    <w:rsid w:val="00A24CE9"/>
    <w:rsid w:val="00A25043"/>
    <w:rsid w:val="00A250C1"/>
    <w:rsid w:val="00A25562"/>
    <w:rsid w:val="00A25634"/>
    <w:rsid w:val="00A256BC"/>
    <w:rsid w:val="00A2582F"/>
    <w:rsid w:val="00A25C88"/>
    <w:rsid w:val="00A26290"/>
    <w:rsid w:val="00A268FD"/>
    <w:rsid w:val="00A26927"/>
    <w:rsid w:val="00A26FAF"/>
    <w:rsid w:val="00A270AD"/>
    <w:rsid w:val="00A305C4"/>
    <w:rsid w:val="00A30D8E"/>
    <w:rsid w:val="00A30DDB"/>
    <w:rsid w:val="00A318A5"/>
    <w:rsid w:val="00A31A94"/>
    <w:rsid w:val="00A31EC8"/>
    <w:rsid w:val="00A34B6F"/>
    <w:rsid w:val="00A35066"/>
    <w:rsid w:val="00A356CB"/>
    <w:rsid w:val="00A361C9"/>
    <w:rsid w:val="00A36666"/>
    <w:rsid w:val="00A36C88"/>
    <w:rsid w:val="00A378B7"/>
    <w:rsid w:val="00A37F5C"/>
    <w:rsid w:val="00A4000F"/>
    <w:rsid w:val="00A40F10"/>
    <w:rsid w:val="00A417AE"/>
    <w:rsid w:val="00A42973"/>
    <w:rsid w:val="00A43198"/>
    <w:rsid w:val="00A43D6F"/>
    <w:rsid w:val="00A44E00"/>
    <w:rsid w:val="00A44EE1"/>
    <w:rsid w:val="00A45548"/>
    <w:rsid w:val="00A45666"/>
    <w:rsid w:val="00A4611D"/>
    <w:rsid w:val="00A4659C"/>
    <w:rsid w:val="00A47C5E"/>
    <w:rsid w:val="00A51042"/>
    <w:rsid w:val="00A5121F"/>
    <w:rsid w:val="00A51254"/>
    <w:rsid w:val="00A52CE7"/>
    <w:rsid w:val="00A542BC"/>
    <w:rsid w:val="00A55159"/>
    <w:rsid w:val="00A557FD"/>
    <w:rsid w:val="00A565CD"/>
    <w:rsid w:val="00A57192"/>
    <w:rsid w:val="00A57686"/>
    <w:rsid w:val="00A57B79"/>
    <w:rsid w:val="00A57DBF"/>
    <w:rsid w:val="00A604B9"/>
    <w:rsid w:val="00A60549"/>
    <w:rsid w:val="00A609DC"/>
    <w:rsid w:val="00A60B73"/>
    <w:rsid w:val="00A61158"/>
    <w:rsid w:val="00A61E67"/>
    <w:rsid w:val="00A61F9E"/>
    <w:rsid w:val="00A62184"/>
    <w:rsid w:val="00A624E5"/>
    <w:rsid w:val="00A63250"/>
    <w:rsid w:val="00A63D81"/>
    <w:rsid w:val="00A655E3"/>
    <w:rsid w:val="00A656E0"/>
    <w:rsid w:val="00A6660E"/>
    <w:rsid w:val="00A66A8A"/>
    <w:rsid w:val="00A66AAE"/>
    <w:rsid w:val="00A6739F"/>
    <w:rsid w:val="00A70172"/>
    <w:rsid w:val="00A71E7A"/>
    <w:rsid w:val="00A72333"/>
    <w:rsid w:val="00A72BAE"/>
    <w:rsid w:val="00A74A1A"/>
    <w:rsid w:val="00A754B8"/>
    <w:rsid w:val="00A7568D"/>
    <w:rsid w:val="00A7581D"/>
    <w:rsid w:val="00A7695A"/>
    <w:rsid w:val="00A769E7"/>
    <w:rsid w:val="00A77C39"/>
    <w:rsid w:val="00A77CB3"/>
    <w:rsid w:val="00A806BF"/>
    <w:rsid w:val="00A8079F"/>
    <w:rsid w:val="00A80FD8"/>
    <w:rsid w:val="00A814BF"/>
    <w:rsid w:val="00A82794"/>
    <w:rsid w:val="00A82E5F"/>
    <w:rsid w:val="00A82EBC"/>
    <w:rsid w:val="00A83047"/>
    <w:rsid w:val="00A8436C"/>
    <w:rsid w:val="00A84A7A"/>
    <w:rsid w:val="00A84B5C"/>
    <w:rsid w:val="00A863D8"/>
    <w:rsid w:val="00A86E2E"/>
    <w:rsid w:val="00A87E01"/>
    <w:rsid w:val="00A911F8"/>
    <w:rsid w:val="00A91471"/>
    <w:rsid w:val="00A91516"/>
    <w:rsid w:val="00A921EA"/>
    <w:rsid w:val="00A927C3"/>
    <w:rsid w:val="00A92D63"/>
    <w:rsid w:val="00A945AB"/>
    <w:rsid w:val="00A95082"/>
    <w:rsid w:val="00A960D6"/>
    <w:rsid w:val="00A96DA0"/>
    <w:rsid w:val="00A9721B"/>
    <w:rsid w:val="00A977B0"/>
    <w:rsid w:val="00A97F8E"/>
    <w:rsid w:val="00AA05F8"/>
    <w:rsid w:val="00AA0A65"/>
    <w:rsid w:val="00AA0F92"/>
    <w:rsid w:val="00AA2035"/>
    <w:rsid w:val="00AA20EA"/>
    <w:rsid w:val="00AA273A"/>
    <w:rsid w:val="00AA33B9"/>
    <w:rsid w:val="00AA34AF"/>
    <w:rsid w:val="00AA393E"/>
    <w:rsid w:val="00AA3EA8"/>
    <w:rsid w:val="00AA4FA9"/>
    <w:rsid w:val="00AA665C"/>
    <w:rsid w:val="00AA6E3A"/>
    <w:rsid w:val="00AB00E6"/>
    <w:rsid w:val="00AB047B"/>
    <w:rsid w:val="00AB04AF"/>
    <w:rsid w:val="00AB0D04"/>
    <w:rsid w:val="00AB1288"/>
    <w:rsid w:val="00AB20E5"/>
    <w:rsid w:val="00AB39E3"/>
    <w:rsid w:val="00AB457C"/>
    <w:rsid w:val="00AB4CF1"/>
    <w:rsid w:val="00AB5D29"/>
    <w:rsid w:val="00AB5E1D"/>
    <w:rsid w:val="00AB6543"/>
    <w:rsid w:val="00AB6C1A"/>
    <w:rsid w:val="00AB73CF"/>
    <w:rsid w:val="00AB77C5"/>
    <w:rsid w:val="00AB7BD0"/>
    <w:rsid w:val="00AC0720"/>
    <w:rsid w:val="00AC0931"/>
    <w:rsid w:val="00AC0C1F"/>
    <w:rsid w:val="00AC171A"/>
    <w:rsid w:val="00AC1779"/>
    <w:rsid w:val="00AC2980"/>
    <w:rsid w:val="00AC3B19"/>
    <w:rsid w:val="00AC3BB2"/>
    <w:rsid w:val="00AC49F6"/>
    <w:rsid w:val="00AC546B"/>
    <w:rsid w:val="00AC6BD5"/>
    <w:rsid w:val="00AC6D0B"/>
    <w:rsid w:val="00AC72E0"/>
    <w:rsid w:val="00AC77F1"/>
    <w:rsid w:val="00AC7EA6"/>
    <w:rsid w:val="00AD0463"/>
    <w:rsid w:val="00AD10F9"/>
    <w:rsid w:val="00AD1205"/>
    <w:rsid w:val="00AD1758"/>
    <w:rsid w:val="00AD1848"/>
    <w:rsid w:val="00AD1E51"/>
    <w:rsid w:val="00AD1F72"/>
    <w:rsid w:val="00AD2A8C"/>
    <w:rsid w:val="00AD2FF6"/>
    <w:rsid w:val="00AD3424"/>
    <w:rsid w:val="00AD35CF"/>
    <w:rsid w:val="00AD40FC"/>
    <w:rsid w:val="00AD4252"/>
    <w:rsid w:val="00AD42D5"/>
    <w:rsid w:val="00AD4724"/>
    <w:rsid w:val="00AD4D2C"/>
    <w:rsid w:val="00AD53A6"/>
    <w:rsid w:val="00AD5F24"/>
    <w:rsid w:val="00AD691C"/>
    <w:rsid w:val="00AD6C50"/>
    <w:rsid w:val="00AD7904"/>
    <w:rsid w:val="00AE1BC2"/>
    <w:rsid w:val="00AE211C"/>
    <w:rsid w:val="00AE2265"/>
    <w:rsid w:val="00AE293C"/>
    <w:rsid w:val="00AE2DE5"/>
    <w:rsid w:val="00AE36A4"/>
    <w:rsid w:val="00AE3A04"/>
    <w:rsid w:val="00AE562D"/>
    <w:rsid w:val="00AE56D4"/>
    <w:rsid w:val="00AE6160"/>
    <w:rsid w:val="00AE638B"/>
    <w:rsid w:val="00AF03F1"/>
    <w:rsid w:val="00AF04B0"/>
    <w:rsid w:val="00AF050D"/>
    <w:rsid w:val="00AF0C74"/>
    <w:rsid w:val="00AF1EE4"/>
    <w:rsid w:val="00AF2182"/>
    <w:rsid w:val="00AF23AA"/>
    <w:rsid w:val="00AF2460"/>
    <w:rsid w:val="00AF27BD"/>
    <w:rsid w:val="00AF2BAA"/>
    <w:rsid w:val="00AF3094"/>
    <w:rsid w:val="00AF3C34"/>
    <w:rsid w:val="00AF4EB7"/>
    <w:rsid w:val="00AF5CC3"/>
    <w:rsid w:val="00AF6148"/>
    <w:rsid w:val="00AF6934"/>
    <w:rsid w:val="00AF6AFC"/>
    <w:rsid w:val="00AF6C65"/>
    <w:rsid w:val="00AF6D42"/>
    <w:rsid w:val="00AF77B4"/>
    <w:rsid w:val="00AF7E40"/>
    <w:rsid w:val="00B000D4"/>
    <w:rsid w:val="00B01116"/>
    <w:rsid w:val="00B01A38"/>
    <w:rsid w:val="00B01C27"/>
    <w:rsid w:val="00B02531"/>
    <w:rsid w:val="00B0291D"/>
    <w:rsid w:val="00B031BD"/>
    <w:rsid w:val="00B03C75"/>
    <w:rsid w:val="00B04B08"/>
    <w:rsid w:val="00B0592C"/>
    <w:rsid w:val="00B06485"/>
    <w:rsid w:val="00B10214"/>
    <w:rsid w:val="00B1022C"/>
    <w:rsid w:val="00B10D65"/>
    <w:rsid w:val="00B11623"/>
    <w:rsid w:val="00B117B7"/>
    <w:rsid w:val="00B11C0E"/>
    <w:rsid w:val="00B12A84"/>
    <w:rsid w:val="00B13428"/>
    <w:rsid w:val="00B13CA8"/>
    <w:rsid w:val="00B14618"/>
    <w:rsid w:val="00B14958"/>
    <w:rsid w:val="00B14ACB"/>
    <w:rsid w:val="00B14F4A"/>
    <w:rsid w:val="00B1641F"/>
    <w:rsid w:val="00B171EB"/>
    <w:rsid w:val="00B174FB"/>
    <w:rsid w:val="00B17FB2"/>
    <w:rsid w:val="00B2145C"/>
    <w:rsid w:val="00B21DE1"/>
    <w:rsid w:val="00B22286"/>
    <w:rsid w:val="00B22C52"/>
    <w:rsid w:val="00B23183"/>
    <w:rsid w:val="00B23554"/>
    <w:rsid w:val="00B23D3E"/>
    <w:rsid w:val="00B23D40"/>
    <w:rsid w:val="00B24362"/>
    <w:rsid w:val="00B2439E"/>
    <w:rsid w:val="00B24BF6"/>
    <w:rsid w:val="00B252CA"/>
    <w:rsid w:val="00B253FD"/>
    <w:rsid w:val="00B260B5"/>
    <w:rsid w:val="00B265CB"/>
    <w:rsid w:val="00B26B0D"/>
    <w:rsid w:val="00B27961"/>
    <w:rsid w:val="00B27EBF"/>
    <w:rsid w:val="00B301B7"/>
    <w:rsid w:val="00B302A1"/>
    <w:rsid w:val="00B30374"/>
    <w:rsid w:val="00B30CC1"/>
    <w:rsid w:val="00B3136D"/>
    <w:rsid w:val="00B31AC9"/>
    <w:rsid w:val="00B31DB1"/>
    <w:rsid w:val="00B325E5"/>
    <w:rsid w:val="00B328B8"/>
    <w:rsid w:val="00B32A5B"/>
    <w:rsid w:val="00B32CEC"/>
    <w:rsid w:val="00B33621"/>
    <w:rsid w:val="00B3579B"/>
    <w:rsid w:val="00B35FFD"/>
    <w:rsid w:val="00B36214"/>
    <w:rsid w:val="00B364D8"/>
    <w:rsid w:val="00B36839"/>
    <w:rsid w:val="00B3690E"/>
    <w:rsid w:val="00B37236"/>
    <w:rsid w:val="00B4001A"/>
    <w:rsid w:val="00B40C80"/>
    <w:rsid w:val="00B41F67"/>
    <w:rsid w:val="00B4224B"/>
    <w:rsid w:val="00B42A7A"/>
    <w:rsid w:val="00B43C5E"/>
    <w:rsid w:val="00B43D18"/>
    <w:rsid w:val="00B45579"/>
    <w:rsid w:val="00B45D4A"/>
    <w:rsid w:val="00B46206"/>
    <w:rsid w:val="00B46758"/>
    <w:rsid w:val="00B469C0"/>
    <w:rsid w:val="00B46DBB"/>
    <w:rsid w:val="00B50882"/>
    <w:rsid w:val="00B522AD"/>
    <w:rsid w:val="00B54260"/>
    <w:rsid w:val="00B547D9"/>
    <w:rsid w:val="00B54C2A"/>
    <w:rsid w:val="00B54E75"/>
    <w:rsid w:val="00B55E7B"/>
    <w:rsid w:val="00B55FEA"/>
    <w:rsid w:val="00B56034"/>
    <w:rsid w:val="00B56BED"/>
    <w:rsid w:val="00B57AD6"/>
    <w:rsid w:val="00B57BD1"/>
    <w:rsid w:val="00B60D3C"/>
    <w:rsid w:val="00B6123F"/>
    <w:rsid w:val="00B62624"/>
    <w:rsid w:val="00B631F9"/>
    <w:rsid w:val="00B63396"/>
    <w:rsid w:val="00B65129"/>
    <w:rsid w:val="00B65E22"/>
    <w:rsid w:val="00B6634F"/>
    <w:rsid w:val="00B676EB"/>
    <w:rsid w:val="00B67E36"/>
    <w:rsid w:val="00B710D3"/>
    <w:rsid w:val="00B7127E"/>
    <w:rsid w:val="00B715DA"/>
    <w:rsid w:val="00B73945"/>
    <w:rsid w:val="00B73F44"/>
    <w:rsid w:val="00B742A1"/>
    <w:rsid w:val="00B76547"/>
    <w:rsid w:val="00B767D8"/>
    <w:rsid w:val="00B76B36"/>
    <w:rsid w:val="00B77BA1"/>
    <w:rsid w:val="00B805A5"/>
    <w:rsid w:val="00B80AC8"/>
    <w:rsid w:val="00B80B5E"/>
    <w:rsid w:val="00B81EC7"/>
    <w:rsid w:val="00B825E3"/>
    <w:rsid w:val="00B8381A"/>
    <w:rsid w:val="00B84361"/>
    <w:rsid w:val="00B84459"/>
    <w:rsid w:val="00B84A07"/>
    <w:rsid w:val="00B85347"/>
    <w:rsid w:val="00B854A7"/>
    <w:rsid w:val="00B86A38"/>
    <w:rsid w:val="00B90311"/>
    <w:rsid w:val="00B90BC9"/>
    <w:rsid w:val="00B9158D"/>
    <w:rsid w:val="00B92D1A"/>
    <w:rsid w:val="00B92E6E"/>
    <w:rsid w:val="00B93FDF"/>
    <w:rsid w:val="00B94F6C"/>
    <w:rsid w:val="00B97DDD"/>
    <w:rsid w:val="00BA0399"/>
    <w:rsid w:val="00BA0636"/>
    <w:rsid w:val="00BA0A5B"/>
    <w:rsid w:val="00BA0A85"/>
    <w:rsid w:val="00BA0E3E"/>
    <w:rsid w:val="00BA12C9"/>
    <w:rsid w:val="00BA207A"/>
    <w:rsid w:val="00BA2512"/>
    <w:rsid w:val="00BA2579"/>
    <w:rsid w:val="00BA2588"/>
    <w:rsid w:val="00BA2700"/>
    <w:rsid w:val="00BA3096"/>
    <w:rsid w:val="00BA335B"/>
    <w:rsid w:val="00BA379E"/>
    <w:rsid w:val="00BA3D4E"/>
    <w:rsid w:val="00BA499B"/>
    <w:rsid w:val="00BA5DC3"/>
    <w:rsid w:val="00BA703D"/>
    <w:rsid w:val="00BA79B9"/>
    <w:rsid w:val="00BB041C"/>
    <w:rsid w:val="00BB07B5"/>
    <w:rsid w:val="00BB110F"/>
    <w:rsid w:val="00BB1520"/>
    <w:rsid w:val="00BB15BE"/>
    <w:rsid w:val="00BB1BDA"/>
    <w:rsid w:val="00BB25C2"/>
    <w:rsid w:val="00BB320C"/>
    <w:rsid w:val="00BB32CF"/>
    <w:rsid w:val="00BB36DC"/>
    <w:rsid w:val="00BB37E2"/>
    <w:rsid w:val="00BB3BA3"/>
    <w:rsid w:val="00BB3F10"/>
    <w:rsid w:val="00BB4663"/>
    <w:rsid w:val="00BB4735"/>
    <w:rsid w:val="00BB5213"/>
    <w:rsid w:val="00BB55F5"/>
    <w:rsid w:val="00BB570E"/>
    <w:rsid w:val="00BB5D59"/>
    <w:rsid w:val="00BB6216"/>
    <w:rsid w:val="00BB6372"/>
    <w:rsid w:val="00BB6C6A"/>
    <w:rsid w:val="00BB6DBB"/>
    <w:rsid w:val="00BB770F"/>
    <w:rsid w:val="00BC0020"/>
    <w:rsid w:val="00BC0A3F"/>
    <w:rsid w:val="00BC0A9B"/>
    <w:rsid w:val="00BC1090"/>
    <w:rsid w:val="00BC1329"/>
    <w:rsid w:val="00BC1B32"/>
    <w:rsid w:val="00BC2708"/>
    <w:rsid w:val="00BC34F0"/>
    <w:rsid w:val="00BC4547"/>
    <w:rsid w:val="00BC5514"/>
    <w:rsid w:val="00BC5D38"/>
    <w:rsid w:val="00BC6127"/>
    <w:rsid w:val="00BC69D7"/>
    <w:rsid w:val="00BC6D06"/>
    <w:rsid w:val="00BC7053"/>
    <w:rsid w:val="00BC74C2"/>
    <w:rsid w:val="00BC77FE"/>
    <w:rsid w:val="00BC7AED"/>
    <w:rsid w:val="00BD0145"/>
    <w:rsid w:val="00BD046A"/>
    <w:rsid w:val="00BD0BA0"/>
    <w:rsid w:val="00BD1257"/>
    <w:rsid w:val="00BD2CDC"/>
    <w:rsid w:val="00BD40C3"/>
    <w:rsid w:val="00BD570A"/>
    <w:rsid w:val="00BD5833"/>
    <w:rsid w:val="00BD5B6A"/>
    <w:rsid w:val="00BD6043"/>
    <w:rsid w:val="00BD74D9"/>
    <w:rsid w:val="00BD74E3"/>
    <w:rsid w:val="00BD7B94"/>
    <w:rsid w:val="00BE003C"/>
    <w:rsid w:val="00BE2204"/>
    <w:rsid w:val="00BE2739"/>
    <w:rsid w:val="00BE2F0A"/>
    <w:rsid w:val="00BE3DCC"/>
    <w:rsid w:val="00BE4B5A"/>
    <w:rsid w:val="00BE5006"/>
    <w:rsid w:val="00BE5699"/>
    <w:rsid w:val="00BE6634"/>
    <w:rsid w:val="00BE785E"/>
    <w:rsid w:val="00BF0356"/>
    <w:rsid w:val="00BF04C9"/>
    <w:rsid w:val="00BF0685"/>
    <w:rsid w:val="00BF06AA"/>
    <w:rsid w:val="00BF14A9"/>
    <w:rsid w:val="00BF2881"/>
    <w:rsid w:val="00BF2B4E"/>
    <w:rsid w:val="00BF3278"/>
    <w:rsid w:val="00BF3840"/>
    <w:rsid w:val="00BF3F5C"/>
    <w:rsid w:val="00BF46E5"/>
    <w:rsid w:val="00BF5028"/>
    <w:rsid w:val="00BF5252"/>
    <w:rsid w:val="00BF5FD6"/>
    <w:rsid w:val="00BF60FE"/>
    <w:rsid w:val="00BF69CD"/>
    <w:rsid w:val="00BF7747"/>
    <w:rsid w:val="00C006F3"/>
    <w:rsid w:val="00C019C7"/>
    <w:rsid w:val="00C02636"/>
    <w:rsid w:val="00C02D67"/>
    <w:rsid w:val="00C02ECE"/>
    <w:rsid w:val="00C03320"/>
    <w:rsid w:val="00C047FD"/>
    <w:rsid w:val="00C04B67"/>
    <w:rsid w:val="00C0570A"/>
    <w:rsid w:val="00C05FCA"/>
    <w:rsid w:val="00C0718C"/>
    <w:rsid w:val="00C071F3"/>
    <w:rsid w:val="00C07C24"/>
    <w:rsid w:val="00C105B7"/>
    <w:rsid w:val="00C109C8"/>
    <w:rsid w:val="00C111A5"/>
    <w:rsid w:val="00C11D48"/>
    <w:rsid w:val="00C11EDB"/>
    <w:rsid w:val="00C12E18"/>
    <w:rsid w:val="00C136A9"/>
    <w:rsid w:val="00C14B17"/>
    <w:rsid w:val="00C14DB7"/>
    <w:rsid w:val="00C15347"/>
    <w:rsid w:val="00C154AE"/>
    <w:rsid w:val="00C15B69"/>
    <w:rsid w:val="00C168B2"/>
    <w:rsid w:val="00C17DE7"/>
    <w:rsid w:val="00C20D2E"/>
    <w:rsid w:val="00C21323"/>
    <w:rsid w:val="00C2145F"/>
    <w:rsid w:val="00C21ED7"/>
    <w:rsid w:val="00C22315"/>
    <w:rsid w:val="00C23CE4"/>
    <w:rsid w:val="00C2452A"/>
    <w:rsid w:val="00C247FA"/>
    <w:rsid w:val="00C26C8C"/>
    <w:rsid w:val="00C27374"/>
    <w:rsid w:val="00C27836"/>
    <w:rsid w:val="00C30234"/>
    <w:rsid w:val="00C3129D"/>
    <w:rsid w:val="00C31479"/>
    <w:rsid w:val="00C318BE"/>
    <w:rsid w:val="00C323E1"/>
    <w:rsid w:val="00C32552"/>
    <w:rsid w:val="00C33750"/>
    <w:rsid w:val="00C33CEF"/>
    <w:rsid w:val="00C3474D"/>
    <w:rsid w:val="00C3484F"/>
    <w:rsid w:val="00C34D3B"/>
    <w:rsid w:val="00C35170"/>
    <w:rsid w:val="00C35857"/>
    <w:rsid w:val="00C362F1"/>
    <w:rsid w:val="00C36540"/>
    <w:rsid w:val="00C36E63"/>
    <w:rsid w:val="00C3735B"/>
    <w:rsid w:val="00C37EB8"/>
    <w:rsid w:val="00C409B9"/>
    <w:rsid w:val="00C40BA5"/>
    <w:rsid w:val="00C42220"/>
    <w:rsid w:val="00C4236B"/>
    <w:rsid w:val="00C42D7B"/>
    <w:rsid w:val="00C448E5"/>
    <w:rsid w:val="00C44D9C"/>
    <w:rsid w:val="00C44E97"/>
    <w:rsid w:val="00C451A7"/>
    <w:rsid w:val="00C50307"/>
    <w:rsid w:val="00C511C6"/>
    <w:rsid w:val="00C51419"/>
    <w:rsid w:val="00C51E9C"/>
    <w:rsid w:val="00C51F61"/>
    <w:rsid w:val="00C5291F"/>
    <w:rsid w:val="00C53E7C"/>
    <w:rsid w:val="00C56545"/>
    <w:rsid w:val="00C56DD0"/>
    <w:rsid w:val="00C56E42"/>
    <w:rsid w:val="00C56EC3"/>
    <w:rsid w:val="00C576CF"/>
    <w:rsid w:val="00C60002"/>
    <w:rsid w:val="00C608DC"/>
    <w:rsid w:val="00C60E4F"/>
    <w:rsid w:val="00C6158B"/>
    <w:rsid w:val="00C619CA"/>
    <w:rsid w:val="00C61A6D"/>
    <w:rsid w:val="00C61E78"/>
    <w:rsid w:val="00C62495"/>
    <w:rsid w:val="00C626A8"/>
    <w:rsid w:val="00C627A8"/>
    <w:rsid w:val="00C6387B"/>
    <w:rsid w:val="00C63B26"/>
    <w:rsid w:val="00C63BE1"/>
    <w:rsid w:val="00C6455F"/>
    <w:rsid w:val="00C645D6"/>
    <w:rsid w:val="00C64CE3"/>
    <w:rsid w:val="00C65AA5"/>
    <w:rsid w:val="00C66A64"/>
    <w:rsid w:val="00C670CE"/>
    <w:rsid w:val="00C674B2"/>
    <w:rsid w:val="00C675C2"/>
    <w:rsid w:val="00C70551"/>
    <w:rsid w:val="00C712A0"/>
    <w:rsid w:val="00C71711"/>
    <w:rsid w:val="00C71841"/>
    <w:rsid w:val="00C719C0"/>
    <w:rsid w:val="00C719F6"/>
    <w:rsid w:val="00C71DD0"/>
    <w:rsid w:val="00C7285E"/>
    <w:rsid w:val="00C72CD1"/>
    <w:rsid w:val="00C739B5"/>
    <w:rsid w:val="00C75BCC"/>
    <w:rsid w:val="00C76920"/>
    <w:rsid w:val="00C76DC1"/>
    <w:rsid w:val="00C77E69"/>
    <w:rsid w:val="00C801E2"/>
    <w:rsid w:val="00C8067A"/>
    <w:rsid w:val="00C8097C"/>
    <w:rsid w:val="00C80A4C"/>
    <w:rsid w:val="00C829DE"/>
    <w:rsid w:val="00C834C5"/>
    <w:rsid w:val="00C837FB"/>
    <w:rsid w:val="00C84BE0"/>
    <w:rsid w:val="00C84FFC"/>
    <w:rsid w:val="00C85739"/>
    <w:rsid w:val="00C867C9"/>
    <w:rsid w:val="00C86BC5"/>
    <w:rsid w:val="00C86DA0"/>
    <w:rsid w:val="00C8779C"/>
    <w:rsid w:val="00C87F41"/>
    <w:rsid w:val="00C90AE1"/>
    <w:rsid w:val="00C91211"/>
    <w:rsid w:val="00C91F41"/>
    <w:rsid w:val="00C920B4"/>
    <w:rsid w:val="00C931F2"/>
    <w:rsid w:val="00C942F8"/>
    <w:rsid w:val="00C95254"/>
    <w:rsid w:val="00C955B7"/>
    <w:rsid w:val="00C95CF6"/>
    <w:rsid w:val="00C963EF"/>
    <w:rsid w:val="00C96B39"/>
    <w:rsid w:val="00C97800"/>
    <w:rsid w:val="00C97B47"/>
    <w:rsid w:val="00CA0661"/>
    <w:rsid w:val="00CA0F02"/>
    <w:rsid w:val="00CA137C"/>
    <w:rsid w:val="00CA192D"/>
    <w:rsid w:val="00CA22AB"/>
    <w:rsid w:val="00CA237D"/>
    <w:rsid w:val="00CA2BAB"/>
    <w:rsid w:val="00CA2F40"/>
    <w:rsid w:val="00CA312A"/>
    <w:rsid w:val="00CA3AEB"/>
    <w:rsid w:val="00CA3FA2"/>
    <w:rsid w:val="00CA47C9"/>
    <w:rsid w:val="00CA5157"/>
    <w:rsid w:val="00CA5CC7"/>
    <w:rsid w:val="00CA656C"/>
    <w:rsid w:val="00CA68F9"/>
    <w:rsid w:val="00CA6E8D"/>
    <w:rsid w:val="00CA7436"/>
    <w:rsid w:val="00CA7F09"/>
    <w:rsid w:val="00CB0FF3"/>
    <w:rsid w:val="00CB253E"/>
    <w:rsid w:val="00CB263C"/>
    <w:rsid w:val="00CB3047"/>
    <w:rsid w:val="00CB30AB"/>
    <w:rsid w:val="00CB3C31"/>
    <w:rsid w:val="00CB3E41"/>
    <w:rsid w:val="00CB4218"/>
    <w:rsid w:val="00CB428E"/>
    <w:rsid w:val="00CB45D5"/>
    <w:rsid w:val="00CB5F95"/>
    <w:rsid w:val="00CB674D"/>
    <w:rsid w:val="00CB7067"/>
    <w:rsid w:val="00CB7210"/>
    <w:rsid w:val="00CB7675"/>
    <w:rsid w:val="00CC024B"/>
    <w:rsid w:val="00CC101E"/>
    <w:rsid w:val="00CC1413"/>
    <w:rsid w:val="00CC19B4"/>
    <w:rsid w:val="00CC3215"/>
    <w:rsid w:val="00CC38B6"/>
    <w:rsid w:val="00CC3EDF"/>
    <w:rsid w:val="00CC4343"/>
    <w:rsid w:val="00CC43E4"/>
    <w:rsid w:val="00CC4B8C"/>
    <w:rsid w:val="00CC4F68"/>
    <w:rsid w:val="00CC56B8"/>
    <w:rsid w:val="00CC5B71"/>
    <w:rsid w:val="00CC5C14"/>
    <w:rsid w:val="00CC5ED8"/>
    <w:rsid w:val="00CC60BB"/>
    <w:rsid w:val="00CC67CF"/>
    <w:rsid w:val="00CC7253"/>
    <w:rsid w:val="00CC7382"/>
    <w:rsid w:val="00CC7D68"/>
    <w:rsid w:val="00CD059B"/>
    <w:rsid w:val="00CD0DFE"/>
    <w:rsid w:val="00CD100B"/>
    <w:rsid w:val="00CD18EC"/>
    <w:rsid w:val="00CD27FF"/>
    <w:rsid w:val="00CD4913"/>
    <w:rsid w:val="00CD49B9"/>
    <w:rsid w:val="00CD615E"/>
    <w:rsid w:val="00CD6D7A"/>
    <w:rsid w:val="00CD711E"/>
    <w:rsid w:val="00CD7451"/>
    <w:rsid w:val="00CD7DF1"/>
    <w:rsid w:val="00CE07E4"/>
    <w:rsid w:val="00CE15E9"/>
    <w:rsid w:val="00CE1C93"/>
    <w:rsid w:val="00CE2338"/>
    <w:rsid w:val="00CE3A41"/>
    <w:rsid w:val="00CE3D9F"/>
    <w:rsid w:val="00CE59DD"/>
    <w:rsid w:val="00CE60FC"/>
    <w:rsid w:val="00CE6226"/>
    <w:rsid w:val="00CE683D"/>
    <w:rsid w:val="00CE6FD8"/>
    <w:rsid w:val="00CE7852"/>
    <w:rsid w:val="00CF009F"/>
    <w:rsid w:val="00CF01D7"/>
    <w:rsid w:val="00CF0EE4"/>
    <w:rsid w:val="00CF1357"/>
    <w:rsid w:val="00CF36E1"/>
    <w:rsid w:val="00CF3C7B"/>
    <w:rsid w:val="00CF4F1B"/>
    <w:rsid w:val="00CF4FF7"/>
    <w:rsid w:val="00CF5432"/>
    <w:rsid w:val="00CF5B33"/>
    <w:rsid w:val="00CF5F85"/>
    <w:rsid w:val="00CF679E"/>
    <w:rsid w:val="00CF6B9D"/>
    <w:rsid w:val="00CF6D43"/>
    <w:rsid w:val="00CF7643"/>
    <w:rsid w:val="00D0063A"/>
    <w:rsid w:val="00D00934"/>
    <w:rsid w:val="00D032D2"/>
    <w:rsid w:val="00D034F3"/>
    <w:rsid w:val="00D03E68"/>
    <w:rsid w:val="00D03EBE"/>
    <w:rsid w:val="00D04B8E"/>
    <w:rsid w:val="00D04EF0"/>
    <w:rsid w:val="00D05B87"/>
    <w:rsid w:val="00D05E30"/>
    <w:rsid w:val="00D066DD"/>
    <w:rsid w:val="00D11214"/>
    <w:rsid w:val="00D11880"/>
    <w:rsid w:val="00D1258B"/>
    <w:rsid w:val="00D1299E"/>
    <w:rsid w:val="00D13599"/>
    <w:rsid w:val="00D14362"/>
    <w:rsid w:val="00D15554"/>
    <w:rsid w:val="00D157D1"/>
    <w:rsid w:val="00D16B81"/>
    <w:rsid w:val="00D16C6F"/>
    <w:rsid w:val="00D1701A"/>
    <w:rsid w:val="00D204DE"/>
    <w:rsid w:val="00D20F38"/>
    <w:rsid w:val="00D21649"/>
    <w:rsid w:val="00D218FD"/>
    <w:rsid w:val="00D21AB2"/>
    <w:rsid w:val="00D229ED"/>
    <w:rsid w:val="00D22D99"/>
    <w:rsid w:val="00D23857"/>
    <w:rsid w:val="00D23962"/>
    <w:rsid w:val="00D24652"/>
    <w:rsid w:val="00D247C1"/>
    <w:rsid w:val="00D24939"/>
    <w:rsid w:val="00D24AAF"/>
    <w:rsid w:val="00D2500E"/>
    <w:rsid w:val="00D25B55"/>
    <w:rsid w:val="00D26752"/>
    <w:rsid w:val="00D26B57"/>
    <w:rsid w:val="00D2736D"/>
    <w:rsid w:val="00D279C4"/>
    <w:rsid w:val="00D3206B"/>
    <w:rsid w:val="00D324AA"/>
    <w:rsid w:val="00D329E1"/>
    <w:rsid w:val="00D346F8"/>
    <w:rsid w:val="00D34EAD"/>
    <w:rsid w:val="00D36ACA"/>
    <w:rsid w:val="00D37487"/>
    <w:rsid w:val="00D37994"/>
    <w:rsid w:val="00D40E26"/>
    <w:rsid w:val="00D41057"/>
    <w:rsid w:val="00D41ECA"/>
    <w:rsid w:val="00D42860"/>
    <w:rsid w:val="00D430E5"/>
    <w:rsid w:val="00D437B4"/>
    <w:rsid w:val="00D44F9B"/>
    <w:rsid w:val="00D47145"/>
    <w:rsid w:val="00D511BF"/>
    <w:rsid w:val="00D511FE"/>
    <w:rsid w:val="00D51F95"/>
    <w:rsid w:val="00D53237"/>
    <w:rsid w:val="00D53B3B"/>
    <w:rsid w:val="00D53C0B"/>
    <w:rsid w:val="00D561B0"/>
    <w:rsid w:val="00D56CAE"/>
    <w:rsid w:val="00D5782D"/>
    <w:rsid w:val="00D57AD3"/>
    <w:rsid w:val="00D57B50"/>
    <w:rsid w:val="00D608CD"/>
    <w:rsid w:val="00D60E33"/>
    <w:rsid w:val="00D60EBD"/>
    <w:rsid w:val="00D617BE"/>
    <w:rsid w:val="00D6281B"/>
    <w:rsid w:val="00D632DF"/>
    <w:rsid w:val="00D63B92"/>
    <w:rsid w:val="00D64E95"/>
    <w:rsid w:val="00D657F2"/>
    <w:rsid w:val="00D65BF7"/>
    <w:rsid w:val="00D65FD0"/>
    <w:rsid w:val="00D67368"/>
    <w:rsid w:val="00D70522"/>
    <w:rsid w:val="00D70D8E"/>
    <w:rsid w:val="00D710F6"/>
    <w:rsid w:val="00D71910"/>
    <w:rsid w:val="00D71C0E"/>
    <w:rsid w:val="00D71EF6"/>
    <w:rsid w:val="00D7279C"/>
    <w:rsid w:val="00D72A21"/>
    <w:rsid w:val="00D738A6"/>
    <w:rsid w:val="00D73A0C"/>
    <w:rsid w:val="00D73FD3"/>
    <w:rsid w:val="00D7406C"/>
    <w:rsid w:val="00D756A9"/>
    <w:rsid w:val="00D76660"/>
    <w:rsid w:val="00D77725"/>
    <w:rsid w:val="00D77C6D"/>
    <w:rsid w:val="00D77DCE"/>
    <w:rsid w:val="00D77EB8"/>
    <w:rsid w:val="00D803FF"/>
    <w:rsid w:val="00D80650"/>
    <w:rsid w:val="00D80A40"/>
    <w:rsid w:val="00D80B25"/>
    <w:rsid w:val="00D8193B"/>
    <w:rsid w:val="00D8208A"/>
    <w:rsid w:val="00D822B2"/>
    <w:rsid w:val="00D82AA2"/>
    <w:rsid w:val="00D835F5"/>
    <w:rsid w:val="00D843D5"/>
    <w:rsid w:val="00D84420"/>
    <w:rsid w:val="00D858A7"/>
    <w:rsid w:val="00D85A49"/>
    <w:rsid w:val="00D85EBD"/>
    <w:rsid w:val="00D85FB9"/>
    <w:rsid w:val="00D86C14"/>
    <w:rsid w:val="00D9064C"/>
    <w:rsid w:val="00D907D4"/>
    <w:rsid w:val="00D90D66"/>
    <w:rsid w:val="00D9150D"/>
    <w:rsid w:val="00D916B4"/>
    <w:rsid w:val="00D91941"/>
    <w:rsid w:val="00D91B78"/>
    <w:rsid w:val="00D91FA0"/>
    <w:rsid w:val="00D9205F"/>
    <w:rsid w:val="00D92F6D"/>
    <w:rsid w:val="00D932EC"/>
    <w:rsid w:val="00D934A0"/>
    <w:rsid w:val="00D93C2C"/>
    <w:rsid w:val="00D95610"/>
    <w:rsid w:val="00D95A4D"/>
    <w:rsid w:val="00D95B85"/>
    <w:rsid w:val="00D95DDE"/>
    <w:rsid w:val="00D9613A"/>
    <w:rsid w:val="00D96251"/>
    <w:rsid w:val="00D96A91"/>
    <w:rsid w:val="00D96CB5"/>
    <w:rsid w:val="00D9780A"/>
    <w:rsid w:val="00DA0646"/>
    <w:rsid w:val="00DA0C0E"/>
    <w:rsid w:val="00DA0CA1"/>
    <w:rsid w:val="00DA10ED"/>
    <w:rsid w:val="00DA10F3"/>
    <w:rsid w:val="00DA138A"/>
    <w:rsid w:val="00DA1B17"/>
    <w:rsid w:val="00DA1BD2"/>
    <w:rsid w:val="00DA1CB6"/>
    <w:rsid w:val="00DA35D0"/>
    <w:rsid w:val="00DA4186"/>
    <w:rsid w:val="00DA4242"/>
    <w:rsid w:val="00DA4309"/>
    <w:rsid w:val="00DA4A13"/>
    <w:rsid w:val="00DA59A1"/>
    <w:rsid w:val="00DA5A68"/>
    <w:rsid w:val="00DA6B93"/>
    <w:rsid w:val="00DA6E14"/>
    <w:rsid w:val="00DB0AC6"/>
    <w:rsid w:val="00DB0B1C"/>
    <w:rsid w:val="00DB19FA"/>
    <w:rsid w:val="00DB27F6"/>
    <w:rsid w:val="00DB2917"/>
    <w:rsid w:val="00DB2DA3"/>
    <w:rsid w:val="00DB3234"/>
    <w:rsid w:val="00DB345C"/>
    <w:rsid w:val="00DB3B59"/>
    <w:rsid w:val="00DB4AB2"/>
    <w:rsid w:val="00DB4DC6"/>
    <w:rsid w:val="00DB4E73"/>
    <w:rsid w:val="00DB5569"/>
    <w:rsid w:val="00DB562C"/>
    <w:rsid w:val="00DC0ABD"/>
    <w:rsid w:val="00DC1D92"/>
    <w:rsid w:val="00DC20C1"/>
    <w:rsid w:val="00DC2F2D"/>
    <w:rsid w:val="00DC4399"/>
    <w:rsid w:val="00DC46A3"/>
    <w:rsid w:val="00DC4A99"/>
    <w:rsid w:val="00DC5161"/>
    <w:rsid w:val="00DC626E"/>
    <w:rsid w:val="00DC7B00"/>
    <w:rsid w:val="00DD010D"/>
    <w:rsid w:val="00DD0604"/>
    <w:rsid w:val="00DD1098"/>
    <w:rsid w:val="00DD1707"/>
    <w:rsid w:val="00DD23D9"/>
    <w:rsid w:val="00DD2D3A"/>
    <w:rsid w:val="00DD377A"/>
    <w:rsid w:val="00DD40A0"/>
    <w:rsid w:val="00DD44D7"/>
    <w:rsid w:val="00DD4EBD"/>
    <w:rsid w:val="00DD55C5"/>
    <w:rsid w:val="00DD5FE5"/>
    <w:rsid w:val="00DD6A6A"/>
    <w:rsid w:val="00DD6D55"/>
    <w:rsid w:val="00DD71A4"/>
    <w:rsid w:val="00DD7359"/>
    <w:rsid w:val="00DE02ED"/>
    <w:rsid w:val="00DE0E12"/>
    <w:rsid w:val="00DE17F1"/>
    <w:rsid w:val="00DE1C6D"/>
    <w:rsid w:val="00DE2079"/>
    <w:rsid w:val="00DE2136"/>
    <w:rsid w:val="00DE2688"/>
    <w:rsid w:val="00DE2E10"/>
    <w:rsid w:val="00DE3B1E"/>
    <w:rsid w:val="00DE42CB"/>
    <w:rsid w:val="00DE474B"/>
    <w:rsid w:val="00DE4783"/>
    <w:rsid w:val="00DE545C"/>
    <w:rsid w:val="00DE5A73"/>
    <w:rsid w:val="00DE5C57"/>
    <w:rsid w:val="00DE6372"/>
    <w:rsid w:val="00DE641E"/>
    <w:rsid w:val="00DE69EB"/>
    <w:rsid w:val="00DE7787"/>
    <w:rsid w:val="00DE7F6D"/>
    <w:rsid w:val="00DEDF27"/>
    <w:rsid w:val="00DF00F3"/>
    <w:rsid w:val="00DF0512"/>
    <w:rsid w:val="00DF0BE0"/>
    <w:rsid w:val="00DF1701"/>
    <w:rsid w:val="00DF1C23"/>
    <w:rsid w:val="00DF1D02"/>
    <w:rsid w:val="00DF1DBA"/>
    <w:rsid w:val="00DF2427"/>
    <w:rsid w:val="00DF2698"/>
    <w:rsid w:val="00DF2AB8"/>
    <w:rsid w:val="00DF2E35"/>
    <w:rsid w:val="00DF343C"/>
    <w:rsid w:val="00DF4ABE"/>
    <w:rsid w:val="00DF4B32"/>
    <w:rsid w:val="00DF4D96"/>
    <w:rsid w:val="00DF5207"/>
    <w:rsid w:val="00DF5273"/>
    <w:rsid w:val="00DF5D8E"/>
    <w:rsid w:val="00DF6EBD"/>
    <w:rsid w:val="00DF7949"/>
    <w:rsid w:val="00DF7F16"/>
    <w:rsid w:val="00E002CF"/>
    <w:rsid w:val="00E0036B"/>
    <w:rsid w:val="00E00B86"/>
    <w:rsid w:val="00E0108B"/>
    <w:rsid w:val="00E01DBE"/>
    <w:rsid w:val="00E0221D"/>
    <w:rsid w:val="00E040AB"/>
    <w:rsid w:val="00E05009"/>
    <w:rsid w:val="00E05AF9"/>
    <w:rsid w:val="00E063A1"/>
    <w:rsid w:val="00E07928"/>
    <w:rsid w:val="00E1078E"/>
    <w:rsid w:val="00E11027"/>
    <w:rsid w:val="00E11592"/>
    <w:rsid w:val="00E13271"/>
    <w:rsid w:val="00E139F4"/>
    <w:rsid w:val="00E13EA7"/>
    <w:rsid w:val="00E140FA"/>
    <w:rsid w:val="00E14322"/>
    <w:rsid w:val="00E145A4"/>
    <w:rsid w:val="00E14FEA"/>
    <w:rsid w:val="00E150AB"/>
    <w:rsid w:val="00E16020"/>
    <w:rsid w:val="00E16688"/>
    <w:rsid w:val="00E176FB"/>
    <w:rsid w:val="00E20620"/>
    <w:rsid w:val="00E20864"/>
    <w:rsid w:val="00E20D30"/>
    <w:rsid w:val="00E20EF7"/>
    <w:rsid w:val="00E20F3A"/>
    <w:rsid w:val="00E21BD5"/>
    <w:rsid w:val="00E2295E"/>
    <w:rsid w:val="00E23387"/>
    <w:rsid w:val="00E23726"/>
    <w:rsid w:val="00E23D72"/>
    <w:rsid w:val="00E240E1"/>
    <w:rsid w:val="00E257C1"/>
    <w:rsid w:val="00E26066"/>
    <w:rsid w:val="00E26282"/>
    <w:rsid w:val="00E2680E"/>
    <w:rsid w:val="00E2900D"/>
    <w:rsid w:val="00E300B9"/>
    <w:rsid w:val="00E308F1"/>
    <w:rsid w:val="00E31592"/>
    <w:rsid w:val="00E31B95"/>
    <w:rsid w:val="00E33020"/>
    <w:rsid w:val="00E333F1"/>
    <w:rsid w:val="00E338B2"/>
    <w:rsid w:val="00E33E98"/>
    <w:rsid w:val="00E348F0"/>
    <w:rsid w:val="00E34C88"/>
    <w:rsid w:val="00E3583F"/>
    <w:rsid w:val="00E358FA"/>
    <w:rsid w:val="00E35B46"/>
    <w:rsid w:val="00E35C90"/>
    <w:rsid w:val="00E36614"/>
    <w:rsid w:val="00E36FCD"/>
    <w:rsid w:val="00E400A8"/>
    <w:rsid w:val="00E40129"/>
    <w:rsid w:val="00E40656"/>
    <w:rsid w:val="00E406E5"/>
    <w:rsid w:val="00E40F73"/>
    <w:rsid w:val="00E41A8E"/>
    <w:rsid w:val="00E41DD1"/>
    <w:rsid w:val="00E421D4"/>
    <w:rsid w:val="00E42ABD"/>
    <w:rsid w:val="00E42B13"/>
    <w:rsid w:val="00E42D8A"/>
    <w:rsid w:val="00E42EC0"/>
    <w:rsid w:val="00E43089"/>
    <w:rsid w:val="00E438E3"/>
    <w:rsid w:val="00E43C17"/>
    <w:rsid w:val="00E43C50"/>
    <w:rsid w:val="00E44311"/>
    <w:rsid w:val="00E443EC"/>
    <w:rsid w:val="00E4618C"/>
    <w:rsid w:val="00E4635B"/>
    <w:rsid w:val="00E466A2"/>
    <w:rsid w:val="00E468BD"/>
    <w:rsid w:val="00E50326"/>
    <w:rsid w:val="00E5076E"/>
    <w:rsid w:val="00E50E42"/>
    <w:rsid w:val="00E51308"/>
    <w:rsid w:val="00E518A3"/>
    <w:rsid w:val="00E52097"/>
    <w:rsid w:val="00E534D8"/>
    <w:rsid w:val="00E546F4"/>
    <w:rsid w:val="00E546FC"/>
    <w:rsid w:val="00E54C05"/>
    <w:rsid w:val="00E55043"/>
    <w:rsid w:val="00E55D83"/>
    <w:rsid w:val="00E5617F"/>
    <w:rsid w:val="00E5709A"/>
    <w:rsid w:val="00E62FFB"/>
    <w:rsid w:val="00E639C7"/>
    <w:rsid w:val="00E6641C"/>
    <w:rsid w:val="00E664B0"/>
    <w:rsid w:val="00E66E06"/>
    <w:rsid w:val="00E67657"/>
    <w:rsid w:val="00E678B8"/>
    <w:rsid w:val="00E67F5A"/>
    <w:rsid w:val="00E701CD"/>
    <w:rsid w:val="00E70445"/>
    <w:rsid w:val="00E70D8F"/>
    <w:rsid w:val="00E71053"/>
    <w:rsid w:val="00E718FE"/>
    <w:rsid w:val="00E71C32"/>
    <w:rsid w:val="00E71D39"/>
    <w:rsid w:val="00E71EB7"/>
    <w:rsid w:val="00E72089"/>
    <w:rsid w:val="00E726E3"/>
    <w:rsid w:val="00E728A5"/>
    <w:rsid w:val="00E7291F"/>
    <w:rsid w:val="00E7324B"/>
    <w:rsid w:val="00E73A58"/>
    <w:rsid w:val="00E73C53"/>
    <w:rsid w:val="00E7402D"/>
    <w:rsid w:val="00E74551"/>
    <w:rsid w:val="00E74FDD"/>
    <w:rsid w:val="00E755BF"/>
    <w:rsid w:val="00E768B8"/>
    <w:rsid w:val="00E77CBB"/>
    <w:rsid w:val="00E80A5F"/>
    <w:rsid w:val="00E80B84"/>
    <w:rsid w:val="00E81543"/>
    <w:rsid w:val="00E81D66"/>
    <w:rsid w:val="00E81EF5"/>
    <w:rsid w:val="00E82A3F"/>
    <w:rsid w:val="00E837D2"/>
    <w:rsid w:val="00E8508C"/>
    <w:rsid w:val="00E85EC8"/>
    <w:rsid w:val="00E86DE7"/>
    <w:rsid w:val="00E86FC6"/>
    <w:rsid w:val="00E876B8"/>
    <w:rsid w:val="00E90AEC"/>
    <w:rsid w:val="00E90D7B"/>
    <w:rsid w:val="00E91D1C"/>
    <w:rsid w:val="00E9253D"/>
    <w:rsid w:val="00E927F5"/>
    <w:rsid w:val="00E939BC"/>
    <w:rsid w:val="00E93EA3"/>
    <w:rsid w:val="00E93EAB"/>
    <w:rsid w:val="00E9428B"/>
    <w:rsid w:val="00E95342"/>
    <w:rsid w:val="00E95C73"/>
    <w:rsid w:val="00E95F9A"/>
    <w:rsid w:val="00E96443"/>
    <w:rsid w:val="00E967A6"/>
    <w:rsid w:val="00E96868"/>
    <w:rsid w:val="00E97089"/>
    <w:rsid w:val="00E9760C"/>
    <w:rsid w:val="00EA049C"/>
    <w:rsid w:val="00EA09FF"/>
    <w:rsid w:val="00EA13D1"/>
    <w:rsid w:val="00EA1673"/>
    <w:rsid w:val="00EA1B66"/>
    <w:rsid w:val="00EA2605"/>
    <w:rsid w:val="00EA3047"/>
    <w:rsid w:val="00EA36F2"/>
    <w:rsid w:val="00EA3ADE"/>
    <w:rsid w:val="00EA4595"/>
    <w:rsid w:val="00EA575D"/>
    <w:rsid w:val="00EA5A1C"/>
    <w:rsid w:val="00EA619E"/>
    <w:rsid w:val="00EA7A68"/>
    <w:rsid w:val="00EA7CC3"/>
    <w:rsid w:val="00EB0454"/>
    <w:rsid w:val="00EB09CC"/>
    <w:rsid w:val="00EB1E0A"/>
    <w:rsid w:val="00EB2370"/>
    <w:rsid w:val="00EB2697"/>
    <w:rsid w:val="00EB3081"/>
    <w:rsid w:val="00EB4BE7"/>
    <w:rsid w:val="00EB4C6F"/>
    <w:rsid w:val="00EB519B"/>
    <w:rsid w:val="00EB522E"/>
    <w:rsid w:val="00EB52C4"/>
    <w:rsid w:val="00EB6FE0"/>
    <w:rsid w:val="00EC01BA"/>
    <w:rsid w:val="00EC0724"/>
    <w:rsid w:val="00EC08F6"/>
    <w:rsid w:val="00EC1551"/>
    <w:rsid w:val="00EC17A0"/>
    <w:rsid w:val="00EC1B10"/>
    <w:rsid w:val="00EC1B6C"/>
    <w:rsid w:val="00EC2570"/>
    <w:rsid w:val="00EC32B4"/>
    <w:rsid w:val="00EC34B9"/>
    <w:rsid w:val="00EC398A"/>
    <w:rsid w:val="00EC3FB6"/>
    <w:rsid w:val="00EC534A"/>
    <w:rsid w:val="00EC72BE"/>
    <w:rsid w:val="00ED0785"/>
    <w:rsid w:val="00ED0BBD"/>
    <w:rsid w:val="00ED1037"/>
    <w:rsid w:val="00ED1B6D"/>
    <w:rsid w:val="00ED1DF1"/>
    <w:rsid w:val="00ED1E66"/>
    <w:rsid w:val="00ED1FED"/>
    <w:rsid w:val="00ED29AA"/>
    <w:rsid w:val="00ED2CD1"/>
    <w:rsid w:val="00ED348D"/>
    <w:rsid w:val="00ED3BB7"/>
    <w:rsid w:val="00ED41DB"/>
    <w:rsid w:val="00ED4900"/>
    <w:rsid w:val="00ED5B2E"/>
    <w:rsid w:val="00ED6E33"/>
    <w:rsid w:val="00EE055C"/>
    <w:rsid w:val="00EE0764"/>
    <w:rsid w:val="00EE0843"/>
    <w:rsid w:val="00EE090D"/>
    <w:rsid w:val="00EE0BD9"/>
    <w:rsid w:val="00EE1255"/>
    <w:rsid w:val="00EE1E1B"/>
    <w:rsid w:val="00EE1F05"/>
    <w:rsid w:val="00EE21F3"/>
    <w:rsid w:val="00EE2B45"/>
    <w:rsid w:val="00EE2CC6"/>
    <w:rsid w:val="00EE3604"/>
    <w:rsid w:val="00EE3693"/>
    <w:rsid w:val="00EE42E8"/>
    <w:rsid w:val="00EE4375"/>
    <w:rsid w:val="00EE6867"/>
    <w:rsid w:val="00EE73E9"/>
    <w:rsid w:val="00EE7422"/>
    <w:rsid w:val="00EE7C07"/>
    <w:rsid w:val="00EF13F1"/>
    <w:rsid w:val="00EF197B"/>
    <w:rsid w:val="00EF22BF"/>
    <w:rsid w:val="00EF375B"/>
    <w:rsid w:val="00EF428D"/>
    <w:rsid w:val="00EF4476"/>
    <w:rsid w:val="00EF4E8C"/>
    <w:rsid w:val="00EF5B22"/>
    <w:rsid w:val="00EF6596"/>
    <w:rsid w:val="00EF665F"/>
    <w:rsid w:val="00EF6FA0"/>
    <w:rsid w:val="00EF79EA"/>
    <w:rsid w:val="00EF7C69"/>
    <w:rsid w:val="00F00152"/>
    <w:rsid w:val="00F0028A"/>
    <w:rsid w:val="00F00489"/>
    <w:rsid w:val="00F009DE"/>
    <w:rsid w:val="00F01547"/>
    <w:rsid w:val="00F01C71"/>
    <w:rsid w:val="00F0299A"/>
    <w:rsid w:val="00F03307"/>
    <w:rsid w:val="00F03FAC"/>
    <w:rsid w:val="00F041A5"/>
    <w:rsid w:val="00F042CC"/>
    <w:rsid w:val="00F04814"/>
    <w:rsid w:val="00F04C10"/>
    <w:rsid w:val="00F04E7A"/>
    <w:rsid w:val="00F05411"/>
    <w:rsid w:val="00F05D48"/>
    <w:rsid w:val="00F06449"/>
    <w:rsid w:val="00F06AAD"/>
    <w:rsid w:val="00F0750B"/>
    <w:rsid w:val="00F07AB4"/>
    <w:rsid w:val="00F07B48"/>
    <w:rsid w:val="00F07F30"/>
    <w:rsid w:val="00F10469"/>
    <w:rsid w:val="00F115C5"/>
    <w:rsid w:val="00F119C6"/>
    <w:rsid w:val="00F11B70"/>
    <w:rsid w:val="00F12047"/>
    <w:rsid w:val="00F12C29"/>
    <w:rsid w:val="00F13234"/>
    <w:rsid w:val="00F14667"/>
    <w:rsid w:val="00F152E9"/>
    <w:rsid w:val="00F1559E"/>
    <w:rsid w:val="00F158DE"/>
    <w:rsid w:val="00F160F1"/>
    <w:rsid w:val="00F16168"/>
    <w:rsid w:val="00F16D7B"/>
    <w:rsid w:val="00F17742"/>
    <w:rsid w:val="00F17B75"/>
    <w:rsid w:val="00F17ECA"/>
    <w:rsid w:val="00F20957"/>
    <w:rsid w:val="00F2105D"/>
    <w:rsid w:val="00F21B68"/>
    <w:rsid w:val="00F21F13"/>
    <w:rsid w:val="00F22FCB"/>
    <w:rsid w:val="00F23699"/>
    <w:rsid w:val="00F23CDB"/>
    <w:rsid w:val="00F26AD8"/>
    <w:rsid w:val="00F26E02"/>
    <w:rsid w:val="00F27BA8"/>
    <w:rsid w:val="00F33C47"/>
    <w:rsid w:val="00F347A2"/>
    <w:rsid w:val="00F351D6"/>
    <w:rsid w:val="00F35B2A"/>
    <w:rsid w:val="00F37380"/>
    <w:rsid w:val="00F37A2A"/>
    <w:rsid w:val="00F37A63"/>
    <w:rsid w:val="00F4001A"/>
    <w:rsid w:val="00F4220A"/>
    <w:rsid w:val="00F42397"/>
    <w:rsid w:val="00F4240A"/>
    <w:rsid w:val="00F4278C"/>
    <w:rsid w:val="00F427F5"/>
    <w:rsid w:val="00F43042"/>
    <w:rsid w:val="00F44BDA"/>
    <w:rsid w:val="00F45031"/>
    <w:rsid w:val="00F45B13"/>
    <w:rsid w:val="00F46136"/>
    <w:rsid w:val="00F47153"/>
    <w:rsid w:val="00F474F5"/>
    <w:rsid w:val="00F47629"/>
    <w:rsid w:val="00F50181"/>
    <w:rsid w:val="00F507BE"/>
    <w:rsid w:val="00F5154A"/>
    <w:rsid w:val="00F521DE"/>
    <w:rsid w:val="00F525B1"/>
    <w:rsid w:val="00F532D2"/>
    <w:rsid w:val="00F53339"/>
    <w:rsid w:val="00F53495"/>
    <w:rsid w:val="00F540A6"/>
    <w:rsid w:val="00F54200"/>
    <w:rsid w:val="00F54B69"/>
    <w:rsid w:val="00F554B4"/>
    <w:rsid w:val="00F5568A"/>
    <w:rsid w:val="00F5574D"/>
    <w:rsid w:val="00F56029"/>
    <w:rsid w:val="00F562A5"/>
    <w:rsid w:val="00F56598"/>
    <w:rsid w:val="00F566D3"/>
    <w:rsid w:val="00F56C29"/>
    <w:rsid w:val="00F57169"/>
    <w:rsid w:val="00F57B3A"/>
    <w:rsid w:val="00F57F00"/>
    <w:rsid w:val="00F60515"/>
    <w:rsid w:val="00F60CF0"/>
    <w:rsid w:val="00F615F3"/>
    <w:rsid w:val="00F624E1"/>
    <w:rsid w:val="00F63BD3"/>
    <w:rsid w:val="00F649AF"/>
    <w:rsid w:val="00F64CD0"/>
    <w:rsid w:val="00F65324"/>
    <w:rsid w:val="00F65589"/>
    <w:rsid w:val="00F65CD2"/>
    <w:rsid w:val="00F65F83"/>
    <w:rsid w:val="00F66A51"/>
    <w:rsid w:val="00F670C5"/>
    <w:rsid w:val="00F6735D"/>
    <w:rsid w:val="00F679F2"/>
    <w:rsid w:val="00F70BFE"/>
    <w:rsid w:val="00F71E96"/>
    <w:rsid w:val="00F73973"/>
    <w:rsid w:val="00F74208"/>
    <w:rsid w:val="00F75379"/>
    <w:rsid w:val="00F768E8"/>
    <w:rsid w:val="00F809DE"/>
    <w:rsid w:val="00F80A1A"/>
    <w:rsid w:val="00F80C77"/>
    <w:rsid w:val="00F80FC6"/>
    <w:rsid w:val="00F81A99"/>
    <w:rsid w:val="00F81CCA"/>
    <w:rsid w:val="00F8224E"/>
    <w:rsid w:val="00F8228A"/>
    <w:rsid w:val="00F8258E"/>
    <w:rsid w:val="00F8276B"/>
    <w:rsid w:val="00F8435D"/>
    <w:rsid w:val="00F844F4"/>
    <w:rsid w:val="00F8474D"/>
    <w:rsid w:val="00F84942"/>
    <w:rsid w:val="00F852F3"/>
    <w:rsid w:val="00F85531"/>
    <w:rsid w:val="00F85638"/>
    <w:rsid w:val="00F8597E"/>
    <w:rsid w:val="00F86486"/>
    <w:rsid w:val="00F87001"/>
    <w:rsid w:val="00F87746"/>
    <w:rsid w:val="00F90E08"/>
    <w:rsid w:val="00F912FD"/>
    <w:rsid w:val="00F92B05"/>
    <w:rsid w:val="00F934C0"/>
    <w:rsid w:val="00F93540"/>
    <w:rsid w:val="00F94998"/>
    <w:rsid w:val="00F95179"/>
    <w:rsid w:val="00F954F8"/>
    <w:rsid w:val="00F973CF"/>
    <w:rsid w:val="00F97938"/>
    <w:rsid w:val="00F9D2DA"/>
    <w:rsid w:val="00FA1D51"/>
    <w:rsid w:val="00FA2248"/>
    <w:rsid w:val="00FA2416"/>
    <w:rsid w:val="00FA250B"/>
    <w:rsid w:val="00FA25CF"/>
    <w:rsid w:val="00FA2E8F"/>
    <w:rsid w:val="00FA2EA2"/>
    <w:rsid w:val="00FA336D"/>
    <w:rsid w:val="00FA344C"/>
    <w:rsid w:val="00FA48E1"/>
    <w:rsid w:val="00FA4F4F"/>
    <w:rsid w:val="00FA59EA"/>
    <w:rsid w:val="00FA5E13"/>
    <w:rsid w:val="00FA633B"/>
    <w:rsid w:val="00FA667B"/>
    <w:rsid w:val="00FB0713"/>
    <w:rsid w:val="00FB0E53"/>
    <w:rsid w:val="00FB1061"/>
    <w:rsid w:val="00FB1369"/>
    <w:rsid w:val="00FB16D0"/>
    <w:rsid w:val="00FB1EC0"/>
    <w:rsid w:val="00FB20BA"/>
    <w:rsid w:val="00FB27A5"/>
    <w:rsid w:val="00FB2CAE"/>
    <w:rsid w:val="00FB3E88"/>
    <w:rsid w:val="00FB453E"/>
    <w:rsid w:val="00FB462B"/>
    <w:rsid w:val="00FB4F6F"/>
    <w:rsid w:val="00FB52F6"/>
    <w:rsid w:val="00FB5435"/>
    <w:rsid w:val="00FB5B18"/>
    <w:rsid w:val="00FB5E9C"/>
    <w:rsid w:val="00FB6822"/>
    <w:rsid w:val="00FB6D8D"/>
    <w:rsid w:val="00FB734A"/>
    <w:rsid w:val="00FB795F"/>
    <w:rsid w:val="00FB7B73"/>
    <w:rsid w:val="00FC07FA"/>
    <w:rsid w:val="00FC096B"/>
    <w:rsid w:val="00FC1345"/>
    <w:rsid w:val="00FC223B"/>
    <w:rsid w:val="00FC28F8"/>
    <w:rsid w:val="00FC2E80"/>
    <w:rsid w:val="00FC313F"/>
    <w:rsid w:val="00FC3B39"/>
    <w:rsid w:val="00FC4152"/>
    <w:rsid w:val="00FC46E9"/>
    <w:rsid w:val="00FC5684"/>
    <w:rsid w:val="00FC581F"/>
    <w:rsid w:val="00FC6457"/>
    <w:rsid w:val="00FC75AA"/>
    <w:rsid w:val="00FD00E8"/>
    <w:rsid w:val="00FD01B7"/>
    <w:rsid w:val="00FD0A30"/>
    <w:rsid w:val="00FD23DB"/>
    <w:rsid w:val="00FD25E9"/>
    <w:rsid w:val="00FD2679"/>
    <w:rsid w:val="00FD27B6"/>
    <w:rsid w:val="00FD2DEC"/>
    <w:rsid w:val="00FD3316"/>
    <w:rsid w:val="00FD5123"/>
    <w:rsid w:val="00FD5FF7"/>
    <w:rsid w:val="00FD698F"/>
    <w:rsid w:val="00FD6E4D"/>
    <w:rsid w:val="00FD75EB"/>
    <w:rsid w:val="00FD763D"/>
    <w:rsid w:val="00FE0F6D"/>
    <w:rsid w:val="00FE1BB8"/>
    <w:rsid w:val="00FE344D"/>
    <w:rsid w:val="00FE372D"/>
    <w:rsid w:val="00FE4D0D"/>
    <w:rsid w:val="00FE51F2"/>
    <w:rsid w:val="00FE54A2"/>
    <w:rsid w:val="00FE5DC7"/>
    <w:rsid w:val="00FE5DF9"/>
    <w:rsid w:val="00FE6A39"/>
    <w:rsid w:val="00FE7B10"/>
    <w:rsid w:val="00FF0512"/>
    <w:rsid w:val="00FF06C9"/>
    <w:rsid w:val="00FF06EB"/>
    <w:rsid w:val="00FF0816"/>
    <w:rsid w:val="00FF0973"/>
    <w:rsid w:val="00FF0DB4"/>
    <w:rsid w:val="00FF0F3F"/>
    <w:rsid w:val="00FF39C4"/>
    <w:rsid w:val="00FF48AB"/>
    <w:rsid w:val="00FF546A"/>
    <w:rsid w:val="00FF5D6B"/>
    <w:rsid w:val="00FF60FF"/>
    <w:rsid w:val="00FF763D"/>
    <w:rsid w:val="00FF7889"/>
    <w:rsid w:val="01032633"/>
    <w:rsid w:val="010B83D0"/>
    <w:rsid w:val="01100E56"/>
    <w:rsid w:val="01138E01"/>
    <w:rsid w:val="011A71A9"/>
    <w:rsid w:val="011EB716"/>
    <w:rsid w:val="0125BA79"/>
    <w:rsid w:val="0131A9EF"/>
    <w:rsid w:val="01373AED"/>
    <w:rsid w:val="013D30C3"/>
    <w:rsid w:val="013D77B2"/>
    <w:rsid w:val="01895D85"/>
    <w:rsid w:val="019856AA"/>
    <w:rsid w:val="01A3AA5F"/>
    <w:rsid w:val="01A974F1"/>
    <w:rsid w:val="01BB8924"/>
    <w:rsid w:val="01C8061D"/>
    <w:rsid w:val="01E01849"/>
    <w:rsid w:val="01E2FA3C"/>
    <w:rsid w:val="01FD9708"/>
    <w:rsid w:val="02112B14"/>
    <w:rsid w:val="02304491"/>
    <w:rsid w:val="02332D0D"/>
    <w:rsid w:val="024524B4"/>
    <w:rsid w:val="0249CFC4"/>
    <w:rsid w:val="024D7307"/>
    <w:rsid w:val="02536A7B"/>
    <w:rsid w:val="025667B7"/>
    <w:rsid w:val="025DE749"/>
    <w:rsid w:val="0264A266"/>
    <w:rsid w:val="026F5E40"/>
    <w:rsid w:val="028FBF78"/>
    <w:rsid w:val="02A76090"/>
    <w:rsid w:val="02A7DC7A"/>
    <w:rsid w:val="02BB5016"/>
    <w:rsid w:val="02D62EB6"/>
    <w:rsid w:val="02E2AAEE"/>
    <w:rsid w:val="02E3E66B"/>
    <w:rsid w:val="02EA5500"/>
    <w:rsid w:val="02EC6407"/>
    <w:rsid w:val="02F1D228"/>
    <w:rsid w:val="0306F962"/>
    <w:rsid w:val="0329F50F"/>
    <w:rsid w:val="0333FF0E"/>
    <w:rsid w:val="033F35CB"/>
    <w:rsid w:val="034500D9"/>
    <w:rsid w:val="0348AA78"/>
    <w:rsid w:val="034B0449"/>
    <w:rsid w:val="036523D5"/>
    <w:rsid w:val="036A1926"/>
    <w:rsid w:val="037B1A20"/>
    <w:rsid w:val="0384B767"/>
    <w:rsid w:val="03921B1C"/>
    <w:rsid w:val="039A5D3D"/>
    <w:rsid w:val="039AA018"/>
    <w:rsid w:val="039CB815"/>
    <w:rsid w:val="03A03450"/>
    <w:rsid w:val="03AB0C34"/>
    <w:rsid w:val="03B620D0"/>
    <w:rsid w:val="03CDAD2A"/>
    <w:rsid w:val="03D09377"/>
    <w:rsid w:val="03DDE069"/>
    <w:rsid w:val="0406961D"/>
    <w:rsid w:val="04343099"/>
    <w:rsid w:val="04435989"/>
    <w:rsid w:val="04475B4F"/>
    <w:rsid w:val="0456288C"/>
    <w:rsid w:val="045F1961"/>
    <w:rsid w:val="045F3FAC"/>
    <w:rsid w:val="04683C29"/>
    <w:rsid w:val="04706AD9"/>
    <w:rsid w:val="0476F3EC"/>
    <w:rsid w:val="0485F7FD"/>
    <w:rsid w:val="048B7D1D"/>
    <w:rsid w:val="048FF269"/>
    <w:rsid w:val="0494BC5D"/>
    <w:rsid w:val="049A2C2A"/>
    <w:rsid w:val="04B0D070"/>
    <w:rsid w:val="04B119CC"/>
    <w:rsid w:val="04B5D415"/>
    <w:rsid w:val="04C10319"/>
    <w:rsid w:val="04C1CAB4"/>
    <w:rsid w:val="04C86379"/>
    <w:rsid w:val="04CE469A"/>
    <w:rsid w:val="04EB11B2"/>
    <w:rsid w:val="04FB8714"/>
    <w:rsid w:val="05030F7C"/>
    <w:rsid w:val="05075FD0"/>
    <w:rsid w:val="05154FCB"/>
    <w:rsid w:val="0524A816"/>
    <w:rsid w:val="05420C84"/>
    <w:rsid w:val="05471BE9"/>
    <w:rsid w:val="05658DAE"/>
    <w:rsid w:val="05709B4F"/>
    <w:rsid w:val="05788434"/>
    <w:rsid w:val="057AD03B"/>
    <w:rsid w:val="057CA1DB"/>
    <w:rsid w:val="058FB938"/>
    <w:rsid w:val="059C74DA"/>
    <w:rsid w:val="05A1FE12"/>
    <w:rsid w:val="05A33EDB"/>
    <w:rsid w:val="05A9B52A"/>
    <w:rsid w:val="05AF89AA"/>
    <w:rsid w:val="05B14F67"/>
    <w:rsid w:val="05B24AEC"/>
    <w:rsid w:val="05B59D0C"/>
    <w:rsid w:val="05B7A49B"/>
    <w:rsid w:val="05BBA0EF"/>
    <w:rsid w:val="05E4CDFB"/>
    <w:rsid w:val="05F1D5D1"/>
    <w:rsid w:val="05FD9083"/>
    <w:rsid w:val="0608A5AD"/>
    <w:rsid w:val="06260482"/>
    <w:rsid w:val="062962CA"/>
    <w:rsid w:val="062C3127"/>
    <w:rsid w:val="06462B33"/>
    <w:rsid w:val="064CD52E"/>
    <w:rsid w:val="065BA3EE"/>
    <w:rsid w:val="0660955A"/>
    <w:rsid w:val="06632CFC"/>
    <w:rsid w:val="0684683D"/>
    <w:rsid w:val="0685F786"/>
    <w:rsid w:val="068BEE8F"/>
    <w:rsid w:val="06913FF1"/>
    <w:rsid w:val="06A8F378"/>
    <w:rsid w:val="06D88554"/>
    <w:rsid w:val="06D97325"/>
    <w:rsid w:val="06DE13C3"/>
    <w:rsid w:val="06EC6B81"/>
    <w:rsid w:val="0703E385"/>
    <w:rsid w:val="070E9B8B"/>
    <w:rsid w:val="07101AA6"/>
    <w:rsid w:val="0714197F"/>
    <w:rsid w:val="071C1A6B"/>
    <w:rsid w:val="07355D2E"/>
    <w:rsid w:val="073CE094"/>
    <w:rsid w:val="074E8795"/>
    <w:rsid w:val="0765A061"/>
    <w:rsid w:val="076A84D9"/>
    <w:rsid w:val="0780134C"/>
    <w:rsid w:val="07816A03"/>
    <w:rsid w:val="07A88173"/>
    <w:rsid w:val="07B43647"/>
    <w:rsid w:val="07BBA2E2"/>
    <w:rsid w:val="07C21181"/>
    <w:rsid w:val="07D1ED48"/>
    <w:rsid w:val="07EB11CA"/>
    <w:rsid w:val="080154A9"/>
    <w:rsid w:val="080379F4"/>
    <w:rsid w:val="0828B4CC"/>
    <w:rsid w:val="0829AD3E"/>
    <w:rsid w:val="084043D1"/>
    <w:rsid w:val="08503266"/>
    <w:rsid w:val="086EE5F9"/>
    <w:rsid w:val="0871E46C"/>
    <w:rsid w:val="0882A86E"/>
    <w:rsid w:val="08840220"/>
    <w:rsid w:val="08912E1A"/>
    <w:rsid w:val="089C7CA5"/>
    <w:rsid w:val="08A74B1F"/>
    <w:rsid w:val="08AA92D4"/>
    <w:rsid w:val="08ACACB4"/>
    <w:rsid w:val="08BD9620"/>
    <w:rsid w:val="08DB7E7E"/>
    <w:rsid w:val="0902EA3B"/>
    <w:rsid w:val="091B8221"/>
    <w:rsid w:val="0935F971"/>
    <w:rsid w:val="0945DAC2"/>
    <w:rsid w:val="0962B216"/>
    <w:rsid w:val="096E697C"/>
    <w:rsid w:val="0971D0F7"/>
    <w:rsid w:val="09757889"/>
    <w:rsid w:val="09775B11"/>
    <w:rsid w:val="099C115D"/>
    <w:rsid w:val="099DD625"/>
    <w:rsid w:val="09A75506"/>
    <w:rsid w:val="09B92498"/>
    <w:rsid w:val="09C30310"/>
    <w:rsid w:val="09C9B33C"/>
    <w:rsid w:val="09F015DD"/>
    <w:rsid w:val="09F77603"/>
    <w:rsid w:val="0A00ED80"/>
    <w:rsid w:val="0A01B27A"/>
    <w:rsid w:val="0A021E49"/>
    <w:rsid w:val="0A0465E3"/>
    <w:rsid w:val="0A137396"/>
    <w:rsid w:val="0A1DDC18"/>
    <w:rsid w:val="0A2C8691"/>
    <w:rsid w:val="0A3D79C6"/>
    <w:rsid w:val="0A42BDFE"/>
    <w:rsid w:val="0A4E85DF"/>
    <w:rsid w:val="0A66B852"/>
    <w:rsid w:val="0A8AEE6D"/>
    <w:rsid w:val="0A8CB923"/>
    <w:rsid w:val="0A9A72DD"/>
    <w:rsid w:val="0A9D8405"/>
    <w:rsid w:val="0AA02F01"/>
    <w:rsid w:val="0AA94DF0"/>
    <w:rsid w:val="0AAE6D28"/>
    <w:rsid w:val="0AB71283"/>
    <w:rsid w:val="0AB93781"/>
    <w:rsid w:val="0ABEBA5E"/>
    <w:rsid w:val="0ACA22E3"/>
    <w:rsid w:val="0ACF81D4"/>
    <w:rsid w:val="0ACF8C6A"/>
    <w:rsid w:val="0AF61E3C"/>
    <w:rsid w:val="0AFDA55C"/>
    <w:rsid w:val="0B12408A"/>
    <w:rsid w:val="0B436E25"/>
    <w:rsid w:val="0B4C283E"/>
    <w:rsid w:val="0B5E0F88"/>
    <w:rsid w:val="0B75003B"/>
    <w:rsid w:val="0B770BCF"/>
    <w:rsid w:val="0B8C8C0A"/>
    <w:rsid w:val="0B8DC691"/>
    <w:rsid w:val="0B8E0CC3"/>
    <w:rsid w:val="0B995ABB"/>
    <w:rsid w:val="0B9BA969"/>
    <w:rsid w:val="0BA8E631"/>
    <w:rsid w:val="0BAAB438"/>
    <w:rsid w:val="0BAF8E49"/>
    <w:rsid w:val="0BB3AA61"/>
    <w:rsid w:val="0BB55C62"/>
    <w:rsid w:val="0BC3CD0C"/>
    <w:rsid w:val="0BCDDA9A"/>
    <w:rsid w:val="0BD30017"/>
    <w:rsid w:val="0BD8A53B"/>
    <w:rsid w:val="0BDAEEB5"/>
    <w:rsid w:val="0BF6508C"/>
    <w:rsid w:val="0BF78D39"/>
    <w:rsid w:val="0BFDC52A"/>
    <w:rsid w:val="0C031E91"/>
    <w:rsid w:val="0C044F3A"/>
    <w:rsid w:val="0C09FFEB"/>
    <w:rsid w:val="0C2239E1"/>
    <w:rsid w:val="0C230EA6"/>
    <w:rsid w:val="0C2BFF90"/>
    <w:rsid w:val="0C33B00A"/>
    <w:rsid w:val="0C41E5B1"/>
    <w:rsid w:val="0C41F79C"/>
    <w:rsid w:val="0C459B66"/>
    <w:rsid w:val="0C486052"/>
    <w:rsid w:val="0C588AFD"/>
    <w:rsid w:val="0C5AE0AE"/>
    <w:rsid w:val="0C622D84"/>
    <w:rsid w:val="0C62D7AB"/>
    <w:rsid w:val="0C652D83"/>
    <w:rsid w:val="0C68A4DD"/>
    <w:rsid w:val="0C72D222"/>
    <w:rsid w:val="0C9D80D8"/>
    <w:rsid w:val="0CC4F600"/>
    <w:rsid w:val="0CD17A64"/>
    <w:rsid w:val="0CD4CFA1"/>
    <w:rsid w:val="0CD4ED49"/>
    <w:rsid w:val="0CDFAC87"/>
    <w:rsid w:val="0CF98A2A"/>
    <w:rsid w:val="0D252EC0"/>
    <w:rsid w:val="0D34DD7F"/>
    <w:rsid w:val="0D425DFE"/>
    <w:rsid w:val="0D443741"/>
    <w:rsid w:val="0D667590"/>
    <w:rsid w:val="0D73C507"/>
    <w:rsid w:val="0D863098"/>
    <w:rsid w:val="0D9DB17D"/>
    <w:rsid w:val="0DABB622"/>
    <w:rsid w:val="0DC80742"/>
    <w:rsid w:val="0DD1F04D"/>
    <w:rsid w:val="0DE16763"/>
    <w:rsid w:val="0DEB4496"/>
    <w:rsid w:val="0DEC9615"/>
    <w:rsid w:val="0E335B38"/>
    <w:rsid w:val="0E3F5B29"/>
    <w:rsid w:val="0E40EBF0"/>
    <w:rsid w:val="0E54ADEB"/>
    <w:rsid w:val="0E56109B"/>
    <w:rsid w:val="0E5B7642"/>
    <w:rsid w:val="0E657F87"/>
    <w:rsid w:val="0E788930"/>
    <w:rsid w:val="0E7F1B2B"/>
    <w:rsid w:val="0E812B10"/>
    <w:rsid w:val="0E85E81C"/>
    <w:rsid w:val="0E90E404"/>
    <w:rsid w:val="0E918702"/>
    <w:rsid w:val="0E933D57"/>
    <w:rsid w:val="0E9E9EF9"/>
    <w:rsid w:val="0EA4C422"/>
    <w:rsid w:val="0ECB7675"/>
    <w:rsid w:val="0EE6D3DB"/>
    <w:rsid w:val="0EEF7C8C"/>
    <w:rsid w:val="0EF33AEB"/>
    <w:rsid w:val="0EF8E101"/>
    <w:rsid w:val="0F0189ED"/>
    <w:rsid w:val="0F1C8FC0"/>
    <w:rsid w:val="0F4109E1"/>
    <w:rsid w:val="0F43714E"/>
    <w:rsid w:val="0F52F378"/>
    <w:rsid w:val="0F728594"/>
    <w:rsid w:val="0F742826"/>
    <w:rsid w:val="0F9B3F1C"/>
    <w:rsid w:val="0F9CD174"/>
    <w:rsid w:val="0FB03331"/>
    <w:rsid w:val="0FC2180E"/>
    <w:rsid w:val="0FCD0B1C"/>
    <w:rsid w:val="0FCE29F9"/>
    <w:rsid w:val="0FD9E954"/>
    <w:rsid w:val="0FEDB4C1"/>
    <w:rsid w:val="1000022B"/>
    <w:rsid w:val="10011B53"/>
    <w:rsid w:val="100E8897"/>
    <w:rsid w:val="10227850"/>
    <w:rsid w:val="1023267D"/>
    <w:rsid w:val="102D1C52"/>
    <w:rsid w:val="1034B02C"/>
    <w:rsid w:val="1046EA07"/>
    <w:rsid w:val="105B0D64"/>
    <w:rsid w:val="105D5CCC"/>
    <w:rsid w:val="1061602A"/>
    <w:rsid w:val="1070D89E"/>
    <w:rsid w:val="10722091"/>
    <w:rsid w:val="1074A9E2"/>
    <w:rsid w:val="107BF7B4"/>
    <w:rsid w:val="108005DD"/>
    <w:rsid w:val="10816684"/>
    <w:rsid w:val="1085496D"/>
    <w:rsid w:val="108B20C0"/>
    <w:rsid w:val="1097CFB2"/>
    <w:rsid w:val="109E095C"/>
    <w:rsid w:val="10A299C7"/>
    <w:rsid w:val="10A97B66"/>
    <w:rsid w:val="10B99A24"/>
    <w:rsid w:val="10BE042B"/>
    <w:rsid w:val="10C2599C"/>
    <w:rsid w:val="10DC2FC5"/>
    <w:rsid w:val="10DEDAFE"/>
    <w:rsid w:val="1117A8BA"/>
    <w:rsid w:val="111E206A"/>
    <w:rsid w:val="113B1BCE"/>
    <w:rsid w:val="114AA9D6"/>
    <w:rsid w:val="114CDCBA"/>
    <w:rsid w:val="115264BE"/>
    <w:rsid w:val="11579351"/>
    <w:rsid w:val="115AE934"/>
    <w:rsid w:val="11728C30"/>
    <w:rsid w:val="1181168F"/>
    <w:rsid w:val="1182AD7C"/>
    <w:rsid w:val="11868351"/>
    <w:rsid w:val="11A9825C"/>
    <w:rsid w:val="11B66A16"/>
    <w:rsid w:val="11C475A8"/>
    <w:rsid w:val="11DDEAD1"/>
    <w:rsid w:val="11F14A94"/>
    <w:rsid w:val="11F593F0"/>
    <w:rsid w:val="1201550F"/>
    <w:rsid w:val="1205E2F0"/>
    <w:rsid w:val="1207F09F"/>
    <w:rsid w:val="120CC491"/>
    <w:rsid w:val="12150019"/>
    <w:rsid w:val="1234DBA1"/>
    <w:rsid w:val="12507273"/>
    <w:rsid w:val="1287FAC6"/>
    <w:rsid w:val="128FF07A"/>
    <w:rsid w:val="12A4EABB"/>
    <w:rsid w:val="12B01E80"/>
    <w:rsid w:val="12B06C4B"/>
    <w:rsid w:val="12B6EBD2"/>
    <w:rsid w:val="12B766FD"/>
    <w:rsid w:val="12B8A1D9"/>
    <w:rsid w:val="12D0C741"/>
    <w:rsid w:val="12DA6125"/>
    <w:rsid w:val="12EBCADF"/>
    <w:rsid w:val="12F04FBB"/>
    <w:rsid w:val="12F89AD7"/>
    <w:rsid w:val="12F977DA"/>
    <w:rsid w:val="130A0F28"/>
    <w:rsid w:val="130D30F1"/>
    <w:rsid w:val="131CEE61"/>
    <w:rsid w:val="132ECB48"/>
    <w:rsid w:val="132F2EE2"/>
    <w:rsid w:val="1337F815"/>
    <w:rsid w:val="13457DD0"/>
    <w:rsid w:val="13758B46"/>
    <w:rsid w:val="1390288D"/>
    <w:rsid w:val="13945289"/>
    <w:rsid w:val="139A0F22"/>
    <w:rsid w:val="139BCE7D"/>
    <w:rsid w:val="139EF3D8"/>
    <w:rsid w:val="13B26655"/>
    <w:rsid w:val="13B2C515"/>
    <w:rsid w:val="13BF3F18"/>
    <w:rsid w:val="13CC11F4"/>
    <w:rsid w:val="13F1821D"/>
    <w:rsid w:val="1412CA02"/>
    <w:rsid w:val="1418C73C"/>
    <w:rsid w:val="143784C0"/>
    <w:rsid w:val="14468C9C"/>
    <w:rsid w:val="1446FD3F"/>
    <w:rsid w:val="14633DB9"/>
    <w:rsid w:val="14740390"/>
    <w:rsid w:val="148457F8"/>
    <w:rsid w:val="1490B634"/>
    <w:rsid w:val="14933D2C"/>
    <w:rsid w:val="14AA5E45"/>
    <w:rsid w:val="14AD3D16"/>
    <w:rsid w:val="14B1DC2D"/>
    <w:rsid w:val="14BD5DFD"/>
    <w:rsid w:val="14D5BEC5"/>
    <w:rsid w:val="14E85F5C"/>
    <w:rsid w:val="15004645"/>
    <w:rsid w:val="150955FF"/>
    <w:rsid w:val="152195E1"/>
    <w:rsid w:val="152BE2CD"/>
    <w:rsid w:val="15419A46"/>
    <w:rsid w:val="15563B2A"/>
    <w:rsid w:val="1576B48F"/>
    <w:rsid w:val="158CDFC5"/>
    <w:rsid w:val="15A4D109"/>
    <w:rsid w:val="15A5A4D4"/>
    <w:rsid w:val="15B543AE"/>
    <w:rsid w:val="15C61751"/>
    <w:rsid w:val="15F26828"/>
    <w:rsid w:val="15F86EFD"/>
    <w:rsid w:val="15FB39FA"/>
    <w:rsid w:val="1611C56E"/>
    <w:rsid w:val="16127736"/>
    <w:rsid w:val="1618F6B1"/>
    <w:rsid w:val="162B1983"/>
    <w:rsid w:val="162C438E"/>
    <w:rsid w:val="162FB08A"/>
    <w:rsid w:val="163E245B"/>
    <w:rsid w:val="1646F401"/>
    <w:rsid w:val="16488CED"/>
    <w:rsid w:val="1649596B"/>
    <w:rsid w:val="166D1F2F"/>
    <w:rsid w:val="1673F9D7"/>
    <w:rsid w:val="16789EE1"/>
    <w:rsid w:val="167E985F"/>
    <w:rsid w:val="168A10C3"/>
    <w:rsid w:val="169A4EF0"/>
    <w:rsid w:val="169C34B6"/>
    <w:rsid w:val="16B3AD2F"/>
    <w:rsid w:val="16B8D595"/>
    <w:rsid w:val="16DE5906"/>
    <w:rsid w:val="16F759A1"/>
    <w:rsid w:val="16FD9A6E"/>
    <w:rsid w:val="1717CAD1"/>
    <w:rsid w:val="171D89CD"/>
    <w:rsid w:val="172399BA"/>
    <w:rsid w:val="1733C3A5"/>
    <w:rsid w:val="173A2590"/>
    <w:rsid w:val="17461627"/>
    <w:rsid w:val="177DA425"/>
    <w:rsid w:val="177DB085"/>
    <w:rsid w:val="178C02E8"/>
    <w:rsid w:val="179F1697"/>
    <w:rsid w:val="179F3CE0"/>
    <w:rsid w:val="17BE27EF"/>
    <w:rsid w:val="17DDDE30"/>
    <w:rsid w:val="17E8C26F"/>
    <w:rsid w:val="17EC823D"/>
    <w:rsid w:val="17F5E320"/>
    <w:rsid w:val="180B59CC"/>
    <w:rsid w:val="180E9437"/>
    <w:rsid w:val="181C5CE5"/>
    <w:rsid w:val="181EA40E"/>
    <w:rsid w:val="182D5E28"/>
    <w:rsid w:val="183B5047"/>
    <w:rsid w:val="183E227A"/>
    <w:rsid w:val="1857BE75"/>
    <w:rsid w:val="1870BD49"/>
    <w:rsid w:val="18734DD5"/>
    <w:rsid w:val="18745A19"/>
    <w:rsid w:val="187DD30C"/>
    <w:rsid w:val="188449C2"/>
    <w:rsid w:val="18848C55"/>
    <w:rsid w:val="18858EAC"/>
    <w:rsid w:val="1896E61E"/>
    <w:rsid w:val="18A6F44A"/>
    <w:rsid w:val="18B2061C"/>
    <w:rsid w:val="18CE0A35"/>
    <w:rsid w:val="18D0BD43"/>
    <w:rsid w:val="18D33EF1"/>
    <w:rsid w:val="18D44871"/>
    <w:rsid w:val="18D687C9"/>
    <w:rsid w:val="18D7CE31"/>
    <w:rsid w:val="18DA0E76"/>
    <w:rsid w:val="18FF6D90"/>
    <w:rsid w:val="1903B63B"/>
    <w:rsid w:val="190D3020"/>
    <w:rsid w:val="191927C3"/>
    <w:rsid w:val="191BD6B6"/>
    <w:rsid w:val="19296191"/>
    <w:rsid w:val="192B87BD"/>
    <w:rsid w:val="193B1515"/>
    <w:rsid w:val="19441290"/>
    <w:rsid w:val="1944C0BE"/>
    <w:rsid w:val="1963883B"/>
    <w:rsid w:val="19693650"/>
    <w:rsid w:val="196D06B5"/>
    <w:rsid w:val="1971FD26"/>
    <w:rsid w:val="1984EEEF"/>
    <w:rsid w:val="19A0FCF5"/>
    <w:rsid w:val="19B362F3"/>
    <w:rsid w:val="19C59AEC"/>
    <w:rsid w:val="19DB12D3"/>
    <w:rsid w:val="19DF0DFC"/>
    <w:rsid w:val="19E234AF"/>
    <w:rsid w:val="1A026D89"/>
    <w:rsid w:val="1A1A577A"/>
    <w:rsid w:val="1A2104AA"/>
    <w:rsid w:val="1A2A755D"/>
    <w:rsid w:val="1A343104"/>
    <w:rsid w:val="1A49C19C"/>
    <w:rsid w:val="1A5DBF48"/>
    <w:rsid w:val="1A6DCAA5"/>
    <w:rsid w:val="1AB4A14C"/>
    <w:rsid w:val="1ABD0B2D"/>
    <w:rsid w:val="1ADCFA15"/>
    <w:rsid w:val="1AE2C02E"/>
    <w:rsid w:val="1AE6E7E5"/>
    <w:rsid w:val="1AE87FC9"/>
    <w:rsid w:val="1AED38CB"/>
    <w:rsid w:val="1AF1B002"/>
    <w:rsid w:val="1AF49D7A"/>
    <w:rsid w:val="1AF5AEA0"/>
    <w:rsid w:val="1AFB27B7"/>
    <w:rsid w:val="1B31AE78"/>
    <w:rsid w:val="1B3AC5DE"/>
    <w:rsid w:val="1B58ACB2"/>
    <w:rsid w:val="1B65EE16"/>
    <w:rsid w:val="1B8B200F"/>
    <w:rsid w:val="1B9DF8C5"/>
    <w:rsid w:val="1BA80370"/>
    <w:rsid w:val="1BAB15EC"/>
    <w:rsid w:val="1BACC7C0"/>
    <w:rsid w:val="1BC28BC0"/>
    <w:rsid w:val="1BC97BC8"/>
    <w:rsid w:val="1BCF96C7"/>
    <w:rsid w:val="1BE4C9A3"/>
    <w:rsid w:val="1BED7673"/>
    <w:rsid w:val="1BF4A4E6"/>
    <w:rsid w:val="1BF62F89"/>
    <w:rsid w:val="1C366E32"/>
    <w:rsid w:val="1C5C61EF"/>
    <w:rsid w:val="1C6C168E"/>
    <w:rsid w:val="1C83A84C"/>
    <w:rsid w:val="1C882F7C"/>
    <w:rsid w:val="1C89AC0C"/>
    <w:rsid w:val="1CB628D9"/>
    <w:rsid w:val="1CB85FE2"/>
    <w:rsid w:val="1CB937BE"/>
    <w:rsid w:val="1CBBF3EF"/>
    <w:rsid w:val="1CC23E8E"/>
    <w:rsid w:val="1CCD4266"/>
    <w:rsid w:val="1CD9EE35"/>
    <w:rsid w:val="1CF20448"/>
    <w:rsid w:val="1CFD6740"/>
    <w:rsid w:val="1CFFE4D6"/>
    <w:rsid w:val="1D10BFBA"/>
    <w:rsid w:val="1D1BC053"/>
    <w:rsid w:val="1D1C1B8C"/>
    <w:rsid w:val="1D28F21E"/>
    <w:rsid w:val="1D2AFE42"/>
    <w:rsid w:val="1D43F4E4"/>
    <w:rsid w:val="1D4DC905"/>
    <w:rsid w:val="1D55D335"/>
    <w:rsid w:val="1D620042"/>
    <w:rsid w:val="1D6CE054"/>
    <w:rsid w:val="1D71216A"/>
    <w:rsid w:val="1D751208"/>
    <w:rsid w:val="1D89B063"/>
    <w:rsid w:val="1D9BB4FA"/>
    <w:rsid w:val="1DB19AB4"/>
    <w:rsid w:val="1DC70E2E"/>
    <w:rsid w:val="1DCCAB66"/>
    <w:rsid w:val="1DDF76F4"/>
    <w:rsid w:val="1DE11A4F"/>
    <w:rsid w:val="1E023A0E"/>
    <w:rsid w:val="1E09F601"/>
    <w:rsid w:val="1E14F532"/>
    <w:rsid w:val="1E3F7F2F"/>
    <w:rsid w:val="1E42F2FA"/>
    <w:rsid w:val="1E595DA5"/>
    <w:rsid w:val="1E612664"/>
    <w:rsid w:val="1E6501A9"/>
    <w:rsid w:val="1E6D3922"/>
    <w:rsid w:val="1E87905B"/>
    <w:rsid w:val="1E909782"/>
    <w:rsid w:val="1EA4573F"/>
    <w:rsid w:val="1EB7143D"/>
    <w:rsid w:val="1EC9D847"/>
    <w:rsid w:val="1ECD3502"/>
    <w:rsid w:val="1EDDD296"/>
    <w:rsid w:val="1EF19BEE"/>
    <w:rsid w:val="1EF7A484"/>
    <w:rsid w:val="1F38159B"/>
    <w:rsid w:val="1F3F1922"/>
    <w:rsid w:val="1F4765E1"/>
    <w:rsid w:val="1F610628"/>
    <w:rsid w:val="1F9265EA"/>
    <w:rsid w:val="1FBC2653"/>
    <w:rsid w:val="1FC01BFB"/>
    <w:rsid w:val="1FCB921D"/>
    <w:rsid w:val="1FCE3F4C"/>
    <w:rsid w:val="1FD8B2CE"/>
    <w:rsid w:val="1FDDCBBE"/>
    <w:rsid w:val="1FF7FCC4"/>
    <w:rsid w:val="200A159F"/>
    <w:rsid w:val="203A504B"/>
    <w:rsid w:val="203C110C"/>
    <w:rsid w:val="203E7DFA"/>
    <w:rsid w:val="204F0BED"/>
    <w:rsid w:val="2051E546"/>
    <w:rsid w:val="2065481C"/>
    <w:rsid w:val="20A46580"/>
    <w:rsid w:val="20B5E354"/>
    <w:rsid w:val="20B9BBEE"/>
    <w:rsid w:val="20BE2648"/>
    <w:rsid w:val="20C1ED77"/>
    <w:rsid w:val="20D05996"/>
    <w:rsid w:val="20D6F568"/>
    <w:rsid w:val="20E69BB3"/>
    <w:rsid w:val="20EDB9DA"/>
    <w:rsid w:val="20EF3F07"/>
    <w:rsid w:val="20F2D2B3"/>
    <w:rsid w:val="20FA5ADB"/>
    <w:rsid w:val="20FDD59D"/>
    <w:rsid w:val="21047DE4"/>
    <w:rsid w:val="21118F42"/>
    <w:rsid w:val="2117FEA7"/>
    <w:rsid w:val="211A6AE7"/>
    <w:rsid w:val="211A7AE3"/>
    <w:rsid w:val="21297ABC"/>
    <w:rsid w:val="214B4FA3"/>
    <w:rsid w:val="21598ABC"/>
    <w:rsid w:val="215A4B87"/>
    <w:rsid w:val="2163F606"/>
    <w:rsid w:val="217A86F5"/>
    <w:rsid w:val="217E07F0"/>
    <w:rsid w:val="2181E4DA"/>
    <w:rsid w:val="218488A1"/>
    <w:rsid w:val="218ABE5C"/>
    <w:rsid w:val="219A0984"/>
    <w:rsid w:val="21AF5638"/>
    <w:rsid w:val="21B2BFE6"/>
    <w:rsid w:val="21CBF5BB"/>
    <w:rsid w:val="21E15FC2"/>
    <w:rsid w:val="21E29E3F"/>
    <w:rsid w:val="21EBD6BB"/>
    <w:rsid w:val="21F72FB3"/>
    <w:rsid w:val="21FC1604"/>
    <w:rsid w:val="220431CD"/>
    <w:rsid w:val="220963C3"/>
    <w:rsid w:val="220AE7FA"/>
    <w:rsid w:val="221F84B6"/>
    <w:rsid w:val="222CDB07"/>
    <w:rsid w:val="22309CBB"/>
    <w:rsid w:val="22554B36"/>
    <w:rsid w:val="2265B7A5"/>
    <w:rsid w:val="227DF010"/>
    <w:rsid w:val="22B85A1B"/>
    <w:rsid w:val="22D4AC64"/>
    <w:rsid w:val="22D8A609"/>
    <w:rsid w:val="22E6734F"/>
    <w:rsid w:val="23143F9D"/>
    <w:rsid w:val="2315B8D0"/>
    <w:rsid w:val="23197243"/>
    <w:rsid w:val="231B9F33"/>
    <w:rsid w:val="23241E46"/>
    <w:rsid w:val="2330886A"/>
    <w:rsid w:val="235D854B"/>
    <w:rsid w:val="2362FED1"/>
    <w:rsid w:val="23782C20"/>
    <w:rsid w:val="23805416"/>
    <w:rsid w:val="239E08BF"/>
    <w:rsid w:val="23A47B02"/>
    <w:rsid w:val="23B0F567"/>
    <w:rsid w:val="23B87577"/>
    <w:rsid w:val="23BC097E"/>
    <w:rsid w:val="23C7053D"/>
    <w:rsid w:val="23C7CFA7"/>
    <w:rsid w:val="23C81C2D"/>
    <w:rsid w:val="23CA5B1B"/>
    <w:rsid w:val="23CFD687"/>
    <w:rsid w:val="23EF12E4"/>
    <w:rsid w:val="24167B96"/>
    <w:rsid w:val="2418CC73"/>
    <w:rsid w:val="24264EAC"/>
    <w:rsid w:val="243FA246"/>
    <w:rsid w:val="245579A9"/>
    <w:rsid w:val="245D2D26"/>
    <w:rsid w:val="245ECDFE"/>
    <w:rsid w:val="2461BBC4"/>
    <w:rsid w:val="246EBB5C"/>
    <w:rsid w:val="2470D37D"/>
    <w:rsid w:val="2485ADE3"/>
    <w:rsid w:val="248C4250"/>
    <w:rsid w:val="24D9AE39"/>
    <w:rsid w:val="24EF76DC"/>
    <w:rsid w:val="24F21D97"/>
    <w:rsid w:val="24FBA9FA"/>
    <w:rsid w:val="25055BC1"/>
    <w:rsid w:val="250741F7"/>
    <w:rsid w:val="2526095D"/>
    <w:rsid w:val="2533CACD"/>
    <w:rsid w:val="25374715"/>
    <w:rsid w:val="25396F81"/>
    <w:rsid w:val="253A1D47"/>
    <w:rsid w:val="253D2082"/>
    <w:rsid w:val="254B9206"/>
    <w:rsid w:val="255202EF"/>
    <w:rsid w:val="256449BC"/>
    <w:rsid w:val="2594A19F"/>
    <w:rsid w:val="25A51D53"/>
    <w:rsid w:val="25A68538"/>
    <w:rsid w:val="25AEBC2B"/>
    <w:rsid w:val="25BC87F5"/>
    <w:rsid w:val="25BD9D66"/>
    <w:rsid w:val="25D74B1A"/>
    <w:rsid w:val="25EDF9DB"/>
    <w:rsid w:val="261561B9"/>
    <w:rsid w:val="2616D087"/>
    <w:rsid w:val="2617DE98"/>
    <w:rsid w:val="2642681B"/>
    <w:rsid w:val="264686B3"/>
    <w:rsid w:val="2648D033"/>
    <w:rsid w:val="264DE9AA"/>
    <w:rsid w:val="266EA04F"/>
    <w:rsid w:val="267172B8"/>
    <w:rsid w:val="2676C5BA"/>
    <w:rsid w:val="2687C8ED"/>
    <w:rsid w:val="2692CFB3"/>
    <w:rsid w:val="269B6A3F"/>
    <w:rsid w:val="26A4FDF7"/>
    <w:rsid w:val="26B393FA"/>
    <w:rsid w:val="26CB0F9F"/>
    <w:rsid w:val="26D9A4E5"/>
    <w:rsid w:val="26DA61D8"/>
    <w:rsid w:val="26FDA46E"/>
    <w:rsid w:val="2703D25D"/>
    <w:rsid w:val="270ABB10"/>
    <w:rsid w:val="270E5285"/>
    <w:rsid w:val="271D4C9E"/>
    <w:rsid w:val="27206937"/>
    <w:rsid w:val="27299739"/>
    <w:rsid w:val="2731A484"/>
    <w:rsid w:val="273A2A33"/>
    <w:rsid w:val="273C79E3"/>
    <w:rsid w:val="273ECD8E"/>
    <w:rsid w:val="274259D1"/>
    <w:rsid w:val="2752C3A7"/>
    <w:rsid w:val="27699241"/>
    <w:rsid w:val="277503CA"/>
    <w:rsid w:val="277D56E5"/>
    <w:rsid w:val="278584C2"/>
    <w:rsid w:val="2785D5C9"/>
    <w:rsid w:val="27C4DA01"/>
    <w:rsid w:val="27D40A6D"/>
    <w:rsid w:val="27DE7326"/>
    <w:rsid w:val="27E0661B"/>
    <w:rsid w:val="27E34731"/>
    <w:rsid w:val="27EB02CF"/>
    <w:rsid w:val="27FCB4F2"/>
    <w:rsid w:val="27FECB50"/>
    <w:rsid w:val="281E0257"/>
    <w:rsid w:val="2840C714"/>
    <w:rsid w:val="28825B89"/>
    <w:rsid w:val="288347DC"/>
    <w:rsid w:val="28843D33"/>
    <w:rsid w:val="2884C8F7"/>
    <w:rsid w:val="28A21F6B"/>
    <w:rsid w:val="28A65553"/>
    <w:rsid w:val="28ACA4A9"/>
    <w:rsid w:val="28AE3979"/>
    <w:rsid w:val="28B9D2DA"/>
    <w:rsid w:val="28CC5731"/>
    <w:rsid w:val="28D59BB3"/>
    <w:rsid w:val="28DEC0D3"/>
    <w:rsid w:val="28E9F957"/>
    <w:rsid w:val="28F1D201"/>
    <w:rsid w:val="28FD9898"/>
    <w:rsid w:val="29087891"/>
    <w:rsid w:val="290E6C65"/>
    <w:rsid w:val="2918CFDF"/>
    <w:rsid w:val="29277EC6"/>
    <w:rsid w:val="29349219"/>
    <w:rsid w:val="293C8C4D"/>
    <w:rsid w:val="2947CCB9"/>
    <w:rsid w:val="295322C1"/>
    <w:rsid w:val="295A6931"/>
    <w:rsid w:val="29747E86"/>
    <w:rsid w:val="29790DA4"/>
    <w:rsid w:val="2986BC80"/>
    <w:rsid w:val="29881061"/>
    <w:rsid w:val="2993609B"/>
    <w:rsid w:val="29973714"/>
    <w:rsid w:val="299DCB5F"/>
    <w:rsid w:val="29AB6ECB"/>
    <w:rsid w:val="29BBBD38"/>
    <w:rsid w:val="29E30D9E"/>
    <w:rsid w:val="29ED8670"/>
    <w:rsid w:val="29FE6F2A"/>
    <w:rsid w:val="2A1FE85C"/>
    <w:rsid w:val="2A2E9925"/>
    <w:rsid w:val="2A378673"/>
    <w:rsid w:val="2A37F427"/>
    <w:rsid w:val="2A3D487C"/>
    <w:rsid w:val="2A5017E8"/>
    <w:rsid w:val="2A5610EA"/>
    <w:rsid w:val="2A5B7E2E"/>
    <w:rsid w:val="2A73F0FB"/>
    <w:rsid w:val="2A885778"/>
    <w:rsid w:val="2A8940B4"/>
    <w:rsid w:val="2A91E2C4"/>
    <w:rsid w:val="2A9674F6"/>
    <w:rsid w:val="2AA91549"/>
    <w:rsid w:val="2AACA9D5"/>
    <w:rsid w:val="2AB6D471"/>
    <w:rsid w:val="2ABAA51B"/>
    <w:rsid w:val="2ACDBFC1"/>
    <w:rsid w:val="2ADD5653"/>
    <w:rsid w:val="2AEB693C"/>
    <w:rsid w:val="2AEB8C0F"/>
    <w:rsid w:val="2B096BFD"/>
    <w:rsid w:val="2B28246A"/>
    <w:rsid w:val="2B3F5A3E"/>
    <w:rsid w:val="2B44425C"/>
    <w:rsid w:val="2B4DC50A"/>
    <w:rsid w:val="2B50A9B0"/>
    <w:rsid w:val="2B5643C4"/>
    <w:rsid w:val="2B584748"/>
    <w:rsid w:val="2B61E018"/>
    <w:rsid w:val="2B638A85"/>
    <w:rsid w:val="2B6C7887"/>
    <w:rsid w:val="2B706638"/>
    <w:rsid w:val="2B85F460"/>
    <w:rsid w:val="2B936FAA"/>
    <w:rsid w:val="2B941438"/>
    <w:rsid w:val="2BB5247B"/>
    <w:rsid w:val="2BBA0586"/>
    <w:rsid w:val="2BCD92E2"/>
    <w:rsid w:val="2BD19AD6"/>
    <w:rsid w:val="2BD8CE6C"/>
    <w:rsid w:val="2BDA8977"/>
    <w:rsid w:val="2BDD9397"/>
    <w:rsid w:val="2BF2C180"/>
    <w:rsid w:val="2BFC2F2D"/>
    <w:rsid w:val="2C05EB4B"/>
    <w:rsid w:val="2C0CF78C"/>
    <w:rsid w:val="2C19485B"/>
    <w:rsid w:val="2C205082"/>
    <w:rsid w:val="2C236E82"/>
    <w:rsid w:val="2C3057A1"/>
    <w:rsid w:val="2C443E98"/>
    <w:rsid w:val="2C44A577"/>
    <w:rsid w:val="2C45C9E9"/>
    <w:rsid w:val="2C4F4F9B"/>
    <w:rsid w:val="2C630CAA"/>
    <w:rsid w:val="2C83240C"/>
    <w:rsid w:val="2C8693D2"/>
    <w:rsid w:val="2C959EC2"/>
    <w:rsid w:val="2C9E1E88"/>
    <w:rsid w:val="2CB21AE3"/>
    <w:rsid w:val="2CCDE3ED"/>
    <w:rsid w:val="2CE1C2DD"/>
    <w:rsid w:val="2CF7957C"/>
    <w:rsid w:val="2CFD0B4A"/>
    <w:rsid w:val="2D04CC42"/>
    <w:rsid w:val="2D14FEB5"/>
    <w:rsid w:val="2D17302E"/>
    <w:rsid w:val="2D1B79CD"/>
    <w:rsid w:val="2D26A81E"/>
    <w:rsid w:val="2D3415BA"/>
    <w:rsid w:val="2D34D374"/>
    <w:rsid w:val="2D36A06C"/>
    <w:rsid w:val="2D37A115"/>
    <w:rsid w:val="2D3D3FED"/>
    <w:rsid w:val="2D4634CE"/>
    <w:rsid w:val="2D6EFEBB"/>
    <w:rsid w:val="2D7A78A0"/>
    <w:rsid w:val="2D97EAD1"/>
    <w:rsid w:val="2D987A9A"/>
    <w:rsid w:val="2DB29A5D"/>
    <w:rsid w:val="2DD0C175"/>
    <w:rsid w:val="2DDD6F5A"/>
    <w:rsid w:val="2DE4230C"/>
    <w:rsid w:val="2DEF7F8B"/>
    <w:rsid w:val="2DF0621D"/>
    <w:rsid w:val="2DFA4B34"/>
    <w:rsid w:val="2E20A310"/>
    <w:rsid w:val="2E310217"/>
    <w:rsid w:val="2E397D28"/>
    <w:rsid w:val="2E49E68C"/>
    <w:rsid w:val="2E4A2D4F"/>
    <w:rsid w:val="2E533445"/>
    <w:rsid w:val="2E5884FC"/>
    <w:rsid w:val="2E6140C3"/>
    <w:rsid w:val="2E634212"/>
    <w:rsid w:val="2E77835D"/>
    <w:rsid w:val="2E81A8A2"/>
    <w:rsid w:val="2E911CA1"/>
    <w:rsid w:val="2E9A0D2B"/>
    <w:rsid w:val="2E9E18B0"/>
    <w:rsid w:val="2E9F40F2"/>
    <w:rsid w:val="2EB269A3"/>
    <w:rsid w:val="2EC31280"/>
    <w:rsid w:val="2ED9E52C"/>
    <w:rsid w:val="2EDAE3B6"/>
    <w:rsid w:val="2EE3F492"/>
    <w:rsid w:val="2EF46590"/>
    <w:rsid w:val="2EFF14D5"/>
    <w:rsid w:val="2F071C8F"/>
    <w:rsid w:val="2F0B25AA"/>
    <w:rsid w:val="2F0FAF4F"/>
    <w:rsid w:val="2F114257"/>
    <w:rsid w:val="2F2A8E58"/>
    <w:rsid w:val="2F2FF144"/>
    <w:rsid w:val="2F4E727F"/>
    <w:rsid w:val="2F4FD1EA"/>
    <w:rsid w:val="2F676B22"/>
    <w:rsid w:val="2F67F6AE"/>
    <w:rsid w:val="2F6BFB58"/>
    <w:rsid w:val="2F75DD7C"/>
    <w:rsid w:val="2F7C8174"/>
    <w:rsid w:val="2F8336E3"/>
    <w:rsid w:val="2F8B835F"/>
    <w:rsid w:val="2F95453A"/>
    <w:rsid w:val="2FA61F49"/>
    <w:rsid w:val="2FB144B5"/>
    <w:rsid w:val="2FB29495"/>
    <w:rsid w:val="2FB7A780"/>
    <w:rsid w:val="2FC5B156"/>
    <w:rsid w:val="2FDB37CC"/>
    <w:rsid w:val="2FDE9652"/>
    <w:rsid w:val="2FE194AD"/>
    <w:rsid w:val="2FEE0C68"/>
    <w:rsid w:val="2FFBB78E"/>
    <w:rsid w:val="3016F054"/>
    <w:rsid w:val="301755D1"/>
    <w:rsid w:val="301A5C7D"/>
    <w:rsid w:val="302A503C"/>
    <w:rsid w:val="303E79AB"/>
    <w:rsid w:val="3059BC50"/>
    <w:rsid w:val="3068726E"/>
    <w:rsid w:val="307492EF"/>
    <w:rsid w:val="3086E9D9"/>
    <w:rsid w:val="308B3F08"/>
    <w:rsid w:val="308FD3B1"/>
    <w:rsid w:val="309534E3"/>
    <w:rsid w:val="309E75B2"/>
    <w:rsid w:val="309ECA22"/>
    <w:rsid w:val="30BB0746"/>
    <w:rsid w:val="30C35BC1"/>
    <w:rsid w:val="30C92CF2"/>
    <w:rsid w:val="30CD7FDE"/>
    <w:rsid w:val="30DFE961"/>
    <w:rsid w:val="30E14A90"/>
    <w:rsid w:val="31018202"/>
    <w:rsid w:val="3130F74B"/>
    <w:rsid w:val="313A8483"/>
    <w:rsid w:val="3143529A"/>
    <w:rsid w:val="31487273"/>
    <w:rsid w:val="316423C5"/>
    <w:rsid w:val="317D0376"/>
    <w:rsid w:val="318AA312"/>
    <w:rsid w:val="318FFE01"/>
    <w:rsid w:val="31956734"/>
    <w:rsid w:val="3198DEC1"/>
    <w:rsid w:val="31A67A96"/>
    <w:rsid w:val="31C9BBBD"/>
    <w:rsid w:val="31CF13BE"/>
    <w:rsid w:val="31DC4214"/>
    <w:rsid w:val="31EF96F0"/>
    <w:rsid w:val="320635A1"/>
    <w:rsid w:val="320811BA"/>
    <w:rsid w:val="321E9C95"/>
    <w:rsid w:val="32214E12"/>
    <w:rsid w:val="324E0B9E"/>
    <w:rsid w:val="3254F4B0"/>
    <w:rsid w:val="32556729"/>
    <w:rsid w:val="3255E294"/>
    <w:rsid w:val="326CDCFE"/>
    <w:rsid w:val="3275A513"/>
    <w:rsid w:val="3277D1AD"/>
    <w:rsid w:val="3282DAAA"/>
    <w:rsid w:val="3287C1AA"/>
    <w:rsid w:val="329FECB1"/>
    <w:rsid w:val="32AF475E"/>
    <w:rsid w:val="32AFD70B"/>
    <w:rsid w:val="32B3A593"/>
    <w:rsid w:val="32CEB893"/>
    <w:rsid w:val="32DEF91D"/>
    <w:rsid w:val="32E7402F"/>
    <w:rsid w:val="32F217A2"/>
    <w:rsid w:val="3315043A"/>
    <w:rsid w:val="332A4E4F"/>
    <w:rsid w:val="332E2CD1"/>
    <w:rsid w:val="334450A2"/>
    <w:rsid w:val="334A843D"/>
    <w:rsid w:val="335B6C80"/>
    <w:rsid w:val="335C8B69"/>
    <w:rsid w:val="335ECF93"/>
    <w:rsid w:val="33675A5B"/>
    <w:rsid w:val="338BDC8A"/>
    <w:rsid w:val="3390FEDE"/>
    <w:rsid w:val="33AF4C82"/>
    <w:rsid w:val="33C31CE9"/>
    <w:rsid w:val="33C827E4"/>
    <w:rsid w:val="33D04108"/>
    <w:rsid w:val="33D0737C"/>
    <w:rsid w:val="33E08232"/>
    <w:rsid w:val="33EF6FE3"/>
    <w:rsid w:val="33F522F5"/>
    <w:rsid w:val="33F90AC3"/>
    <w:rsid w:val="340B8AB2"/>
    <w:rsid w:val="341268FE"/>
    <w:rsid w:val="3426E027"/>
    <w:rsid w:val="342B2A05"/>
    <w:rsid w:val="3435B58E"/>
    <w:rsid w:val="344B490E"/>
    <w:rsid w:val="34574450"/>
    <w:rsid w:val="347035EE"/>
    <w:rsid w:val="3473B980"/>
    <w:rsid w:val="34755FBA"/>
    <w:rsid w:val="347599FC"/>
    <w:rsid w:val="34787A44"/>
    <w:rsid w:val="348411F0"/>
    <w:rsid w:val="3493EC88"/>
    <w:rsid w:val="34A09D7E"/>
    <w:rsid w:val="34AB2562"/>
    <w:rsid w:val="34B9B659"/>
    <w:rsid w:val="34C38F60"/>
    <w:rsid w:val="34C71446"/>
    <w:rsid w:val="34C851C7"/>
    <w:rsid w:val="34C974C2"/>
    <w:rsid w:val="34E18870"/>
    <w:rsid w:val="34E2ED7D"/>
    <w:rsid w:val="34F42BED"/>
    <w:rsid w:val="3509D7AB"/>
    <w:rsid w:val="350E764A"/>
    <w:rsid w:val="3512BDD6"/>
    <w:rsid w:val="35135788"/>
    <w:rsid w:val="351FE660"/>
    <w:rsid w:val="35207825"/>
    <w:rsid w:val="35464E1D"/>
    <w:rsid w:val="354E61C3"/>
    <w:rsid w:val="355D884C"/>
    <w:rsid w:val="355F7A84"/>
    <w:rsid w:val="356680B6"/>
    <w:rsid w:val="3571ABE5"/>
    <w:rsid w:val="358546BF"/>
    <w:rsid w:val="35855914"/>
    <w:rsid w:val="3587EC03"/>
    <w:rsid w:val="35A553E3"/>
    <w:rsid w:val="35A8C679"/>
    <w:rsid w:val="35AF2000"/>
    <w:rsid w:val="35B1F5D1"/>
    <w:rsid w:val="35B59293"/>
    <w:rsid w:val="35B5DDE9"/>
    <w:rsid w:val="35C6763D"/>
    <w:rsid w:val="35CDF2FE"/>
    <w:rsid w:val="35F8BAEC"/>
    <w:rsid w:val="3604304F"/>
    <w:rsid w:val="362600EB"/>
    <w:rsid w:val="362F5358"/>
    <w:rsid w:val="3632DB0B"/>
    <w:rsid w:val="3637A4AA"/>
    <w:rsid w:val="363D7257"/>
    <w:rsid w:val="3651026E"/>
    <w:rsid w:val="366E57F1"/>
    <w:rsid w:val="36872084"/>
    <w:rsid w:val="36886A04"/>
    <w:rsid w:val="36B661A9"/>
    <w:rsid w:val="36B7E613"/>
    <w:rsid w:val="36C0C907"/>
    <w:rsid w:val="36CA0366"/>
    <w:rsid w:val="36D36D2D"/>
    <w:rsid w:val="36E6716B"/>
    <w:rsid w:val="36F35F6D"/>
    <w:rsid w:val="36F38FC6"/>
    <w:rsid w:val="36F4CD2B"/>
    <w:rsid w:val="36F5187E"/>
    <w:rsid w:val="3700EB23"/>
    <w:rsid w:val="3716EAAD"/>
    <w:rsid w:val="371F040A"/>
    <w:rsid w:val="372E9514"/>
    <w:rsid w:val="3730F29D"/>
    <w:rsid w:val="37350FC4"/>
    <w:rsid w:val="373F4E38"/>
    <w:rsid w:val="37440BD8"/>
    <w:rsid w:val="374A97E3"/>
    <w:rsid w:val="375026E2"/>
    <w:rsid w:val="375F3E88"/>
    <w:rsid w:val="37739DC2"/>
    <w:rsid w:val="377A43C8"/>
    <w:rsid w:val="3785712A"/>
    <w:rsid w:val="37892749"/>
    <w:rsid w:val="37A6FDF5"/>
    <w:rsid w:val="37B69706"/>
    <w:rsid w:val="37C18242"/>
    <w:rsid w:val="37D0B107"/>
    <w:rsid w:val="37DA42FC"/>
    <w:rsid w:val="37EC1455"/>
    <w:rsid w:val="3804DE0E"/>
    <w:rsid w:val="380AD756"/>
    <w:rsid w:val="38164865"/>
    <w:rsid w:val="3817472D"/>
    <w:rsid w:val="381D3313"/>
    <w:rsid w:val="382044C5"/>
    <w:rsid w:val="384C3D2E"/>
    <w:rsid w:val="38569641"/>
    <w:rsid w:val="3857C316"/>
    <w:rsid w:val="3858A6CC"/>
    <w:rsid w:val="38638DB3"/>
    <w:rsid w:val="386ADC03"/>
    <w:rsid w:val="3880D378"/>
    <w:rsid w:val="388293E3"/>
    <w:rsid w:val="38918DEB"/>
    <w:rsid w:val="38A8199C"/>
    <w:rsid w:val="38B5F40E"/>
    <w:rsid w:val="38B8EAA3"/>
    <w:rsid w:val="38D25DC0"/>
    <w:rsid w:val="38F84D55"/>
    <w:rsid w:val="390F0C61"/>
    <w:rsid w:val="39126D6D"/>
    <w:rsid w:val="3914D569"/>
    <w:rsid w:val="392289DD"/>
    <w:rsid w:val="3923E7B9"/>
    <w:rsid w:val="39276F8C"/>
    <w:rsid w:val="39277F8E"/>
    <w:rsid w:val="394594BC"/>
    <w:rsid w:val="39515810"/>
    <w:rsid w:val="396F4667"/>
    <w:rsid w:val="3970D535"/>
    <w:rsid w:val="398E3116"/>
    <w:rsid w:val="399B5447"/>
    <w:rsid w:val="39A542DD"/>
    <w:rsid w:val="39B03463"/>
    <w:rsid w:val="39D4C5BE"/>
    <w:rsid w:val="39E98B00"/>
    <w:rsid w:val="39F6140E"/>
    <w:rsid w:val="3A0F01BD"/>
    <w:rsid w:val="3A18B371"/>
    <w:rsid w:val="3A194664"/>
    <w:rsid w:val="3A24CA00"/>
    <w:rsid w:val="3A27F94D"/>
    <w:rsid w:val="3A3A8981"/>
    <w:rsid w:val="3A537F31"/>
    <w:rsid w:val="3A5DC367"/>
    <w:rsid w:val="3A650A7F"/>
    <w:rsid w:val="3A689535"/>
    <w:rsid w:val="3A77AF68"/>
    <w:rsid w:val="3A7B0C18"/>
    <w:rsid w:val="3A83C5D8"/>
    <w:rsid w:val="3AA32A71"/>
    <w:rsid w:val="3AAABCEF"/>
    <w:rsid w:val="3AAC5B29"/>
    <w:rsid w:val="3ABB855A"/>
    <w:rsid w:val="3ABF5C79"/>
    <w:rsid w:val="3AC89545"/>
    <w:rsid w:val="3ADE960E"/>
    <w:rsid w:val="3AEB8BE1"/>
    <w:rsid w:val="3AED3316"/>
    <w:rsid w:val="3B340DC2"/>
    <w:rsid w:val="3B3F1F73"/>
    <w:rsid w:val="3B674331"/>
    <w:rsid w:val="3B73DECA"/>
    <w:rsid w:val="3B848470"/>
    <w:rsid w:val="3B86462D"/>
    <w:rsid w:val="3B9E51D4"/>
    <w:rsid w:val="3BB4C376"/>
    <w:rsid w:val="3BB80097"/>
    <w:rsid w:val="3BD7F83A"/>
    <w:rsid w:val="3BE84BA3"/>
    <w:rsid w:val="3C0028CF"/>
    <w:rsid w:val="3C142E2E"/>
    <w:rsid w:val="3C17DA97"/>
    <w:rsid w:val="3C18A019"/>
    <w:rsid w:val="3C2686D0"/>
    <w:rsid w:val="3C45951E"/>
    <w:rsid w:val="3C45C7D9"/>
    <w:rsid w:val="3C6D8251"/>
    <w:rsid w:val="3C7C2904"/>
    <w:rsid w:val="3C7E0D2C"/>
    <w:rsid w:val="3C92F21B"/>
    <w:rsid w:val="3C9B8956"/>
    <w:rsid w:val="3CA28CDE"/>
    <w:rsid w:val="3CAA83B4"/>
    <w:rsid w:val="3CBE1854"/>
    <w:rsid w:val="3CC3AFE0"/>
    <w:rsid w:val="3CCB5D48"/>
    <w:rsid w:val="3CE15F70"/>
    <w:rsid w:val="3CEE87ED"/>
    <w:rsid w:val="3CF29CC6"/>
    <w:rsid w:val="3D02ED20"/>
    <w:rsid w:val="3D0AEFE3"/>
    <w:rsid w:val="3D18B1BC"/>
    <w:rsid w:val="3D2DD0FF"/>
    <w:rsid w:val="3D4B4574"/>
    <w:rsid w:val="3D543D87"/>
    <w:rsid w:val="3D6A6AA3"/>
    <w:rsid w:val="3D77494B"/>
    <w:rsid w:val="3D7C77B3"/>
    <w:rsid w:val="3D850485"/>
    <w:rsid w:val="3DA6DD93"/>
    <w:rsid w:val="3DAE9B50"/>
    <w:rsid w:val="3DCE309C"/>
    <w:rsid w:val="3E05D386"/>
    <w:rsid w:val="3E1F6F1F"/>
    <w:rsid w:val="3E4F4CB8"/>
    <w:rsid w:val="3E50E85E"/>
    <w:rsid w:val="3E945597"/>
    <w:rsid w:val="3E9AF850"/>
    <w:rsid w:val="3EA00FA0"/>
    <w:rsid w:val="3EA3C224"/>
    <w:rsid w:val="3EB92E1D"/>
    <w:rsid w:val="3ED04DA8"/>
    <w:rsid w:val="3EDF5285"/>
    <w:rsid w:val="3EE35811"/>
    <w:rsid w:val="3EE89E73"/>
    <w:rsid w:val="3EF41676"/>
    <w:rsid w:val="3EF45198"/>
    <w:rsid w:val="3EFBF732"/>
    <w:rsid w:val="3F127BC5"/>
    <w:rsid w:val="3F147153"/>
    <w:rsid w:val="3F1D3100"/>
    <w:rsid w:val="3F2410BA"/>
    <w:rsid w:val="3F5C484A"/>
    <w:rsid w:val="3F7117C6"/>
    <w:rsid w:val="3F8F9C7E"/>
    <w:rsid w:val="3F9AE56B"/>
    <w:rsid w:val="3FA6C4B1"/>
    <w:rsid w:val="3FC5B763"/>
    <w:rsid w:val="3FDD4DF5"/>
    <w:rsid w:val="3FE39905"/>
    <w:rsid w:val="3FE58C4F"/>
    <w:rsid w:val="3FEEA003"/>
    <w:rsid w:val="3FEFA303"/>
    <w:rsid w:val="3FF7BBC6"/>
    <w:rsid w:val="400B6FD9"/>
    <w:rsid w:val="4011EC0F"/>
    <w:rsid w:val="40142AD2"/>
    <w:rsid w:val="401C4F37"/>
    <w:rsid w:val="40333D5B"/>
    <w:rsid w:val="404171BD"/>
    <w:rsid w:val="405189E4"/>
    <w:rsid w:val="4052619E"/>
    <w:rsid w:val="4061CAB1"/>
    <w:rsid w:val="4065381B"/>
    <w:rsid w:val="407D2631"/>
    <w:rsid w:val="4087B3BA"/>
    <w:rsid w:val="408F3F7D"/>
    <w:rsid w:val="4095B670"/>
    <w:rsid w:val="4098E120"/>
    <w:rsid w:val="40A3F43A"/>
    <w:rsid w:val="40AA76F3"/>
    <w:rsid w:val="40B763E0"/>
    <w:rsid w:val="40B77E04"/>
    <w:rsid w:val="40BD4E88"/>
    <w:rsid w:val="40C2CBA0"/>
    <w:rsid w:val="40C5E638"/>
    <w:rsid w:val="40CA03FE"/>
    <w:rsid w:val="40CADA0E"/>
    <w:rsid w:val="40E0CB1D"/>
    <w:rsid w:val="40E27D52"/>
    <w:rsid w:val="40EC24A5"/>
    <w:rsid w:val="40F52016"/>
    <w:rsid w:val="40FEC24B"/>
    <w:rsid w:val="411077F2"/>
    <w:rsid w:val="41142917"/>
    <w:rsid w:val="411E721C"/>
    <w:rsid w:val="4126275E"/>
    <w:rsid w:val="412D2D21"/>
    <w:rsid w:val="413D008B"/>
    <w:rsid w:val="416B4B33"/>
    <w:rsid w:val="417FABCE"/>
    <w:rsid w:val="418D4A06"/>
    <w:rsid w:val="41A8D5B2"/>
    <w:rsid w:val="41AB8489"/>
    <w:rsid w:val="41D0EE1B"/>
    <w:rsid w:val="41EDF2C2"/>
    <w:rsid w:val="41F18351"/>
    <w:rsid w:val="41F7D9C2"/>
    <w:rsid w:val="4211C925"/>
    <w:rsid w:val="4213D363"/>
    <w:rsid w:val="42296A81"/>
    <w:rsid w:val="42361EEC"/>
    <w:rsid w:val="4238D815"/>
    <w:rsid w:val="423A1D0A"/>
    <w:rsid w:val="423AD5C0"/>
    <w:rsid w:val="425D9726"/>
    <w:rsid w:val="426DE8EA"/>
    <w:rsid w:val="42827539"/>
    <w:rsid w:val="42837041"/>
    <w:rsid w:val="42891151"/>
    <w:rsid w:val="42892729"/>
    <w:rsid w:val="428EEBFE"/>
    <w:rsid w:val="4294726C"/>
    <w:rsid w:val="42AA9B63"/>
    <w:rsid w:val="42AB0F4B"/>
    <w:rsid w:val="42AB7A8E"/>
    <w:rsid w:val="42B4BD9D"/>
    <w:rsid w:val="42BD7BCB"/>
    <w:rsid w:val="42CD9413"/>
    <w:rsid w:val="42CFF228"/>
    <w:rsid w:val="42E06B21"/>
    <w:rsid w:val="42E3036F"/>
    <w:rsid w:val="42EFDD71"/>
    <w:rsid w:val="42F45919"/>
    <w:rsid w:val="42FA0D74"/>
    <w:rsid w:val="42FD26D9"/>
    <w:rsid w:val="4300EE43"/>
    <w:rsid w:val="4307C223"/>
    <w:rsid w:val="4310D907"/>
    <w:rsid w:val="4319E4AB"/>
    <w:rsid w:val="432B9C4A"/>
    <w:rsid w:val="4348D1DD"/>
    <w:rsid w:val="434A9ECC"/>
    <w:rsid w:val="434B6131"/>
    <w:rsid w:val="434D87DD"/>
    <w:rsid w:val="436913DE"/>
    <w:rsid w:val="437D6A1F"/>
    <w:rsid w:val="43A3991B"/>
    <w:rsid w:val="43AEE318"/>
    <w:rsid w:val="43B21D3A"/>
    <w:rsid w:val="43C52579"/>
    <w:rsid w:val="43E7DF5A"/>
    <w:rsid w:val="43F09E81"/>
    <w:rsid w:val="43F5E51B"/>
    <w:rsid w:val="43F65C5C"/>
    <w:rsid w:val="440B03CD"/>
    <w:rsid w:val="44148812"/>
    <w:rsid w:val="4419CC77"/>
    <w:rsid w:val="441DF0AD"/>
    <w:rsid w:val="443D5827"/>
    <w:rsid w:val="444377AE"/>
    <w:rsid w:val="44553975"/>
    <w:rsid w:val="446CB1F7"/>
    <w:rsid w:val="44703CA4"/>
    <w:rsid w:val="44703CAB"/>
    <w:rsid w:val="447C7F8E"/>
    <w:rsid w:val="447DD2DE"/>
    <w:rsid w:val="44832825"/>
    <w:rsid w:val="44A85493"/>
    <w:rsid w:val="44B81AF9"/>
    <w:rsid w:val="44BBAA1B"/>
    <w:rsid w:val="44C93C16"/>
    <w:rsid w:val="44D565CE"/>
    <w:rsid w:val="44DAD9BE"/>
    <w:rsid w:val="44E3E214"/>
    <w:rsid w:val="45063E52"/>
    <w:rsid w:val="450C5FE9"/>
    <w:rsid w:val="450DD9E3"/>
    <w:rsid w:val="451720CB"/>
    <w:rsid w:val="452548DA"/>
    <w:rsid w:val="453653E0"/>
    <w:rsid w:val="453C7A5B"/>
    <w:rsid w:val="45532AC0"/>
    <w:rsid w:val="4555A539"/>
    <w:rsid w:val="455E70EF"/>
    <w:rsid w:val="456B9DAA"/>
    <w:rsid w:val="458FEE96"/>
    <w:rsid w:val="4599E528"/>
    <w:rsid w:val="45AFD637"/>
    <w:rsid w:val="45BDA45F"/>
    <w:rsid w:val="45C0CC45"/>
    <w:rsid w:val="45D0084F"/>
    <w:rsid w:val="45D72738"/>
    <w:rsid w:val="45DA248A"/>
    <w:rsid w:val="45E33239"/>
    <w:rsid w:val="46162FE3"/>
    <w:rsid w:val="4647B18F"/>
    <w:rsid w:val="46514FE6"/>
    <w:rsid w:val="4653C386"/>
    <w:rsid w:val="46691C28"/>
    <w:rsid w:val="4669B54F"/>
    <w:rsid w:val="466A56DF"/>
    <w:rsid w:val="466F3CA7"/>
    <w:rsid w:val="467451D3"/>
    <w:rsid w:val="4696E1E5"/>
    <w:rsid w:val="4697379F"/>
    <w:rsid w:val="469988B1"/>
    <w:rsid w:val="469B60CB"/>
    <w:rsid w:val="46B07BFA"/>
    <w:rsid w:val="46B84060"/>
    <w:rsid w:val="46C9E398"/>
    <w:rsid w:val="46CD84D0"/>
    <w:rsid w:val="46D5EAA2"/>
    <w:rsid w:val="47076FBD"/>
    <w:rsid w:val="47157D99"/>
    <w:rsid w:val="471B26DB"/>
    <w:rsid w:val="4721162F"/>
    <w:rsid w:val="4722B5EA"/>
    <w:rsid w:val="473F9FBB"/>
    <w:rsid w:val="4740AE28"/>
    <w:rsid w:val="474C2C7A"/>
    <w:rsid w:val="4751D057"/>
    <w:rsid w:val="476B14B8"/>
    <w:rsid w:val="4784D391"/>
    <w:rsid w:val="47B9D015"/>
    <w:rsid w:val="47C82C64"/>
    <w:rsid w:val="47CDC631"/>
    <w:rsid w:val="47DFFCD7"/>
    <w:rsid w:val="47E4B023"/>
    <w:rsid w:val="47F111A7"/>
    <w:rsid w:val="47F18A85"/>
    <w:rsid w:val="47F43C5A"/>
    <w:rsid w:val="47F74783"/>
    <w:rsid w:val="47FC1E63"/>
    <w:rsid w:val="482FB3A4"/>
    <w:rsid w:val="485AC84A"/>
    <w:rsid w:val="4877C694"/>
    <w:rsid w:val="488C7A59"/>
    <w:rsid w:val="488D052A"/>
    <w:rsid w:val="4897055E"/>
    <w:rsid w:val="4897815A"/>
    <w:rsid w:val="48AEC221"/>
    <w:rsid w:val="48B18FFD"/>
    <w:rsid w:val="48BA3CAE"/>
    <w:rsid w:val="48BD6803"/>
    <w:rsid w:val="48C02048"/>
    <w:rsid w:val="48C24DD2"/>
    <w:rsid w:val="48C6C545"/>
    <w:rsid w:val="48D4B3C8"/>
    <w:rsid w:val="48F8E331"/>
    <w:rsid w:val="48FAD8BC"/>
    <w:rsid w:val="48FCB4FA"/>
    <w:rsid w:val="48FFF836"/>
    <w:rsid w:val="49130313"/>
    <w:rsid w:val="491CA908"/>
    <w:rsid w:val="491F50A8"/>
    <w:rsid w:val="4932F61A"/>
    <w:rsid w:val="494249AB"/>
    <w:rsid w:val="494E4782"/>
    <w:rsid w:val="494E9AB4"/>
    <w:rsid w:val="494FA350"/>
    <w:rsid w:val="4958B12B"/>
    <w:rsid w:val="496C9DC1"/>
    <w:rsid w:val="49753C8A"/>
    <w:rsid w:val="497B31D0"/>
    <w:rsid w:val="499418E0"/>
    <w:rsid w:val="499AF61B"/>
    <w:rsid w:val="49A2BE8D"/>
    <w:rsid w:val="49AB69B9"/>
    <w:rsid w:val="49B9345E"/>
    <w:rsid w:val="49BCDF29"/>
    <w:rsid w:val="49E1A656"/>
    <w:rsid w:val="49EE364D"/>
    <w:rsid w:val="49F03BCD"/>
    <w:rsid w:val="49FEFF09"/>
    <w:rsid w:val="4A075406"/>
    <w:rsid w:val="4A091291"/>
    <w:rsid w:val="4A25C95E"/>
    <w:rsid w:val="4A2BD917"/>
    <w:rsid w:val="4A32E2CC"/>
    <w:rsid w:val="4A3605AD"/>
    <w:rsid w:val="4A436345"/>
    <w:rsid w:val="4A459377"/>
    <w:rsid w:val="4A526ACC"/>
    <w:rsid w:val="4A5A1AF8"/>
    <w:rsid w:val="4A6C48F1"/>
    <w:rsid w:val="4A8220A4"/>
    <w:rsid w:val="4A8B6113"/>
    <w:rsid w:val="4AB06308"/>
    <w:rsid w:val="4AB69657"/>
    <w:rsid w:val="4ABFA36E"/>
    <w:rsid w:val="4ACD0A38"/>
    <w:rsid w:val="4AD9A0E7"/>
    <w:rsid w:val="4AD9DEBA"/>
    <w:rsid w:val="4ADA502B"/>
    <w:rsid w:val="4AEED2BA"/>
    <w:rsid w:val="4AF73984"/>
    <w:rsid w:val="4AF82504"/>
    <w:rsid w:val="4B14819E"/>
    <w:rsid w:val="4B32A7A7"/>
    <w:rsid w:val="4B453481"/>
    <w:rsid w:val="4B4FB274"/>
    <w:rsid w:val="4B5709C2"/>
    <w:rsid w:val="4B6186C4"/>
    <w:rsid w:val="4B6AA712"/>
    <w:rsid w:val="4B73E331"/>
    <w:rsid w:val="4B8E9B0F"/>
    <w:rsid w:val="4B9951C1"/>
    <w:rsid w:val="4B9A299E"/>
    <w:rsid w:val="4B9DDC6F"/>
    <w:rsid w:val="4BAB2FA5"/>
    <w:rsid w:val="4BADAB30"/>
    <w:rsid w:val="4BAE2C28"/>
    <w:rsid w:val="4BD0AC0C"/>
    <w:rsid w:val="4BE77D4A"/>
    <w:rsid w:val="4BE8813D"/>
    <w:rsid w:val="4BEAFA44"/>
    <w:rsid w:val="4C12EF40"/>
    <w:rsid w:val="4C178C76"/>
    <w:rsid w:val="4C3C49E2"/>
    <w:rsid w:val="4C3E7B25"/>
    <w:rsid w:val="4C40BE2B"/>
    <w:rsid w:val="4C4463E0"/>
    <w:rsid w:val="4C6B0684"/>
    <w:rsid w:val="4C8D2A63"/>
    <w:rsid w:val="4C8DEA6F"/>
    <w:rsid w:val="4CA511B3"/>
    <w:rsid w:val="4CA6AE0D"/>
    <w:rsid w:val="4CAD052E"/>
    <w:rsid w:val="4CC07268"/>
    <w:rsid w:val="4CC5BE94"/>
    <w:rsid w:val="4CC99CC8"/>
    <w:rsid w:val="4CE11290"/>
    <w:rsid w:val="4CE1DA53"/>
    <w:rsid w:val="4CE51C73"/>
    <w:rsid w:val="4D05BB62"/>
    <w:rsid w:val="4D081C47"/>
    <w:rsid w:val="4D08949B"/>
    <w:rsid w:val="4D08A065"/>
    <w:rsid w:val="4D1AAE6A"/>
    <w:rsid w:val="4D2940B3"/>
    <w:rsid w:val="4D3B077E"/>
    <w:rsid w:val="4D3EE9AF"/>
    <w:rsid w:val="4D4C13C8"/>
    <w:rsid w:val="4D78EC14"/>
    <w:rsid w:val="4D87EE0E"/>
    <w:rsid w:val="4D8F9A5D"/>
    <w:rsid w:val="4D9D5F9F"/>
    <w:rsid w:val="4DA015CC"/>
    <w:rsid w:val="4DB41172"/>
    <w:rsid w:val="4DB71623"/>
    <w:rsid w:val="4DC3F026"/>
    <w:rsid w:val="4DC41758"/>
    <w:rsid w:val="4DD7B0AE"/>
    <w:rsid w:val="4DDDDF73"/>
    <w:rsid w:val="4DE2C348"/>
    <w:rsid w:val="4DF1ACBD"/>
    <w:rsid w:val="4E07450A"/>
    <w:rsid w:val="4E0E510E"/>
    <w:rsid w:val="4E18F59F"/>
    <w:rsid w:val="4E1AAEDF"/>
    <w:rsid w:val="4E1CEEE6"/>
    <w:rsid w:val="4E20C5A5"/>
    <w:rsid w:val="4E2C53D7"/>
    <w:rsid w:val="4E490E14"/>
    <w:rsid w:val="4E4C5436"/>
    <w:rsid w:val="4E5CFDE3"/>
    <w:rsid w:val="4E5D20FA"/>
    <w:rsid w:val="4E75D5CE"/>
    <w:rsid w:val="4E766945"/>
    <w:rsid w:val="4E98842C"/>
    <w:rsid w:val="4EA7C796"/>
    <w:rsid w:val="4EAAA49E"/>
    <w:rsid w:val="4ED6C1E0"/>
    <w:rsid w:val="4EDD5D79"/>
    <w:rsid w:val="4EE7170E"/>
    <w:rsid w:val="4EEE9362"/>
    <w:rsid w:val="4F5DB230"/>
    <w:rsid w:val="4F82A470"/>
    <w:rsid w:val="4F849BB8"/>
    <w:rsid w:val="4FA7D5E6"/>
    <w:rsid w:val="4FCA339F"/>
    <w:rsid w:val="4FCEAD64"/>
    <w:rsid w:val="4FD3635F"/>
    <w:rsid w:val="4FEA2779"/>
    <w:rsid w:val="4FEEEBFC"/>
    <w:rsid w:val="4FF9A7D8"/>
    <w:rsid w:val="4FFB0261"/>
    <w:rsid w:val="500FB1E8"/>
    <w:rsid w:val="5011E5EF"/>
    <w:rsid w:val="5038C965"/>
    <w:rsid w:val="503E91DD"/>
    <w:rsid w:val="504208DB"/>
    <w:rsid w:val="504BC452"/>
    <w:rsid w:val="505FDD08"/>
    <w:rsid w:val="506B8AA4"/>
    <w:rsid w:val="5081D883"/>
    <w:rsid w:val="50837DBF"/>
    <w:rsid w:val="508EF0EC"/>
    <w:rsid w:val="509B7325"/>
    <w:rsid w:val="50BE2934"/>
    <w:rsid w:val="50BE2CD9"/>
    <w:rsid w:val="50CB8034"/>
    <w:rsid w:val="50CB988B"/>
    <w:rsid w:val="50D156C9"/>
    <w:rsid w:val="50D1E36E"/>
    <w:rsid w:val="50DAB619"/>
    <w:rsid w:val="50DB0676"/>
    <w:rsid w:val="50FB8A08"/>
    <w:rsid w:val="51007ED5"/>
    <w:rsid w:val="51188E4A"/>
    <w:rsid w:val="5137D66B"/>
    <w:rsid w:val="51399CC0"/>
    <w:rsid w:val="513CA81E"/>
    <w:rsid w:val="514557E9"/>
    <w:rsid w:val="514A35EF"/>
    <w:rsid w:val="5161B47A"/>
    <w:rsid w:val="51623B15"/>
    <w:rsid w:val="5171611C"/>
    <w:rsid w:val="517A2F82"/>
    <w:rsid w:val="517CDD97"/>
    <w:rsid w:val="517D9B3B"/>
    <w:rsid w:val="51830172"/>
    <w:rsid w:val="51886D20"/>
    <w:rsid w:val="518CA37D"/>
    <w:rsid w:val="519955B5"/>
    <w:rsid w:val="519BEA5E"/>
    <w:rsid w:val="51BC2FE0"/>
    <w:rsid w:val="51C5640B"/>
    <w:rsid w:val="51C7ED74"/>
    <w:rsid w:val="51CA6645"/>
    <w:rsid w:val="51DA17BE"/>
    <w:rsid w:val="51E4C430"/>
    <w:rsid w:val="51F53DBE"/>
    <w:rsid w:val="52105BF1"/>
    <w:rsid w:val="521399DD"/>
    <w:rsid w:val="52299C5D"/>
    <w:rsid w:val="52344810"/>
    <w:rsid w:val="5240BE69"/>
    <w:rsid w:val="52528AD2"/>
    <w:rsid w:val="525475B2"/>
    <w:rsid w:val="5255D890"/>
    <w:rsid w:val="526CC4FB"/>
    <w:rsid w:val="5280B94B"/>
    <w:rsid w:val="5280EB06"/>
    <w:rsid w:val="52A1834C"/>
    <w:rsid w:val="52A33295"/>
    <w:rsid w:val="52B01EFA"/>
    <w:rsid w:val="52C0F13B"/>
    <w:rsid w:val="52C614DE"/>
    <w:rsid w:val="52D2954F"/>
    <w:rsid w:val="52DDC749"/>
    <w:rsid w:val="52EAD136"/>
    <w:rsid w:val="532E480A"/>
    <w:rsid w:val="53554BD2"/>
    <w:rsid w:val="538462CE"/>
    <w:rsid w:val="5389F5DE"/>
    <w:rsid w:val="5391C3AC"/>
    <w:rsid w:val="53C06B8D"/>
    <w:rsid w:val="53CB3973"/>
    <w:rsid w:val="53D64A75"/>
    <w:rsid w:val="53D7F3E9"/>
    <w:rsid w:val="53F9F109"/>
    <w:rsid w:val="5400D93E"/>
    <w:rsid w:val="5407565F"/>
    <w:rsid w:val="5419A838"/>
    <w:rsid w:val="542CD0D5"/>
    <w:rsid w:val="54430DFA"/>
    <w:rsid w:val="5444BFAE"/>
    <w:rsid w:val="54541B52"/>
    <w:rsid w:val="547257FB"/>
    <w:rsid w:val="548030DA"/>
    <w:rsid w:val="54805321"/>
    <w:rsid w:val="5482D399"/>
    <w:rsid w:val="548E5081"/>
    <w:rsid w:val="5491DA2B"/>
    <w:rsid w:val="54A711D9"/>
    <w:rsid w:val="54AE4668"/>
    <w:rsid w:val="54B96E80"/>
    <w:rsid w:val="54C1BC0D"/>
    <w:rsid w:val="54D9DC04"/>
    <w:rsid w:val="54F04875"/>
    <w:rsid w:val="54FF78C5"/>
    <w:rsid w:val="55026557"/>
    <w:rsid w:val="5517C0B0"/>
    <w:rsid w:val="5545B9FE"/>
    <w:rsid w:val="5555833B"/>
    <w:rsid w:val="55597472"/>
    <w:rsid w:val="555F4AE3"/>
    <w:rsid w:val="55791A28"/>
    <w:rsid w:val="557E0923"/>
    <w:rsid w:val="5596E6E6"/>
    <w:rsid w:val="55A22E43"/>
    <w:rsid w:val="55A59AEB"/>
    <w:rsid w:val="55A6E6A2"/>
    <w:rsid w:val="55AE883F"/>
    <w:rsid w:val="55AFA443"/>
    <w:rsid w:val="55B8D146"/>
    <w:rsid w:val="55BC1B56"/>
    <w:rsid w:val="55BE34A0"/>
    <w:rsid w:val="55C5B330"/>
    <w:rsid w:val="55D1305D"/>
    <w:rsid w:val="55DE77EC"/>
    <w:rsid w:val="55F195AE"/>
    <w:rsid w:val="56040B86"/>
    <w:rsid w:val="561C1EB2"/>
    <w:rsid w:val="5625D2C6"/>
    <w:rsid w:val="562FDF25"/>
    <w:rsid w:val="56304AB7"/>
    <w:rsid w:val="5653F394"/>
    <w:rsid w:val="566BC011"/>
    <w:rsid w:val="5676E049"/>
    <w:rsid w:val="567ADE79"/>
    <w:rsid w:val="567CD72D"/>
    <w:rsid w:val="5683EB8A"/>
    <w:rsid w:val="568C418F"/>
    <w:rsid w:val="568C45DF"/>
    <w:rsid w:val="5699BEA1"/>
    <w:rsid w:val="569DAB2A"/>
    <w:rsid w:val="56A7EC0B"/>
    <w:rsid w:val="56DB012C"/>
    <w:rsid w:val="56E277FD"/>
    <w:rsid w:val="56EB022F"/>
    <w:rsid w:val="570A3FD8"/>
    <w:rsid w:val="570A8D18"/>
    <w:rsid w:val="57129CE3"/>
    <w:rsid w:val="572138E1"/>
    <w:rsid w:val="5722E8B5"/>
    <w:rsid w:val="57349D55"/>
    <w:rsid w:val="57375415"/>
    <w:rsid w:val="574219FB"/>
    <w:rsid w:val="5759D878"/>
    <w:rsid w:val="57607C69"/>
    <w:rsid w:val="57744A80"/>
    <w:rsid w:val="5777DA9A"/>
    <w:rsid w:val="57804911"/>
    <w:rsid w:val="578D1E6A"/>
    <w:rsid w:val="579C1B6F"/>
    <w:rsid w:val="57AF1550"/>
    <w:rsid w:val="57B86B98"/>
    <w:rsid w:val="57B9E414"/>
    <w:rsid w:val="57DD52D4"/>
    <w:rsid w:val="57F7191F"/>
    <w:rsid w:val="580ED1F3"/>
    <w:rsid w:val="581106ED"/>
    <w:rsid w:val="58148470"/>
    <w:rsid w:val="581F2CF0"/>
    <w:rsid w:val="582C47F4"/>
    <w:rsid w:val="58325B8E"/>
    <w:rsid w:val="583C2376"/>
    <w:rsid w:val="58516677"/>
    <w:rsid w:val="585404FA"/>
    <w:rsid w:val="58693BC0"/>
    <w:rsid w:val="58725DA4"/>
    <w:rsid w:val="5877D4A4"/>
    <w:rsid w:val="587D79E7"/>
    <w:rsid w:val="588CE646"/>
    <w:rsid w:val="58939B56"/>
    <w:rsid w:val="58A0F40A"/>
    <w:rsid w:val="58A7B238"/>
    <w:rsid w:val="58AF9235"/>
    <w:rsid w:val="58B5F2D2"/>
    <w:rsid w:val="58CB1639"/>
    <w:rsid w:val="58DCAE6B"/>
    <w:rsid w:val="5910280B"/>
    <w:rsid w:val="591651A5"/>
    <w:rsid w:val="592B5382"/>
    <w:rsid w:val="59476300"/>
    <w:rsid w:val="59552FF1"/>
    <w:rsid w:val="59662B91"/>
    <w:rsid w:val="59667910"/>
    <w:rsid w:val="596E617A"/>
    <w:rsid w:val="5975E592"/>
    <w:rsid w:val="59832D6A"/>
    <w:rsid w:val="59CDE9FE"/>
    <w:rsid w:val="59D6B865"/>
    <w:rsid w:val="59FCD104"/>
    <w:rsid w:val="5A030432"/>
    <w:rsid w:val="5A2104AD"/>
    <w:rsid w:val="5A2C3D8D"/>
    <w:rsid w:val="5A3EB6AD"/>
    <w:rsid w:val="5A464507"/>
    <w:rsid w:val="5A4B736A"/>
    <w:rsid w:val="5A51D1DD"/>
    <w:rsid w:val="5A54AE89"/>
    <w:rsid w:val="5A5529EF"/>
    <w:rsid w:val="5A5931A6"/>
    <w:rsid w:val="5A59AC1C"/>
    <w:rsid w:val="5A6912C8"/>
    <w:rsid w:val="5A6A646E"/>
    <w:rsid w:val="5A900355"/>
    <w:rsid w:val="5A903DA5"/>
    <w:rsid w:val="5A924883"/>
    <w:rsid w:val="5A930D02"/>
    <w:rsid w:val="5ABD1035"/>
    <w:rsid w:val="5ABEEB20"/>
    <w:rsid w:val="5ADD68EC"/>
    <w:rsid w:val="5AE13849"/>
    <w:rsid w:val="5AE8E3F8"/>
    <w:rsid w:val="5AEEC6B0"/>
    <w:rsid w:val="5AF890DB"/>
    <w:rsid w:val="5B0E7DA4"/>
    <w:rsid w:val="5B1725D7"/>
    <w:rsid w:val="5B1C989C"/>
    <w:rsid w:val="5B2DE8BE"/>
    <w:rsid w:val="5B306A70"/>
    <w:rsid w:val="5B323DC9"/>
    <w:rsid w:val="5B3680BA"/>
    <w:rsid w:val="5B394500"/>
    <w:rsid w:val="5B3B0ADA"/>
    <w:rsid w:val="5B597DAC"/>
    <w:rsid w:val="5B625BBB"/>
    <w:rsid w:val="5B64DC76"/>
    <w:rsid w:val="5B67515A"/>
    <w:rsid w:val="5B779A1E"/>
    <w:rsid w:val="5B8773F8"/>
    <w:rsid w:val="5BA72E17"/>
    <w:rsid w:val="5BBA6FCA"/>
    <w:rsid w:val="5BC64078"/>
    <w:rsid w:val="5BC74DFE"/>
    <w:rsid w:val="5BD6348C"/>
    <w:rsid w:val="5BF235E8"/>
    <w:rsid w:val="5BFB045C"/>
    <w:rsid w:val="5C030E2B"/>
    <w:rsid w:val="5C0B23C8"/>
    <w:rsid w:val="5C0F06C4"/>
    <w:rsid w:val="5C100A3D"/>
    <w:rsid w:val="5C10C62C"/>
    <w:rsid w:val="5C270126"/>
    <w:rsid w:val="5C291076"/>
    <w:rsid w:val="5C397B03"/>
    <w:rsid w:val="5C45DE02"/>
    <w:rsid w:val="5C59CBF8"/>
    <w:rsid w:val="5C5A293C"/>
    <w:rsid w:val="5C64CAD9"/>
    <w:rsid w:val="5C6A0887"/>
    <w:rsid w:val="5C6B11B9"/>
    <w:rsid w:val="5C933D01"/>
    <w:rsid w:val="5C9B69F7"/>
    <w:rsid w:val="5CA1ADAE"/>
    <w:rsid w:val="5CA886B2"/>
    <w:rsid w:val="5CCCC5C3"/>
    <w:rsid w:val="5CD335FA"/>
    <w:rsid w:val="5CD8B109"/>
    <w:rsid w:val="5CDE78FB"/>
    <w:rsid w:val="5CF19E6F"/>
    <w:rsid w:val="5D1239C1"/>
    <w:rsid w:val="5D125644"/>
    <w:rsid w:val="5D1F2C7A"/>
    <w:rsid w:val="5D242345"/>
    <w:rsid w:val="5D3A7FCA"/>
    <w:rsid w:val="5D444603"/>
    <w:rsid w:val="5D5EBF82"/>
    <w:rsid w:val="5D608B15"/>
    <w:rsid w:val="5D617E4A"/>
    <w:rsid w:val="5D6D5D7D"/>
    <w:rsid w:val="5D72AD22"/>
    <w:rsid w:val="5D75866E"/>
    <w:rsid w:val="5D7B9365"/>
    <w:rsid w:val="5D7E2DF6"/>
    <w:rsid w:val="5D80E8D3"/>
    <w:rsid w:val="5D96DAF3"/>
    <w:rsid w:val="5D9F52EC"/>
    <w:rsid w:val="5DB49F1F"/>
    <w:rsid w:val="5DC3243E"/>
    <w:rsid w:val="5DE38CCC"/>
    <w:rsid w:val="5DF187DC"/>
    <w:rsid w:val="5DF208DB"/>
    <w:rsid w:val="5E004CC7"/>
    <w:rsid w:val="5E04F431"/>
    <w:rsid w:val="5E0AA052"/>
    <w:rsid w:val="5E134F08"/>
    <w:rsid w:val="5E2192A8"/>
    <w:rsid w:val="5E22867D"/>
    <w:rsid w:val="5E32B2A8"/>
    <w:rsid w:val="5E359669"/>
    <w:rsid w:val="5E36B5BF"/>
    <w:rsid w:val="5E4DAC98"/>
    <w:rsid w:val="5E51F0B2"/>
    <w:rsid w:val="5E56107E"/>
    <w:rsid w:val="5E59B564"/>
    <w:rsid w:val="5E6036C6"/>
    <w:rsid w:val="5E62E96E"/>
    <w:rsid w:val="5E7EA6B5"/>
    <w:rsid w:val="5E82965C"/>
    <w:rsid w:val="5E95A7C5"/>
    <w:rsid w:val="5E96F98A"/>
    <w:rsid w:val="5E9BB77D"/>
    <w:rsid w:val="5EA10B88"/>
    <w:rsid w:val="5EAEE5FA"/>
    <w:rsid w:val="5EB066EC"/>
    <w:rsid w:val="5EB6FFD4"/>
    <w:rsid w:val="5EC812B1"/>
    <w:rsid w:val="5ECA9EC4"/>
    <w:rsid w:val="5ECC1EA8"/>
    <w:rsid w:val="5ED4A319"/>
    <w:rsid w:val="5EEF0996"/>
    <w:rsid w:val="5EEF81C4"/>
    <w:rsid w:val="5EF35D5A"/>
    <w:rsid w:val="5EF6D9E5"/>
    <w:rsid w:val="5F00454A"/>
    <w:rsid w:val="5F22C9A5"/>
    <w:rsid w:val="5F29FD26"/>
    <w:rsid w:val="5F44A569"/>
    <w:rsid w:val="5F516D8B"/>
    <w:rsid w:val="5F57D4D9"/>
    <w:rsid w:val="5F5D034A"/>
    <w:rsid w:val="5F68230F"/>
    <w:rsid w:val="5F7E14A9"/>
    <w:rsid w:val="5F7FCD79"/>
    <w:rsid w:val="5F82939A"/>
    <w:rsid w:val="5F8A950D"/>
    <w:rsid w:val="5F8ABB0C"/>
    <w:rsid w:val="5F904348"/>
    <w:rsid w:val="5FA23009"/>
    <w:rsid w:val="5FA5B4EB"/>
    <w:rsid w:val="5FC8014C"/>
    <w:rsid w:val="5FCCFD57"/>
    <w:rsid w:val="5FD30FE5"/>
    <w:rsid w:val="5FDAA3D8"/>
    <w:rsid w:val="5FFD354A"/>
    <w:rsid w:val="60011932"/>
    <w:rsid w:val="60118434"/>
    <w:rsid w:val="60251647"/>
    <w:rsid w:val="6027F321"/>
    <w:rsid w:val="604E3A79"/>
    <w:rsid w:val="6057165D"/>
    <w:rsid w:val="605F9E8C"/>
    <w:rsid w:val="6069D488"/>
    <w:rsid w:val="60826AFE"/>
    <w:rsid w:val="6084630D"/>
    <w:rsid w:val="6091C9E6"/>
    <w:rsid w:val="60A48A2F"/>
    <w:rsid w:val="60ADC8FF"/>
    <w:rsid w:val="60CC130A"/>
    <w:rsid w:val="60F5BB41"/>
    <w:rsid w:val="60FDDD0D"/>
    <w:rsid w:val="610DAA84"/>
    <w:rsid w:val="6115AE70"/>
    <w:rsid w:val="611CDAC0"/>
    <w:rsid w:val="61362540"/>
    <w:rsid w:val="6140E243"/>
    <w:rsid w:val="61554B62"/>
    <w:rsid w:val="61597BE7"/>
    <w:rsid w:val="615D7C28"/>
    <w:rsid w:val="61753D4C"/>
    <w:rsid w:val="61779366"/>
    <w:rsid w:val="617F7E89"/>
    <w:rsid w:val="6182D369"/>
    <w:rsid w:val="618F7B60"/>
    <w:rsid w:val="61958E5B"/>
    <w:rsid w:val="619E0DA1"/>
    <w:rsid w:val="61A2BCB8"/>
    <w:rsid w:val="61AB87E4"/>
    <w:rsid w:val="61D58FB9"/>
    <w:rsid w:val="61DB847F"/>
    <w:rsid w:val="61EE90B9"/>
    <w:rsid w:val="61EFCA0A"/>
    <w:rsid w:val="61F0D6A8"/>
    <w:rsid w:val="621FC6C9"/>
    <w:rsid w:val="622E9E43"/>
    <w:rsid w:val="6237D27D"/>
    <w:rsid w:val="62385864"/>
    <w:rsid w:val="623CA230"/>
    <w:rsid w:val="624F6C2B"/>
    <w:rsid w:val="62589021"/>
    <w:rsid w:val="625A5FE0"/>
    <w:rsid w:val="625E0BD1"/>
    <w:rsid w:val="6267A180"/>
    <w:rsid w:val="6281D45C"/>
    <w:rsid w:val="628F3423"/>
    <w:rsid w:val="629259F0"/>
    <w:rsid w:val="6299BC16"/>
    <w:rsid w:val="62A11665"/>
    <w:rsid w:val="62A25834"/>
    <w:rsid w:val="62AFCD09"/>
    <w:rsid w:val="62B1B54F"/>
    <w:rsid w:val="62B4AEF5"/>
    <w:rsid w:val="62C04A74"/>
    <w:rsid w:val="62C5F8E5"/>
    <w:rsid w:val="62CE767C"/>
    <w:rsid w:val="62D407F4"/>
    <w:rsid w:val="62D84CF6"/>
    <w:rsid w:val="62E31775"/>
    <w:rsid w:val="630B711B"/>
    <w:rsid w:val="630D7C00"/>
    <w:rsid w:val="63399637"/>
    <w:rsid w:val="6343845C"/>
    <w:rsid w:val="63468099"/>
    <w:rsid w:val="63517B9A"/>
    <w:rsid w:val="6353057C"/>
    <w:rsid w:val="6355BF79"/>
    <w:rsid w:val="635B86E1"/>
    <w:rsid w:val="635EA527"/>
    <w:rsid w:val="635F1711"/>
    <w:rsid w:val="6367EFED"/>
    <w:rsid w:val="63698DF8"/>
    <w:rsid w:val="6371CBDB"/>
    <w:rsid w:val="6375BA4C"/>
    <w:rsid w:val="637A2727"/>
    <w:rsid w:val="63825280"/>
    <w:rsid w:val="6393881A"/>
    <w:rsid w:val="6399869E"/>
    <w:rsid w:val="639B5BD3"/>
    <w:rsid w:val="63A1A258"/>
    <w:rsid w:val="63A74CF9"/>
    <w:rsid w:val="63AA06BB"/>
    <w:rsid w:val="63C0B3DE"/>
    <w:rsid w:val="63C7BC10"/>
    <w:rsid w:val="63D5C316"/>
    <w:rsid w:val="63D68F5E"/>
    <w:rsid w:val="63D77453"/>
    <w:rsid w:val="63E28A77"/>
    <w:rsid w:val="63E9655D"/>
    <w:rsid w:val="6404629B"/>
    <w:rsid w:val="641545B2"/>
    <w:rsid w:val="64199FE0"/>
    <w:rsid w:val="64254F08"/>
    <w:rsid w:val="6425ABEC"/>
    <w:rsid w:val="6426AE33"/>
    <w:rsid w:val="6447858D"/>
    <w:rsid w:val="646C8BFD"/>
    <w:rsid w:val="646CEA16"/>
    <w:rsid w:val="647714D7"/>
    <w:rsid w:val="647B0264"/>
    <w:rsid w:val="64897A98"/>
    <w:rsid w:val="648EE4ED"/>
    <w:rsid w:val="6494CC31"/>
    <w:rsid w:val="64AADAEE"/>
    <w:rsid w:val="64AE2112"/>
    <w:rsid w:val="64AE9E36"/>
    <w:rsid w:val="64B0B3FA"/>
    <w:rsid w:val="64B590FA"/>
    <w:rsid w:val="64BF4D6C"/>
    <w:rsid w:val="64C21817"/>
    <w:rsid w:val="64D3CDDD"/>
    <w:rsid w:val="64E344F1"/>
    <w:rsid w:val="64F6212D"/>
    <w:rsid w:val="64FEC80A"/>
    <w:rsid w:val="6501C6AA"/>
    <w:rsid w:val="6509B86E"/>
    <w:rsid w:val="65198C6A"/>
    <w:rsid w:val="651F52BA"/>
    <w:rsid w:val="6520A698"/>
    <w:rsid w:val="65236B7A"/>
    <w:rsid w:val="65258BD3"/>
    <w:rsid w:val="6529C14C"/>
    <w:rsid w:val="652D5FCD"/>
    <w:rsid w:val="6531418E"/>
    <w:rsid w:val="653C97AE"/>
    <w:rsid w:val="655836C3"/>
    <w:rsid w:val="6570354B"/>
    <w:rsid w:val="657C05CB"/>
    <w:rsid w:val="657E1DBC"/>
    <w:rsid w:val="659222B3"/>
    <w:rsid w:val="6594DE15"/>
    <w:rsid w:val="65AA463A"/>
    <w:rsid w:val="65B5EABB"/>
    <w:rsid w:val="65C0ACD9"/>
    <w:rsid w:val="65CDA527"/>
    <w:rsid w:val="65DEFB3D"/>
    <w:rsid w:val="65E5F576"/>
    <w:rsid w:val="65EE0A5C"/>
    <w:rsid w:val="65F42498"/>
    <w:rsid w:val="660256B9"/>
    <w:rsid w:val="6667830F"/>
    <w:rsid w:val="666CC7E8"/>
    <w:rsid w:val="668214A8"/>
    <w:rsid w:val="668C7CC8"/>
    <w:rsid w:val="6690833C"/>
    <w:rsid w:val="66A9E6E3"/>
    <w:rsid w:val="66C3094E"/>
    <w:rsid w:val="66C5D074"/>
    <w:rsid w:val="66C69258"/>
    <w:rsid w:val="66CBBC5B"/>
    <w:rsid w:val="66CF602F"/>
    <w:rsid w:val="66DC1DE3"/>
    <w:rsid w:val="66E95F70"/>
    <w:rsid w:val="66F16924"/>
    <w:rsid w:val="671786AF"/>
    <w:rsid w:val="673B70C8"/>
    <w:rsid w:val="67531FE3"/>
    <w:rsid w:val="67606FBA"/>
    <w:rsid w:val="6760E397"/>
    <w:rsid w:val="6767DFD6"/>
    <w:rsid w:val="67783943"/>
    <w:rsid w:val="67786918"/>
    <w:rsid w:val="677909DC"/>
    <w:rsid w:val="678E2847"/>
    <w:rsid w:val="67909C25"/>
    <w:rsid w:val="6795AD74"/>
    <w:rsid w:val="679CD64A"/>
    <w:rsid w:val="67A2EB93"/>
    <w:rsid w:val="67A7A895"/>
    <w:rsid w:val="67AF4709"/>
    <w:rsid w:val="67AFEB51"/>
    <w:rsid w:val="67B2AB95"/>
    <w:rsid w:val="67CECCAE"/>
    <w:rsid w:val="67D7FCCF"/>
    <w:rsid w:val="67DE7D90"/>
    <w:rsid w:val="67F75ACD"/>
    <w:rsid w:val="680646D4"/>
    <w:rsid w:val="6811F4AD"/>
    <w:rsid w:val="6838854C"/>
    <w:rsid w:val="6847ABD2"/>
    <w:rsid w:val="6867FBAC"/>
    <w:rsid w:val="687EDC73"/>
    <w:rsid w:val="68972A5E"/>
    <w:rsid w:val="68AA0986"/>
    <w:rsid w:val="68C9D0FC"/>
    <w:rsid w:val="68DAE4E5"/>
    <w:rsid w:val="68EE2031"/>
    <w:rsid w:val="68F5A6C9"/>
    <w:rsid w:val="68F666F9"/>
    <w:rsid w:val="68F7D7A2"/>
    <w:rsid w:val="68FCC199"/>
    <w:rsid w:val="6900DDF5"/>
    <w:rsid w:val="690253BC"/>
    <w:rsid w:val="6906F723"/>
    <w:rsid w:val="690C5BD0"/>
    <w:rsid w:val="691CE0DD"/>
    <w:rsid w:val="6933315A"/>
    <w:rsid w:val="693858BA"/>
    <w:rsid w:val="693E07CA"/>
    <w:rsid w:val="6960D89E"/>
    <w:rsid w:val="6963B306"/>
    <w:rsid w:val="697ADF6B"/>
    <w:rsid w:val="698199C9"/>
    <w:rsid w:val="69843F57"/>
    <w:rsid w:val="69863A93"/>
    <w:rsid w:val="698690AD"/>
    <w:rsid w:val="699387E0"/>
    <w:rsid w:val="69C360BE"/>
    <w:rsid w:val="69F1C4D6"/>
    <w:rsid w:val="6A0A3D9C"/>
    <w:rsid w:val="6A0D406D"/>
    <w:rsid w:val="6A0FDB16"/>
    <w:rsid w:val="6A13A3F9"/>
    <w:rsid w:val="6A1B7415"/>
    <w:rsid w:val="6A1C2282"/>
    <w:rsid w:val="6A1EBC7D"/>
    <w:rsid w:val="6A3111E1"/>
    <w:rsid w:val="6A3549A0"/>
    <w:rsid w:val="6A3888FD"/>
    <w:rsid w:val="6A6EFDBD"/>
    <w:rsid w:val="6A78A773"/>
    <w:rsid w:val="6A9DE47B"/>
    <w:rsid w:val="6AA2BDED"/>
    <w:rsid w:val="6AB9AC3B"/>
    <w:rsid w:val="6ADC526B"/>
    <w:rsid w:val="6ADEDBFE"/>
    <w:rsid w:val="6AE15F24"/>
    <w:rsid w:val="6AF8719B"/>
    <w:rsid w:val="6B0F04D8"/>
    <w:rsid w:val="6B11DA71"/>
    <w:rsid w:val="6B1BA10D"/>
    <w:rsid w:val="6B263963"/>
    <w:rsid w:val="6B2EC4F9"/>
    <w:rsid w:val="6B3AE5C1"/>
    <w:rsid w:val="6B3F3428"/>
    <w:rsid w:val="6B6D0413"/>
    <w:rsid w:val="6B9252C9"/>
    <w:rsid w:val="6B9987BE"/>
    <w:rsid w:val="6BA4841F"/>
    <w:rsid w:val="6BAA86A7"/>
    <w:rsid w:val="6BB00474"/>
    <w:rsid w:val="6BC4C29F"/>
    <w:rsid w:val="6BD24B4F"/>
    <w:rsid w:val="6BD9B15D"/>
    <w:rsid w:val="6BDDDD61"/>
    <w:rsid w:val="6BE34903"/>
    <w:rsid w:val="6C005B56"/>
    <w:rsid w:val="6C0253EE"/>
    <w:rsid w:val="6C070D8C"/>
    <w:rsid w:val="6C0C60C8"/>
    <w:rsid w:val="6C0F8A0D"/>
    <w:rsid w:val="6C143437"/>
    <w:rsid w:val="6C199087"/>
    <w:rsid w:val="6C20C0B6"/>
    <w:rsid w:val="6C24D465"/>
    <w:rsid w:val="6C2939CA"/>
    <w:rsid w:val="6C47D286"/>
    <w:rsid w:val="6C494803"/>
    <w:rsid w:val="6C50A235"/>
    <w:rsid w:val="6C52CB6C"/>
    <w:rsid w:val="6C5384F9"/>
    <w:rsid w:val="6C54D7FD"/>
    <w:rsid w:val="6C5FA6FA"/>
    <w:rsid w:val="6C64F673"/>
    <w:rsid w:val="6C67AD3F"/>
    <w:rsid w:val="6C7152B3"/>
    <w:rsid w:val="6C83809C"/>
    <w:rsid w:val="6C8B9159"/>
    <w:rsid w:val="6C91145C"/>
    <w:rsid w:val="6C958B9C"/>
    <w:rsid w:val="6C9E9553"/>
    <w:rsid w:val="6CBB177C"/>
    <w:rsid w:val="6CBC65FC"/>
    <w:rsid w:val="6CBF261A"/>
    <w:rsid w:val="6CC13E39"/>
    <w:rsid w:val="6CCC180D"/>
    <w:rsid w:val="6CE793E9"/>
    <w:rsid w:val="6CF18429"/>
    <w:rsid w:val="6CF6425C"/>
    <w:rsid w:val="6CFCBE36"/>
    <w:rsid w:val="6D2C6A4D"/>
    <w:rsid w:val="6D392BF3"/>
    <w:rsid w:val="6D50DCAB"/>
    <w:rsid w:val="6D6C6C05"/>
    <w:rsid w:val="6D6CD88D"/>
    <w:rsid w:val="6D6CE775"/>
    <w:rsid w:val="6DB14DD1"/>
    <w:rsid w:val="6DBDAC4F"/>
    <w:rsid w:val="6DC83C87"/>
    <w:rsid w:val="6DC9B4DA"/>
    <w:rsid w:val="6DD4D812"/>
    <w:rsid w:val="6DD71FF5"/>
    <w:rsid w:val="6DFC9501"/>
    <w:rsid w:val="6E04CE92"/>
    <w:rsid w:val="6E1FB2BD"/>
    <w:rsid w:val="6E242CAC"/>
    <w:rsid w:val="6E4D0076"/>
    <w:rsid w:val="6E6464D0"/>
    <w:rsid w:val="6E6ED4E3"/>
    <w:rsid w:val="6E7987CE"/>
    <w:rsid w:val="6E82A487"/>
    <w:rsid w:val="6E847800"/>
    <w:rsid w:val="6E9612CC"/>
    <w:rsid w:val="6EA9332C"/>
    <w:rsid w:val="6EB7BA45"/>
    <w:rsid w:val="6EBB7347"/>
    <w:rsid w:val="6ECCE89B"/>
    <w:rsid w:val="6EDEE147"/>
    <w:rsid w:val="6EEBA66A"/>
    <w:rsid w:val="6EEE0180"/>
    <w:rsid w:val="6EF4FAC8"/>
    <w:rsid w:val="6F090003"/>
    <w:rsid w:val="6F1302FC"/>
    <w:rsid w:val="6F15B642"/>
    <w:rsid w:val="6F168271"/>
    <w:rsid w:val="6F16C695"/>
    <w:rsid w:val="6F18B97C"/>
    <w:rsid w:val="6F1C1C37"/>
    <w:rsid w:val="6F22485B"/>
    <w:rsid w:val="6F46C1DE"/>
    <w:rsid w:val="6F65C200"/>
    <w:rsid w:val="6F686C2F"/>
    <w:rsid w:val="6F7F8C11"/>
    <w:rsid w:val="6F9D3F85"/>
    <w:rsid w:val="6FA5C5B3"/>
    <w:rsid w:val="6FAC2206"/>
    <w:rsid w:val="6FB63CBC"/>
    <w:rsid w:val="6FD57F47"/>
    <w:rsid w:val="6FDB62E3"/>
    <w:rsid w:val="6FE70B15"/>
    <w:rsid w:val="6FEE99B2"/>
    <w:rsid w:val="6FF2D59C"/>
    <w:rsid w:val="6FF33DCF"/>
    <w:rsid w:val="6FF92AAD"/>
    <w:rsid w:val="6FF96B0E"/>
    <w:rsid w:val="6FFF9787"/>
    <w:rsid w:val="7012E4E2"/>
    <w:rsid w:val="7013D3C4"/>
    <w:rsid w:val="701BE51C"/>
    <w:rsid w:val="7022ECE7"/>
    <w:rsid w:val="702F0197"/>
    <w:rsid w:val="70406F5A"/>
    <w:rsid w:val="70416EA4"/>
    <w:rsid w:val="7044AEEB"/>
    <w:rsid w:val="7052995C"/>
    <w:rsid w:val="70623859"/>
    <w:rsid w:val="70693CB7"/>
    <w:rsid w:val="708C0712"/>
    <w:rsid w:val="7095788A"/>
    <w:rsid w:val="70A945F7"/>
    <w:rsid w:val="70AD1A1D"/>
    <w:rsid w:val="70C9410E"/>
    <w:rsid w:val="70C9BC36"/>
    <w:rsid w:val="70EC4F95"/>
    <w:rsid w:val="70EDFBE2"/>
    <w:rsid w:val="70EE83C7"/>
    <w:rsid w:val="70F98CB4"/>
    <w:rsid w:val="7109F34A"/>
    <w:rsid w:val="71183A6C"/>
    <w:rsid w:val="7124017D"/>
    <w:rsid w:val="714AC527"/>
    <w:rsid w:val="71558A09"/>
    <w:rsid w:val="715FCB2B"/>
    <w:rsid w:val="716287BE"/>
    <w:rsid w:val="717AA96E"/>
    <w:rsid w:val="719ABD0F"/>
    <w:rsid w:val="719F68E5"/>
    <w:rsid w:val="71A4157B"/>
    <w:rsid w:val="71BAA174"/>
    <w:rsid w:val="71C810BD"/>
    <w:rsid w:val="71CA3B3F"/>
    <w:rsid w:val="71CBA366"/>
    <w:rsid w:val="71DC2590"/>
    <w:rsid w:val="71F43F13"/>
    <w:rsid w:val="71FD9115"/>
    <w:rsid w:val="7202E838"/>
    <w:rsid w:val="720D52D4"/>
    <w:rsid w:val="7225EF9F"/>
    <w:rsid w:val="7225FDF8"/>
    <w:rsid w:val="723B72D6"/>
    <w:rsid w:val="723E972F"/>
    <w:rsid w:val="72535AF8"/>
    <w:rsid w:val="725BF779"/>
    <w:rsid w:val="72691280"/>
    <w:rsid w:val="728C5E6B"/>
    <w:rsid w:val="72944815"/>
    <w:rsid w:val="72B3733D"/>
    <w:rsid w:val="72C6D0DB"/>
    <w:rsid w:val="72C8E799"/>
    <w:rsid w:val="72D2D122"/>
    <w:rsid w:val="72D56C19"/>
    <w:rsid w:val="72D985B4"/>
    <w:rsid w:val="72D9DDC8"/>
    <w:rsid w:val="72DA629E"/>
    <w:rsid w:val="72EA7FFB"/>
    <w:rsid w:val="72EBEF05"/>
    <w:rsid w:val="730666C6"/>
    <w:rsid w:val="7312CA79"/>
    <w:rsid w:val="7314B502"/>
    <w:rsid w:val="7328EF1D"/>
    <w:rsid w:val="7342F0F6"/>
    <w:rsid w:val="735D3DBC"/>
    <w:rsid w:val="735D4165"/>
    <w:rsid w:val="736040E0"/>
    <w:rsid w:val="7362CE80"/>
    <w:rsid w:val="7370A542"/>
    <w:rsid w:val="739EC069"/>
    <w:rsid w:val="73A21877"/>
    <w:rsid w:val="73A2315A"/>
    <w:rsid w:val="73AB07F7"/>
    <w:rsid w:val="73B8C031"/>
    <w:rsid w:val="73BA1B5A"/>
    <w:rsid w:val="73BDE168"/>
    <w:rsid w:val="73DF565A"/>
    <w:rsid w:val="73F63A39"/>
    <w:rsid w:val="73FCA044"/>
    <w:rsid w:val="7402AAFA"/>
    <w:rsid w:val="7407B6CD"/>
    <w:rsid w:val="7411829E"/>
    <w:rsid w:val="7420975A"/>
    <w:rsid w:val="742BC986"/>
    <w:rsid w:val="743BEBE1"/>
    <w:rsid w:val="743C8400"/>
    <w:rsid w:val="743CFC7A"/>
    <w:rsid w:val="744436A1"/>
    <w:rsid w:val="7459764B"/>
    <w:rsid w:val="745A099E"/>
    <w:rsid w:val="74643A21"/>
    <w:rsid w:val="746A2BD6"/>
    <w:rsid w:val="747057DE"/>
    <w:rsid w:val="747970B8"/>
    <w:rsid w:val="748DE5F0"/>
    <w:rsid w:val="7497CA1F"/>
    <w:rsid w:val="749FD40E"/>
    <w:rsid w:val="74B59E88"/>
    <w:rsid w:val="74FAA9D9"/>
    <w:rsid w:val="75013B46"/>
    <w:rsid w:val="7515FB65"/>
    <w:rsid w:val="7520AAE2"/>
    <w:rsid w:val="755BA2E1"/>
    <w:rsid w:val="756EC818"/>
    <w:rsid w:val="757B7A36"/>
    <w:rsid w:val="75856F97"/>
    <w:rsid w:val="75A13AB6"/>
    <w:rsid w:val="75AB3BA1"/>
    <w:rsid w:val="75C7AFB7"/>
    <w:rsid w:val="75E495B5"/>
    <w:rsid w:val="75EF555D"/>
    <w:rsid w:val="75FABADF"/>
    <w:rsid w:val="760C7869"/>
    <w:rsid w:val="76109D73"/>
    <w:rsid w:val="76129EEE"/>
    <w:rsid w:val="7616D551"/>
    <w:rsid w:val="763CAE86"/>
    <w:rsid w:val="763F7F92"/>
    <w:rsid w:val="76535713"/>
    <w:rsid w:val="7672F6E4"/>
    <w:rsid w:val="7675FAD5"/>
    <w:rsid w:val="767BDE88"/>
    <w:rsid w:val="767F13BB"/>
    <w:rsid w:val="76893063"/>
    <w:rsid w:val="768EBE36"/>
    <w:rsid w:val="7695C3C9"/>
    <w:rsid w:val="769AE5B2"/>
    <w:rsid w:val="76ABFA99"/>
    <w:rsid w:val="76C7F047"/>
    <w:rsid w:val="76C9BED7"/>
    <w:rsid w:val="76D915DF"/>
    <w:rsid w:val="76DA623F"/>
    <w:rsid w:val="76F97308"/>
    <w:rsid w:val="7703DE3D"/>
    <w:rsid w:val="77271760"/>
    <w:rsid w:val="7727FA58"/>
    <w:rsid w:val="77458BFF"/>
    <w:rsid w:val="7745BCF8"/>
    <w:rsid w:val="774ADB29"/>
    <w:rsid w:val="774FBE8A"/>
    <w:rsid w:val="775DD513"/>
    <w:rsid w:val="77634F1B"/>
    <w:rsid w:val="77700859"/>
    <w:rsid w:val="77878D38"/>
    <w:rsid w:val="7790543D"/>
    <w:rsid w:val="7799E99F"/>
    <w:rsid w:val="77BC1EA0"/>
    <w:rsid w:val="77C54D0D"/>
    <w:rsid w:val="77C60291"/>
    <w:rsid w:val="77C99BE7"/>
    <w:rsid w:val="77E1B83B"/>
    <w:rsid w:val="77EB15AE"/>
    <w:rsid w:val="77EE912D"/>
    <w:rsid w:val="77F107E0"/>
    <w:rsid w:val="77F9CF04"/>
    <w:rsid w:val="78081710"/>
    <w:rsid w:val="780FC358"/>
    <w:rsid w:val="781F1B60"/>
    <w:rsid w:val="7820C1F8"/>
    <w:rsid w:val="78261589"/>
    <w:rsid w:val="7834DCD7"/>
    <w:rsid w:val="783D9233"/>
    <w:rsid w:val="783DF49C"/>
    <w:rsid w:val="78436A1F"/>
    <w:rsid w:val="78484E73"/>
    <w:rsid w:val="784C3C4D"/>
    <w:rsid w:val="784F0FAF"/>
    <w:rsid w:val="78524709"/>
    <w:rsid w:val="787B4EA0"/>
    <w:rsid w:val="787F90B2"/>
    <w:rsid w:val="78843436"/>
    <w:rsid w:val="78BA292F"/>
    <w:rsid w:val="78BE88F7"/>
    <w:rsid w:val="78D04BBF"/>
    <w:rsid w:val="78E02B96"/>
    <w:rsid w:val="78EAD626"/>
    <w:rsid w:val="78F0BE7A"/>
    <w:rsid w:val="78F9AC9C"/>
    <w:rsid w:val="79141FEF"/>
    <w:rsid w:val="793A7AA1"/>
    <w:rsid w:val="7952B5FE"/>
    <w:rsid w:val="7953C736"/>
    <w:rsid w:val="79644E83"/>
    <w:rsid w:val="796C0854"/>
    <w:rsid w:val="79760999"/>
    <w:rsid w:val="797BDAE4"/>
    <w:rsid w:val="798CB21F"/>
    <w:rsid w:val="798F3B92"/>
    <w:rsid w:val="7993E4EC"/>
    <w:rsid w:val="79BC7D4F"/>
    <w:rsid w:val="79C603E6"/>
    <w:rsid w:val="79E38021"/>
    <w:rsid w:val="79F99DA0"/>
    <w:rsid w:val="7A09AC99"/>
    <w:rsid w:val="7A0BCF88"/>
    <w:rsid w:val="7A13CF9C"/>
    <w:rsid w:val="7A4A0379"/>
    <w:rsid w:val="7A53096B"/>
    <w:rsid w:val="7A7A6A8A"/>
    <w:rsid w:val="7A7CA9CF"/>
    <w:rsid w:val="7A886726"/>
    <w:rsid w:val="7A96272E"/>
    <w:rsid w:val="7AA9986F"/>
    <w:rsid w:val="7AAB375F"/>
    <w:rsid w:val="7ABBCE3A"/>
    <w:rsid w:val="7AC122E0"/>
    <w:rsid w:val="7ACC4BD3"/>
    <w:rsid w:val="7ADB5016"/>
    <w:rsid w:val="7ADFC9FE"/>
    <w:rsid w:val="7AE0B3C0"/>
    <w:rsid w:val="7AE3A57D"/>
    <w:rsid w:val="7AEC770D"/>
    <w:rsid w:val="7AFA602F"/>
    <w:rsid w:val="7AFFCE34"/>
    <w:rsid w:val="7B16D281"/>
    <w:rsid w:val="7B1A6B3F"/>
    <w:rsid w:val="7B30E3D2"/>
    <w:rsid w:val="7B4B3453"/>
    <w:rsid w:val="7B4DEB5C"/>
    <w:rsid w:val="7B67F8F3"/>
    <w:rsid w:val="7B6AF0F1"/>
    <w:rsid w:val="7B6C573E"/>
    <w:rsid w:val="7B7ADAC3"/>
    <w:rsid w:val="7B7F598E"/>
    <w:rsid w:val="7B87E69B"/>
    <w:rsid w:val="7BC6D154"/>
    <w:rsid w:val="7BD461B8"/>
    <w:rsid w:val="7C0810DF"/>
    <w:rsid w:val="7C212E32"/>
    <w:rsid w:val="7C221687"/>
    <w:rsid w:val="7C2CAC03"/>
    <w:rsid w:val="7C309757"/>
    <w:rsid w:val="7C36093B"/>
    <w:rsid w:val="7C383911"/>
    <w:rsid w:val="7C3A8B8C"/>
    <w:rsid w:val="7C3AB9AE"/>
    <w:rsid w:val="7C7F7E82"/>
    <w:rsid w:val="7C8C9D61"/>
    <w:rsid w:val="7C9F18F7"/>
    <w:rsid w:val="7CA363A6"/>
    <w:rsid w:val="7CAB7C08"/>
    <w:rsid w:val="7CACC84C"/>
    <w:rsid w:val="7CAFD5CC"/>
    <w:rsid w:val="7CCB4317"/>
    <w:rsid w:val="7CD8FA48"/>
    <w:rsid w:val="7CE45F6E"/>
    <w:rsid w:val="7CE7ACB8"/>
    <w:rsid w:val="7CE84072"/>
    <w:rsid w:val="7CFB423F"/>
    <w:rsid w:val="7D01BB39"/>
    <w:rsid w:val="7D164862"/>
    <w:rsid w:val="7D351BEA"/>
    <w:rsid w:val="7D3B7C5C"/>
    <w:rsid w:val="7D4B1BD8"/>
    <w:rsid w:val="7D59EA73"/>
    <w:rsid w:val="7D5E5078"/>
    <w:rsid w:val="7D666469"/>
    <w:rsid w:val="7D7317C2"/>
    <w:rsid w:val="7D8B8E0C"/>
    <w:rsid w:val="7D9B4E41"/>
    <w:rsid w:val="7D9E0F98"/>
    <w:rsid w:val="7DB2A1FD"/>
    <w:rsid w:val="7DB4C87C"/>
    <w:rsid w:val="7DC39140"/>
    <w:rsid w:val="7DC3C38D"/>
    <w:rsid w:val="7DE1C4BF"/>
    <w:rsid w:val="7DE5C1A0"/>
    <w:rsid w:val="7DF2AB8B"/>
    <w:rsid w:val="7DFD7E7F"/>
    <w:rsid w:val="7E0F63FE"/>
    <w:rsid w:val="7E123256"/>
    <w:rsid w:val="7E129561"/>
    <w:rsid w:val="7E41363B"/>
    <w:rsid w:val="7E4742B3"/>
    <w:rsid w:val="7E5B9128"/>
    <w:rsid w:val="7E6C2C85"/>
    <w:rsid w:val="7E6C74C7"/>
    <w:rsid w:val="7E887A08"/>
    <w:rsid w:val="7EACFCCA"/>
    <w:rsid w:val="7EC257EA"/>
    <w:rsid w:val="7ECECEC5"/>
    <w:rsid w:val="7EE06C08"/>
    <w:rsid w:val="7EE4174F"/>
    <w:rsid w:val="7EEF4E79"/>
    <w:rsid w:val="7F02A773"/>
    <w:rsid w:val="7F1AB599"/>
    <w:rsid w:val="7F32D147"/>
    <w:rsid w:val="7F44092C"/>
    <w:rsid w:val="7F491ED6"/>
    <w:rsid w:val="7F5A6E05"/>
    <w:rsid w:val="7F6B8637"/>
    <w:rsid w:val="7F6BFC43"/>
    <w:rsid w:val="7F6D2D46"/>
    <w:rsid w:val="7F8756C0"/>
    <w:rsid w:val="7F8FB997"/>
    <w:rsid w:val="7FA3FB34"/>
    <w:rsid w:val="7FAF7D52"/>
    <w:rsid w:val="7FB6A074"/>
    <w:rsid w:val="7FDCD83F"/>
    <w:rsid w:val="7FF364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C56C4"/>
  <w15:chartTrackingRefBased/>
  <w15:docId w15:val="{E657A593-903C-4BEF-826D-92035719A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4618"/>
    <w:pPr>
      <w:spacing w:after="240"/>
    </w:pPr>
    <w:rPr>
      <w:rFonts w:ascii="Gill Sans MT" w:eastAsia="Times New Roman" w:hAnsi="Gill Sans MT"/>
      <w:sz w:val="26"/>
      <w:szCs w:val="24"/>
      <w:lang w:eastAsia="en-US"/>
    </w:rPr>
  </w:style>
  <w:style w:type="paragraph" w:styleId="Heading1">
    <w:name w:val="heading 1"/>
    <w:basedOn w:val="Normal"/>
    <w:next w:val="Normal"/>
    <w:qFormat/>
    <w:rsid w:val="00B14618"/>
    <w:pPr>
      <w:keepNext/>
      <w:pBdr>
        <w:top w:val="single" w:sz="4" w:space="4" w:color="auto"/>
        <w:left w:val="single" w:sz="4" w:space="2" w:color="auto"/>
        <w:bottom w:val="single" w:sz="4" w:space="4" w:color="auto"/>
        <w:right w:val="single" w:sz="4" w:space="4" w:color="auto"/>
      </w:pBdr>
      <w:spacing w:before="360"/>
      <w:ind w:left="-284"/>
      <w:outlineLvl w:val="0"/>
    </w:pPr>
    <w:rPr>
      <w:rFonts w:cs="Arial"/>
      <w:b/>
      <w:bCs/>
      <w:kern w:val="32"/>
      <w:sz w:val="32"/>
      <w:szCs w:val="32"/>
    </w:rPr>
  </w:style>
  <w:style w:type="paragraph" w:styleId="Heading2">
    <w:name w:val="heading 2"/>
    <w:basedOn w:val="Normal"/>
    <w:next w:val="Normal"/>
    <w:qFormat/>
    <w:rsid w:val="00B14618"/>
    <w:pPr>
      <w:keepNext/>
      <w:spacing w:after="60"/>
      <w:outlineLvl w:val="1"/>
    </w:pPr>
    <w:rPr>
      <w:rFonts w:cs="Arial Bold"/>
      <w:b/>
      <w:bCs/>
      <w:iCs/>
      <w:sz w:val="28"/>
      <w:szCs w:val="28"/>
    </w:rPr>
  </w:style>
  <w:style w:type="paragraph" w:styleId="Heading3">
    <w:name w:val="heading 3"/>
    <w:basedOn w:val="Normal"/>
    <w:next w:val="Normal"/>
    <w:qFormat/>
    <w:rsid w:val="00B14618"/>
    <w:pPr>
      <w:keepNext/>
      <w:spacing w:after="0"/>
      <w:outlineLvl w:val="2"/>
    </w:pPr>
    <w:rPr>
      <w:rFonts w:cs="Arial Bold"/>
      <w:b/>
      <w:bCs/>
    </w:rPr>
  </w:style>
  <w:style w:type="paragraph" w:styleId="Heading4">
    <w:name w:val="heading 4"/>
    <w:basedOn w:val="Normal"/>
    <w:next w:val="Normal"/>
    <w:qFormat/>
    <w:rsid w:val="00B14618"/>
    <w:pPr>
      <w:keepNext/>
      <w:spacing w:after="0"/>
      <w:outlineLvl w:val="3"/>
    </w:pPr>
    <w:rPr>
      <w:b/>
      <w:bCs/>
      <w:color w:val="333333"/>
    </w:rPr>
  </w:style>
  <w:style w:type="paragraph" w:styleId="Heading5">
    <w:name w:val="heading 5"/>
    <w:basedOn w:val="Normal"/>
    <w:next w:val="Normal"/>
    <w:qFormat/>
    <w:rsid w:val="00B14618"/>
    <w:pPr>
      <w:spacing w:after="0"/>
      <w:outlineLvl w:val="4"/>
    </w:pPr>
    <w:rPr>
      <w:b/>
      <w:bCs/>
      <w:i/>
      <w:iCs/>
      <w:szCs w:val="26"/>
    </w:rPr>
  </w:style>
  <w:style w:type="paragraph" w:styleId="Heading6">
    <w:name w:val="heading 6"/>
    <w:basedOn w:val="Normal"/>
    <w:next w:val="Normal"/>
    <w:qFormat/>
    <w:rsid w:val="00B14618"/>
    <w:pPr>
      <w:spacing w:after="0"/>
      <w:outlineLvl w:val="5"/>
    </w:pPr>
    <w:rPr>
      <w:b/>
      <w:bCs/>
      <w:i/>
      <w:sz w:val="22"/>
      <w:szCs w:val="22"/>
    </w:rPr>
  </w:style>
  <w:style w:type="paragraph" w:styleId="Heading7">
    <w:name w:val="heading 7"/>
    <w:basedOn w:val="Normal"/>
    <w:next w:val="Normal"/>
    <w:qFormat/>
    <w:rsid w:val="00B14618"/>
    <w:pPr>
      <w:keepNext/>
      <w:spacing w:after="0"/>
      <w:jc w:val="center"/>
      <w:outlineLvl w:val="6"/>
    </w:pPr>
    <w:rPr>
      <w:rFonts w:cs="Arial"/>
      <w:b/>
      <w:sz w:val="22"/>
      <w:szCs w:val="40"/>
    </w:rPr>
  </w:style>
  <w:style w:type="paragraph" w:styleId="Heading8">
    <w:name w:val="heading 8"/>
    <w:basedOn w:val="Normal"/>
    <w:next w:val="Normal"/>
    <w:qFormat/>
    <w:rsid w:val="00B14618"/>
    <w:pPr>
      <w:keepNext/>
      <w:spacing w:after="0"/>
      <w:outlineLvl w:val="7"/>
    </w:pPr>
    <w:rPr>
      <w:b/>
      <w:i/>
      <w:sz w:val="22"/>
    </w:rPr>
  </w:style>
  <w:style w:type="paragraph" w:styleId="Heading9">
    <w:name w:val="heading 9"/>
    <w:basedOn w:val="Normal"/>
    <w:next w:val="Normal"/>
    <w:qFormat/>
    <w:rsid w:val="00B14618"/>
    <w:pPr>
      <w:keepNext/>
      <w:spacing w:after="0"/>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breviation">
    <w:name w:val="Abbreviation"/>
    <w:rPr>
      <w:u w:val="dottedHeavy"/>
    </w:rPr>
  </w:style>
  <w:style w:type="character" w:customStyle="1" w:styleId="Acronym">
    <w:name w:val="Acronym"/>
    <w:rPr>
      <w:u w:val="dotted"/>
    </w:rPr>
  </w:style>
  <w:style w:type="paragraph" w:styleId="CommentText">
    <w:name w:val="annotation text"/>
    <w:basedOn w:val="Normal"/>
    <w:link w:val="CommentTextChar"/>
    <w:semiHidden/>
    <w:rPr>
      <w:rFonts w:ascii="Arial" w:hAnsi="Arial"/>
      <w:sz w:val="20"/>
      <w:lang w:val="x-none"/>
    </w:rPr>
  </w:style>
  <w:style w:type="character" w:customStyle="1" w:styleId="CommentTextChar">
    <w:name w:val="Comment Text Char"/>
    <w:link w:val="CommentText"/>
    <w:semiHidden/>
    <w:rsid w:val="00181FE6"/>
    <w:rPr>
      <w:rFonts w:ascii="Arial" w:eastAsia="Times New Roman" w:hAnsi="Arial"/>
      <w:szCs w:val="24"/>
      <w:lang w:eastAsia="en-US"/>
    </w:rPr>
  </w:style>
  <w:style w:type="paragraph" w:customStyle="1" w:styleId="BlockQuote">
    <w:name w:val="Block Quote"/>
    <w:basedOn w:val="Normal"/>
    <w:qFormat/>
    <w:rsid w:val="00B14618"/>
    <w:pPr>
      <w:ind w:left="720" w:right="720"/>
    </w:pPr>
  </w:style>
  <w:style w:type="paragraph" w:styleId="BlockText">
    <w:name w:val="Block Text"/>
    <w:basedOn w:val="Normal"/>
    <w:pPr>
      <w:spacing w:after="120"/>
      <w:ind w:left="1440" w:right="1440"/>
    </w:pPr>
  </w:style>
  <w:style w:type="paragraph" w:styleId="TOC1">
    <w:name w:val="toc 1"/>
    <w:basedOn w:val="Normal"/>
    <w:next w:val="Normal"/>
    <w:autoRedefine/>
    <w:uiPriority w:val="39"/>
    <w:rsid w:val="00F351D6"/>
    <w:pPr>
      <w:spacing w:before="120" w:after="0"/>
    </w:pPr>
    <w:rPr>
      <w:rFonts w:ascii="Calibri" w:hAnsi="Calibri" w:cs="Calibri"/>
      <w:b/>
      <w:bCs/>
      <w:i/>
      <w:iCs/>
      <w:sz w:val="24"/>
    </w:rPr>
  </w:style>
  <w:style w:type="paragraph" w:styleId="BodyTextIndent">
    <w:name w:val="Body Text Indent"/>
    <w:basedOn w:val="Normal"/>
    <w:link w:val="BodyTextIndentChar"/>
    <w:pPr>
      <w:spacing w:after="120"/>
      <w:ind w:left="283"/>
    </w:pPr>
    <w:rPr>
      <w:rFonts w:ascii="Arial" w:hAnsi="Arial"/>
      <w:sz w:val="24"/>
      <w:lang w:val="x-none"/>
    </w:rPr>
  </w:style>
  <w:style w:type="character" w:customStyle="1" w:styleId="BodyTextIndentChar">
    <w:name w:val="Body Text Indent Char"/>
    <w:link w:val="BodyTextIndent"/>
    <w:rsid w:val="00181FE6"/>
    <w:rPr>
      <w:rFonts w:ascii="Arial" w:eastAsia="Times New Roman" w:hAnsi="Arial"/>
      <w:sz w:val="24"/>
      <w:szCs w:val="24"/>
      <w:lang w:eastAsia="en-US"/>
    </w:rPr>
  </w:style>
  <w:style w:type="paragraph" w:styleId="Caption">
    <w:name w:val="caption"/>
    <w:basedOn w:val="Normal"/>
    <w:next w:val="Normal"/>
    <w:qFormat/>
    <w:rsid w:val="00B14618"/>
    <w:pPr>
      <w:spacing w:after="120"/>
      <w:jc w:val="center"/>
    </w:pPr>
    <w:rPr>
      <w:b/>
      <w:bCs/>
    </w:rPr>
  </w:style>
  <w:style w:type="paragraph" w:styleId="Date">
    <w:name w:val="Date"/>
    <w:basedOn w:val="Normal"/>
    <w:next w:val="Normal"/>
    <w:rPr>
      <w:i/>
    </w:rPr>
  </w:style>
  <w:style w:type="paragraph" w:customStyle="1" w:styleId="DefinitionDescription">
    <w:name w:val="Definition Description"/>
    <w:basedOn w:val="Normal"/>
    <w:next w:val="Normal"/>
    <w:pPr>
      <w:ind w:left="1077"/>
    </w:pPr>
  </w:style>
  <w:style w:type="paragraph" w:customStyle="1" w:styleId="DefinitionTerm">
    <w:name w:val="Definition Term"/>
    <w:basedOn w:val="Normal"/>
    <w:next w:val="DefinitionDescription"/>
    <w:rPr>
      <w:b/>
    </w:rPr>
  </w:style>
  <w:style w:type="paragraph" w:styleId="DocumentMap">
    <w:name w:val="Document Map"/>
    <w:basedOn w:val="Normal"/>
    <w:semiHidden/>
    <w:pPr>
      <w:shd w:val="clear" w:color="auto" w:fill="000080"/>
    </w:pPr>
    <w:rPr>
      <w:rFonts w:ascii="Tahoma" w:hAnsi="Tahoma" w:cs="Tahoma"/>
      <w:sz w:val="20"/>
    </w:rPr>
  </w:style>
  <w:style w:type="character" w:styleId="Emphasis">
    <w:name w:val="Emphasis"/>
    <w:uiPriority w:val="20"/>
    <w:qFormat/>
    <w:rsid w:val="00B14618"/>
    <w:rPr>
      <w:rFonts w:ascii="Gill Sans MT" w:hAnsi="Gill Sans MT"/>
      <w:i/>
    </w:rPr>
  </w:style>
  <w:style w:type="character" w:styleId="FollowedHyperlink">
    <w:name w:val="FollowedHyperlink"/>
    <w:rPr>
      <w:color w:val="800080"/>
      <w:u w:val="single"/>
    </w:rPr>
  </w:style>
  <w:style w:type="paragraph" w:styleId="Footer">
    <w:name w:val="footer"/>
    <w:basedOn w:val="Normal"/>
    <w:pPr>
      <w:tabs>
        <w:tab w:val="center" w:pos="4153"/>
        <w:tab w:val="right" w:pos="8306"/>
      </w:tabs>
      <w:spacing w:before="60" w:after="60"/>
    </w:pPr>
    <w:rPr>
      <w:color w:val="323232"/>
      <w:sz w:val="20"/>
      <w:szCs w:val="20"/>
    </w:rPr>
  </w:style>
  <w:style w:type="paragraph" w:customStyle="1" w:styleId="GraphCaption">
    <w:name w:val="GraphCaption"/>
    <w:basedOn w:val="Normal"/>
    <w:rsid w:val="00B76547"/>
    <w:pPr>
      <w:keepNext/>
      <w:keepLines/>
      <w:spacing w:after="120"/>
      <w:jc w:val="center"/>
    </w:pPr>
    <w:rPr>
      <w:b/>
    </w:rPr>
  </w:style>
  <w:style w:type="paragraph" w:styleId="Header">
    <w:name w:val="header"/>
    <w:basedOn w:val="Normal"/>
    <w:rsid w:val="00F351D6"/>
    <w:pPr>
      <w:tabs>
        <w:tab w:val="center" w:pos="4320"/>
        <w:tab w:val="right" w:pos="8640"/>
      </w:tabs>
      <w:spacing w:after="120"/>
    </w:pPr>
    <w:rPr>
      <w:color w:val="333333"/>
      <w:sz w:val="22"/>
      <w:szCs w:val="20"/>
    </w:rPr>
  </w:style>
  <w:style w:type="character" w:styleId="Hyperlink">
    <w:name w:val="Hyperlink"/>
    <w:uiPriority w:val="99"/>
    <w:rPr>
      <w:color w:val="0000FF"/>
      <w:u w:val="single"/>
    </w:rPr>
  </w:style>
  <w:style w:type="paragraph" w:styleId="ListBullet">
    <w:name w:val="List Bullet"/>
    <w:basedOn w:val="Normal"/>
    <w:pPr>
      <w:numPr>
        <w:numId w:val="2"/>
      </w:numPr>
      <w:spacing w:before="120" w:after="120"/>
    </w:pPr>
  </w:style>
  <w:style w:type="paragraph" w:styleId="ListBullet2">
    <w:name w:val="List Bullet 2"/>
    <w:basedOn w:val="Normal"/>
    <w:pPr>
      <w:numPr>
        <w:numId w:val="4"/>
      </w:numPr>
      <w:spacing w:before="60" w:after="60"/>
    </w:pPr>
  </w:style>
  <w:style w:type="paragraph" w:styleId="ListBullet3">
    <w:name w:val="List Bullet 3"/>
    <w:basedOn w:val="Normal"/>
    <w:pPr>
      <w:numPr>
        <w:numId w:val="6"/>
      </w:numPr>
      <w:spacing w:before="60" w:after="60"/>
    </w:pPr>
  </w:style>
  <w:style w:type="paragraph" w:styleId="ListContinue">
    <w:name w:val="List Continue"/>
    <w:basedOn w:val="Normal"/>
    <w:pPr>
      <w:spacing w:before="120" w:after="120"/>
      <w:ind w:left="357"/>
    </w:pPr>
  </w:style>
  <w:style w:type="paragraph" w:styleId="ListContinue2">
    <w:name w:val="List Continue 2"/>
    <w:basedOn w:val="Normal"/>
    <w:pPr>
      <w:spacing w:before="60" w:after="60"/>
      <w:ind w:left="641"/>
    </w:pPr>
  </w:style>
  <w:style w:type="paragraph" w:styleId="ListContinue3">
    <w:name w:val="List Continue 3"/>
    <w:basedOn w:val="Normal"/>
    <w:pPr>
      <w:spacing w:before="60" w:after="60"/>
      <w:ind w:left="924"/>
    </w:pPr>
  </w:style>
  <w:style w:type="paragraph" w:styleId="ListNumber">
    <w:name w:val="List Number"/>
    <w:basedOn w:val="Normal"/>
    <w:pPr>
      <w:numPr>
        <w:numId w:val="8"/>
      </w:numPr>
      <w:tabs>
        <w:tab w:val="clear" w:pos="360"/>
      </w:tabs>
      <w:spacing w:after="120"/>
    </w:pPr>
  </w:style>
  <w:style w:type="paragraph" w:styleId="ListNumber2">
    <w:name w:val="List Number 2"/>
    <w:basedOn w:val="Normal"/>
    <w:pPr>
      <w:numPr>
        <w:numId w:val="10"/>
      </w:numPr>
      <w:tabs>
        <w:tab w:val="clear" w:pos="641"/>
        <w:tab w:val="num" w:pos="643"/>
      </w:tabs>
      <w:spacing w:before="60" w:after="60"/>
    </w:pPr>
  </w:style>
  <w:style w:type="paragraph" w:styleId="ListNumber3">
    <w:name w:val="List Number 3"/>
    <w:basedOn w:val="Normal"/>
    <w:pPr>
      <w:numPr>
        <w:numId w:val="12"/>
      </w:numPr>
      <w:tabs>
        <w:tab w:val="clear" w:pos="926"/>
        <w:tab w:val="num" w:pos="360"/>
      </w:tabs>
      <w:spacing w:before="60" w:after="60"/>
      <w:ind w:left="357" w:hanging="357"/>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eastAsia="Times New Roman" w:hAnsi="Courier New" w:cs="Courier New"/>
      <w:lang w:eastAsia="en-US"/>
    </w:rPr>
  </w:style>
  <w:style w:type="paragraph" w:styleId="NormalIndent">
    <w:name w:val="Normal Indent"/>
    <w:basedOn w:val="Normal"/>
    <w:pPr>
      <w:ind w:left="720"/>
    </w:pPr>
  </w:style>
  <w:style w:type="paragraph" w:customStyle="1" w:styleId="Note">
    <w:name w:val="Note"/>
    <w:basedOn w:val="Normal"/>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style>
  <w:style w:type="character" w:customStyle="1" w:styleId="Quote1">
    <w:name w:val="Quote1"/>
    <w:rPr>
      <w:i/>
    </w:rPr>
  </w:style>
  <w:style w:type="paragraph" w:styleId="Subtitle">
    <w:name w:val="Subtitle"/>
    <w:basedOn w:val="Normal"/>
    <w:next w:val="Normal"/>
    <w:qFormat/>
    <w:pPr>
      <w:jc w:val="center"/>
      <w:outlineLvl w:val="1"/>
    </w:pPr>
    <w:rPr>
      <w:sz w:val="28"/>
    </w:rPr>
  </w:style>
  <w:style w:type="paragraph" w:customStyle="1" w:styleId="TableCell">
    <w:name w:val="Table Cell"/>
    <w:basedOn w:val="Normal"/>
    <w:pPr>
      <w:spacing w:after="0"/>
    </w:pPr>
  </w:style>
  <w:style w:type="paragraph" w:customStyle="1" w:styleId="TableHead">
    <w:name w:val="Table Head"/>
    <w:basedOn w:val="Normal"/>
    <w:next w:val="Normal"/>
    <w:pPr>
      <w:spacing w:after="0"/>
    </w:pPr>
    <w:rPr>
      <w:b/>
    </w:rPr>
  </w:style>
  <w:style w:type="paragraph" w:customStyle="1" w:styleId="TableNote">
    <w:name w:val="Table Note"/>
    <w:basedOn w:val="Normal"/>
    <w:next w:val="Normal"/>
    <w:pPr>
      <w:spacing w:before="120"/>
      <w:jc w:val="center"/>
    </w:pPr>
    <w:rPr>
      <w:sz w:val="20"/>
      <w:szCs w:val="20"/>
    </w:rPr>
  </w:style>
  <w:style w:type="paragraph" w:customStyle="1" w:styleId="TableRowHead">
    <w:name w:val="Table Row Head"/>
    <w:basedOn w:val="Normal"/>
    <w:pPr>
      <w:keepNext/>
      <w:spacing w:after="0"/>
    </w:pPr>
    <w:rPr>
      <w:rFonts w:ascii="Arial Bold" w:hAnsi="Arial Bold"/>
      <w:b/>
    </w:rPr>
  </w:style>
  <w:style w:type="paragraph" w:customStyle="1" w:styleId="TableSummary">
    <w:name w:val="Table Summary"/>
    <w:basedOn w:val="Normal"/>
    <w:next w:val="TableHead"/>
    <w:pPr>
      <w:ind w:left="567" w:right="567"/>
      <w:jc w:val="center"/>
    </w:pPr>
    <w:rPr>
      <w:i/>
    </w:rPr>
  </w:style>
  <w:style w:type="paragraph" w:customStyle="1" w:styleId="TableTitle">
    <w:name w:val="Table Title"/>
    <w:basedOn w:val="Normal"/>
    <w:next w:val="TableSummary"/>
    <w:rsid w:val="00B76547"/>
    <w:pPr>
      <w:keepNext/>
      <w:keepLines/>
      <w:spacing w:after="120"/>
      <w:jc w:val="center"/>
    </w:pPr>
    <w:rPr>
      <w:b/>
    </w:rPr>
  </w:style>
  <w:style w:type="paragraph" w:customStyle="1" w:styleId="TaggedText">
    <w:name w:val="Tagged Text"/>
    <w:basedOn w:val="Normal"/>
    <w:pPr>
      <w:suppressAutoHyphens/>
      <w:spacing w:after="0"/>
    </w:pPr>
    <w:rPr>
      <w:rFonts w:ascii="Courier New" w:hAnsi="Courier New"/>
      <w:color w:val="FF0000"/>
    </w:rPr>
  </w:style>
  <w:style w:type="paragraph" w:styleId="Title">
    <w:name w:val="Title"/>
    <w:basedOn w:val="Normal"/>
    <w:next w:val="Normal"/>
    <w:qFormat/>
    <w:rsid w:val="003B10EC"/>
    <w:pPr>
      <w:spacing w:after="360"/>
      <w:jc w:val="center"/>
      <w:outlineLvl w:val="0"/>
    </w:pPr>
    <w:rPr>
      <w:rFonts w:cs="Arial"/>
      <w:b/>
      <w:bCs/>
      <w:kern w:val="28"/>
      <w:sz w:val="36"/>
      <w:szCs w:val="32"/>
    </w:rPr>
  </w:style>
  <w:style w:type="paragraph" w:customStyle="1" w:styleId="NormalBeforeList">
    <w:name w:val="Normal (Before List)"/>
    <w:basedOn w:val="Normal"/>
    <w:qFormat/>
    <w:rsid w:val="00BA2579"/>
    <w:pPr>
      <w:spacing w:after="120"/>
    </w:pPr>
  </w:style>
  <w:style w:type="paragraph" w:customStyle="1" w:styleId="TableHeadRight">
    <w:name w:val="Table Head Right"/>
    <w:basedOn w:val="TableHead"/>
    <w:pPr>
      <w:jc w:val="right"/>
    </w:pPr>
  </w:style>
  <w:style w:type="paragraph" w:customStyle="1" w:styleId="TableCellLeft">
    <w:name w:val="Table Cell Left"/>
    <w:basedOn w:val="TableCell"/>
  </w:style>
  <w:style w:type="paragraph" w:styleId="FootnoteText">
    <w:name w:val="footnote text"/>
    <w:basedOn w:val="Normal"/>
    <w:semiHidden/>
    <w:rsid w:val="00287B8E"/>
    <w:pPr>
      <w:spacing w:after="120"/>
    </w:pPr>
    <w:rPr>
      <w:sz w:val="22"/>
      <w:szCs w:val="20"/>
    </w:rPr>
  </w:style>
  <w:style w:type="paragraph" w:styleId="TOC2">
    <w:name w:val="toc 2"/>
    <w:basedOn w:val="Normal"/>
    <w:next w:val="Normal"/>
    <w:autoRedefine/>
    <w:uiPriority w:val="39"/>
    <w:rsid w:val="00F351D6"/>
    <w:pPr>
      <w:spacing w:before="120" w:after="0"/>
      <w:ind w:left="260"/>
    </w:pPr>
    <w:rPr>
      <w:rFonts w:ascii="Calibri" w:hAnsi="Calibri" w:cs="Calibri"/>
      <w:b/>
      <w:bCs/>
      <w:sz w:val="22"/>
      <w:szCs w:val="22"/>
    </w:rPr>
  </w:style>
  <w:style w:type="paragraph" w:customStyle="1" w:styleId="NormalAfterList">
    <w:name w:val="Normal (After List)"/>
    <w:basedOn w:val="Normal"/>
    <w:qFormat/>
    <w:rsid w:val="00C154AE"/>
    <w:pPr>
      <w:spacing w:before="120"/>
    </w:pPr>
  </w:style>
  <w:style w:type="character" w:styleId="FootnoteReference">
    <w:name w:val="footnote reference"/>
    <w:rsid w:val="00287B8E"/>
    <w:rPr>
      <w:rFonts w:ascii="Gill Sans" w:hAnsi="Gill Sans"/>
      <w:sz w:val="22"/>
      <w:vertAlign w:val="superscript"/>
    </w:rPr>
  </w:style>
  <w:style w:type="character" w:styleId="Strong">
    <w:name w:val="Strong"/>
    <w:qFormat/>
    <w:rsid w:val="00B14618"/>
    <w:rPr>
      <w:rFonts w:ascii="Gill Sans MT" w:hAnsi="Gill Sans MT"/>
      <w:b/>
      <w:bCs/>
    </w:rPr>
  </w:style>
  <w:style w:type="paragraph" w:styleId="Quote">
    <w:name w:val="Quote"/>
    <w:basedOn w:val="Normal"/>
    <w:next w:val="Normal"/>
    <w:link w:val="QuoteChar"/>
    <w:uiPriority w:val="29"/>
    <w:qFormat/>
    <w:rsid w:val="00B14618"/>
    <w:rPr>
      <w:i/>
      <w:iCs/>
      <w:color w:val="000000"/>
    </w:rPr>
  </w:style>
  <w:style w:type="character" w:customStyle="1" w:styleId="QuoteChar">
    <w:name w:val="Quote Char"/>
    <w:link w:val="Quote"/>
    <w:uiPriority w:val="29"/>
    <w:rsid w:val="00B14618"/>
    <w:rPr>
      <w:rFonts w:ascii="Gill Sans MT" w:eastAsia="Times New Roman" w:hAnsi="Gill Sans MT"/>
      <w:i/>
      <w:iCs/>
      <w:color w:val="000000"/>
      <w:sz w:val="26"/>
      <w:szCs w:val="24"/>
      <w:lang w:eastAsia="en-US"/>
    </w:rPr>
  </w:style>
  <w:style w:type="paragraph" w:styleId="IntenseQuote">
    <w:name w:val="Intense Quote"/>
    <w:basedOn w:val="Normal"/>
    <w:next w:val="Normal"/>
    <w:link w:val="IntenseQuoteChar"/>
    <w:uiPriority w:val="30"/>
    <w:qFormat/>
    <w:rsid w:val="00B1461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14618"/>
    <w:rPr>
      <w:rFonts w:ascii="Gill Sans MT" w:eastAsia="Times New Roman" w:hAnsi="Gill Sans MT"/>
      <w:b/>
      <w:bCs/>
      <w:i/>
      <w:iCs/>
      <w:color w:val="4F81BD"/>
      <w:sz w:val="26"/>
      <w:szCs w:val="24"/>
      <w:lang w:eastAsia="en-US"/>
    </w:rPr>
  </w:style>
  <w:style w:type="character" w:styleId="SubtleReference">
    <w:name w:val="Subtle Reference"/>
    <w:uiPriority w:val="31"/>
    <w:qFormat/>
    <w:rsid w:val="00B14618"/>
    <w:rPr>
      <w:rFonts w:ascii="Gill Sans MT" w:hAnsi="Gill Sans MT"/>
      <w:smallCaps/>
      <w:color w:val="C0504D"/>
      <w:u w:val="single"/>
    </w:rPr>
  </w:style>
  <w:style w:type="character" w:styleId="CommentReference">
    <w:name w:val="annotation reference"/>
    <w:rsid w:val="002D64B1"/>
    <w:rPr>
      <w:sz w:val="16"/>
      <w:szCs w:val="16"/>
    </w:rPr>
  </w:style>
  <w:style w:type="paragraph" w:styleId="CommentSubject">
    <w:name w:val="annotation subject"/>
    <w:basedOn w:val="CommentText"/>
    <w:next w:val="CommentText"/>
    <w:link w:val="CommentSubjectChar"/>
    <w:rsid w:val="002D64B1"/>
    <w:rPr>
      <w:rFonts w:ascii="Gill Sans MT" w:hAnsi="Gill Sans MT"/>
      <w:b/>
      <w:bCs/>
      <w:szCs w:val="20"/>
      <w:lang w:val="en-IE"/>
    </w:rPr>
  </w:style>
  <w:style w:type="character" w:customStyle="1" w:styleId="CommentSubjectChar">
    <w:name w:val="Comment Subject Char"/>
    <w:link w:val="CommentSubject"/>
    <w:rsid w:val="002D64B1"/>
    <w:rPr>
      <w:rFonts w:ascii="Gill Sans MT" w:eastAsia="Times New Roman" w:hAnsi="Gill Sans MT"/>
      <w:b/>
      <w:bCs/>
      <w:szCs w:val="24"/>
      <w:lang w:eastAsia="en-US"/>
    </w:rPr>
  </w:style>
  <w:style w:type="paragraph" w:customStyle="1" w:styleId="cvgsua">
    <w:name w:val="cvgsua"/>
    <w:basedOn w:val="Normal"/>
    <w:rsid w:val="00EE090D"/>
    <w:pPr>
      <w:spacing w:before="100" w:beforeAutospacing="1" w:after="100" w:afterAutospacing="1"/>
    </w:pPr>
    <w:rPr>
      <w:rFonts w:ascii="Times New Roman" w:hAnsi="Times New Roman"/>
      <w:sz w:val="24"/>
      <w:lang w:eastAsia="en-GB"/>
    </w:rPr>
  </w:style>
  <w:style w:type="character" w:customStyle="1" w:styleId="agcmg">
    <w:name w:val="a_gcmg"/>
    <w:basedOn w:val="DefaultParagraphFont"/>
    <w:rsid w:val="00EE090D"/>
  </w:style>
  <w:style w:type="table" w:styleId="TableGrid">
    <w:name w:val="Table Grid"/>
    <w:basedOn w:val="TableNormal"/>
    <w:uiPriority w:val="39"/>
    <w:rsid w:val="00EE090D"/>
    <w:tblPr/>
  </w:style>
  <w:style w:type="character" w:styleId="UnresolvedMention">
    <w:name w:val="Unresolved Mention"/>
    <w:uiPriority w:val="99"/>
    <w:semiHidden/>
    <w:unhideWhenUsed/>
    <w:rsid w:val="002F340A"/>
    <w:rPr>
      <w:color w:val="605E5C"/>
      <w:shd w:val="clear" w:color="auto" w:fill="E1DFDD"/>
    </w:rPr>
  </w:style>
  <w:style w:type="paragraph" w:styleId="Revision">
    <w:name w:val="Revision"/>
    <w:hidden/>
    <w:uiPriority w:val="99"/>
    <w:semiHidden/>
    <w:rsid w:val="00457648"/>
    <w:rPr>
      <w:rFonts w:ascii="Gill Sans MT" w:eastAsia="Times New Roman" w:hAnsi="Gill Sans MT"/>
      <w:sz w:val="26"/>
      <w:szCs w:val="24"/>
      <w:lang w:eastAsia="en-US"/>
    </w:rPr>
  </w:style>
  <w:style w:type="paragraph" w:styleId="NormalWeb">
    <w:name w:val="Normal (Web)"/>
    <w:basedOn w:val="Normal"/>
    <w:uiPriority w:val="99"/>
    <w:unhideWhenUsed/>
    <w:rsid w:val="000E20B9"/>
    <w:pPr>
      <w:spacing w:before="100" w:beforeAutospacing="1" w:after="100" w:afterAutospacing="1"/>
    </w:pPr>
    <w:rPr>
      <w:rFonts w:ascii="Times New Roman" w:hAnsi="Times New Roman"/>
      <w:sz w:val="24"/>
      <w:lang w:eastAsia="en-GB"/>
    </w:rPr>
  </w:style>
  <w:style w:type="paragraph" w:customStyle="1" w:styleId="paragraph">
    <w:name w:val="paragraph"/>
    <w:basedOn w:val="Normal"/>
    <w:rsid w:val="00BB55F5"/>
    <w:pPr>
      <w:spacing w:before="100" w:beforeAutospacing="1" w:after="100" w:afterAutospacing="1"/>
    </w:pPr>
    <w:rPr>
      <w:rFonts w:ascii="Times New Roman" w:hAnsi="Times New Roman"/>
      <w:sz w:val="24"/>
      <w:lang w:eastAsia="en-GB"/>
    </w:rPr>
  </w:style>
  <w:style w:type="character" w:customStyle="1" w:styleId="normaltextrun">
    <w:name w:val="normaltextrun"/>
    <w:basedOn w:val="DefaultParagraphFont"/>
    <w:rsid w:val="00BB55F5"/>
  </w:style>
  <w:style w:type="character" w:customStyle="1" w:styleId="eop">
    <w:name w:val="eop"/>
    <w:basedOn w:val="DefaultParagraphFont"/>
    <w:rsid w:val="00BB55F5"/>
  </w:style>
  <w:style w:type="paragraph" w:customStyle="1" w:styleId="msonormal0">
    <w:name w:val="msonormal"/>
    <w:basedOn w:val="Normal"/>
    <w:rsid w:val="002C79F7"/>
    <w:pPr>
      <w:spacing w:before="100" w:beforeAutospacing="1" w:after="100" w:afterAutospacing="1"/>
    </w:pPr>
    <w:rPr>
      <w:rFonts w:ascii="Times New Roman" w:hAnsi="Times New Roman"/>
      <w:sz w:val="24"/>
      <w:lang w:eastAsia="en-GB"/>
    </w:rPr>
  </w:style>
  <w:style w:type="character" w:customStyle="1" w:styleId="textrun">
    <w:name w:val="textrun"/>
    <w:basedOn w:val="DefaultParagraphFont"/>
    <w:rsid w:val="002C79F7"/>
  </w:style>
  <w:style w:type="character" w:customStyle="1" w:styleId="linebreakblob">
    <w:name w:val="linebreakblob"/>
    <w:basedOn w:val="DefaultParagraphFont"/>
    <w:rsid w:val="002C79F7"/>
  </w:style>
  <w:style w:type="character" w:customStyle="1" w:styleId="scxw206759791">
    <w:name w:val="scxw206759791"/>
    <w:basedOn w:val="DefaultParagraphFont"/>
    <w:rsid w:val="002C79F7"/>
  </w:style>
  <w:style w:type="paragraph" w:styleId="TOC3">
    <w:name w:val="toc 3"/>
    <w:basedOn w:val="Normal"/>
    <w:next w:val="Normal"/>
    <w:uiPriority w:val="39"/>
    <w:unhideWhenUsed/>
    <w:rsid w:val="02A7DC7A"/>
    <w:pPr>
      <w:spacing w:after="0"/>
      <w:ind w:left="520"/>
    </w:pPr>
    <w:rPr>
      <w:rFonts w:ascii="Calibri" w:hAnsi="Calibri" w:cs="Calibri"/>
      <w:sz w:val="20"/>
      <w:szCs w:val="20"/>
    </w:rPr>
  </w:style>
  <w:style w:type="paragraph" w:styleId="TOC4">
    <w:name w:val="toc 4"/>
    <w:basedOn w:val="Normal"/>
    <w:next w:val="Normal"/>
    <w:uiPriority w:val="39"/>
    <w:unhideWhenUsed/>
    <w:rsid w:val="02A7DC7A"/>
    <w:pPr>
      <w:spacing w:after="0"/>
      <w:ind w:left="780"/>
    </w:pPr>
    <w:rPr>
      <w:rFonts w:ascii="Calibri" w:hAnsi="Calibri" w:cs="Calibri"/>
      <w:sz w:val="20"/>
      <w:szCs w:val="20"/>
    </w:rPr>
  </w:style>
  <w:style w:type="paragraph" w:styleId="TOC5">
    <w:name w:val="toc 5"/>
    <w:basedOn w:val="Normal"/>
    <w:next w:val="Normal"/>
    <w:uiPriority w:val="39"/>
    <w:unhideWhenUsed/>
    <w:rsid w:val="02A7DC7A"/>
    <w:pPr>
      <w:spacing w:after="0"/>
      <w:ind w:left="1040"/>
    </w:pPr>
    <w:rPr>
      <w:rFonts w:ascii="Calibri" w:hAnsi="Calibri" w:cs="Calibri"/>
      <w:sz w:val="20"/>
      <w:szCs w:val="20"/>
    </w:rPr>
  </w:style>
  <w:style w:type="paragraph" w:styleId="ListParagraph">
    <w:name w:val="List Paragraph"/>
    <w:basedOn w:val="Normal"/>
    <w:uiPriority w:val="34"/>
    <w:qFormat/>
    <w:rsid w:val="0046150A"/>
    <w:pPr>
      <w:ind w:left="720"/>
      <w:contextualSpacing/>
    </w:pPr>
  </w:style>
  <w:style w:type="paragraph" w:customStyle="1" w:styleId="NDAFootnoteRef">
    <w:name w:val="NDA Footnote Ref"/>
    <w:basedOn w:val="Normal"/>
    <w:link w:val="NDAFootnoteRefChar"/>
    <w:uiPriority w:val="1"/>
    <w:qFormat/>
    <w:rsid w:val="0046150A"/>
    <w:rPr>
      <w:sz w:val="22"/>
      <w:szCs w:val="22"/>
      <w:vertAlign w:val="superscript"/>
    </w:rPr>
  </w:style>
  <w:style w:type="character" w:customStyle="1" w:styleId="NDAFootnoteRefChar">
    <w:name w:val="NDA Footnote Ref Char"/>
    <w:link w:val="NDAFootnoteRef"/>
    <w:uiPriority w:val="1"/>
    <w:rsid w:val="0046150A"/>
    <w:rPr>
      <w:rFonts w:ascii="Gill Sans MT" w:eastAsia="Times New Roman" w:hAnsi="Gill Sans MT"/>
      <w:sz w:val="22"/>
      <w:szCs w:val="22"/>
      <w:vertAlign w:val="superscript"/>
      <w:lang w:eastAsia="en-US"/>
    </w:rPr>
  </w:style>
  <w:style w:type="paragraph" w:customStyle="1" w:styleId="SuperscriptRef">
    <w:name w:val="Superscript Ref"/>
    <w:basedOn w:val="Normal"/>
    <w:link w:val="SuperscriptRefChar"/>
    <w:uiPriority w:val="1"/>
    <w:qFormat/>
    <w:rsid w:val="4653C386"/>
    <w:pPr>
      <w:numPr>
        <w:numId w:val="25"/>
      </w:numPr>
    </w:pPr>
    <w:rPr>
      <w:sz w:val="22"/>
      <w:szCs w:val="22"/>
      <w:vertAlign w:val="superscript"/>
    </w:rPr>
  </w:style>
  <w:style w:type="character" w:customStyle="1" w:styleId="SuperscriptRefChar">
    <w:name w:val="Superscript Ref Char"/>
    <w:link w:val="SuperscriptRef"/>
    <w:uiPriority w:val="1"/>
    <w:rsid w:val="0046150A"/>
    <w:rPr>
      <w:rFonts w:ascii="Gill Sans MT" w:eastAsia="Times New Roman" w:hAnsi="Gill Sans MT"/>
      <w:sz w:val="22"/>
      <w:szCs w:val="22"/>
      <w:vertAlign w:val="superscript"/>
      <w:lang w:eastAsia="en-US"/>
    </w:rPr>
  </w:style>
  <w:style w:type="character" w:styleId="Mention">
    <w:name w:val="Mention"/>
    <w:uiPriority w:val="99"/>
    <w:unhideWhenUsed/>
    <w:rsid w:val="00621AB5"/>
    <w:rPr>
      <w:color w:val="2B579A"/>
      <w:shd w:val="clear" w:color="auto" w:fill="E1DFDD"/>
    </w:rPr>
  </w:style>
  <w:style w:type="paragraph" w:styleId="TOCHeading">
    <w:name w:val="TOC Heading"/>
    <w:basedOn w:val="Heading1"/>
    <w:next w:val="Normal"/>
    <w:uiPriority w:val="39"/>
    <w:unhideWhenUsed/>
    <w:qFormat/>
    <w:rsid w:val="007A6EC7"/>
    <w:pPr>
      <w:keepLines/>
      <w:pBdr>
        <w:top w:val="none" w:sz="0" w:space="0" w:color="auto"/>
        <w:left w:val="none" w:sz="0" w:space="0" w:color="auto"/>
        <w:bottom w:val="none" w:sz="0" w:space="0" w:color="auto"/>
        <w:right w:val="none" w:sz="0" w:space="0" w:color="auto"/>
      </w:pBdr>
      <w:spacing w:before="480" w:after="0" w:line="276" w:lineRule="auto"/>
      <w:ind w:left="0"/>
      <w:outlineLvl w:val="9"/>
    </w:pPr>
    <w:rPr>
      <w:rFonts w:ascii="Calibri Light" w:hAnsi="Calibri Light" w:cs="Times New Roman"/>
      <w:color w:val="2E74B5"/>
      <w:kern w:val="0"/>
      <w:sz w:val="28"/>
      <w:szCs w:val="28"/>
      <w:lang w:val="en-US"/>
    </w:rPr>
  </w:style>
  <w:style w:type="paragraph" w:styleId="TOC6">
    <w:name w:val="toc 6"/>
    <w:basedOn w:val="Normal"/>
    <w:next w:val="Normal"/>
    <w:autoRedefine/>
    <w:rsid w:val="007A6EC7"/>
    <w:pPr>
      <w:spacing w:after="0"/>
      <w:ind w:left="1300"/>
    </w:pPr>
    <w:rPr>
      <w:rFonts w:ascii="Calibri" w:hAnsi="Calibri" w:cs="Calibri"/>
      <w:sz w:val="20"/>
      <w:szCs w:val="20"/>
    </w:rPr>
  </w:style>
  <w:style w:type="paragraph" w:styleId="TOC7">
    <w:name w:val="toc 7"/>
    <w:basedOn w:val="Normal"/>
    <w:next w:val="Normal"/>
    <w:autoRedefine/>
    <w:rsid w:val="007A6EC7"/>
    <w:pPr>
      <w:spacing w:after="0"/>
      <w:ind w:left="1560"/>
    </w:pPr>
    <w:rPr>
      <w:rFonts w:ascii="Calibri" w:hAnsi="Calibri" w:cs="Calibri"/>
      <w:sz w:val="20"/>
      <w:szCs w:val="20"/>
    </w:rPr>
  </w:style>
  <w:style w:type="paragraph" w:styleId="TOC8">
    <w:name w:val="toc 8"/>
    <w:basedOn w:val="Normal"/>
    <w:next w:val="Normal"/>
    <w:autoRedefine/>
    <w:rsid w:val="007A6EC7"/>
    <w:pPr>
      <w:spacing w:after="0"/>
      <w:ind w:left="1820"/>
    </w:pPr>
    <w:rPr>
      <w:rFonts w:ascii="Calibri" w:hAnsi="Calibri" w:cs="Calibri"/>
      <w:sz w:val="20"/>
      <w:szCs w:val="20"/>
    </w:rPr>
  </w:style>
  <w:style w:type="paragraph" w:styleId="TOC9">
    <w:name w:val="toc 9"/>
    <w:basedOn w:val="Normal"/>
    <w:next w:val="Normal"/>
    <w:autoRedefine/>
    <w:rsid w:val="007A6EC7"/>
    <w:pPr>
      <w:spacing w:after="0"/>
      <w:ind w:left="2080"/>
    </w:pPr>
    <w:rPr>
      <w:rFonts w:ascii="Calibri" w:hAnsi="Calibri" w:cs="Calibri"/>
      <w:sz w:val="20"/>
      <w:szCs w:val="20"/>
    </w:rPr>
  </w:style>
  <w:style w:type="character" w:styleId="PlaceholderText">
    <w:name w:val="Placeholder Text"/>
    <w:uiPriority w:val="99"/>
    <w:semiHidden/>
    <w:rsid w:val="004362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5046">
      <w:marLeft w:val="640"/>
      <w:marRight w:val="0"/>
      <w:marTop w:val="0"/>
      <w:marBottom w:val="0"/>
      <w:divBdr>
        <w:top w:val="none" w:sz="0" w:space="0" w:color="auto"/>
        <w:left w:val="none" w:sz="0" w:space="0" w:color="auto"/>
        <w:bottom w:val="none" w:sz="0" w:space="0" w:color="auto"/>
        <w:right w:val="none" w:sz="0" w:space="0" w:color="auto"/>
      </w:divBdr>
    </w:div>
    <w:div w:id="3214208">
      <w:marLeft w:val="640"/>
      <w:marRight w:val="0"/>
      <w:marTop w:val="0"/>
      <w:marBottom w:val="0"/>
      <w:divBdr>
        <w:top w:val="none" w:sz="0" w:space="0" w:color="auto"/>
        <w:left w:val="none" w:sz="0" w:space="0" w:color="auto"/>
        <w:bottom w:val="none" w:sz="0" w:space="0" w:color="auto"/>
        <w:right w:val="none" w:sz="0" w:space="0" w:color="auto"/>
      </w:divBdr>
    </w:div>
    <w:div w:id="14045319">
      <w:marLeft w:val="640"/>
      <w:marRight w:val="0"/>
      <w:marTop w:val="0"/>
      <w:marBottom w:val="0"/>
      <w:divBdr>
        <w:top w:val="none" w:sz="0" w:space="0" w:color="auto"/>
        <w:left w:val="none" w:sz="0" w:space="0" w:color="auto"/>
        <w:bottom w:val="none" w:sz="0" w:space="0" w:color="auto"/>
        <w:right w:val="none" w:sz="0" w:space="0" w:color="auto"/>
      </w:divBdr>
    </w:div>
    <w:div w:id="16203041">
      <w:marLeft w:val="640"/>
      <w:marRight w:val="0"/>
      <w:marTop w:val="0"/>
      <w:marBottom w:val="0"/>
      <w:divBdr>
        <w:top w:val="none" w:sz="0" w:space="0" w:color="auto"/>
        <w:left w:val="none" w:sz="0" w:space="0" w:color="auto"/>
        <w:bottom w:val="none" w:sz="0" w:space="0" w:color="auto"/>
        <w:right w:val="none" w:sz="0" w:space="0" w:color="auto"/>
      </w:divBdr>
    </w:div>
    <w:div w:id="25109930">
      <w:marLeft w:val="640"/>
      <w:marRight w:val="0"/>
      <w:marTop w:val="0"/>
      <w:marBottom w:val="0"/>
      <w:divBdr>
        <w:top w:val="none" w:sz="0" w:space="0" w:color="auto"/>
        <w:left w:val="none" w:sz="0" w:space="0" w:color="auto"/>
        <w:bottom w:val="none" w:sz="0" w:space="0" w:color="auto"/>
        <w:right w:val="none" w:sz="0" w:space="0" w:color="auto"/>
      </w:divBdr>
    </w:div>
    <w:div w:id="27996644">
      <w:marLeft w:val="640"/>
      <w:marRight w:val="0"/>
      <w:marTop w:val="0"/>
      <w:marBottom w:val="0"/>
      <w:divBdr>
        <w:top w:val="none" w:sz="0" w:space="0" w:color="auto"/>
        <w:left w:val="none" w:sz="0" w:space="0" w:color="auto"/>
        <w:bottom w:val="none" w:sz="0" w:space="0" w:color="auto"/>
        <w:right w:val="none" w:sz="0" w:space="0" w:color="auto"/>
      </w:divBdr>
    </w:div>
    <w:div w:id="45186627">
      <w:marLeft w:val="640"/>
      <w:marRight w:val="0"/>
      <w:marTop w:val="0"/>
      <w:marBottom w:val="0"/>
      <w:divBdr>
        <w:top w:val="none" w:sz="0" w:space="0" w:color="auto"/>
        <w:left w:val="none" w:sz="0" w:space="0" w:color="auto"/>
        <w:bottom w:val="none" w:sz="0" w:space="0" w:color="auto"/>
        <w:right w:val="none" w:sz="0" w:space="0" w:color="auto"/>
      </w:divBdr>
    </w:div>
    <w:div w:id="54398008">
      <w:marLeft w:val="640"/>
      <w:marRight w:val="0"/>
      <w:marTop w:val="0"/>
      <w:marBottom w:val="0"/>
      <w:divBdr>
        <w:top w:val="none" w:sz="0" w:space="0" w:color="auto"/>
        <w:left w:val="none" w:sz="0" w:space="0" w:color="auto"/>
        <w:bottom w:val="none" w:sz="0" w:space="0" w:color="auto"/>
        <w:right w:val="none" w:sz="0" w:space="0" w:color="auto"/>
      </w:divBdr>
    </w:div>
    <w:div w:id="65886573">
      <w:marLeft w:val="640"/>
      <w:marRight w:val="0"/>
      <w:marTop w:val="0"/>
      <w:marBottom w:val="0"/>
      <w:divBdr>
        <w:top w:val="none" w:sz="0" w:space="0" w:color="auto"/>
        <w:left w:val="none" w:sz="0" w:space="0" w:color="auto"/>
        <w:bottom w:val="none" w:sz="0" w:space="0" w:color="auto"/>
        <w:right w:val="none" w:sz="0" w:space="0" w:color="auto"/>
      </w:divBdr>
    </w:div>
    <w:div w:id="67191211">
      <w:marLeft w:val="640"/>
      <w:marRight w:val="0"/>
      <w:marTop w:val="0"/>
      <w:marBottom w:val="0"/>
      <w:divBdr>
        <w:top w:val="none" w:sz="0" w:space="0" w:color="auto"/>
        <w:left w:val="none" w:sz="0" w:space="0" w:color="auto"/>
        <w:bottom w:val="none" w:sz="0" w:space="0" w:color="auto"/>
        <w:right w:val="none" w:sz="0" w:space="0" w:color="auto"/>
      </w:divBdr>
    </w:div>
    <w:div w:id="67652545">
      <w:marLeft w:val="640"/>
      <w:marRight w:val="0"/>
      <w:marTop w:val="0"/>
      <w:marBottom w:val="0"/>
      <w:divBdr>
        <w:top w:val="none" w:sz="0" w:space="0" w:color="auto"/>
        <w:left w:val="none" w:sz="0" w:space="0" w:color="auto"/>
        <w:bottom w:val="none" w:sz="0" w:space="0" w:color="auto"/>
        <w:right w:val="none" w:sz="0" w:space="0" w:color="auto"/>
      </w:divBdr>
    </w:div>
    <w:div w:id="69892433">
      <w:marLeft w:val="640"/>
      <w:marRight w:val="0"/>
      <w:marTop w:val="0"/>
      <w:marBottom w:val="0"/>
      <w:divBdr>
        <w:top w:val="none" w:sz="0" w:space="0" w:color="auto"/>
        <w:left w:val="none" w:sz="0" w:space="0" w:color="auto"/>
        <w:bottom w:val="none" w:sz="0" w:space="0" w:color="auto"/>
        <w:right w:val="none" w:sz="0" w:space="0" w:color="auto"/>
      </w:divBdr>
    </w:div>
    <w:div w:id="79061770">
      <w:marLeft w:val="640"/>
      <w:marRight w:val="0"/>
      <w:marTop w:val="0"/>
      <w:marBottom w:val="0"/>
      <w:divBdr>
        <w:top w:val="none" w:sz="0" w:space="0" w:color="auto"/>
        <w:left w:val="none" w:sz="0" w:space="0" w:color="auto"/>
        <w:bottom w:val="none" w:sz="0" w:space="0" w:color="auto"/>
        <w:right w:val="none" w:sz="0" w:space="0" w:color="auto"/>
      </w:divBdr>
    </w:div>
    <w:div w:id="98910561">
      <w:marLeft w:val="640"/>
      <w:marRight w:val="0"/>
      <w:marTop w:val="0"/>
      <w:marBottom w:val="0"/>
      <w:divBdr>
        <w:top w:val="none" w:sz="0" w:space="0" w:color="auto"/>
        <w:left w:val="none" w:sz="0" w:space="0" w:color="auto"/>
        <w:bottom w:val="none" w:sz="0" w:space="0" w:color="auto"/>
        <w:right w:val="none" w:sz="0" w:space="0" w:color="auto"/>
      </w:divBdr>
    </w:div>
    <w:div w:id="104229777">
      <w:marLeft w:val="640"/>
      <w:marRight w:val="0"/>
      <w:marTop w:val="0"/>
      <w:marBottom w:val="0"/>
      <w:divBdr>
        <w:top w:val="none" w:sz="0" w:space="0" w:color="auto"/>
        <w:left w:val="none" w:sz="0" w:space="0" w:color="auto"/>
        <w:bottom w:val="none" w:sz="0" w:space="0" w:color="auto"/>
        <w:right w:val="none" w:sz="0" w:space="0" w:color="auto"/>
      </w:divBdr>
    </w:div>
    <w:div w:id="105781724">
      <w:marLeft w:val="640"/>
      <w:marRight w:val="0"/>
      <w:marTop w:val="0"/>
      <w:marBottom w:val="0"/>
      <w:divBdr>
        <w:top w:val="none" w:sz="0" w:space="0" w:color="auto"/>
        <w:left w:val="none" w:sz="0" w:space="0" w:color="auto"/>
        <w:bottom w:val="none" w:sz="0" w:space="0" w:color="auto"/>
        <w:right w:val="none" w:sz="0" w:space="0" w:color="auto"/>
      </w:divBdr>
    </w:div>
    <w:div w:id="108472780">
      <w:marLeft w:val="640"/>
      <w:marRight w:val="0"/>
      <w:marTop w:val="0"/>
      <w:marBottom w:val="0"/>
      <w:divBdr>
        <w:top w:val="none" w:sz="0" w:space="0" w:color="auto"/>
        <w:left w:val="none" w:sz="0" w:space="0" w:color="auto"/>
        <w:bottom w:val="none" w:sz="0" w:space="0" w:color="auto"/>
        <w:right w:val="none" w:sz="0" w:space="0" w:color="auto"/>
      </w:divBdr>
    </w:div>
    <w:div w:id="112789508">
      <w:marLeft w:val="640"/>
      <w:marRight w:val="0"/>
      <w:marTop w:val="0"/>
      <w:marBottom w:val="0"/>
      <w:divBdr>
        <w:top w:val="none" w:sz="0" w:space="0" w:color="auto"/>
        <w:left w:val="none" w:sz="0" w:space="0" w:color="auto"/>
        <w:bottom w:val="none" w:sz="0" w:space="0" w:color="auto"/>
        <w:right w:val="none" w:sz="0" w:space="0" w:color="auto"/>
      </w:divBdr>
    </w:div>
    <w:div w:id="113058444">
      <w:marLeft w:val="640"/>
      <w:marRight w:val="0"/>
      <w:marTop w:val="0"/>
      <w:marBottom w:val="0"/>
      <w:divBdr>
        <w:top w:val="none" w:sz="0" w:space="0" w:color="auto"/>
        <w:left w:val="none" w:sz="0" w:space="0" w:color="auto"/>
        <w:bottom w:val="none" w:sz="0" w:space="0" w:color="auto"/>
        <w:right w:val="none" w:sz="0" w:space="0" w:color="auto"/>
      </w:divBdr>
    </w:div>
    <w:div w:id="127867015">
      <w:marLeft w:val="640"/>
      <w:marRight w:val="0"/>
      <w:marTop w:val="0"/>
      <w:marBottom w:val="0"/>
      <w:divBdr>
        <w:top w:val="none" w:sz="0" w:space="0" w:color="auto"/>
        <w:left w:val="none" w:sz="0" w:space="0" w:color="auto"/>
        <w:bottom w:val="none" w:sz="0" w:space="0" w:color="auto"/>
        <w:right w:val="none" w:sz="0" w:space="0" w:color="auto"/>
      </w:divBdr>
    </w:div>
    <w:div w:id="129905711">
      <w:marLeft w:val="640"/>
      <w:marRight w:val="0"/>
      <w:marTop w:val="0"/>
      <w:marBottom w:val="0"/>
      <w:divBdr>
        <w:top w:val="none" w:sz="0" w:space="0" w:color="auto"/>
        <w:left w:val="none" w:sz="0" w:space="0" w:color="auto"/>
        <w:bottom w:val="none" w:sz="0" w:space="0" w:color="auto"/>
        <w:right w:val="none" w:sz="0" w:space="0" w:color="auto"/>
      </w:divBdr>
    </w:div>
    <w:div w:id="132522870">
      <w:marLeft w:val="640"/>
      <w:marRight w:val="0"/>
      <w:marTop w:val="0"/>
      <w:marBottom w:val="0"/>
      <w:divBdr>
        <w:top w:val="none" w:sz="0" w:space="0" w:color="auto"/>
        <w:left w:val="none" w:sz="0" w:space="0" w:color="auto"/>
        <w:bottom w:val="none" w:sz="0" w:space="0" w:color="auto"/>
        <w:right w:val="none" w:sz="0" w:space="0" w:color="auto"/>
      </w:divBdr>
    </w:div>
    <w:div w:id="133790435">
      <w:marLeft w:val="640"/>
      <w:marRight w:val="0"/>
      <w:marTop w:val="0"/>
      <w:marBottom w:val="0"/>
      <w:divBdr>
        <w:top w:val="none" w:sz="0" w:space="0" w:color="auto"/>
        <w:left w:val="none" w:sz="0" w:space="0" w:color="auto"/>
        <w:bottom w:val="none" w:sz="0" w:space="0" w:color="auto"/>
        <w:right w:val="none" w:sz="0" w:space="0" w:color="auto"/>
      </w:divBdr>
    </w:div>
    <w:div w:id="143395364">
      <w:marLeft w:val="640"/>
      <w:marRight w:val="0"/>
      <w:marTop w:val="0"/>
      <w:marBottom w:val="0"/>
      <w:divBdr>
        <w:top w:val="none" w:sz="0" w:space="0" w:color="auto"/>
        <w:left w:val="none" w:sz="0" w:space="0" w:color="auto"/>
        <w:bottom w:val="none" w:sz="0" w:space="0" w:color="auto"/>
        <w:right w:val="none" w:sz="0" w:space="0" w:color="auto"/>
      </w:divBdr>
    </w:div>
    <w:div w:id="144319309">
      <w:marLeft w:val="640"/>
      <w:marRight w:val="0"/>
      <w:marTop w:val="0"/>
      <w:marBottom w:val="0"/>
      <w:divBdr>
        <w:top w:val="none" w:sz="0" w:space="0" w:color="auto"/>
        <w:left w:val="none" w:sz="0" w:space="0" w:color="auto"/>
        <w:bottom w:val="none" w:sz="0" w:space="0" w:color="auto"/>
        <w:right w:val="none" w:sz="0" w:space="0" w:color="auto"/>
      </w:divBdr>
    </w:div>
    <w:div w:id="146479477">
      <w:marLeft w:val="640"/>
      <w:marRight w:val="0"/>
      <w:marTop w:val="0"/>
      <w:marBottom w:val="0"/>
      <w:divBdr>
        <w:top w:val="none" w:sz="0" w:space="0" w:color="auto"/>
        <w:left w:val="none" w:sz="0" w:space="0" w:color="auto"/>
        <w:bottom w:val="none" w:sz="0" w:space="0" w:color="auto"/>
        <w:right w:val="none" w:sz="0" w:space="0" w:color="auto"/>
      </w:divBdr>
    </w:div>
    <w:div w:id="148206059">
      <w:marLeft w:val="640"/>
      <w:marRight w:val="0"/>
      <w:marTop w:val="0"/>
      <w:marBottom w:val="0"/>
      <w:divBdr>
        <w:top w:val="none" w:sz="0" w:space="0" w:color="auto"/>
        <w:left w:val="none" w:sz="0" w:space="0" w:color="auto"/>
        <w:bottom w:val="none" w:sz="0" w:space="0" w:color="auto"/>
        <w:right w:val="none" w:sz="0" w:space="0" w:color="auto"/>
      </w:divBdr>
    </w:div>
    <w:div w:id="149948352">
      <w:marLeft w:val="640"/>
      <w:marRight w:val="0"/>
      <w:marTop w:val="0"/>
      <w:marBottom w:val="0"/>
      <w:divBdr>
        <w:top w:val="none" w:sz="0" w:space="0" w:color="auto"/>
        <w:left w:val="none" w:sz="0" w:space="0" w:color="auto"/>
        <w:bottom w:val="none" w:sz="0" w:space="0" w:color="auto"/>
        <w:right w:val="none" w:sz="0" w:space="0" w:color="auto"/>
      </w:divBdr>
    </w:div>
    <w:div w:id="152066129">
      <w:marLeft w:val="640"/>
      <w:marRight w:val="0"/>
      <w:marTop w:val="0"/>
      <w:marBottom w:val="0"/>
      <w:divBdr>
        <w:top w:val="none" w:sz="0" w:space="0" w:color="auto"/>
        <w:left w:val="none" w:sz="0" w:space="0" w:color="auto"/>
        <w:bottom w:val="none" w:sz="0" w:space="0" w:color="auto"/>
        <w:right w:val="none" w:sz="0" w:space="0" w:color="auto"/>
      </w:divBdr>
    </w:div>
    <w:div w:id="155072035">
      <w:marLeft w:val="640"/>
      <w:marRight w:val="0"/>
      <w:marTop w:val="0"/>
      <w:marBottom w:val="0"/>
      <w:divBdr>
        <w:top w:val="none" w:sz="0" w:space="0" w:color="auto"/>
        <w:left w:val="none" w:sz="0" w:space="0" w:color="auto"/>
        <w:bottom w:val="none" w:sz="0" w:space="0" w:color="auto"/>
        <w:right w:val="none" w:sz="0" w:space="0" w:color="auto"/>
      </w:divBdr>
    </w:div>
    <w:div w:id="155614285">
      <w:marLeft w:val="640"/>
      <w:marRight w:val="0"/>
      <w:marTop w:val="0"/>
      <w:marBottom w:val="0"/>
      <w:divBdr>
        <w:top w:val="none" w:sz="0" w:space="0" w:color="auto"/>
        <w:left w:val="none" w:sz="0" w:space="0" w:color="auto"/>
        <w:bottom w:val="none" w:sz="0" w:space="0" w:color="auto"/>
        <w:right w:val="none" w:sz="0" w:space="0" w:color="auto"/>
      </w:divBdr>
    </w:div>
    <w:div w:id="163473779">
      <w:marLeft w:val="640"/>
      <w:marRight w:val="0"/>
      <w:marTop w:val="0"/>
      <w:marBottom w:val="0"/>
      <w:divBdr>
        <w:top w:val="none" w:sz="0" w:space="0" w:color="auto"/>
        <w:left w:val="none" w:sz="0" w:space="0" w:color="auto"/>
        <w:bottom w:val="none" w:sz="0" w:space="0" w:color="auto"/>
        <w:right w:val="none" w:sz="0" w:space="0" w:color="auto"/>
      </w:divBdr>
    </w:div>
    <w:div w:id="164437234">
      <w:marLeft w:val="640"/>
      <w:marRight w:val="0"/>
      <w:marTop w:val="0"/>
      <w:marBottom w:val="0"/>
      <w:divBdr>
        <w:top w:val="none" w:sz="0" w:space="0" w:color="auto"/>
        <w:left w:val="none" w:sz="0" w:space="0" w:color="auto"/>
        <w:bottom w:val="none" w:sz="0" w:space="0" w:color="auto"/>
        <w:right w:val="none" w:sz="0" w:space="0" w:color="auto"/>
      </w:divBdr>
    </w:div>
    <w:div w:id="165217509">
      <w:marLeft w:val="640"/>
      <w:marRight w:val="0"/>
      <w:marTop w:val="0"/>
      <w:marBottom w:val="0"/>
      <w:divBdr>
        <w:top w:val="none" w:sz="0" w:space="0" w:color="auto"/>
        <w:left w:val="none" w:sz="0" w:space="0" w:color="auto"/>
        <w:bottom w:val="none" w:sz="0" w:space="0" w:color="auto"/>
        <w:right w:val="none" w:sz="0" w:space="0" w:color="auto"/>
      </w:divBdr>
    </w:div>
    <w:div w:id="190605921">
      <w:marLeft w:val="640"/>
      <w:marRight w:val="0"/>
      <w:marTop w:val="0"/>
      <w:marBottom w:val="0"/>
      <w:divBdr>
        <w:top w:val="none" w:sz="0" w:space="0" w:color="auto"/>
        <w:left w:val="none" w:sz="0" w:space="0" w:color="auto"/>
        <w:bottom w:val="none" w:sz="0" w:space="0" w:color="auto"/>
        <w:right w:val="none" w:sz="0" w:space="0" w:color="auto"/>
      </w:divBdr>
    </w:div>
    <w:div w:id="201748529">
      <w:marLeft w:val="640"/>
      <w:marRight w:val="0"/>
      <w:marTop w:val="0"/>
      <w:marBottom w:val="0"/>
      <w:divBdr>
        <w:top w:val="none" w:sz="0" w:space="0" w:color="auto"/>
        <w:left w:val="none" w:sz="0" w:space="0" w:color="auto"/>
        <w:bottom w:val="none" w:sz="0" w:space="0" w:color="auto"/>
        <w:right w:val="none" w:sz="0" w:space="0" w:color="auto"/>
      </w:divBdr>
    </w:div>
    <w:div w:id="219945843">
      <w:marLeft w:val="640"/>
      <w:marRight w:val="0"/>
      <w:marTop w:val="0"/>
      <w:marBottom w:val="0"/>
      <w:divBdr>
        <w:top w:val="none" w:sz="0" w:space="0" w:color="auto"/>
        <w:left w:val="none" w:sz="0" w:space="0" w:color="auto"/>
        <w:bottom w:val="none" w:sz="0" w:space="0" w:color="auto"/>
        <w:right w:val="none" w:sz="0" w:space="0" w:color="auto"/>
      </w:divBdr>
    </w:div>
    <w:div w:id="222370137">
      <w:marLeft w:val="640"/>
      <w:marRight w:val="0"/>
      <w:marTop w:val="0"/>
      <w:marBottom w:val="0"/>
      <w:divBdr>
        <w:top w:val="none" w:sz="0" w:space="0" w:color="auto"/>
        <w:left w:val="none" w:sz="0" w:space="0" w:color="auto"/>
        <w:bottom w:val="none" w:sz="0" w:space="0" w:color="auto"/>
        <w:right w:val="none" w:sz="0" w:space="0" w:color="auto"/>
      </w:divBdr>
    </w:div>
    <w:div w:id="237130729">
      <w:marLeft w:val="640"/>
      <w:marRight w:val="0"/>
      <w:marTop w:val="0"/>
      <w:marBottom w:val="0"/>
      <w:divBdr>
        <w:top w:val="none" w:sz="0" w:space="0" w:color="auto"/>
        <w:left w:val="none" w:sz="0" w:space="0" w:color="auto"/>
        <w:bottom w:val="none" w:sz="0" w:space="0" w:color="auto"/>
        <w:right w:val="none" w:sz="0" w:space="0" w:color="auto"/>
      </w:divBdr>
    </w:div>
    <w:div w:id="253978224">
      <w:marLeft w:val="640"/>
      <w:marRight w:val="0"/>
      <w:marTop w:val="0"/>
      <w:marBottom w:val="0"/>
      <w:divBdr>
        <w:top w:val="none" w:sz="0" w:space="0" w:color="auto"/>
        <w:left w:val="none" w:sz="0" w:space="0" w:color="auto"/>
        <w:bottom w:val="none" w:sz="0" w:space="0" w:color="auto"/>
        <w:right w:val="none" w:sz="0" w:space="0" w:color="auto"/>
      </w:divBdr>
    </w:div>
    <w:div w:id="258224555">
      <w:marLeft w:val="640"/>
      <w:marRight w:val="0"/>
      <w:marTop w:val="0"/>
      <w:marBottom w:val="0"/>
      <w:divBdr>
        <w:top w:val="none" w:sz="0" w:space="0" w:color="auto"/>
        <w:left w:val="none" w:sz="0" w:space="0" w:color="auto"/>
        <w:bottom w:val="none" w:sz="0" w:space="0" w:color="auto"/>
        <w:right w:val="none" w:sz="0" w:space="0" w:color="auto"/>
      </w:divBdr>
    </w:div>
    <w:div w:id="278681959">
      <w:marLeft w:val="640"/>
      <w:marRight w:val="0"/>
      <w:marTop w:val="0"/>
      <w:marBottom w:val="0"/>
      <w:divBdr>
        <w:top w:val="none" w:sz="0" w:space="0" w:color="auto"/>
        <w:left w:val="none" w:sz="0" w:space="0" w:color="auto"/>
        <w:bottom w:val="none" w:sz="0" w:space="0" w:color="auto"/>
        <w:right w:val="none" w:sz="0" w:space="0" w:color="auto"/>
      </w:divBdr>
    </w:div>
    <w:div w:id="279999888">
      <w:marLeft w:val="640"/>
      <w:marRight w:val="0"/>
      <w:marTop w:val="0"/>
      <w:marBottom w:val="0"/>
      <w:divBdr>
        <w:top w:val="none" w:sz="0" w:space="0" w:color="auto"/>
        <w:left w:val="none" w:sz="0" w:space="0" w:color="auto"/>
        <w:bottom w:val="none" w:sz="0" w:space="0" w:color="auto"/>
        <w:right w:val="none" w:sz="0" w:space="0" w:color="auto"/>
      </w:divBdr>
    </w:div>
    <w:div w:id="281112501">
      <w:marLeft w:val="640"/>
      <w:marRight w:val="0"/>
      <w:marTop w:val="0"/>
      <w:marBottom w:val="0"/>
      <w:divBdr>
        <w:top w:val="none" w:sz="0" w:space="0" w:color="auto"/>
        <w:left w:val="none" w:sz="0" w:space="0" w:color="auto"/>
        <w:bottom w:val="none" w:sz="0" w:space="0" w:color="auto"/>
        <w:right w:val="none" w:sz="0" w:space="0" w:color="auto"/>
      </w:divBdr>
    </w:div>
    <w:div w:id="281420626">
      <w:marLeft w:val="640"/>
      <w:marRight w:val="0"/>
      <w:marTop w:val="0"/>
      <w:marBottom w:val="0"/>
      <w:divBdr>
        <w:top w:val="none" w:sz="0" w:space="0" w:color="auto"/>
        <w:left w:val="none" w:sz="0" w:space="0" w:color="auto"/>
        <w:bottom w:val="none" w:sz="0" w:space="0" w:color="auto"/>
        <w:right w:val="none" w:sz="0" w:space="0" w:color="auto"/>
      </w:divBdr>
    </w:div>
    <w:div w:id="282925678">
      <w:marLeft w:val="640"/>
      <w:marRight w:val="0"/>
      <w:marTop w:val="0"/>
      <w:marBottom w:val="0"/>
      <w:divBdr>
        <w:top w:val="none" w:sz="0" w:space="0" w:color="auto"/>
        <w:left w:val="none" w:sz="0" w:space="0" w:color="auto"/>
        <w:bottom w:val="none" w:sz="0" w:space="0" w:color="auto"/>
        <w:right w:val="none" w:sz="0" w:space="0" w:color="auto"/>
      </w:divBdr>
    </w:div>
    <w:div w:id="287665169">
      <w:marLeft w:val="640"/>
      <w:marRight w:val="0"/>
      <w:marTop w:val="0"/>
      <w:marBottom w:val="0"/>
      <w:divBdr>
        <w:top w:val="none" w:sz="0" w:space="0" w:color="auto"/>
        <w:left w:val="none" w:sz="0" w:space="0" w:color="auto"/>
        <w:bottom w:val="none" w:sz="0" w:space="0" w:color="auto"/>
        <w:right w:val="none" w:sz="0" w:space="0" w:color="auto"/>
      </w:divBdr>
    </w:div>
    <w:div w:id="287904578">
      <w:marLeft w:val="640"/>
      <w:marRight w:val="0"/>
      <w:marTop w:val="0"/>
      <w:marBottom w:val="0"/>
      <w:divBdr>
        <w:top w:val="none" w:sz="0" w:space="0" w:color="auto"/>
        <w:left w:val="none" w:sz="0" w:space="0" w:color="auto"/>
        <w:bottom w:val="none" w:sz="0" w:space="0" w:color="auto"/>
        <w:right w:val="none" w:sz="0" w:space="0" w:color="auto"/>
      </w:divBdr>
    </w:div>
    <w:div w:id="295914230">
      <w:marLeft w:val="640"/>
      <w:marRight w:val="0"/>
      <w:marTop w:val="0"/>
      <w:marBottom w:val="0"/>
      <w:divBdr>
        <w:top w:val="none" w:sz="0" w:space="0" w:color="auto"/>
        <w:left w:val="none" w:sz="0" w:space="0" w:color="auto"/>
        <w:bottom w:val="none" w:sz="0" w:space="0" w:color="auto"/>
        <w:right w:val="none" w:sz="0" w:space="0" w:color="auto"/>
      </w:divBdr>
    </w:div>
    <w:div w:id="296302259">
      <w:marLeft w:val="640"/>
      <w:marRight w:val="0"/>
      <w:marTop w:val="0"/>
      <w:marBottom w:val="0"/>
      <w:divBdr>
        <w:top w:val="none" w:sz="0" w:space="0" w:color="auto"/>
        <w:left w:val="none" w:sz="0" w:space="0" w:color="auto"/>
        <w:bottom w:val="none" w:sz="0" w:space="0" w:color="auto"/>
        <w:right w:val="none" w:sz="0" w:space="0" w:color="auto"/>
      </w:divBdr>
    </w:div>
    <w:div w:id="306251119">
      <w:marLeft w:val="640"/>
      <w:marRight w:val="0"/>
      <w:marTop w:val="0"/>
      <w:marBottom w:val="0"/>
      <w:divBdr>
        <w:top w:val="none" w:sz="0" w:space="0" w:color="auto"/>
        <w:left w:val="none" w:sz="0" w:space="0" w:color="auto"/>
        <w:bottom w:val="none" w:sz="0" w:space="0" w:color="auto"/>
        <w:right w:val="none" w:sz="0" w:space="0" w:color="auto"/>
      </w:divBdr>
    </w:div>
    <w:div w:id="310641858">
      <w:marLeft w:val="640"/>
      <w:marRight w:val="0"/>
      <w:marTop w:val="0"/>
      <w:marBottom w:val="0"/>
      <w:divBdr>
        <w:top w:val="none" w:sz="0" w:space="0" w:color="auto"/>
        <w:left w:val="none" w:sz="0" w:space="0" w:color="auto"/>
        <w:bottom w:val="none" w:sz="0" w:space="0" w:color="auto"/>
        <w:right w:val="none" w:sz="0" w:space="0" w:color="auto"/>
      </w:divBdr>
    </w:div>
    <w:div w:id="322899550">
      <w:marLeft w:val="640"/>
      <w:marRight w:val="0"/>
      <w:marTop w:val="0"/>
      <w:marBottom w:val="0"/>
      <w:divBdr>
        <w:top w:val="none" w:sz="0" w:space="0" w:color="auto"/>
        <w:left w:val="none" w:sz="0" w:space="0" w:color="auto"/>
        <w:bottom w:val="none" w:sz="0" w:space="0" w:color="auto"/>
        <w:right w:val="none" w:sz="0" w:space="0" w:color="auto"/>
      </w:divBdr>
    </w:div>
    <w:div w:id="330179893">
      <w:marLeft w:val="640"/>
      <w:marRight w:val="0"/>
      <w:marTop w:val="0"/>
      <w:marBottom w:val="0"/>
      <w:divBdr>
        <w:top w:val="none" w:sz="0" w:space="0" w:color="auto"/>
        <w:left w:val="none" w:sz="0" w:space="0" w:color="auto"/>
        <w:bottom w:val="none" w:sz="0" w:space="0" w:color="auto"/>
        <w:right w:val="none" w:sz="0" w:space="0" w:color="auto"/>
      </w:divBdr>
    </w:div>
    <w:div w:id="330836304">
      <w:marLeft w:val="640"/>
      <w:marRight w:val="0"/>
      <w:marTop w:val="0"/>
      <w:marBottom w:val="0"/>
      <w:divBdr>
        <w:top w:val="none" w:sz="0" w:space="0" w:color="auto"/>
        <w:left w:val="none" w:sz="0" w:space="0" w:color="auto"/>
        <w:bottom w:val="none" w:sz="0" w:space="0" w:color="auto"/>
        <w:right w:val="none" w:sz="0" w:space="0" w:color="auto"/>
      </w:divBdr>
    </w:div>
    <w:div w:id="334847023">
      <w:marLeft w:val="640"/>
      <w:marRight w:val="0"/>
      <w:marTop w:val="0"/>
      <w:marBottom w:val="0"/>
      <w:divBdr>
        <w:top w:val="none" w:sz="0" w:space="0" w:color="auto"/>
        <w:left w:val="none" w:sz="0" w:space="0" w:color="auto"/>
        <w:bottom w:val="none" w:sz="0" w:space="0" w:color="auto"/>
        <w:right w:val="none" w:sz="0" w:space="0" w:color="auto"/>
      </w:divBdr>
    </w:div>
    <w:div w:id="338654579">
      <w:marLeft w:val="640"/>
      <w:marRight w:val="0"/>
      <w:marTop w:val="0"/>
      <w:marBottom w:val="0"/>
      <w:divBdr>
        <w:top w:val="none" w:sz="0" w:space="0" w:color="auto"/>
        <w:left w:val="none" w:sz="0" w:space="0" w:color="auto"/>
        <w:bottom w:val="none" w:sz="0" w:space="0" w:color="auto"/>
        <w:right w:val="none" w:sz="0" w:space="0" w:color="auto"/>
      </w:divBdr>
    </w:div>
    <w:div w:id="360013910">
      <w:marLeft w:val="640"/>
      <w:marRight w:val="0"/>
      <w:marTop w:val="0"/>
      <w:marBottom w:val="0"/>
      <w:divBdr>
        <w:top w:val="none" w:sz="0" w:space="0" w:color="auto"/>
        <w:left w:val="none" w:sz="0" w:space="0" w:color="auto"/>
        <w:bottom w:val="none" w:sz="0" w:space="0" w:color="auto"/>
        <w:right w:val="none" w:sz="0" w:space="0" w:color="auto"/>
      </w:divBdr>
    </w:div>
    <w:div w:id="362245024">
      <w:marLeft w:val="640"/>
      <w:marRight w:val="0"/>
      <w:marTop w:val="0"/>
      <w:marBottom w:val="0"/>
      <w:divBdr>
        <w:top w:val="none" w:sz="0" w:space="0" w:color="auto"/>
        <w:left w:val="none" w:sz="0" w:space="0" w:color="auto"/>
        <w:bottom w:val="none" w:sz="0" w:space="0" w:color="auto"/>
        <w:right w:val="none" w:sz="0" w:space="0" w:color="auto"/>
      </w:divBdr>
    </w:div>
    <w:div w:id="370082340">
      <w:marLeft w:val="640"/>
      <w:marRight w:val="0"/>
      <w:marTop w:val="0"/>
      <w:marBottom w:val="0"/>
      <w:divBdr>
        <w:top w:val="none" w:sz="0" w:space="0" w:color="auto"/>
        <w:left w:val="none" w:sz="0" w:space="0" w:color="auto"/>
        <w:bottom w:val="none" w:sz="0" w:space="0" w:color="auto"/>
        <w:right w:val="none" w:sz="0" w:space="0" w:color="auto"/>
      </w:divBdr>
    </w:div>
    <w:div w:id="375659942">
      <w:marLeft w:val="640"/>
      <w:marRight w:val="0"/>
      <w:marTop w:val="0"/>
      <w:marBottom w:val="0"/>
      <w:divBdr>
        <w:top w:val="none" w:sz="0" w:space="0" w:color="auto"/>
        <w:left w:val="none" w:sz="0" w:space="0" w:color="auto"/>
        <w:bottom w:val="none" w:sz="0" w:space="0" w:color="auto"/>
        <w:right w:val="none" w:sz="0" w:space="0" w:color="auto"/>
      </w:divBdr>
    </w:div>
    <w:div w:id="381296788">
      <w:marLeft w:val="640"/>
      <w:marRight w:val="0"/>
      <w:marTop w:val="0"/>
      <w:marBottom w:val="0"/>
      <w:divBdr>
        <w:top w:val="none" w:sz="0" w:space="0" w:color="auto"/>
        <w:left w:val="none" w:sz="0" w:space="0" w:color="auto"/>
        <w:bottom w:val="none" w:sz="0" w:space="0" w:color="auto"/>
        <w:right w:val="none" w:sz="0" w:space="0" w:color="auto"/>
      </w:divBdr>
    </w:div>
    <w:div w:id="388069788">
      <w:marLeft w:val="640"/>
      <w:marRight w:val="0"/>
      <w:marTop w:val="0"/>
      <w:marBottom w:val="0"/>
      <w:divBdr>
        <w:top w:val="none" w:sz="0" w:space="0" w:color="auto"/>
        <w:left w:val="none" w:sz="0" w:space="0" w:color="auto"/>
        <w:bottom w:val="none" w:sz="0" w:space="0" w:color="auto"/>
        <w:right w:val="none" w:sz="0" w:space="0" w:color="auto"/>
      </w:divBdr>
    </w:div>
    <w:div w:id="392237188">
      <w:marLeft w:val="640"/>
      <w:marRight w:val="0"/>
      <w:marTop w:val="0"/>
      <w:marBottom w:val="0"/>
      <w:divBdr>
        <w:top w:val="none" w:sz="0" w:space="0" w:color="auto"/>
        <w:left w:val="none" w:sz="0" w:space="0" w:color="auto"/>
        <w:bottom w:val="none" w:sz="0" w:space="0" w:color="auto"/>
        <w:right w:val="none" w:sz="0" w:space="0" w:color="auto"/>
      </w:divBdr>
    </w:div>
    <w:div w:id="396321306">
      <w:marLeft w:val="640"/>
      <w:marRight w:val="0"/>
      <w:marTop w:val="0"/>
      <w:marBottom w:val="0"/>
      <w:divBdr>
        <w:top w:val="none" w:sz="0" w:space="0" w:color="auto"/>
        <w:left w:val="none" w:sz="0" w:space="0" w:color="auto"/>
        <w:bottom w:val="none" w:sz="0" w:space="0" w:color="auto"/>
        <w:right w:val="none" w:sz="0" w:space="0" w:color="auto"/>
      </w:divBdr>
    </w:div>
    <w:div w:id="405953010">
      <w:marLeft w:val="640"/>
      <w:marRight w:val="0"/>
      <w:marTop w:val="0"/>
      <w:marBottom w:val="0"/>
      <w:divBdr>
        <w:top w:val="none" w:sz="0" w:space="0" w:color="auto"/>
        <w:left w:val="none" w:sz="0" w:space="0" w:color="auto"/>
        <w:bottom w:val="none" w:sz="0" w:space="0" w:color="auto"/>
        <w:right w:val="none" w:sz="0" w:space="0" w:color="auto"/>
      </w:divBdr>
    </w:div>
    <w:div w:id="430518177">
      <w:marLeft w:val="640"/>
      <w:marRight w:val="0"/>
      <w:marTop w:val="0"/>
      <w:marBottom w:val="0"/>
      <w:divBdr>
        <w:top w:val="none" w:sz="0" w:space="0" w:color="auto"/>
        <w:left w:val="none" w:sz="0" w:space="0" w:color="auto"/>
        <w:bottom w:val="none" w:sz="0" w:space="0" w:color="auto"/>
        <w:right w:val="none" w:sz="0" w:space="0" w:color="auto"/>
      </w:divBdr>
    </w:div>
    <w:div w:id="435907363">
      <w:marLeft w:val="640"/>
      <w:marRight w:val="0"/>
      <w:marTop w:val="0"/>
      <w:marBottom w:val="0"/>
      <w:divBdr>
        <w:top w:val="none" w:sz="0" w:space="0" w:color="auto"/>
        <w:left w:val="none" w:sz="0" w:space="0" w:color="auto"/>
        <w:bottom w:val="none" w:sz="0" w:space="0" w:color="auto"/>
        <w:right w:val="none" w:sz="0" w:space="0" w:color="auto"/>
      </w:divBdr>
    </w:div>
    <w:div w:id="436293593">
      <w:marLeft w:val="640"/>
      <w:marRight w:val="0"/>
      <w:marTop w:val="0"/>
      <w:marBottom w:val="0"/>
      <w:divBdr>
        <w:top w:val="none" w:sz="0" w:space="0" w:color="auto"/>
        <w:left w:val="none" w:sz="0" w:space="0" w:color="auto"/>
        <w:bottom w:val="none" w:sz="0" w:space="0" w:color="auto"/>
        <w:right w:val="none" w:sz="0" w:space="0" w:color="auto"/>
      </w:divBdr>
    </w:div>
    <w:div w:id="438765314">
      <w:marLeft w:val="640"/>
      <w:marRight w:val="0"/>
      <w:marTop w:val="0"/>
      <w:marBottom w:val="0"/>
      <w:divBdr>
        <w:top w:val="none" w:sz="0" w:space="0" w:color="auto"/>
        <w:left w:val="none" w:sz="0" w:space="0" w:color="auto"/>
        <w:bottom w:val="none" w:sz="0" w:space="0" w:color="auto"/>
        <w:right w:val="none" w:sz="0" w:space="0" w:color="auto"/>
      </w:divBdr>
    </w:div>
    <w:div w:id="442964153">
      <w:marLeft w:val="640"/>
      <w:marRight w:val="0"/>
      <w:marTop w:val="0"/>
      <w:marBottom w:val="0"/>
      <w:divBdr>
        <w:top w:val="none" w:sz="0" w:space="0" w:color="auto"/>
        <w:left w:val="none" w:sz="0" w:space="0" w:color="auto"/>
        <w:bottom w:val="none" w:sz="0" w:space="0" w:color="auto"/>
        <w:right w:val="none" w:sz="0" w:space="0" w:color="auto"/>
      </w:divBdr>
    </w:div>
    <w:div w:id="447049021">
      <w:marLeft w:val="640"/>
      <w:marRight w:val="0"/>
      <w:marTop w:val="0"/>
      <w:marBottom w:val="0"/>
      <w:divBdr>
        <w:top w:val="none" w:sz="0" w:space="0" w:color="auto"/>
        <w:left w:val="none" w:sz="0" w:space="0" w:color="auto"/>
        <w:bottom w:val="none" w:sz="0" w:space="0" w:color="auto"/>
        <w:right w:val="none" w:sz="0" w:space="0" w:color="auto"/>
      </w:divBdr>
    </w:div>
    <w:div w:id="465390592">
      <w:marLeft w:val="640"/>
      <w:marRight w:val="0"/>
      <w:marTop w:val="0"/>
      <w:marBottom w:val="0"/>
      <w:divBdr>
        <w:top w:val="none" w:sz="0" w:space="0" w:color="auto"/>
        <w:left w:val="none" w:sz="0" w:space="0" w:color="auto"/>
        <w:bottom w:val="none" w:sz="0" w:space="0" w:color="auto"/>
        <w:right w:val="none" w:sz="0" w:space="0" w:color="auto"/>
      </w:divBdr>
    </w:div>
    <w:div w:id="469440166">
      <w:marLeft w:val="640"/>
      <w:marRight w:val="0"/>
      <w:marTop w:val="0"/>
      <w:marBottom w:val="0"/>
      <w:divBdr>
        <w:top w:val="none" w:sz="0" w:space="0" w:color="auto"/>
        <w:left w:val="none" w:sz="0" w:space="0" w:color="auto"/>
        <w:bottom w:val="none" w:sz="0" w:space="0" w:color="auto"/>
        <w:right w:val="none" w:sz="0" w:space="0" w:color="auto"/>
      </w:divBdr>
    </w:div>
    <w:div w:id="479006630">
      <w:marLeft w:val="640"/>
      <w:marRight w:val="0"/>
      <w:marTop w:val="0"/>
      <w:marBottom w:val="0"/>
      <w:divBdr>
        <w:top w:val="none" w:sz="0" w:space="0" w:color="auto"/>
        <w:left w:val="none" w:sz="0" w:space="0" w:color="auto"/>
        <w:bottom w:val="none" w:sz="0" w:space="0" w:color="auto"/>
        <w:right w:val="none" w:sz="0" w:space="0" w:color="auto"/>
      </w:divBdr>
    </w:div>
    <w:div w:id="481888786">
      <w:marLeft w:val="640"/>
      <w:marRight w:val="0"/>
      <w:marTop w:val="0"/>
      <w:marBottom w:val="0"/>
      <w:divBdr>
        <w:top w:val="none" w:sz="0" w:space="0" w:color="auto"/>
        <w:left w:val="none" w:sz="0" w:space="0" w:color="auto"/>
        <w:bottom w:val="none" w:sz="0" w:space="0" w:color="auto"/>
        <w:right w:val="none" w:sz="0" w:space="0" w:color="auto"/>
      </w:divBdr>
    </w:div>
    <w:div w:id="489295194">
      <w:marLeft w:val="640"/>
      <w:marRight w:val="0"/>
      <w:marTop w:val="0"/>
      <w:marBottom w:val="0"/>
      <w:divBdr>
        <w:top w:val="none" w:sz="0" w:space="0" w:color="auto"/>
        <w:left w:val="none" w:sz="0" w:space="0" w:color="auto"/>
        <w:bottom w:val="none" w:sz="0" w:space="0" w:color="auto"/>
        <w:right w:val="none" w:sz="0" w:space="0" w:color="auto"/>
      </w:divBdr>
    </w:div>
    <w:div w:id="489367162">
      <w:marLeft w:val="640"/>
      <w:marRight w:val="0"/>
      <w:marTop w:val="0"/>
      <w:marBottom w:val="0"/>
      <w:divBdr>
        <w:top w:val="none" w:sz="0" w:space="0" w:color="auto"/>
        <w:left w:val="none" w:sz="0" w:space="0" w:color="auto"/>
        <w:bottom w:val="none" w:sz="0" w:space="0" w:color="auto"/>
        <w:right w:val="none" w:sz="0" w:space="0" w:color="auto"/>
      </w:divBdr>
    </w:div>
    <w:div w:id="491993062">
      <w:marLeft w:val="640"/>
      <w:marRight w:val="0"/>
      <w:marTop w:val="0"/>
      <w:marBottom w:val="0"/>
      <w:divBdr>
        <w:top w:val="none" w:sz="0" w:space="0" w:color="auto"/>
        <w:left w:val="none" w:sz="0" w:space="0" w:color="auto"/>
        <w:bottom w:val="none" w:sz="0" w:space="0" w:color="auto"/>
        <w:right w:val="none" w:sz="0" w:space="0" w:color="auto"/>
      </w:divBdr>
    </w:div>
    <w:div w:id="493301681">
      <w:marLeft w:val="640"/>
      <w:marRight w:val="0"/>
      <w:marTop w:val="0"/>
      <w:marBottom w:val="0"/>
      <w:divBdr>
        <w:top w:val="none" w:sz="0" w:space="0" w:color="auto"/>
        <w:left w:val="none" w:sz="0" w:space="0" w:color="auto"/>
        <w:bottom w:val="none" w:sz="0" w:space="0" w:color="auto"/>
        <w:right w:val="none" w:sz="0" w:space="0" w:color="auto"/>
      </w:divBdr>
    </w:div>
    <w:div w:id="493497421">
      <w:marLeft w:val="640"/>
      <w:marRight w:val="0"/>
      <w:marTop w:val="0"/>
      <w:marBottom w:val="0"/>
      <w:divBdr>
        <w:top w:val="none" w:sz="0" w:space="0" w:color="auto"/>
        <w:left w:val="none" w:sz="0" w:space="0" w:color="auto"/>
        <w:bottom w:val="none" w:sz="0" w:space="0" w:color="auto"/>
        <w:right w:val="none" w:sz="0" w:space="0" w:color="auto"/>
      </w:divBdr>
    </w:div>
    <w:div w:id="501697402">
      <w:marLeft w:val="640"/>
      <w:marRight w:val="0"/>
      <w:marTop w:val="0"/>
      <w:marBottom w:val="0"/>
      <w:divBdr>
        <w:top w:val="none" w:sz="0" w:space="0" w:color="auto"/>
        <w:left w:val="none" w:sz="0" w:space="0" w:color="auto"/>
        <w:bottom w:val="none" w:sz="0" w:space="0" w:color="auto"/>
        <w:right w:val="none" w:sz="0" w:space="0" w:color="auto"/>
      </w:divBdr>
    </w:div>
    <w:div w:id="540244302">
      <w:marLeft w:val="640"/>
      <w:marRight w:val="0"/>
      <w:marTop w:val="0"/>
      <w:marBottom w:val="0"/>
      <w:divBdr>
        <w:top w:val="none" w:sz="0" w:space="0" w:color="auto"/>
        <w:left w:val="none" w:sz="0" w:space="0" w:color="auto"/>
        <w:bottom w:val="none" w:sz="0" w:space="0" w:color="auto"/>
        <w:right w:val="none" w:sz="0" w:space="0" w:color="auto"/>
      </w:divBdr>
    </w:div>
    <w:div w:id="551380696">
      <w:marLeft w:val="640"/>
      <w:marRight w:val="0"/>
      <w:marTop w:val="0"/>
      <w:marBottom w:val="0"/>
      <w:divBdr>
        <w:top w:val="none" w:sz="0" w:space="0" w:color="auto"/>
        <w:left w:val="none" w:sz="0" w:space="0" w:color="auto"/>
        <w:bottom w:val="none" w:sz="0" w:space="0" w:color="auto"/>
        <w:right w:val="none" w:sz="0" w:space="0" w:color="auto"/>
      </w:divBdr>
    </w:div>
    <w:div w:id="564798657">
      <w:marLeft w:val="640"/>
      <w:marRight w:val="0"/>
      <w:marTop w:val="0"/>
      <w:marBottom w:val="0"/>
      <w:divBdr>
        <w:top w:val="none" w:sz="0" w:space="0" w:color="auto"/>
        <w:left w:val="none" w:sz="0" w:space="0" w:color="auto"/>
        <w:bottom w:val="none" w:sz="0" w:space="0" w:color="auto"/>
        <w:right w:val="none" w:sz="0" w:space="0" w:color="auto"/>
      </w:divBdr>
    </w:div>
    <w:div w:id="568535290">
      <w:marLeft w:val="640"/>
      <w:marRight w:val="0"/>
      <w:marTop w:val="0"/>
      <w:marBottom w:val="0"/>
      <w:divBdr>
        <w:top w:val="none" w:sz="0" w:space="0" w:color="auto"/>
        <w:left w:val="none" w:sz="0" w:space="0" w:color="auto"/>
        <w:bottom w:val="none" w:sz="0" w:space="0" w:color="auto"/>
        <w:right w:val="none" w:sz="0" w:space="0" w:color="auto"/>
      </w:divBdr>
    </w:div>
    <w:div w:id="578364162">
      <w:marLeft w:val="640"/>
      <w:marRight w:val="0"/>
      <w:marTop w:val="0"/>
      <w:marBottom w:val="0"/>
      <w:divBdr>
        <w:top w:val="none" w:sz="0" w:space="0" w:color="auto"/>
        <w:left w:val="none" w:sz="0" w:space="0" w:color="auto"/>
        <w:bottom w:val="none" w:sz="0" w:space="0" w:color="auto"/>
        <w:right w:val="none" w:sz="0" w:space="0" w:color="auto"/>
      </w:divBdr>
    </w:div>
    <w:div w:id="582447600">
      <w:marLeft w:val="640"/>
      <w:marRight w:val="0"/>
      <w:marTop w:val="0"/>
      <w:marBottom w:val="0"/>
      <w:divBdr>
        <w:top w:val="none" w:sz="0" w:space="0" w:color="auto"/>
        <w:left w:val="none" w:sz="0" w:space="0" w:color="auto"/>
        <w:bottom w:val="none" w:sz="0" w:space="0" w:color="auto"/>
        <w:right w:val="none" w:sz="0" w:space="0" w:color="auto"/>
      </w:divBdr>
    </w:div>
    <w:div w:id="583685067">
      <w:marLeft w:val="640"/>
      <w:marRight w:val="0"/>
      <w:marTop w:val="0"/>
      <w:marBottom w:val="0"/>
      <w:divBdr>
        <w:top w:val="none" w:sz="0" w:space="0" w:color="auto"/>
        <w:left w:val="none" w:sz="0" w:space="0" w:color="auto"/>
        <w:bottom w:val="none" w:sz="0" w:space="0" w:color="auto"/>
        <w:right w:val="none" w:sz="0" w:space="0" w:color="auto"/>
      </w:divBdr>
    </w:div>
    <w:div w:id="586115991">
      <w:marLeft w:val="640"/>
      <w:marRight w:val="0"/>
      <w:marTop w:val="0"/>
      <w:marBottom w:val="0"/>
      <w:divBdr>
        <w:top w:val="none" w:sz="0" w:space="0" w:color="auto"/>
        <w:left w:val="none" w:sz="0" w:space="0" w:color="auto"/>
        <w:bottom w:val="none" w:sz="0" w:space="0" w:color="auto"/>
        <w:right w:val="none" w:sz="0" w:space="0" w:color="auto"/>
      </w:divBdr>
    </w:div>
    <w:div w:id="595023090">
      <w:marLeft w:val="640"/>
      <w:marRight w:val="0"/>
      <w:marTop w:val="0"/>
      <w:marBottom w:val="0"/>
      <w:divBdr>
        <w:top w:val="none" w:sz="0" w:space="0" w:color="auto"/>
        <w:left w:val="none" w:sz="0" w:space="0" w:color="auto"/>
        <w:bottom w:val="none" w:sz="0" w:space="0" w:color="auto"/>
        <w:right w:val="none" w:sz="0" w:space="0" w:color="auto"/>
      </w:divBdr>
    </w:div>
    <w:div w:id="599219591">
      <w:marLeft w:val="640"/>
      <w:marRight w:val="0"/>
      <w:marTop w:val="0"/>
      <w:marBottom w:val="0"/>
      <w:divBdr>
        <w:top w:val="none" w:sz="0" w:space="0" w:color="auto"/>
        <w:left w:val="none" w:sz="0" w:space="0" w:color="auto"/>
        <w:bottom w:val="none" w:sz="0" w:space="0" w:color="auto"/>
        <w:right w:val="none" w:sz="0" w:space="0" w:color="auto"/>
      </w:divBdr>
    </w:div>
    <w:div w:id="625084757">
      <w:marLeft w:val="640"/>
      <w:marRight w:val="0"/>
      <w:marTop w:val="0"/>
      <w:marBottom w:val="0"/>
      <w:divBdr>
        <w:top w:val="none" w:sz="0" w:space="0" w:color="auto"/>
        <w:left w:val="none" w:sz="0" w:space="0" w:color="auto"/>
        <w:bottom w:val="none" w:sz="0" w:space="0" w:color="auto"/>
        <w:right w:val="none" w:sz="0" w:space="0" w:color="auto"/>
      </w:divBdr>
    </w:div>
    <w:div w:id="626662004">
      <w:bodyDiv w:val="1"/>
      <w:marLeft w:val="0"/>
      <w:marRight w:val="0"/>
      <w:marTop w:val="0"/>
      <w:marBottom w:val="0"/>
      <w:divBdr>
        <w:top w:val="none" w:sz="0" w:space="0" w:color="auto"/>
        <w:left w:val="none" w:sz="0" w:space="0" w:color="auto"/>
        <w:bottom w:val="none" w:sz="0" w:space="0" w:color="auto"/>
        <w:right w:val="none" w:sz="0" w:space="0" w:color="auto"/>
      </w:divBdr>
      <w:divsChild>
        <w:div w:id="1697269742">
          <w:marLeft w:val="0"/>
          <w:marRight w:val="0"/>
          <w:marTop w:val="0"/>
          <w:marBottom w:val="0"/>
          <w:divBdr>
            <w:top w:val="none" w:sz="0" w:space="0" w:color="auto"/>
            <w:left w:val="none" w:sz="0" w:space="0" w:color="auto"/>
            <w:bottom w:val="none" w:sz="0" w:space="0" w:color="auto"/>
            <w:right w:val="none" w:sz="0" w:space="0" w:color="auto"/>
          </w:divBdr>
        </w:div>
      </w:divsChild>
    </w:div>
    <w:div w:id="629434457">
      <w:marLeft w:val="640"/>
      <w:marRight w:val="0"/>
      <w:marTop w:val="0"/>
      <w:marBottom w:val="0"/>
      <w:divBdr>
        <w:top w:val="none" w:sz="0" w:space="0" w:color="auto"/>
        <w:left w:val="none" w:sz="0" w:space="0" w:color="auto"/>
        <w:bottom w:val="none" w:sz="0" w:space="0" w:color="auto"/>
        <w:right w:val="none" w:sz="0" w:space="0" w:color="auto"/>
      </w:divBdr>
    </w:div>
    <w:div w:id="638070755">
      <w:marLeft w:val="640"/>
      <w:marRight w:val="0"/>
      <w:marTop w:val="0"/>
      <w:marBottom w:val="0"/>
      <w:divBdr>
        <w:top w:val="none" w:sz="0" w:space="0" w:color="auto"/>
        <w:left w:val="none" w:sz="0" w:space="0" w:color="auto"/>
        <w:bottom w:val="none" w:sz="0" w:space="0" w:color="auto"/>
        <w:right w:val="none" w:sz="0" w:space="0" w:color="auto"/>
      </w:divBdr>
    </w:div>
    <w:div w:id="673529566">
      <w:marLeft w:val="640"/>
      <w:marRight w:val="0"/>
      <w:marTop w:val="0"/>
      <w:marBottom w:val="0"/>
      <w:divBdr>
        <w:top w:val="none" w:sz="0" w:space="0" w:color="auto"/>
        <w:left w:val="none" w:sz="0" w:space="0" w:color="auto"/>
        <w:bottom w:val="none" w:sz="0" w:space="0" w:color="auto"/>
        <w:right w:val="none" w:sz="0" w:space="0" w:color="auto"/>
      </w:divBdr>
    </w:div>
    <w:div w:id="680084749">
      <w:marLeft w:val="640"/>
      <w:marRight w:val="0"/>
      <w:marTop w:val="0"/>
      <w:marBottom w:val="0"/>
      <w:divBdr>
        <w:top w:val="none" w:sz="0" w:space="0" w:color="auto"/>
        <w:left w:val="none" w:sz="0" w:space="0" w:color="auto"/>
        <w:bottom w:val="none" w:sz="0" w:space="0" w:color="auto"/>
        <w:right w:val="none" w:sz="0" w:space="0" w:color="auto"/>
      </w:divBdr>
    </w:div>
    <w:div w:id="680278271">
      <w:marLeft w:val="640"/>
      <w:marRight w:val="0"/>
      <w:marTop w:val="0"/>
      <w:marBottom w:val="0"/>
      <w:divBdr>
        <w:top w:val="none" w:sz="0" w:space="0" w:color="auto"/>
        <w:left w:val="none" w:sz="0" w:space="0" w:color="auto"/>
        <w:bottom w:val="none" w:sz="0" w:space="0" w:color="auto"/>
        <w:right w:val="none" w:sz="0" w:space="0" w:color="auto"/>
      </w:divBdr>
    </w:div>
    <w:div w:id="682053471">
      <w:marLeft w:val="640"/>
      <w:marRight w:val="0"/>
      <w:marTop w:val="0"/>
      <w:marBottom w:val="0"/>
      <w:divBdr>
        <w:top w:val="none" w:sz="0" w:space="0" w:color="auto"/>
        <w:left w:val="none" w:sz="0" w:space="0" w:color="auto"/>
        <w:bottom w:val="none" w:sz="0" w:space="0" w:color="auto"/>
        <w:right w:val="none" w:sz="0" w:space="0" w:color="auto"/>
      </w:divBdr>
    </w:div>
    <w:div w:id="684786765">
      <w:marLeft w:val="640"/>
      <w:marRight w:val="0"/>
      <w:marTop w:val="0"/>
      <w:marBottom w:val="0"/>
      <w:divBdr>
        <w:top w:val="none" w:sz="0" w:space="0" w:color="auto"/>
        <w:left w:val="none" w:sz="0" w:space="0" w:color="auto"/>
        <w:bottom w:val="none" w:sz="0" w:space="0" w:color="auto"/>
        <w:right w:val="none" w:sz="0" w:space="0" w:color="auto"/>
      </w:divBdr>
    </w:div>
    <w:div w:id="686298667">
      <w:marLeft w:val="640"/>
      <w:marRight w:val="0"/>
      <w:marTop w:val="0"/>
      <w:marBottom w:val="0"/>
      <w:divBdr>
        <w:top w:val="none" w:sz="0" w:space="0" w:color="auto"/>
        <w:left w:val="none" w:sz="0" w:space="0" w:color="auto"/>
        <w:bottom w:val="none" w:sz="0" w:space="0" w:color="auto"/>
        <w:right w:val="none" w:sz="0" w:space="0" w:color="auto"/>
      </w:divBdr>
    </w:div>
    <w:div w:id="687488948">
      <w:marLeft w:val="640"/>
      <w:marRight w:val="0"/>
      <w:marTop w:val="0"/>
      <w:marBottom w:val="0"/>
      <w:divBdr>
        <w:top w:val="none" w:sz="0" w:space="0" w:color="auto"/>
        <w:left w:val="none" w:sz="0" w:space="0" w:color="auto"/>
        <w:bottom w:val="none" w:sz="0" w:space="0" w:color="auto"/>
        <w:right w:val="none" w:sz="0" w:space="0" w:color="auto"/>
      </w:divBdr>
    </w:div>
    <w:div w:id="689332553">
      <w:marLeft w:val="640"/>
      <w:marRight w:val="0"/>
      <w:marTop w:val="0"/>
      <w:marBottom w:val="0"/>
      <w:divBdr>
        <w:top w:val="none" w:sz="0" w:space="0" w:color="auto"/>
        <w:left w:val="none" w:sz="0" w:space="0" w:color="auto"/>
        <w:bottom w:val="none" w:sz="0" w:space="0" w:color="auto"/>
        <w:right w:val="none" w:sz="0" w:space="0" w:color="auto"/>
      </w:divBdr>
    </w:div>
    <w:div w:id="691806172">
      <w:marLeft w:val="640"/>
      <w:marRight w:val="0"/>
      <w:marTop w:val="0"/>
      <w:marBottom w:val="0"/>
      <w:divBdr>
        <w:top w:val="none" w:sz="0" w:space="0" w:color="auto"/>
        <w:left w:val="none" w:sz="0" w:space="0" w:color="auto"/>
        <w:bottom w:val="none" w:sz="0" w:space="0" w:color="auto"/>
        <w:right w:val="none" w:sz="0" w:space="0" w:color="auto"/>
      </w:divBdr>
    </w:div>
    <w:div w:id="692076083">
      <w:marLeft w:val="640"/>
      <w:marRight w:val="0"/>
      <w:marTop w:val="0"/>
      <w:marBottom w:val="0"/>
      <w:divBdr>
        <w:top w:val="none" w:sz="0" w:space="0" w:color="auto"/>
        <w:left w:val="none" w:sz="0" w:space="0" w:color="auto"/>
        <w:bottom w:val="none" w:sz="0" w:space="0" w:color="auto"/>
        <w:right w:val="none" w:sz="0" w:space="0" w:color="auto"/>
      </w:divBdr>
    </w:div>
    <w:div w:id="696348101">
      <w:marLeft w:val="640"/>
      <w:marRight w:val="0"/>
      <w:marTop w:val="0"/>
      <w:marBottom w:val="0"/>
      <w:divBdr>
        <w:top w:val="none" w:sz="0" w:space="0" w:color="auto"/>
        <w:left w:val="none" w:sz="0" w:space="0" w:color="auto"/>
        <w:bottom w:val="none" w:sz="0" w:space="0" w:color="auto"/>
        <w:right w:val="none" w:sz="0" w:space="0" w:color="auto"/>
      </w:divBdr>
    </w:div>
    <w:div w:id="707292588">
      <w:marLeft w:val="640"/>
      <w:marRight w:val="0"/>
      <w:marTop w:val="0"/>
      <w:marBottom w:val="0"/>
      <w:divBdr>
        <w:top w:val="none" w:sz="0" w:space="0" w:color="auto"/>
        <w:left w:val="none" w:sz="0" w:space="0" w:color="auto"/>
        <w:bottom w:val="none" w:sz="0" w:space="0" w:color="auto"/>
        <w:right w:val="none" w:sz="0" w:space="0" w:color="auto"/>
      </w:divBdr>
    </w:div>
    <w:div w:id="713040292">
      <w:marLeft w:val="640"/>
      <w:marRight w:val="0"/>
      <w:marTop w:val="0"/>
      <w:marBottom w:val="0"/>
      <w:divBdr>
        <w:top w:val="none" w:sz="0" w:space="0" w:color="auto"/>
        <w:left w:val="none" w:sz="0" w:space="0" w:color="auto"/>
        <w:bottom w:val="none" w:sz="0" w:space="0" w:color="auto"/>
        <w:right w:val="none" w:sz="0" w:space="0" w:color="auto"/>
      </w:divBdr>
    </w:div>
    <w:div w:id="716048578">
      <w:marLeft w:val="640"/>
      <w:marRight w:val="0"/>
      <w:marTop w:val="0"/>
      <w:marBottom w:val="0"/>
      <w:divBdr>
        <w:top w:val="none" w:sz="0" w:space="0" w:color="auto"/>
        <w:left w:val="none" w:sz="0" w:space="0" w:color="auto"/>
        <w:bottom w:val="none" w:sz="0" w:space="0" w:color="auto"/>
        <w:right w:val="none" w:sz="0" w:space="0" w:color="auto"/>
      </w:divBdr>
    </w:div>
    <w:div w:id="726879785">
      <w:marLeft w:val="640"/>
      <w:marRight w:val="0"/>
      <w:marTop w:val="0"/>
      <w:marBottom w:val="0"/>
      <w:divBdr>
        <w:top w:val="none" w:sz="0" w:space="0" w:color="auto"/>
        <w:left w:val="none" w:sz="0" w:space="0" w:color="auto"/>
        <w:bottom w:val="none" w:sz="0" w:space="0" w:color="auto"/>
        <w:right w:val="none" w:sz="0" w:space="0" w:color="auto"/>
      </w:divBdr>
    </w:div>
    <w:div w:id="728382436">
      <w:marLeft w:val="640"/>
      <w:marRight w:val="0"/>
      <w:marTop w:val="0"/>
      <w:marBottom w:val="0"/>
      <w:divBdr>
        <w:top w:val="none" w:sz="0" w:space="0" w:color="auto"/>
        <w:left w:val="none" w:sz="0" w:space="0" w:color="auto"/>
        <w:bottom w:val="none" w:sz="0" w:space="0" w:color="auto"/>
        <w:right w:val="none" w:sz="0" w:space="0" w:color="auto"/>
      </w:divBdr>
    </w:div>
    <w:div w:id="729891223">
      <w:marLeft w:val="640"/>
      <w:marRight w:val="0"/>
      <w:marTop w:val="0"/>
      <w:marBottom w:val="0"/>
      <w:divBdr>
        <w:top w:val="none" w:sz="0" w:space="0" w:color="auto"/>
        <w:left w:val="none" w:sz="0" w:space="0" w:color="auto"/>
        <w:bottom w:val="none" w:sz="0" w:space="0" w:color="auto"/>
        <w:right w:val="none" w:sz="0" w:space="0" w:color="auto"/>
      </w:divBdr>
    </w:div>
    <w:div w:id="734010388">
      <w:marLeft w:val="640"/>
      <w:marRight w:val="0"/>
      <w:marTop w:val="0"/>
      <w:marBottom w:val="0"/>
      <w:divBdr>
        <w:top w:val="none" w:sz="0" w:space="0" w:color="auto"/>
        <w:left w:val="none" w:sz="0" w:space="0" w:color="auto"/>
        <w:bottom w:val="none" w:sz="0" w:space="0" w:color="auto"/>
        <w:right w:val="none" w:sz="0" w:space="0" w:color="auto"/>
      </w:divBdr>
    </w:div>
    <w:div w:id="741216712">
      <w:marLeft w:val="640"/>
      <w:marRight w:val="0"/>
      <w:marTop w:val="0"/>
      <w:marBottom w:val="0"/>
      <w:divBdr>
        <w:top w:val="none" w:sz="0" w:space="0" w:color="auto"/>
        <w:left w:val="none" w:sz="0" w:space="0" w:color="auto"/>
        <w:bottom w:val="none" w:sz="0" w:space="0" w:color="auto"/>
        <w:right w:val="none" w:sz="0" w:space="0" w:color="auto"/>
      </w:divBdr>
    </w:div>
    <w:div w:id="743141487">
      <w:marLeft w:val="640"/>
      <w:marRight w:val="0"/>
      <w:marTop w:val="0"/>
      <w:marBottom w:val="0"/>
      <w:divBdr>
        <w:top w:val="none" w:sz="0" w:space="0" w:color="auto"/>
        <w:left w:val="none" w:sz="0" w:space="0" w:color="auto"/>
        <w:bottom w:val="none" w:sz="0" w:space="0" w:color="auto"/>
        <w:right w:val="none" w:sz="0" w:space="0" w:color="auto"/>
      </w:divBdr>
    </w:div>
    <w:div w:id="745613613">
      <w:marLeft w:val="640"/>
      <w:marRight w:val="0"/>
      <w:marTop w:val="0"/>
      <w:marBottom w:val="0"/>
      <w:divBdr>
        <w:top w:val="none" w:sz="0" w:space="0" w:color="auto"/>
        <w:left w:val="none" w:sz="0" w:space="0" w:color="auto"/>
        <w:bottom w:val="none" w:sz="0" w:space="0" w:color="auto"/>
        <w:right w:val="none" w:sz="0" w:space="0" w:color="auto"/>
      </w:divBdr>
    </w:div>
    <w:div w:id="757675463">
      <w:marLeft w:val="640"/>
      <w:marRight w:val="0"/>
      <w:marTop w:val="0"/>
      <w:marBottom w:val="0"/>
      <w:divBdr>
        <w:top w:val="none" w:sz="0" w:space="0" w:color="auto"/>
        <w:left w:val="none" w:sz="0" w:space="0" w:color="auto"/>
        <w:bottom w:val="none" w:sz="0" w:space="0" w:color="auto"/>
        <w:right w:val="none" w:sz="0" w:space="0" w:color="auto"/>
      </w:divBdr>
    </w:div>
    <w:div w:id="771970606">
      <w:marLeft w:val="640"/>
      <w:marRight w:val="0"/>
      <w:marTop w:val="0"/>
      <w:marBottom w:val="0"/>
      <w:divBdr>
        <w:top w:val="none" w:sz="0" w:space="0" w:color="auto"/>
        <w:left w:val="none" w:sz="0" w:space="0" w:color="auto"/>
        <w:bottom w:val="none" w:sz="0" w:space="0" w:color="auto"/>
        <w:right w:val="none" w:sz="0" w:space="0" w:color="auto"/>
      </w:divBdr>
    </w:div>
    <w:div w:id="775248800">
      <w:marLeft w:val="640"/>
      <w:marRight w:val="0"/>
      <w:marTop w:val="0"/>
      <w:marBottom w:val="0"/>
      <w:divBdr>
        <w:top w:val="none" w:sz="0" w:space="0" w:color="auto"/>
        <w:left w:val="none" w:sz="0" w:space="0" w:color="auto"/>
        <w:bottom w:val="none" w:sz="0" w:space="0" w:color="auto"/>
        <w:right w:val="none" w:sz="0" w:space="0" w:color="auto"/>
      </w:divBdr>
    </w:div>
    <w:div w:id="793132182">
      <w:marLeft w:val="640"/>
      <w:marRight w:val="0"/>
      <w:marTop w:val="0"/>
      <w:marBottom w:val="0"/>
      <w:divBdr>
        <w:top w:val="none" w:sz="0" w:space="0" w:color="auto"/>
        <w:left w:val="none" w:sz="0" w:space="0" w:color="auto"/>
        <w:bottom w:val="none" w:sz="0" w:space="0" w:color="auto"/>
        <w:right w:val="none" w:sz="0" w:space="0" w:color="auto"/>
      </w:divBdr>
    </w:div>
    <w:div w:id="795953467">
      <w:marLeft w:val="640"/>
      <w:marRight w:val="0"/>
      <w:marTop w:val="0"/>
      <w:marBottom w:val="0"/>
      <w:divBdr>
        <w:top w:val="none" w:sz="0" w:space="0" w:color="auto"/>
        <w:left w:val="none" w:sz="0" w:space="0" w:color="auto"/>
        <w:bottom w:val="none" w:sz="0" w:space="0" w:color="auto"/>
        <w:right w:val="none" w:sz="0" w:space="0" w:color="auto"/>
      </w:divBdr>
    </w:div>
    <w:div w:id="807481073">
      <w:marLeft w:val="640"/>
      <w:marRight w:val="0"/>
      <w:marTop w:val="0"/>
      <w:marBottom w:val="0"/>
      <w:divBdr>
        <w:top w:val="none" w:sz="0" w:space="0" w:color="auto"/>
        <w:left w:val="none" w:sz="0" w:space="0" w:color="auto"/>
        <w:bottom w:val="none" w:sz="0" w:space="0" w:color="auto"/>
        <w:right w:val="none" w:sz="0" w:space="0" w:color="auto"/>
      </w:divBdr>
    </w:div>
    <w:div w:id="809980435">
      <w:marLeft w:val="640"/>
      <w:marRight w:val="0"/>
      <w:marTop w:val="0"/>
      <w:marBottom w:val="0"/>
      <w:divBdr>
        <w:top w:val="none" w:sz="0" w:space="0" w:color="auto"/>
        <w:left w:val="none" w:sz="0" w:space="0" w:color="auto"/>
        <w:bottom w:val="none" w:sz="0" w:space="0" w:color="auto"/>
        <w:right w:val="none" w:sz="0" w:space="0" w:color="auto"/>
      </w:divBdr>
    </w:div>
    <w:div w:id="811756527">
      <w:marLeft w:val="640"/>
      <w:marRight w:val="0"/>
      <w:marTop w:val="0"/>
      <w:marBottom w:val="0"/>
      <w:divBdr>
        <w:top w:val="none" w:sz="0" w:space="0" w:color="auto"/>
        <w:left w:val="none" w:sz="0" w:space="0" w:color="auto"/>
        <w:bottom w:val="none" w:sz="0" w:space="0" w:color="auto"/>
        <w:right w:val="none" w:sz="0" w:space="0" w:color="auto"/>
      </w:divBdr>
    </w:div>
    <w:div w:id="823472112">
      <w:marLeft w:val="640"/>
      <w:marRight w:val="0"/>
      <w:marTop w:val="0"/>
      <w:marBottom w:val="0"/>
      <w:divBdr>
        <w:top w:val="none" w:sz="0" w:space="0" w:color="auto"/>
        <w:left w:val="none" w:sz="0" w:space="0" w:color="auto"/>
        <w:bottom w:val="none" w:sz="0" w:space="0" w:color="auto"/>
        <w:right w:val="none" w:sz="0" w:space="0" w:color="auto"/>
      </w:divBdr>
    </w:div>
    <w:div w:id="825173656">
      <w:marLeft w:val="640"/>
      <w:marRight w:val="0"/>
      <w:marTop w:val="0"/>
      <w:marBottom w:val="0"/>
      <w:divBdr>
        <w:top w:val="none" w:sz="0" w:space="0" w:color="auto"/>
        <w:left w:val="none" w:sz="0" w:space="0" w:color="auto"/>
        <w:bottom w:val="none" w:sz="0" w:space="0" w:color="auto"/>
        <w:right w:val="none" w:sz="0" w:space="0" w:color="auto"/>
      </w:divBdr>
    </w:div>
    <w:div w:id="838665706">
      <w:marLeft w:val="640"/>
      <w:marRight w:val="0"/>
      <w:marTop w:val="0"/>
      <w:marBottom w:val="0"/>
      <w:divBdr>
        <w:top w:val="none" w:sz="0" w:space="0" w:color="auto"/>
        <w:left w:val="none" w:sz="0" w:space="0" w:color="auto"/>
        <w:bottom w:val="none" w:sz="0" w:space="0" w:color="auto"/>
        <w:right w:val="none" w:sz="0" w:space="0" w:color="auto"/>
      </w:divBdr>
    </w:div>
    <w:div w:id="838810572">
      <w:marLeft w:val="640"/>
      <w:marRight w:val="0"/>
      <w:marTop w:val="0"/>
      <w:marBottom w:val="0"/>
      <w:divBdr>
        <w:top w:val="none" w:sz="0" w:space="0" w:color="auto"/>
        <w:left w:val="none" w:sz="0" w:space="0" w:color="auto"/>
        <w:bottom w:val="none" w:sz="0" w:space="0" w:color="auto"/>
        <w:right w:val="none" w:sz="0" w:space="0" w:color="auto"/>
      </w:divBdr>
    </w:div>
    <w:div w:id="845218030">
      <w:marLeft w:val="640"/>
      <w:marRight w:val="0"/>
      <w:marTop w:val="0"/>
      <w:marBottom w:val="0"/>
      <w:divBdr>
        <w:top w:val="none" w:sz="0" w:space="0" w:color="auto"/>
        <w:left w:val="none" w:sz="0" w:space="0" w:color="auto"/>
        <w:bottom w:val="none" w:sz="0" w:space="0" w:color="auto"/>
        <w:right w:val="none" w:sz="0" w:space="0" w:color="auto"/>
      </w:divBdr>
    </w:div>
    <w:div w:id="845249271">
      <w:marLeft w:val="640"/>
      <w:marRight w:val="0"/>
      <w:marTop w:val="0"/>
      <w:marBottom w:val="0"/>
      <w:divBdr>
        <w:top w:val="none" w:sz="0" w:space="0" w:color="auto"/>
        <w:left w:val="none" w:sz="0" w:space="0" w:color="auto"/>
        <w:bottom w:val="none" w:sz="0" w:space="0" w:color="auto"/>
        <w:right w:val="none" w:sz="0" w:space="0" w:color="auto"/>
      </w:divBdr>
    </w:div>
    <w:div w:id="852457111">
      <w:marLeft w:val="640"/>
      <w:marRight w:val="0"/>
      <w:marTop w:val="0"/>
      <w:marBottom w:val="0"/>
      <w:divBdr>
        <w:top w:val="none" w:sz="0" w:space="0" w:color="auto"/>
        <w:left w:val="none" w:sz="0" w:space="0" w:color="auto"/>
        <w:bottom w:val="none" w:sz="0" w:space="0" w:color="auto"/>
        <w:right w:val="none" w:sz="0" w:space="0" w:color="auto"/>
      </w:divBdr>
    </w:div>
    <w:div w:id="862011702">
      <w:marLeft w:val="640"/>
      <w:marRight w:val="0"/>
      <w:marTop w:val="0"/>
      <w:marBottom w:val="0"/>
      <w:divBdr>
        <w:top w:val="none" w:sz="0" w:space="0" w:color="auto"/>
        <w:left w:val="none" w:sz="0" w:space="0" w:color="auto"/>
        <w:bottom w:val="none" w:sz="0" w:space="0" w:color="auto"/>
        <w:right w:val="none" w:sz="0" w:space="0" w:color="auto"/>
      </w:divBdr>
    </w:div>
    <w:div w:id="868646097">
      <w:marLeft w:val="640"/>
      <w:marRight w:val="0"/>
      <w:marTop w:val="0"/>
      <w:marBottom w:val="0"/>
      <w:divBdr>
        <w:top w:val="none" w:sz="0" w:space="0" w:color="auto"/>
        <w:left w:val="none" w:sz="0" w:space="0" w:color="auto"/>
        <w:bottom w:val="none" w:sz="0" w:space="0" w:color="auto"/>
        <w:right w:val="none" w:sz="0" w:space="0" w:color="auto"/>
      </w:divBdr>
    </w:div>
    <w:div w:id="892888399">
      <w:marLeft w:val="640"/>
      <w:marRight w:val="0"/>
      <w:marTop w:val="0"/>
      <w:marBottom w:val="0"/>
      <w:divBdr>
        <w:top w:val="none" w:sz="0" w:space="0" w:color="auto"/>
        <w:left w:val="none" w:sz="0" w:space="0" w:color="auto"/>
        <w:bottom w:val="none" w:sz="0" w:space="0" w:color="auto"/>
        <w:right w:val="none" w:sz="0" w:space="0" w:color="auto"/>
      </w:divBdr>
    </w:div>
    <w:div w:id="904412757">
      <w:marLeft w:val="640"/>
      <w:marRight w:val="0"/>
      <w:marTop w:val="0"/>
      <w:marBottom w:val="0"/>
      <w:divBdr>
        <w:top w:val="none" w:sz="0" w:space="0" w:color="auto"/>
        <w:left w:val="none" w:sz="0" w:space="0" w:color="auto"/>
        <w:bottom w:val="none" w:sz="0" w:space="0" w:color="auto"/>
        <w:right w:val="none" w:sz="0" w:space="0" w:color="auto"/>
      </w:divBdr>
    </w:div>
    <w:div w:id="904874978">
      <w:marLeft w:val="640"/>
      <w:marRight w:val="0"/>
      <w:marTop w:val="0"/>
      <w:marBottom w:val="0"/>
      <w:divBdr>
        <w:top w:val="none" w:sz="0" w:space="0" w:color="auto"/>
        <w:left w:val="none" w:sz="0" w:space="0" w:color="auto"/>
        <w:bottom w:val="none" w:sz="0" w:space="0" w:color="auto"/>
        <w:right w:val="none" w:sz="0" w:space="0" w:color="auto"/>
      </w:divBdr>
    </w:div>
    <w:div w:id="905380726">
      <w:marLeft w:val="640"/>
      <w:marRight w:val="0"/>
      <w:marTop w:val="0"/>
      <w:marBottom w:val="0"/>
      <w:divBdr>
        <w:top w:val="none" w:sz="0" w:space="0" w:color="auto"/>
        <w:left w:val="none" w:sz="0" w:space="0" w:color="auto"/>
        <w:bottom w:val="none" w:sz="0" w:space="0" w:color="auto"/>
        <w:right w:val="none" w:sz="0" w:space="0" w:color="auto"/>
      </w:divBdr>
    </w:div>
    <w:div w:id="905798519">
      <w:marLeft w:val="640"/>
      <w:marRight w:val="0"/>
      <w:marTop w:val="0"/>
      <w:marBottom w:val="0"/>
      <w:divBdr>
        <w:top w:val="none" w:sz="0" w:space="0" w:color="auto"/>
        <w:left w:val="none" w:sz="0" w:space="0" w:color="auto"/>
        <w:bottom w:val="none" w:sz="0" w:space="0" w:color="auto"/>
        <w:right w:val="none" w:sz="0" w:space="0" w:color="auto"/>
      </w:divBdr>
    </w:div>
    <w:div w:id="926160516">
      <w:marLeft w:val="640"/>
      <w:marRight w:val="0"/>
      <w:marTop w:val="0"/>
      <w:marBottom w:val="0"/>
      <w:divBdr>
        <w:top w:val="none" w:sz="0" w:space="0" w:color="auto"/>
        <w:left w:val="none" w:sz="0" w:space="0" w:color="auto"/>
        <w:bottom w:val="none" w:sz="0" w:space="0" w:color="auto"/>
        <w:right w:val="none" w:sz="0" w:space="0" w:color="auto"/>
      </w:divBdr>
    </w:div>
    <w:div w:id="929969623">
      <w:marLeft w:val="640"/>
      <w:marRight w:val="0"/>
      <w:marTop w:val="0"/>
      <w:marBottom w:val="0"/>
      <w:divBdr>
        <w:top w:val="none" w:sz="0" w:space="0" w:color="auto"/>
        <w:left w:val="none" w:sz="0" w:space="0" w:color="auto"/>
        <w:bottom w:val="none" w:sz="0" w:space="0" w:color="auto"/>
        <w:right w:val="none" w:sz="0" w:space="0" w:color="auto"/>
      </w:divBdr>
    </w:div>
    <w:div w:id="938103218">
      <w:marLeft w:val="640"/>
      <w:marRight w:val="0"/>
      <w:marTop w:val="0"/>
      <w:marBottom w:val="0"/>
      <w:divBdr>
        <w:top w:val="none" w:sz="0" w:space="0" w:color="auto"/>
        <w:left w:val="none" w:sz="0" w:space="0" w:color="auto"/>
        <w:bottom w:val="none" w:sz="0" w:space="0" w:color="auto"/>
        <w:right w:val="none" w:sz="0" w:space="0" w:color="auto"/>
      </w:divBdr>
    </w:div>
    <w:div w:id="969089395">
      <w:marLeft w:val="640"/>
      <w:marRight w:val="0"/>
      <w:marTop w:val="0"/>
      <w:marBottom w:val="0"/>
      <w:divBdr>
        <w:top w:val="none" w:sz="0" w:space="0" w:color="auto"/>
        <w:left w:val="none" w:sz="0" w:space="0" w:color="auto"/>
        <w:bottom w:val="none" w:sz="0" w:space="0" w:color="auto"/>
        <w:right w:val="none" w:sz="0" w:space="0" w:color="auto"/>
      </w:divBdr>
    </w:div>
    <w:div w:id="970742386">
      <w:marLeft w:val="640"/>
      <w:marRight w:val="0"/>
      <w:marTop w:val="0"/>
      <w:marBottom w:val="0"/>
      <w:divBdr>
        <w:top w:val="none" w:sz="0" w:space="0" w:color="auto"/>
        <w:left w:val="none" w:sz="0" w:space="0" w:color="auto"/>
        <w:bottom w:val="none" w:sz="0" w:space="0" w:color="auto"/>
        <w:right w:val="none" w:sz="0" w:space="0" w:color="auto"/>
      </w:divBdr>
    </w:div>
    <w:div w:id="992490134">
      <w:marLeft w:val="640"/>
      <w:marRight w:val="0"/>
      <w:marTop w:val="0"/>
      <w:marBottom w:val="0"/>
      <w:divBdr>
        <w:top w:val="none" w:sz="0" w:space="0" w:color="auto"/>
        <w:left w:val="none" w:sz="0" w:space="0" w:color="auto"/>
        <w:bottom w:val="none" w:sz="0" w:space="0" w:color="auto"/>
        <w:right w:val="none" w:sz="0" w:space="0" w:color="auto"/>
      </w:divBdr>
    </w:div>
    <w:div w:id="994727059">
      <w:marLeft w:val="640"/>
      <w:marRight w:val="0"/>
      <w:marTop w:val="0"/>
      <w:marBottom w:val="0"/>
      <w:divBdr>
        <w:top w:val="none" w:sz="0" w:space="0" w:color="auto"/>
        <w:left w:val="none" w:sz="0" w:space="0" w:color="auto"/>
        <w:bottom w:val="none" w:sz="0" w:space="0" w:color="auto"/>
        <w:right w:val="none" w:sz="0" w:space="0" w:color="auto"/>
      </w:divBdr>
    </w:div>
    <w:div w:id="996491945">
      <w:marLeft w:val="640"/>
      <w:marRight w:val="0"/>
      <w:marTop w:val="0"/>
      <w:marBottom w:val="0"/>
      <w:divBdr>
        <w:top w:val="none" w:sz="0" w:space="0" w:color="auto"/>
        <w:left w:val="none" w:sz="0" w:space="0" w:color="auto"/>
        <w:bottom w:val="none" w:sz="0" w:space="0" w:color="auto"/>
        <w:right w:val="none" w:sz="0" w:space="0" w:color="auto"/>
      </w:divBdr>
    </w:div>
    <w:div w:id="1002582470">
      <w:marLeft w:val="640"/>
      <w:marRight w:val="0"/>
      <w:marTop w:val="0"/>
      <w:marBottom w:val="0"/>
      <w:divBdr>
        <w:top w:val="none" w:sz="0" w:space="0" w:color="auto"/>
        <w:left w:val="none" w:sz="0" w:space="0" w:color="auto"/>
        <w:bottom w:val="none" w:sz="0" w:space="0" w:color="auto"/>
        <w:right w:val="none" w:sz="0" w:space="0" w:color="auto"/>
      </w:divBdr>
    </w:div>
    <w:div w:id="1005471589">
      <w:marLeft w:val="640"/>
      <w:marRight w:val="0"/>
      <w:marTop w:val="0"/>
      <w:marBottom w:val="0"/>
      <w:divBdr>
        <w:top w:val="none" w:sz="0" w:space="0" w:color="auto"/>
        <w:left w:val="none" w:sz="0" w:space="0" w:color="auto"/>
        <w:bottom w:val="none" w:sz="0" w:space="0" w:color="auto"/>
        <w:right w:val="none" w:sz="0" w:space="0" w:color="auto"/>
      </w:divBdr>
    </w:div>
    <w:div w:id="1020086517">
      <w:marLeft w:val="640"/>
      <w:marRight w:val="0"/>
      <w:marTop w:val="0"/>
      <w:marBottom w:val="0"/>
      <w:divBdr>
        <w:top w:val="none" w:sz="0" w:space="0" w:color="auto"/>
        <w:left w:val="none" w:sz="0" w:space="0" w:color="auto"/>
        <w:bottom w:val="none" w:sz="0" w:space="0" w:color="auto"/>
        <w:right w:val="none" w:sz="0" w:space="0" w:color="auto"/>
      </w:divBdr>
    </w:div>
    <w:div w:id="1020354689">
      <w:marLeft w:val="640"/>
      <w:marRight w:val="0"/>
      <w:marTop w:val="0"/>
      <w:marBottom w:val="0"/>
      <w:divBdr>
        <w:top w:val="none" w:sz="0" w:space="0" w:color="auto"/>
        <w:left w:val="none" w:sz="0" w:space="0" w:color="auto"/>
        <w:bottom w:val="none" w:sz="0" w:space="0" w:color="auto"/>
        <w:right w:val="none" w:sz="0" w:space="0" w:color="auto"/>
      </w:divBdr>
    </w:div>
    <w:div w:id="1026951696">
      <w:marLeft w:val="640"/>
      <w:marRight w:val="0"/>
      <w:marTop w:val="0"/>
      <w:marBottom w:val="0"/>
      <w:divBdr>
        <w:top w:val="none" w:sz="0" w:space="0" w:color="auto"/>
        <w:left w:val="none" w:sz="0" w:space="0" w:color="auto"/>
        <w:bottom w:val="none" w:sz="0" w:space="0" w:color="auto"/>
        <w:right w:val="none" w:sz="0" w:space="0" w:color="auto"/>
      </w:divBdr>
    </w:div>
    <w:div w:id="1026953009">
      <w:marLeft w:val="640"/>
      <w:marRight w:val="0"/>
      <w:marTop w:val="0"/>
      <w:marBottom w:val="0"/>
      <w:divBdr>
        <w:top w:val="none" w:sz="0" w:space="0" w:color="auto"/>
        <w:left w:val="none" w:sz="0" w:space="0" w:color="auto"/>
        <w:bottom w:val="none" w:sz="0" w:space="0" w:color="auto"/>
        <w:right w:val="none" w:sz="0" w:space="0" w:color="auto"/>
      </w:divBdr>
    </w:div>
    <w:div w:id="1029184324">
      <w:marLeft w:val="640"/>
      <w:marRight w:val="0"/>
      <w:marTop w:val="0"/>
      <w:marBottom w:val="0"/>
      <w:divBdr>
        <w:top w:val="none" w:sz="0" w:space="0" w:color="auto"/>
        <w:left w:val="none" w:sz="0" w:space="0" w:color="auto"/>
        <w:bottom w:val="none" w:sz="0" w:space="0" w:color="auto"/>
        <w:right w:val="none" w:sz="0" w:space="0" w:color="auto"/>
      </w:divBdr>
    </w:div>
    <w:div w:id="1034041886">
      <w:marLeft w:val="640"/>
      <w:marRight w:val="0"/>
      <w:marTop w:val="0"/>
      <w:marBottom w:val="0"/>
      <w:divBdr>
        <w:top w:val="none" w:sz="0" w:space="0" w:color="auto"/>
        <w:left w:val="none" w:sz="0" w:space="0" w:color="auto"/>
        <w:bottom w:val="none" w:sz="0" w:space="0" w:color="auto"/>
        <w:right w:val="none" w:sz="0" w:space="0" w:color="auto"/>
      </w:divBdr>
    </w:div>
    <w:div w:id="1036929823">
      <w:marLeft w:val="640"/>
      <w:marRight w:val="0"/>
      <w:marTop w:val="0"/>
      <w:marBottom w:val="0"/>
      <w:divBdr>
        <w:top w:val="none" w:sz="0" w:space="0" w:color="auto"/>
        <w:left w:val="none" w:sz="0" w:space="0" w:color="auto"/>
        <w:bottom w:val="none" w:sz="0" w:space="0" w:color="auto"/>
        <w:right w:val="none" w:sz="0" w:space="0" w:color="auto"/>
      </w:divBdr>
    </w:div>
    <w:div w:id="1037663865">
      <w:marLeft w:val="640"/>
      <w:marRight w:val="0"/>
      <w:marTop w:val="0"/>
      <w:marBottom w:val="0"/>
      <w:divBdr>
        <w:top w:val="none" w:sz="0" w:space="0" w:color="auto"/>
        <w:left w:val="none" w:sz="0" w:space="0" w:color="auto"/>
        <w:bottom w:val="none" w:sz="0" w:space="0" w:color="auto"/>
        <w:right w:val="none" w:sz="0" w:space="0" w:color="auto"/>
      </w:divBdr>
    </w:div>
    <w:div w:id="1045057682">
      <w:marLeft w:val="640"/>
      <w:marRight w:val="0"/>
      <w:marTop w:val="0"/>
      <w:marBottom w:val="0"/>
      <w:divBdr>
        <w:top w:val="none" w:sz="0" w:space="0" w:color="auto"/>
        <w:left w:val="none" w:sz="0" w:space="0" w:color="auto"/>
        <w:bottom w:val="none" w:sz="0" w:space="0" w:color="auto"/>
        <w:right w:val="none" w:sz="0" w:space="0" w:color="auto"/>
      </w:divBdr>
    </w:div>
    <w:div w:id="1047142581">
      <w:marLeft w:val="640"/>
      <w:marRight w:val="0"/>
      <w:marTop w:val="0"/>
      <w:marBottom w:val="0"/>
      <w:divBdr>
        <w:top w:val="none" w:sz="0" w:space="0" w:color="auto"/>
        <w:left w:val="none" w:sz="0" w:space="0" w:color="auto"/>
        <w:bottom w:val="none" w:sz="0" w:space="0" w:color="auto"/>
        <w:right w:val="none" w:sz="0" w:space="0" w:color="auto"/>
      </w:divBdr>
    </w:div>
    <w:div w:id="1050304590">
      <w:marLeft w:val="640"/>
      <w:marRight w:val="0"/>
      <w:marTop w:val="0"/>
      <w:marBottom w:val="0"/>
      <w:divBdr>
        <w:top w:val="none" w:sz="0" w:space="0" w:color="auto"/>
        <w:left w:val="none" w:sz="0" w:space="0" w:color="auto"/>
        <w:bottom w:val="none" w:sz="0" w:space="0" w:color="auto"/>
        <w:right w:val="none" w:sz="0" w:space="0" w:color="auto"/>
      </w:divBdr>
    </w:div>
    <w:div w:id="1065303339">
      <w:marLeft w:val="640"/>
      <w:marRight w:val="0"/>
      <w:marTop w:val="0"/>
      <w:marBottom w:val="0"/>
      <w:divBdr>
        <w:top w:val="none" w:sz="0" w:space="0" w:color="auto"/>
        <w:left w:val="none" w:sz="0" w:space="0" w:color="auto"/>
        <w:bottom w:val="none" w:sz="0" w:space="0" w:color="auto"/>
        <w:right w:val="none" w:sz="0" w:space="0" w:color="auto"/>
      </w:divBdr>
    </w:div>
    <w:div w:id="1068653834">
      <w:marLeft w:val="640"/>
      <w:marRight w:val="0"/>
      <w:marTop w:val="0"/>
      <w:marBottom w:val="0"/>
      <w:divBdr>
        <w:top w:val="none" w:sz="0" w:space="0" w:color="auto"/>
        <w:left w:val="none" w:sz="0" w:space="0" w:color="auto"/>
        <w:bottom w:val="none" w:sz="0" w:space="0" w:color="auto"/>
        <w:right w:val="none" w:sz="0" w:space="0" w:color="auto"/>
      </w:divBdr>
    </w:div>
    <w:div w:id="1075586554">
      <w:marLeft w:val="640"/>
      <w:marRight w:val="0"/>
      <w:marTop w:val="0"/>
      <w:marBottom w:val="0"/>
      <w:divBdr>
        <w:top w:val="none" w:sz="0" w:space="0" w:color="auto"/>
        <w:left w:val="none" w:sz="0" w:space="0" w:color="auto"/>
        <w:bottom w:val="none" w:sz="0" w:space="0" w:color="auto"/>
        <w:right w:val="none" w:sz="0" w:space="0" w:color="auto"/>
      </w:divBdr>
    </w:div>
    <w:div w:id="1076630008">
      <w:marLeft w:val="640"/>
      <w:marRight w:val="0"/>
      <w:marTop w:val="0"/>
      <w:marBottom w:val="0"/>
      <w:divBdr>
        <w:top w:val="none" w:sz="0" w:space="0" w:color="auto"/>
        <w:left w:val="none" w:sz="0" w:space="0" w:color="auto"/>
        <w:bottom w:val="none" w:sz="0" w:space="0" w:color="auto"/>
        <w:right w:val="none" w:sz="0" w:space="0" w:color="auto"/>
      </w:divBdr>
    </w:div>
    <w:div w:id="1100955722">
      <w:marLeft w:val="640"/>
      <w:marRight w:val="0"/>
      <w:marTop w:val="0"/>
      <w:marBottom w:val="0"/>
      <w:divBdr>
        <w:top w:val="none" w:sz="0" w:space="0" w:color="auto"/>
        <w:left w:val="none" w:sz="0" w:space="0" w:color="auto"/>
        <w:bottom w:val="none" w:sz="0" w:space="0" w:color="auto"/>
        <w:right w:val="none" w:sz="0" w:space="0" w:color="auto"/>
      </w:divBdr>
    </w:div>
    <w:div w:id="1106466496">
      <w:marLeft w:val="640"/>
      <w:marRight w:val="0"/>
      <w:marTop w:val="0"/>
      <w:marBottom w:val="0"/>
      <w:divBdr>
        <w:top w:val="none" w:sz="0" w:space="0" w:color="auto"/>
        <w:left w:val="none" w:sz="0" w:space="0" w:color="auto"/>
        <w:bottom w:val="none" w:sz="0" w:space="0" w:color="auto"/>
        <w:right w:val="none" w:sz="0" w:space="0" w:color="auto"/>
      </w:divBdr>
    </w:div>
    <w:div w:id="1108543870">
      <w:marLeft w:val="640"/>
      <w:marRight w:val="0"/>
      <w:marTop w:val="0"/>
      <w:marBottom w:val="0"/>
      <w:divBdr>
        <w:top w:val="none" w:sz="0" w:space="0" w:color="auto"/>
        <w:left w:val="none" w:sz="0" w:space="0" w:color="auto"/>
        <w:bottom w:val="none" w:sz="0" w:space="0" w:color="auto"/>
        <w:right w:val="none" w:sz="0" w:space="0" w:color="auto"/>
      </w:divBdr>
    </w:div>
    <w:div w:id="1111245277">
      <w:marLeft w:val="640"/>
      <w:marRight w:val="0"/>
      <w:marTop w:val="0"/>
      <w:marBottom w:val="0"/>
      <w:divBdr>
        <w:top w:val="none" w:sz="0" w:space="0" w:color="auto"/>
        <w:left w:val="none" w:sz="0" w:space="0" w:color="auto"/>
        <w:bottom w:val="none" w:sz="0" w:space="0" w:color="auto"/>
        <w:right w:val="none" w:sz="0" w:space="0" w:color="auto"/>
      </w:divBdr>
    </w:div>
    <w:div w:id="1118378082">
      <w:marLeft w:val="640"/>
      <w:marRight w:val="0"/>
      <w:marTop w:val="0"/>
      <w:marBottom w:val="0"/>
      <w:divBdr>
        <w:top w:val="none" w:sz="0" w:space="0" w:color="auto"/>
        <w:left w:val="none" w:sz="0" w:space="0" w:color="auto"/>
        <w:bottom w:val="none" w:sz="0" w:space="0" w:color="auto"/>
        <w:right w:val="none" w:sz="0" w:space="0" w:color="auto"/>
      </w:divBdr>
    </w:div>
    <w:div w:id="1123496033">
      <w:marLeft w:val="640"/>
      <w:marRight w:val="0"/>
      <w:marTop w:val="0"/>
      <w:marBottom w:val="0"/>
      <w:divBdr>
        <w:top w:val="none" w:sz="0" w:space="0" w:color="auto"/>
        <w:left w:val="none" w:sz="0" w:space="0" w:color="auto"/>
        <w:bottom w:val="none" w:sz="0" w:space="0" w:color="auto"/>
        <w:right w:val="none" w:sz="0" w:space="0" w:color="auto"/>
      </w:divBdr>
    </w:div>
    <w:div w:id="1123764443">
      <w:marLeft w:val="640"/>
      <w:marRight w:val="0"/>
      <w:marTop w:val="0"/>
      <w:marBottom w:val="0"/>
      <w:divBdr>
        <w:top w:val="none" w:sz="0" w:space="0" w:color="auto"/>
        <w:left w:val="none" w:sz="0" w:space="0" w:color="auto"/>
        <w:bottom w:val="none" w:sz="0" w:space="0" w:color="auto"/>
        <w:right w:val="none" w:sz="0" w:space="0" w:color="auto"/>
      </w:divBdr>
    </w:div>
    <w:div w:id="1126268538">
      <w:marLeft w:val="640"/>
      <w:marRight w:val="0"/>
      <w:marTop w:val="0"/>
      <w:marBottom w:val="0"/>
      <w:divBdr>
        <w:top w:val="none" w:sz="0" w:space="0" w:color="auto"/>
        <w:left w:val="none" w:sz="0" w:space="0" w:color="auto"/>
        <w:bottom w:val="none" w:sz="0" w:space="0" w:color="auto"/>
        <w:right w:val="none" w:sz="0" w:space="0" w:color="auto"/>
      </w:divBdr>
    </w:div>
    <w:div w:id="1133984823">
      <w:marLeft w:val="640"/>
      <w:marRight w:val="0"/>
      <w:marTop w:val="0"/>
      <w:marBottom w:val="0"/>
      <w:divBdr>
        <w:top w:val="none" w:sz="0" w:space="0" w:color="auto"/>
        <w:left w:val="none" w:sz="0" w:space="0" w:color="auto"/>
        <w:bottom w:val="none" w:sz="0" w:space="0" w:color="auto"/>
        <w:right w:val="none" w:sz="0" w:space="0" w:color="auto"/>
      </w:divBdr>
    </w:div>
    <w:div w:id="1134132303">
      <w:marLeft w:val="640"/>
      <w:marRight w:val="0"/>
      <w:marTop w:val="0"/>
      <w:marBottom w:val="0"/>
      <w:divBdr>
        <w:top w:val="none" w:sz="0" w:space="0" w:color="auto"/>
        <w:left w:val="none" w:sz="0" w:space="0" w:color="auto"/>
        <w:bottom w:val="none" w:sz="0" w:space="0" w:color="auto"/>
        <w:right w:val="none" w:sz="0" w:space="0" w:color="auto"/>
      </w:divBdr>
    </w:div>
    <w:div w:id="1138189062">
      <w:marLeft w:val="640"/>
      <w:marRight w:val="0"/>
      <w:marTop w:val="0"/>
      <w:marBottom w:val="0"/>
      <w:divBdr>
        <w:top w:val="none" w:sz="0" w:space="0" w:color="auto"/>
        <w:left w:val="none" w:sz="0" w:space="0" w:color="auto"/>
        <w:bottom w:val="none" w:sz="0" w:space="0" w:color="auto"/>
        <w:right w:val="none" w:sz="0" w:space="0" w:color="auto"/>
      </w:divBdr>
    </w:div>
    <w:div w:id="1139419200">
      <w:marLeft w:val="640"/>
      <w:marRight w:val="0"/>
      <w:marTop w:val="0"/>
      <w:marBottom w:val="0"/>
      <w:divBdr>
        <w:top w:val="none" w:sz="0" w:space="0" w:color="auto"/>
        <w:left w:val="none" w:sz="0" w:space="0" w:color="auto"/>
        <w:bottom w:val="none" w:sz="0" w:space="0" w:color="auto"/>
        <w:right w:val="none" w:sz="0" w:space="0" w:color="auto"/>
      </w:divBdr>
    </w:div>
    <w:div w:id="1143230246">
      <w:marLeft w:val="640"/>
      <w:marRight w:val="0"/>
      <w:marTop w:val="0"/>
      <w:marBottom w:val="0"/>
      <w:divBdr>
        <w:top w:val="none" w:sz="0" w:space="0" w:color="auto"/>
        <w:left w:val="none" w:sz="0" w:space="0" w:color="auto"/>
        <w:bottom w:val="none" w:sz="0" w:space="0" w:color="auto"/>
        <w:right w:val="none" w:sz="0" w:space="0" w:color="auto"/>
      </w:divBdr>
    </w:div>
    <w:div w:id="1144127876">
      <w:marLeft w:val="640"/>
      <w:marRight w:val="0"/>
      <w:marTop w:val="0"/>
      <w:marBottom w:val="0"/>
      <w:divBdr>
        <w:top w:val="none" w:sz="0" w:space="0" w:color="auto"/>
        <w:left w:val="none" w:sz="0" w:space="0" w:color="auto"/>
        <w:bottom w:val="none" w:sz="0" w:space="0" w:color="auto"/>
        <w:right w:val="none" w:sz="0" w:space="0" w:color="auto"/>
      </w:divBdr>
    </w:div>
    <w:div w:id="1149400938">
      <w:marLeft w:val="640"/>
      <w:marRight w:val="0"/>
      <w:marTop w:val="0"/>
      <w:marBottom w:val="0"/>
      <w:divBdr>
        <w:top w:val="none" w:sz="0" w:space="0" w:color="auto"/>
        <w:left w:val="none" w:sz="0" w:space="0" w:color="auto"/>
        <w:bottom w:val="none" w:sz="0" w:space="0" w:color="auto"/>
        <w:right w:val="none" w:sz="0" w:space="0" w:color="auto"/>
      </w:divBdr>
    </w:div>
    <w:div w:id="1150560880">
      <w:marLeft w:val="640"/>
      <w:marRight w:val="0"/>
      <w:marTop w:val="0"/>
      <w:marBottom w:val="0"/>
      <w:divBdr>
        <w:top w:val="none" w:sz="0" w:space="0" w:color="auto"/>
        <w:left w:val="none" w:sz="0" w:space="0" w:color="auto"/>
        <w:bottom w:val="none" w:sz="0" w:space="0" w:color="auto"/>
        <w:right w:val="none" w:sz="0" w:space="0" w:color="auto"/>
      </w:divBdr>
    </w:div>
    <w:div w:id="1151411949">
      <w:marLeft w:val="640"/>
      <w:marRight w:val="0"/>
      <w:marTop w:val="0"/>
      <w:marBottom w:val="0"/>
      <w:divBdr>
        <w:top w:val="none" w:sz="0" w:space="0" w:color="auto"/>
        <w:left w:val="none" w:sz="0" w:space="0" w:color="auto"/>
        <w:bottom w:val="none" w:sz="0" w:space="0" w:color="auto"/>
        <w:right w:val="none" w:sz="0" w:space="0" w:color="auto"/>
      </w:divBdr>
    </w:div>
    <w:div w:id="1157652528">
      <w:marLeft w:val="640"/>
      <w:marRight w:val="0"/>
      <w:marTop w:val="0"/>
      <w:marBottom w:val="0"/>
      <w:divBdr>
        <w:top w:val="none" w:sz="0" w:space="0" w:color="auto"/>
        <w:left w:val="none" w:sz="0" w:space="0" w:color="auto"/>
        <w:bottom w:val="none" w:sz="0" w:space="0" w:color="auto"/>
        <w:right w:val="none" w:sz="0" w:space="0" w:color="auto"/>
      </w:divBdr>
    </w:div>
    <w:div w:id="1158612912">
      <w:marLeft w:val="640"/>
      <w:marRight w:val="0"/>
      <w:marTop w:val="0"/>
      <w:marBottom w:val="0"/>
      <w:divBdr>
        <w:top w:val="none" w:sz="0" w:space="0" w:color="auto"/>
        <w:left w:val="none" w:sz="0" w:space="0" w:color="auto"/>
        <w:bottom w:val="none" w:sz="0" w:space="0" w:color="auto"/>
        <w:right w:val="none" w:sz="0" w:space="0" w:color="auto"/>
      </w:divBdr>
    </w:div>
    <w:div w:id="1168986706">
      <w:marLeft w:val="640"/>
      <w:marRight w:val="0"/>
      <w:marTop w:val="0"/>
      <w:marBottom w:val="0"/>
      <w:divBdr>
        <w:top w:val="none" w:sz="0" w:space="0" w:color="auto"/>
        <w:left w:val="none" w:sz="0" w:space="0" w:color="auto"/>
        <w:bottom w:val="none" w:sz="0" w:space="0" w:color="auto"/>
        <w:right w:val="none" w:sz="0" w:space="0" w:color="auto"/>
      </w:divBdr>
    </w:div>
    <w:div w:id="1171218938">
      <w:marLeft w:val="640"/>
      <w:marRight w:val="0"/>
      <w:marTop w:val="0"/>
      <w:marBottom w:val="0"/>
      <w:divBdr>
        <w:top w:val="none" w:sz="0" w:space="0" w:color="auto"/>
        <w:left w:val="none" w:sz="0" w:space="0" w:color="auto"/>
        <w:bottom w:val="none" w:sz="0" w:space="0" w:color="auto"/>
        <w:right w:val="none" w:sz="0" w:space="0" w:color="auto"/>
      </w:divBdr>
    </w:div>
    <w:div w:id="1178160911">
      <w:marLeft w:val="640"/>
      <w:marRight w:val="0"/>
      <w:marTop w:val="0"/>
      <w:marBottom w:val="0"/>
      <w:divBdr>
        <w:top w:val="none" w:sz="0" w:space="0" w:color="auto"/>
        <w:left w:val="none" w:sz="0" w:space="0" w:color="auto"/>
        <w:bottom w:val="none" w:sz="0" w:space="0" w:color="auto"/>
        <w:right w:val="none" w:sz="0" w:space="0" w:color="auto"/>
      </w:divBdr>
    </w:div>
    <w:div w:id="1184125921">
      <w:marLeft w:val="640"/>
      <w:marRight w:val="0"/>
      <w:marTop w:val="0"/>
      <w:marBottom w:val="0"/>
      <w:divBdr>
        <w:top w:val="none" w:sz="0" w:space="0" w:color="auto"/>
        <w:left w:val="none" w:sz="0" w:space="0" w:color="auto"/>
        <w:bottom w:val="none" w:sz="0" w:space="0" w:color="auto"/>
        <w:right w:val="none" w:sz="0" w:space="0" w:color="auto"/>
      </w:divBdr>
    </w:div>
    <w:div w:id="1184250973">
      <w:marLeft w:val="640"/>
      <w:marRight w:val="0"/>
      <w:marTop w:val="0"/>
      <w:marBottom w:val="0"/>
      <w:divBdr>
        <w:top w:val="none" w:sz="0" w:space="0" w:color="auto"/>
        <w:left w:val="none" w:sz="0" w:space="0" w:color="auto"/>
        <w:bottom w:val="none" w:sz="0" w:space="0" w:color="auto"/>
        <w:right w:val="none" w:sz="0" w:space="0" w:color="auto"/>
      </w:divBdr>
    </w:div>
    <w:div w:id="1190754516">
      <w:marLeft w:val="640"/>
      <w:marRight w:val="0"/>
      <w:marTop w:val="0"/>
      <w:marBottom w:val="0"/>
      <w:divBdr>
        <w:top w:val="none" w:sz="0" w:space="0" w:color="auto"/>
        <w:left w:val="none" w:sz="0" w:space="0" w:color="auto"/>
        <w:bottom w:val="none" w:sz="0" w:space="0" w:color="auto"/>
        <w:right w:val="none" w:sz="0" w:space="0" w:color="auto"/>
      </w:divBdr>
    </w:div>
    <w:div w:id="1192916915">
      <w:marLeft w:val="640"/>
      <w:marRight w:val="0"/>
      <w:marTop w:val="0"/>
      <w:marBottom w:val="0"/>
      <w:divBdr>
        <w:top w:val="none" w:sz="0" w:space="0" w:color="auto"/>
        <w:left w:val="none" w:sz="0" w:space="0" w:color="auto"/>
        <w:bottom w:val="none" w:sz="0" w:space="0" w:color="auto"/>
        <w:right w:val="none" w:sz="0" w:space="0" w:color="auto"/>
      </w:divBdr>
    </w:div>
    <w:div w:id="1197548404">
      <w:marLeft w:val="640"/>
      <w:marRight w:val="0"/>
      <w:marTop w:val="0"/>
      <w:marBottom w:val="0"/>
      <w:divBdr>
        <w:top w:val="none" w:sz="0" w:space="0" w:color="auto"/>
        <w:left w:val="none" w:sz="0" w:space="0" w:color="auto"/>
        <w:bottom w:val="none" w:sz="0" w:space="0" w:color="auto"/>
        <w:right w:val="none" w:sz="0" w:space="0" w:color="auto"/>
      </w:divBdr>
    </w:div>
    <w:div w:id="1200125159">
      <w:marLeft w:val="640"/>
      <w:marRight w:val="0"/>
      <w:marTop w:val="0"/>
      <w:marBottom w:val="0"/>
      <w:divBdr>
        <w:top w:val="none" w:sz="0" w:space="0" w:color="auto"/>
        <w:left w:val="none" w:sz="0" w:space="0" w:color="auto"/>
        <w:bottom w:val="none" w:sz="0" w:space="0" w:color="auto"/>
        <w:right w:val="none" w:sz="0" w:space="0" w:color="auto"/>
      </w:divBdr>
    </w:div>
    <w:div w:id="1203438627">
      <w:marLeft w:val="640"/>
      <w:marRight w:val="0"/>
      <w:marTop w:val="0"/>
      <w:marBottom w:val="0"/>
      <w:divBdr>
        <w:top w:val="none" w:sz="0" w:space="0" w:color="auto"/>
        <w:left w:val="none" w:sz="0" w:space="0" w:color="auto"/>
        <w:bottom w:val="none" w:sz="0" w:space="0" w:color="auto"/>
        <w:right w:val="none" w:sz="0" w:space="0" w:color="auto"/>
      </w:divBdr>
    </w:div>
    <w:div w:id="1206603934">
      <w:marLeft w:val="640"/>
      <w:marRight w:val="0"/>
      <w:marTop w:val="0"/>
      <w:marBottom w:val="0"/>
      <w:divBdr>
        <w:top w:val="none" w:sz="0" w:space="0" w:color="auto"/>
        <w:left w:val="none" w:sz="0" w:space="0" w:color="auto"/>
        <w:bottom w:val="none" w:sz="0" w:space="0" w:color="auto"/>
        <w:right w:val="none" w:sz="0" w:space="0" w:color="auto"/>
      </w:divBdr>
    </w:div>
    <w:div w:id="1208030856">
      <w:marLeft w:val="640"/>
      <w:marRight w:val="0"/>
      <w:marTop w:val="0"/>
      <w:marBottom w:val="0"/>
      <w:divBdr>
        <w:top w:val="none" w:sz="0" w:space="0" w:color="auto"/>
        <w:left w:val="none" w:sz="0" w:space="0" w:color="auto"/>
        <w:bottom w:val="none" w:sz="0" w:space="0" w:color="auto"/>
        <w:right w:val="none" w:sz="0" w:space="0" w:color="auto"/>
      </w:divBdr>
    </w:div>
    <w:div w:id="1214927710">
      <w:marLeft w:val="640"/>
      <w:marRight w:val="0"/>
      <w:marTop w:val="0"/>
      <w:marBottom w:val="0"/>
      <w:divBdr>
        <w:top w:val="none" w:sz="0" w:space="0" w:color="auto"/>
        <w:left w:val="none" w:sz="0" w:space="0" w:color="auto"/>
        <w:bottom w:val="none" w:sz="0" w:space="0" w:color="auto"/>
        <w:right w:val="none" w:sz="0" w:space="0" w:color="auto"/>
      </w:divBdr>
    </w:div>
    <w:div w:id="1222206681">
      <w:marLeft w:val="640"/>
      <w:marRight w:val="0"/>
      <w:marTop w:val="0"/>
      <w:marBottom w:val="0"/>
      <w:divBdr>
        <w:top w:val="none" w:sz="0" w:space="0" w:color="auto"/>
        <w:left w:val="none" w:sz="0" w:space="0" w:color="auto"/>
        <w:bottom w:val="none" w:sz="0" w:space="0" w:color="auto"/>
        <w:right w:val="none" w:sz="0" w:space="0" w:color="auto"/>
      </w:divBdr>
    </w:div>
    <w:div w:id="1225262256">
      <w:marLeft w:val="640"/>
      <w:marRight w:val="0"/>
      <w:marTop w:val="0"/>
      <w:marBottom w:val="0"/>
      <w:divBdr>
        <w:top w:val="none" w:sz="0" w:space="0" w:color="auto"/>
        <w:left w:val="none" w:sz="0" w:space="0" w:color="auto"/>
        <w:bottom w:val="none" w:sz="0" w:space="0" w:color="auto"/>
        <w:right w:val="none" w:sz="0" w:space="0" w:color="auto"/>
      </w:divBdr>
    </w:div>
    <w:div w:id="1232035814">
      <w:marLeft w:val="640"/>
      <w:marRight w:val="0"/>
      <w:marTop w:val="0"/>
      <w:marBottom w:val="0"/>
      <w:divBdr>
        <w:top w:val="none" w:sz="0" w:space="0" w:color="auto"/>
        <w:left w:val="none" w:sz="0" w:space="0" w:color="auto"/>
        <w:bottom w:val="none" w:sz="0" w:space="0" w:color="auto"/>
        <w:right w:val="none" w:sz="0" w:space="0" w:color="auto"/>
      </w:divBdr>
    </w:div>
    <w:div w:id="1234270193">
      <w:marLeft w:val="640"/>
      <w:marRight w:val="0"/>
      <w:marTop w:val="0"/>
      <w:marBottom w:val="0"/>
      <w:divBdr>
        <w:top w:val="none" w:sz="0" w:space="0" w:color="auto"/>
        <w:left w:val="none" w:sz="0" w:space="0" w:color="auto"/>
        <w:bottom w:val="none" w:sz="0" w:space="0" w:color="auto"/>
        <w:right w:val="none" w:sz="0" w:space="0" w:color="auto"/>
      </w:divBdr>
    </w:div>
    <w:div w:id="1245264716">
      <w:marLeft w:val="640"/>
      <w:marRight w:val="0"/>
      <w:marTop w:val="0"/>
      <w:marBottom w:val="0"/>
      <w:divBdr>
        <w:top w:val="none" w:sz="0" w:space="0" w:color="auto"/>
        <w:left w:val="none" w:sz="0" w:space="0" w:color="auto"/>
        <w:bottom w:val="none" w:sz="0" w:space="0" w:color="auto"/>
        <w:right w:val="none" w:sz="0" w:space="0" w:color="auto"/>
      </w:divBdr>
    </w:div>
    <w:div w:id="1253853177">
      <w:marLeft w:val="640"/>
      <w:marRight w:val="0"/>
      <w:marTop w:val="0"/>
      <w:marBottom w:val="0"/>
      <w:divBdr>
        <w:top w:val="none" w:sz="0" w:space="0" w:color="auto"/>
        <w:left w:val="none" w:sz="0" w:space="0" w:color="auto"/>
        <w:bottom w:val="none" w:sz="0" w:space="0" w:color="auto"/>
        <w:right w:val="none" w:sz="0" w:space="0" w:color="auto"/>
      </w:divBdr>
    </w:div>
    <w:div w:id="1256596400">
      <w:marLeft w:val="640"/>
      <w:marRight w:val="0"/>
      <w:marTop w:val="0"/>
      <w:marBottom w:val="0"/>
      <w:divBdr>
        <w:top w:val="none" w:sz="0" w:space="0" w:color="auto"/>
        <w:left w:val="none" w:sz="0" w:space="0" w:color="auto"/>
        <w:bottom w:val="none" w:sz="0" w:space="0" w:color="auto"/>
        <w:right w:val="none" w:sz="0" w:space="0" w:color="auto"/>
      </w:divBdr>
    </w:div>
    <w:div w:id="1260673414">
      <w:marLeft w:val="640"/>
      <w:marRight w:val="0"/>
      <w:marTop w:val="0"/>
      <w:marBottom w:val="0"/>
      <w:divBdr>
        <w:top w:val="none" w:sz="0" w:space="0" w:color="auto"/>
        <w:left w:val="none" w:sz="0" w:space="0" w:color="auto"/>
        <w:bottom w:val="none" w:sz="0" w:space="0" w:color="auto"/>
        <w:right w:val="none" w:sz="0" w:space="0" w:color="auto"/>
      </w:divBdr>
    </w:div>
    <w:div w:id="1270698950">
      <w:marLeft w:val="640"/>
      <w:marRight w:val="0"/>
      <w:marTop w:val="0"/>
      <w:marBottom w:val="0"/>
      <w:divBdr>
        <w:top w:val="none" w:sz="0" w:space="0" w:color="auto"/>
        <w:left w:val="none" w:sz="0" w:space="0" w:color="auto"/>
        <w:bottom w:val="none" w:sz="0" w:space="0" w:color="auto"/>
        <w:right w:val="none" w:sz="0" w:space="0" w:color="auto"/>
      </w:divBdr>
    </w:div>
    <w:div w:id="1271083911">
      <w:marLeft w:val="640"/>
      <w:marRight w:val="0"/>
      <w:marTop w:val="0"/>
      <w:marBottom w:val="0"/>
      <w:divBdr>
        <w:top w:val="none" w:sz="0" w:space="0" w:color="auto"/>
        <w:left w:val="none" w:sz="0" w:space="0" w:color="auto"/>
        <w:bottom w:val="none" w:sz="0" w:space="0" w:color="auto"/>
        <w:right w:val="none" w:sz="0" w:space="0" w:color="auto"/>
      </w:divBdr>
    </w:div>
    <w:div w:id="1274095287">
      <w:marLeft w:val="640"/>
      <w:marRight w:val="0"/>
      <w:marTop w:val="0"/>
      <w:marBottom w:val="0"/>
      <w:divBdr>
        <w:top w:val="none" w:sz="0" w:space="0" w:color="auto"/>
        <w:left w:val="none" w:sz="0" w:space="0" w:color="auto"/>
        <w:bottom w:val="none" w:sz="0" w:space="0" w:color="auto"/>
        <w:right w:val="none" w:sz="0" w:space="0" w:color="auto"/>
      </w:divBdr>
    </w:div>
    <w:div w:id="1286275180">
      <w:marLeft w:val="640"/>
      <w:marRight w:val="0"/>
      <w:marTop w:val="0"/>
      <w:marBottom w:val="0"/>
      <w:divBdr>
        <w:top w:val="none" w:sz="0" w:space="0" w:color="auto"/>
        <w:left w:val="none" w:sz="0" w:space="0" w:color="auto"/>
        <w:bottom w:val="none" w:sz="0" w:space="0" w:color="auto"/>
        <w:right w:val="none" w:sz="0" w:space="0" w:color="auto"/>
      </w:divBdr>
    </w:div>
    <w:div w:id="1291932274">
      <w:marLeft w:val="640"/>
      <w:marRight w:val="0"/>
      <w:marTop w:val="0"/>
      <w:marBottom w:val="0"/>
      <w:divBdr>
        <w:top w:val="none" w:sz="0" w:space="0" w:color="auto"/>
        <w:left w:val="none" w:sz="0" w:space="0" w:color="auto"/>
        <w:bottom w:val="none" w:sz="0" w:space="0" w:color="auto"/>
        <w:right w:val="none" w:sz="0" w:space="0" w:color="auto"/>
      </w:divBdr>
    </w:div>
    <w:div w:id="1304962699">
      <w:marLeft w:val="640"/>
      <w:marRight w:val="0"/>
      <w:marTop w:val="0"/>
      <w:marBottom w:val="0"/>
      <w:divBdr>
        <w:top w:val="none" w:sz="0" w:space="0" w:color="auto"/>
        <w:left w:val="none" w:sz="0" w:space="0" w:color="auto"/>
        <w:bottom w:val="none" w:sz="0" w:space="0" w:color="auto"/>
        <w:right w:val="none" w:sz="0" w:space="0" w:color="auto"/>
      </w:divBdr>
    </w:div>
    <w:div w:id="1320227325">
      <w:marLeft w:val="640"/>
      <w:marRight w:val="0"/>
      <w:marTop w:val="0"/>
      <w:marBottom w:val="0"/>
      <w:divBdr>
        <w:top w:val="none" w:sz="0" w:space="0" w:color="auto"/>
        <w:left w:val="none" w:sz="0" w:space="0" w:color="auto"/>
        <w:bottom w:val="none" w:sz="0" w:space="0" w:color="auto"/>
        <w:right w:val="none" w:sz="0" w:space="0" w:color="auto"/>
      </w:divBdr>
    </w:div>
    <w:div w:id="1329602800">
      <w:marLeft w:val="640"/>
      <w:marRight w:val="0"/>
      <w:marTop w:val="0"/>
      <w:marBottom w:val="0"/>
      <w:divBdr>
        <w:top w:val="none" w:sz="0" w:space="0" w:color="auto"/>
        <w:left w:val="none" w:sz="0" w:space="0" w:color="auto"/>
        <w:bottom w:val="none" w:sz="0" w:space="0" w:color="auto"/>
        <w:right w:val="none" w:sz="0" w:space="0" w:color="auto"/>
      </w:divBdr>
    </w:div>
    <w:div w:id="1329821760">
      <w:marLeft w:val="640"/>
      <w:marRight w:val="0"/>
      <w:marTop w:val="0"/>
      <w:marBottom w:val="0"/>
      <w:divBdr>
        <w:top w:val="none" w:sz="0" w:space="0" w:color="auto"/>
        <w:left w:val="none" w:sz="0" w:space="0" w:color="auto"/>
        <w:bottom w:val="none" w:sz="0" w:space="0" w:color="auto"/>
        <w:right w:val="none" w:sz="0" w:space="0" w:color="auto"/>
      </w:divBdr>
    </w:div>
    <w:div w:id="1331714332">
      <w:marLeft w:val="640"/>
      <w:marRight w:val="0"/>
      <w:marTop w:val="0"/>
      <w:marBottom w:val="0"/>
      <w:divBdr>
        <w:top w:val="none" w:sz="0" w:space="0" w:color="auto"/>
        <w:left w:val="none" w:sz="0" w:space="0" w:color="auto"/>
        <w:bottom w:val="none" w:sz="0" w:space="0" w:color="auto"/>
        <w:right w:val="none" w:sz="0" w:space="0" w:color="auto"/>
      </w:divBdr>
    </w:div>
    <w:div w:id="1337341312">
      <w:marLeft w:val="640"/>
      <w:marRight w:val="0"/>
      <w:marTop w:val="0"/>
      <w:marBottom w:val="0"/>
      <w:divBdr>
        <w:top w:val="none" w:sz="0" w:space="0" w:color="auto"/>
        <w:left w:val="none" w:sz="0" w:space="0" w:color="auto"/>
        <w:bottom w:val="none" w:sz="0" w:space="0" w:color="auto"/>
        <w:right w:val="none" w:sz="0" w:space="0" w:color="auto"/>
      </w:divBdr>
    </w:div>
    <w:div w:id="1346521584">
      <w:marLeft w:val="640"/>
      <w:marRight w:val="0"/>
      <w:marTop w:val="0"/>
      <w:marBottom w:val="0"/>
      <w:divBdr>
        <w:top w:val="none" w:sz="0" w:space="0" w:color="auto"/>
        <w:left w:val="none" w:sz="0" w:space="0" w:color="auto"/>
        <w:bottom w:val="none" w:sz="0" w:space="0" w:color="auto"/>
        <w:right w:val="none" w:sz="0" w:space="0" w:color="auto"/>
      </w:divBdr>
    </w:div>
    <w:div w:id="1355419896">
      <w:marLeft w:val="640"/>
      <w:marRight w:val="0"/>
      <w:marTop w:val="0"/>
      <w:marBottom w:val="0"/>
      <w:divBdr>
        <w:top w:val="none" w:sz="0" w:space="0" w:color="auto"/>
        <w:left w:val="none" w:sz="0" w:space="0" w:color="auto"/>
        <w:bottom w:val="none" w:sz="0" w:space="0" w:color="auto"/>
        <w:right w:val="none" w:sz="0" w:space="0" w:color="auto"/>
      </w:divBdr>
    </w:div>
    <w:div w:id="1360551206">
      <w:marLeft w:val="640"/>
      <w:marRight w:val="0"/>
      <w:marTop w:val="0"/>
      <w:marBottom w:val="0"/>
      <w:divBdr>
        <w:top w:val="none" w:sz="0" w:space="0" w:color="auto"/>
        <w:left w:val="none" w:sz="0" w:space="0" w:color="auto"/>
        <w:bottom w:val="none" w:sz="0" w:space="0" w:color="auto"/>
        <w:right w:val="none" w:sz="0" w:space="0" w:color="auto"/>
      </w:divBdr>
    </w:div>
    <w:div w:id="1377854858">
      <w:marLeft w:val="640"/>
      <w:marRight w:val="0"/>
      <w:marTop w:val="0"/>
      <w:marBottom w:val="0"/>
      <w:divBdr>
        <w:top w:val="none" w:sz="0" w:space="0" w:color="auto"/>
        <w:left w:val="none" w:sz="0" w:space="0" w:color="auto"/>
        <w:bottom w:val="none" w:sz="0" w:space="0" w:color="auto"/>
        <w:right w:val="none" w:sz="0" w:space="0" w:color="auto"/>
      </w:divBdr>
    </w:div>
    <w:div w:id="1380282866">
      <w:marLeft w:val="640"/>
      <w:marRight w:val="0"/>
      <w:marTop w:val="0"/>
      <w:marBottom w:val="0"/>
      <w:divBdr>
        <w:top w:val="none" w:sz="0" w:space="0" w:color="auto"/>
        <w:left w:val="none" w:sz="0" w:space="0" w:color="auto"/>
        <w:bottom w:val="none" w:sz="0" w:space="0" w:color="auto"/>
        <w:right w:val="none" w:sz="0" w:space="0" w:color="auto"/>
      </w:divBdr>
    </w:div>
    <w:div w:id="1381633169">
      <w:marLeft w:val="640"/>
      <w:marRight w:val="0"/>
      <w:marTop w:val="0"/>
      <w:marBottom w:val="0"/>
      <w:divBdr>
        <w:top w:val="none" w:sz="0" w:space="0" w:color="auto"/>
        <w:left w:val="none" w:sz="0" w:space="0" w:color="auto"/>
        <w:bottom w:val="none" w:sz="0" w:space="0" w:color="auto"/>
        <w:right w:val="none" w:sz="0" w:space="0" w:color="auto"/>
      </w:divBdr>
    </w:div>
    <w:div w:id="1384057925">
      <w:marLeft w:val="640"/>
      <w:marRight w:val="0"/>
      <w:marTop w:val="0"/>
      <w:marBottom w:val="0"/>
      <w:divBdr>
        <w:top w:val="none" w:sz="0" w:space="0" w:color="auto"/>
        <w:left w:val="none" w:sz="0" w:space="0" w:color="auto"/>
        <w:bottom w:val="none" w:sz="0" w:space="0" w:color="auto"/>
        <w:right w:val="none" w:sz="0" w:space="0" w:color="auto"/>
      </w:divBdr>
    </w:div>
    <w:div w:id="1394281492">
      <w:marLeft w:val="640"/>
      <w:marRight w:val="0"/>
      <w:marTop w:val="0"/>
      <w:marBottom w:val="0"/>
      <w:divBdr>
        <w:top w:val="none" w:sz="0" w:space="0" w:color="auto"/>
        <w:left w:val="none" w:sz="0" w:space="0" w:color="auto"/>
        <w:bottom w:val="none" w:sz="0" w:space="0" w:color="auto"/>
        <w:right w:val="none" w:sz="0" w:space="0" w:color="auto"/>
      </w:divBdr>
    </w:div>
    <w:div w:id="1396198918">
      <w:marLeft w:val="640"/>
      <w:marRight w:val="0"/>
      <w:marTop w:val="0"/>
      <w:marBottom w:val="0"/>
      <w:divBdr>
        <w:top w:val="none" w:sz="0" w:space="0" w:color="auto"/>
        <w:left w:val="none" w:sz="0" w:space="0" w:color="auto"/>
        <w:bottom w:val="none" w:sz="0" w:space="0" w:color="auto"/>
        <w:right w:val="none" w:sz="0" w:space="0" w:color="auto"/>
      </w:divBdr>
    </w:div>
    <w:div w:id="1413315602">
      <w:marLeft w:val="640"/>
      <w:marRight w:val="0"/>
      <w:marTop w:val="0"/>
      <w:marBottom w:val="0"/>
      <w:divBdr>
        <w:top w:val="none" w:sz="0" w:space="0" w:color="auto"/>
        <w:left w:val="none" w:sz="0" w:space="0" w:color="auto"/>
        <w:bottom w:val="none" w:sz="0" w:space="0" w:color="auto"/>
        <w:right w:val="none" w:sz="0" w:space="0" w:color="auto"/>
      </w:divBdr>
    </w:div>
    <w:div w:id="1418094663">
      <w:marLeft w:val="640"/>
      <w:marRight w:val="0"/>
      <w:marTop w:val="0"/>
      <w:marBottom w:val="0"/>
      <w:divBdr>
        <w:top w:val="none" w:sz="0" w:space="0" w:color="auto"/>
        <w:left w:val="none" w:sz="0" w:space="0" w:color="auto"/>
        <w:bottom w:val="none" w:sz="0" w:space="0" w:color="auto"/>
        <w:right w:val="none" w:sz="0" w:space="0" w:color="auto"/>
      </w:divBdr>
    </w:div>
    <w:div w:id="1420980371">
      <w:marLeft w:val="640"/>
      <w:marRight w:val="0"/>
      <w:marTop w:val="0"/>
      <w:marBottom w:val="0"/>
      <w:divBdr>
        <w:top w:val="none" w:sz="0" w:space="0" w:color="auto"/>
        <w:left w:val="none" w:sz="0" w:space="0" w:color="auto"/>
        <w:bottom w:val="none" w:sz="0" w:space="0" w:color="auto"/>
        <w:right w:val="none" w:sz="0" w:space="0" w:color="auto"/>
      </w:divBdr>
    </w:div>
    <w:div w:id="1443302802">
      <w:marLeft w:val="640"/>
      <w:marRight w:val="0"/>
      <w:marTop w:val="0"/>
      <w:marBottom w:val="0"/>
      <w:divBdr>
        <w:top w:val="none" w:sz="0" w:space="0" w:color="auto"/>
        <w:left w:val="none" w:sz="0" w:space="0" w:color="auto"/>
        <w:bottom w:val="none" w:sz="0" w:space="0" w:color="auto"/>
        <w:right w:val="none" w:sz="0" w:space="0" w:color="auto"/>
      </w:divBdr>
    </w:div>
    <w:div w:id="1453327475">
      <w:marLeft w:val="640"/>
      <w:marRight w:val="0"/>
      <w:marTop w:val="0"/>
      <w:marBottom w:val="0"/>
      <w:divBdr>
        <w:top w:val="none" w:sz="0" w:space="0" w:color="auto"/>
        <w:left w:val="none" w:sz="0" w:space="0" w:color="auto"/>
        <w:bottom w:val="none" w:sz="0" w:space="0" w:color="auto"/>
        <w:right w:val="none" w:sz="0" w:space="0" w:color="auto"/>
      </w:divBdr>
    </w:div>
    <w:div w:id="1460218962">
      <w:marLeft w:val="640"/>
      <w:marRight w:val="0"/>
      <w:marTop w:val="0"/>
      <w:marBottom w:val="0"/>
      <w:divBdr>
        <w:top w:val="none" w:sz="0" w:space="0" w:color="auto"/>
        <w:left w:val="none" w:sz="0" w:space="0" w:color="auto"/>
        <w:bottom w:val="none" w:sz="0" w:space="0" w:color="auto"/>
        <w:right w:val="none" w:sz="0" w:space="0" w:color="auto"/>
      </w:divBdr>
    </w:div>
    <w:div w:id="1467703127">
      <w:marLeft w:val="640"/>
      <w:marRight w:val="0"/>
      <w:marTop w:val="0"/>
      <w:marBottom w:val="0"/>
      <w:divBdr>
        <w:top w:val="none" w:sz="0" w:space="0" w:color="auto"/>
        <w:left w:val="none" w:sz="0" w:space="0" w:color="auto"/>
        <w:bottom w:val="none" w:sz="0" w:space="0" w:color="auto"/>
        <w:right w:val="none" w:sz="0" w:space="0" w:color="auto"/>
      </w:divBdr>
    </w:div>
    <w:div w:id="1485123573">
      <w:marLeft w:val="640"/>
      <w:marRight w:val="0"/>
      <w:marTop w:val="0"/>
      <w:marBottom w:val="0"/>
      <w:divBdr>
        <w:top w:val="none" w:sz="0" w:space="0" w:color="auto"/>
        <w:left w:val="none" w:sz="0" w:space="0" w:color="auto"/>
        <w:bottom w:val="none" w:sz="0" w:space="0" w:color="auto"/>
        <w:right w:val="none" w:sz="0" w:space="0" w:color="auto"/>
      </w:divBdr>
    </w:div>
    <w:div w:id="1491213857">
      <w:marLeft w:val="640"/>
      <w:marRight w:val="0"/>
      <w:marTop w:val="0"/>
      <w:marBottom w:val="0"/>
      <w:divBdr>
        <w:top w:val="none" w:sz="0" w:space="0" w:color="auto"/>
        <w:left w:val="none" w:sz="0" w:space="0" w:color="auto"/>
        <w:bottom w:val="none" w:sz="0" w:space="0" w:color="auto"/>
        <w:right w:val="none" w:sz="0" w:space="0" w:color="auto"/>
      </w:divBdr>
    </w:div>
    <w:div w:id="1494448357">
      <w:marLeft w:val="640"/>
      <w:marRight w:val="0"/>
      <w:marTop w:val="0"/>
      <w:marBottom w:val="0"/>
      <w:divBdr>
        <w:top w:val="none" w:sz="0" w:space="0" w:color="auto"/>
        <w:left w:val="none" w:sz="0" w:space="0" w:color="auto"/>
        <w:bottom w:val="none" w:sz="0" w:space="0" w:color="auto"/>
        <w:right w:val="none" w:sz="0" w:space="0" w:color="auto"/>
      </w:divBdr>
    </w:div>
    <w:div w:id="1504004188">
      <w:marLeft w:val="640"/>
      <w:marRight w:val="0"/>
      <w:marTop w:val="0"/>
      <w:marBottom w:val="0"/>
      <w:divBdr>
        <w:top w:val="none" w:sz="0" w:space="0" w:color="auto"/>
        <w:left w:val="none" w:sz="0" w:space="0" w:color="auto"/>
        <w:bottom w:val="none" w:sz="0" w:space="0" w:color="auto"/>
        <w:right w:val="none" w:sz="0" w:space="0" w:color="auto"/>
      </w:divBdr>
    </w:div>
    <w:div w:id="1513060774">
      <w:marLeft w:val="640"/>
      <w:marRight w:val="0"/>
      <w:marTop w:val="0"/>
      <w:marBottom w:val="0"/>
      <w:divBdr>
        <w:top w:val="none" w:sz="0" w:space="0" w:color="auto"/>
        <w:left w:val="none" w:sz="0" w:space="0" w:color="auto"/>
        <w:bottom w:val="none" w:sz="0" w:space="0" w:color="auto"/>
        <w:right w:val="none" w:sz="0" w:space="0" w:color="auto"/>
      </w:divBdr>
    </w:div>
    <w:div w:id="1514370006">
      <w:marLeft w:val="640"/>
      <w:marRight w:val="0"/>
      <w:marTop w:val="0"/>
      <w:marBottom w:val="0"/>
      <w:divBdr>
        <w:top w:val="none" w:sz="0" w:space="0" w:color="auto"/>
        <w:left w:val="none" w:sz="0" w:space="0" w:color="auto"/>
        <w:bottom w:val="none" w:sz="0" w:space="0" w:color="auto"/>
        <w:right w:val="none" w:sz="0" w:space="0" w:color="auto"/>
      </w:divBdr>
    </w:div>
    <w:div w:id="1531257140">
      <w:marLeft w:val="640"/>
      <w:marRight w:val="0"/>
      <w:marTop w:val="0"/>
      <w:marBottom w:val="0"/>
      <w:divBdr>
        <w:top w:val="none" w:sz="0" w:space="0" w:color="auto"/>
        <w:left w:val="none" w:sz="0" w:space="0" w:color="auto"/>
        <w:bottom w:val="none" w:sz="0" w:space="0" w:color="auto"/>
        <w:right w:val="none" w:sz="0" w:space="0" w:color="auto"/>
      </w:divBdr>
    </w:div>
    <w:div w:id="1531455621">
      <w:marLeft w:val="640"/>
      <w:marRight w:val="0"/>
      <w:marTop w:val="0"/>
      <w:marBottom w:val="0"/>
      <w:divBdr>
        <w:top w:val="none" w:sz="0" w:space="0" w:color="auto"/>
        <w:left w:val="none" w:sz="0" w:space="0" w:color="auto"/>
        <w:bottom w:val="none" w:sz="0" w:space="0" w:color="auto"/>
        <w:right w:val="none" w:sz="0" w:space="0" w:color="auto"/>
      </w:divBdr>
    </w:div>
    <w:div w:id="1533689337">
      <w:marLeft w:val="640"/>
      <w:marRight w:val="0"/>
      <w:marTop w:val="0"/>
      <w:marBottom w:val="0"/>
      <w:divBdr>
        <w:top w:val="none" w:sz="0" w:space="0" w:color="auto"/>
        <w:left w:val="none" w:sz="0" w:space="0" w:color="auto"/>
        <w:bottom w:val="none" w:sz="0" w:space="0" w:color="auto"/>
        <w:right w:val="none" w:sz="0" w:space="0" w:color="auto"/>
      </w:divBdr>
    </w:div>
    <w:div w:id="1537161476">
      <w:marLeft w:val="640"/>
      <w:marRight w:val="0"/>
      <w:marTop w:val="0"/>
      <w:marBottom w:val="0"/>
      <w:divBdr>
        <w:top w:val="none" w:sz="0" w:space="0" w:color="auto"/>
        <w:left w:val="none" w:sz="0" w:space="0" w:color="auto"/>
        <w:bottom w:val="none" w:sz="0" w:space="0" w:color="auto"/>
        <w:right w:val="none" w:sz="0" w:space="0" w:color="auto"/>
      </w:divBdr>
    </w:div>
    <w:div w:id="1538817651">
      <w:marLeft w:val="640"/>
      <w:marRight w:val="0"/>
      <w:marTop w:val="0"/>
      <w:marBottom w:val="0"/>
      <w:divBdr>
        <w:top w:val="none" w:sz="0" w:space="0" w:color="auto"/>
        <w:left w:val="none" w:sz="0" w:space="0" w:color="auto"/>
        <w:bottom w:val="none" w:sz="0" w:space="0" w:color="auto"/>
        <w:right w:val="none" w:sz="0" w:space="0" w:color="auto"/>
      </w:divBdr>
    </w:div>
    <w:div w:id="1544055864">
      <w:marLeft w:val="640"/>
      <w:marRight w:val="0"/>
      <w:marTop w:val="0"/>
      <w:marBottom w:val="0"/>
      <w:divBdr>
        <w:top w:val="none" w:sz="0" w:space="0" w:color="auto"/>
        <w:left w:val="none" w:sz="0" w:space="0" w:color="auto"/>
        <w:bottom w:val="none" w:sz="0" w:space="0" w:color="auto"/>
        <w:right w:val="none" w:sz="0" w:space="0" w:color="auto"/>
      </w:divBdr>
    </w:div>
    <w:div w:id="1547835703">
      <w:marLeft w:val="640"/>
      <w:marRight w:val="0"/>
      <w:marTop w:val="0"/>
      <w:marBottom w:val="0"/>
      <w:divBdr>
        <w:top w:val="none" w:sz="0" w:space="0" w:color="auto"/>
        <w:left w:val="none" w:sz="0" w:space="0" w:color="auto"/>
        <w:bottom w:val="none" w:sz="0" w:space="0" w:color="auto"/>
        <w:right w:val="none" w:sz="0" w:space="0" w:color="auto"/>
      </w:divBdr>
    </w:div>
    <w:div w:id="1553813085">
      <w:marLeft w:val="640"/>
      <w:marRight w:val="0"/>
      <w:marTop w:val="0"/>
      <w:marBottom w:val="0"/>
      <w:divBdr>
        <w:top w:val="none" w:sz="0" w:space="0" w:color="auto"/>
        <w:left w:val="none" w:sz="0" w:space="0" w:color="auto"/>
        <w:bottom w:val="none" w:sz="0" w:space="0" w:color="auto"/>
        <w:right w:val="none" w:sz="0" w:space="0" w:color="auto"/>
      </w:divBdr>
    </w:div>
    <w:div w:id="1559050179">
      <w:marLeft w:val="640"/>
      <w:marRight w:val="0"/>
      <w:marTop w:val="0"/>
      <w:marBottom w:val="0"/>
      <w:divBdr>
        <w:top w:val="none" w:sz="0" w:space="0" w:color="auto"/>
        <w:left w:val="none" w:sz="0" w:space="0" w:color="auto"/>
        <w:bottom w:val="none" w:sz="0" w:space="0" w:color="auto"/>
        <w:right w:val="none" w:sz="0" w:space="0" w:color="auto"/>
      </w:divBdr>
    </w:div>
    <w:div w:id="1559316377">
      <w:marLeft w:val="640"/>
      <w:marRight w:val="0"/>
      <w:marTop w:val="0"/>
      <w:marBottom w:val="0"/>
      <w:divBdr>
        <w:top w:val="none" w:sz="0" w:space="0" w:color="auto"/>
        <w:left w:val="none" w:sz="0" w:space="0" w:color="auto"/>
        <w:bottom w:val="none" w:sz="0" w:space="0" w:color="auto"/>
        <w:right w:val="none" w:sz="0" w:space="0" w:color="auto"/>
      </w:divBdr>
    </w:div>
    <w:div w:id="1565873208">
      <w:marLeft w:val="640"/>
      <w:marRight w:val="0"/>
      <w:marTop w:val="0"/>
      <w:marBottom w:val="0"/>
      <w:divBdr>
        <w:top w:val="none" w:sz="0" w:space="0" w:color="auto"/>
        <w:left w:val="none" w:sz="0" w:space="0" w:color="auto"/>
        <w:bottom w:val="none" w:sz="0" w:space="0" w:color="auto"/>
        <w:right w:val="none" w:sz="0" w:space="0" w:color="auto"/>
      </w:divBdr>
    </w:div>
    <w:div w:id="1572960380">
      <w:marLeft w:val="640"/>
      <w:marRight w:val="0"/>
      <w:marTop w:val="0"/>
      <w:marBottom w:val="0"/>
      <w:divBdr>
        <w:top w:val="none" w:sz="0" w:space="0" w:color="auto"/>
        <w:left w:val="none" w:sz="0" w:space="0" w:color="auto"/>
        <w:bottom w:val="none" w:sz="0" w:space="0" w:color="auto"/>
        <w:right w:val="none" w:sz="0" w:space="0" w:color="auto"/>
      </w:divBdr>
    </w:div>
    <w:div w:id="1581527835">
      <w:marLeft w:val="640"/>
      <w:marRight w:val="0"/>
      <w:marTop w:val="0"/>
      <w:marBottom w:val="0"/>
      <w:divBdr>
        <w:top w:val="none" w:sz="0" w:space="0" w:color="auto"/>
        <w:left w:val="none" w:sz="0" w:space="0" w:color="auto"/>
        <w:bottom w:val="none" w:sz="0" w:space="0" w:color="auto"/>
        <w:right w:val="none" w:sz="0" w:space="0" w:color="auto"/>
      </w:divBdr>
    </w:div>
    <w:div w:id="1585801763">
      <w:marLeft w:val="640"/>
      <w:marRight w:val="0"/>
      <w:marTop w:val="0"/>
      <w:marBottom w:val="0"/>
      <w:divBdr>
        <w:top w:val="none" w:sz="0" w:space="0" w:color="auto"/>
        <w:left w:val="none" w:sz="0" w:space="0" w:color="auto"/>
        <w:bottom w:val="none" w:sz="0" w:space="0" w:color="auto"/>
        <w:right w:val="none" w:sz="0" w:space="0" w:color="auto"/>
      </w:divBdr>
    </w:div>
    <w:div w:id="1600403717">
      <w:marLeft w:val="640"/>
      <w:marRight w:val="0"/>
      <w:marTop w:val="0"/>
      <w:marBottom w:val="0"/>
      <w:divBdr>
        <w:top w:val="none" w:sz="0" w:space="0" w:color="auto"/>
        <w:left w:val="none" w:sz="0" w:space="0" w:color="auto"/>
        <w:bottom w:val="none" w:sz="0" w:space="0" w:color="auto"/>
        <w:right w:val="none" w:sz="0" w:space="0" w:color="auto"/>
      </w:divBdr>
    </w:div>
    <w:div w:id="1602761365">
      <w:marLeft w:val="640"/>
      <w:marRight w:val="0"/>
      <w:marTop w:val="0"/>
      <w:marBottom w:val="0"/>
      <w:divBdr>
        <w:top w:val="none" w:sz="0" w:space="0" w:color="auto"/>
        <w:left w:val="none" w:sz="0" w:space="0" w:color="auto"/>
        <w:bottom w:val="none" w:sz="0" w:space="0" w:color="auto"/>
        <w:right w:val="none" w:sz="0" w:space="0" w:color="auto"/>
      </w:divBdr>
    </w:div>
    <w:div w:id="1627464469">
      <w:marLeft w:val="640"/>
      <w:marRight w:val="0"/>
      <w:marTop w:val="0"/>
      <w:marBottom w:val="0"/>
      <w:divBdr>
        <w:top w:val="none" w:sz="0" w:space="0" w:color="auto"/>
        <w:left w:val="none" w:sz="0" w:space="0" w:color="auto"/>
        <w:bottom w:val="none" w:sz="0" w:space="0" w:color="auto"/>
        <w:right w:val="none" w:sz="0" w:space="0" w:color="auto"/>
      </w:divBdr>
    </w:div>
    <w:div w:id="1635990664">
      <w:marLeft w:val="640"/>
      <w:marRight w:val="0"/>
      <w:marTop w:val="0"/>
      <w:marBottom w:val="0"/>
      <w:divBdr>
        <w:top w:val="none" w:sz="0" w:space="0" w:color="auto"/>
        <w:left w:val="none" w:sz="0" w:space="0" w:color="auto"/>
        <w:bottom w:val="none" w:sz="0" w:space="0" w:color="auto"/>
        <w:right w:val="none" w:sz="0" w:space="0" w:color="auto"/>
      </w:divBdr>
    </w:div>
    <w:div w:id="1655065840">
      <w:marLeft w:val="640"/>
      <w:marRight w:val="0"/>
      <w:marTop w:val="0"/>
      <w:marBottom w:val="0"/>
      <w:divBdr>
        <w:top w:val="none" w:sz="0" w:space="0" w:color="auto"/>
        <w:left w:val="none" w:sz="0" w:space="0" w:color="auto"/>
        <w:bottom w:val="none" w:sz="0" w:space="0" w:color="auto"/>
        <w:right w:val="none" w:sz="0" w:space="0" w:color="auto"/>
      </w:divBdr>
    </w:div>
    <w:div w:id="1665475368">
      <w:marLeft w:val="640"/>
      <w:marRight w:val="0"/>
      <w:marTop w:val="0"/>
      <w:marBottom w:val="0"/>
      <w:divBdr>
        <w:top w:val="none" w:sz="0" w:space="0" w:color="auto"/>
        <w:left w:val="none" w:sz="0" w:space="0" w:color="auto"/>
        <w:bottom w:val="none" w:sz="0" w:space="0" w:color="auto"/>
        <w:right w:val="none" w:sz="0" w:space="0" w:color="auto"/>
      </w:divBdr>
    </w:div>
    <w:div w:id="1671057315">
      <w:marLeft w:val="640"/>
      <w:marRight w:val="0"/>
      <w:marTop w:val="0"/>
      <w:marBottom w:val="0"/>
      <w:divBdr>
        <w:top w:val="none" w:sz="0" w:space="0" w:color="auto"/>
        <w:left w:val="none" w:sz="0" w:space="0" w:color="auto"/>
        <w:bottom w:val="none" w:sz="0" w:space="0" w:color="auto"/>
        <w:right w:val="none" w:sz="0" w:space="0" w:color="auto"/>
      </w:divBdr>
    </w:div>
    <w:div w:id="1672025624">
      <w:marLeft w:val="640"/>
      <w:marRight w:val="0"/>
      <w:marTop w:val="0"/>
      <w:marBottom w:val="0"/>
      <w:divBdr>
        <w:top w:val="none" w:sz="0" w:space="0" w:color="auto"/>
        <w:left w:val="none" w:sz="0" w:space="0" w:color="auto"/>
        <w:bottom w:val="none" w:sz="0" w:space="0" w:color="auto"/>
        <w:right w:val="none" w:sz="0" w:space="0" w:color="auto"/>
      </w:divBdr>
    </w:div>
    <w:div w:id="1673684969">
      <w:marLeft w:val="640"/>
      <w:marRight w:val="0"/>
      <w:marTop w:val="0"/>
      <w:marBottom w:val="0"/>
      <w:divBdr>
        <w:top w:val="none" w:sz="0" w:space="0" w:color="auto"/>
        <w:left w:val="none" w:sz="0" w:space="0" w:color="auto"/>
        <w:bottom w:val="none" w:sz="0" w:space="0" w:color="auto"/>
        <w:right w:val="none" w:sz="0" w:space="0" w:color="auto"/>
      </w:divBdr>
    </w:div>
    <w:div w:id="1674606123">
      <w:marLeft w:val="640"/>
      <w:marRight w:val="0"/>
      <w:marTop w:val="0"/>
      <w:marBottom w:val="0"/>
      <w:divBdr>
        <w:top w:val="none" w:sz="0" w:space="0" w:color="auto"/>
        <w:left w:val="none" w:sz="0" w:space="0" w:color="auto"/>
        <w:bottom w:val="none" w:sz="0" w:space="0" w:color="auto"/>
        <w:right w:val="none" w:sz="0" w:space="0" w:color="auto"/>
      </w:divBdr>
    </w:div>
    <w:div w:id="1690065100">
      <w:marLeft w:val="640"/>
      <w:marRight w:val="0"/>
      <w:marTop w:val="0"/>
      <w:marBottom w:val="0"/>
      <w:divBdr>
        <w:top w:val="none" w:sz="0" w:space="0" w:color="auto"/>
        <w:left w:val="none" w:sz="0" w:space="0" w:color="auto"/>
        <w:bottom w:val="none" w:sz="0" w:space="0" w:color="auto"/>
        <w:right w:val="none" w:sz="0" w:space="0" w:color="auto"/>
      </w:divBdr>
    </w:div>
    <w:div w:id="1693796307">
      <w:marLeft w:val="640"/>
      <w:marRight w:val="0"/>
      <w:marTop w:val="0"/>
      <w:marBottom w:val="0"/>
      <w:divBdr>
        <w:top w:val="none" w:sz="0" w:space="0" w:color="auto"/>
        <w:left w:val="none" w:sz="0" w:space="0" w:color="auto"/>
        <w:bottom w:val="none" w:sz="0" w:space="0" w:color="auto"/>
        <w:right w:val="none" w:sz="0" w:space="0" w:color="auto"/>
      </w:divBdr>
    </w:div>
    <w:div w:id="1723820395">
      <w:marLeft w:val="640"/>
      <w:marRight w:val="0"/>
      <w:marTop w:val="0"/>
      <w:marBottom w:val="0"/>
      <w:divBdr>
        <w:top w:val="none" w:sz="0" w:space="0" w:color="auto"/>
        <w:left w:val="none" w:sz="0" w:space="0" w:color="auto"/>
        <w:bottom w:val="none" w:sz="0" w:space="0" w:color="auto"/>
        <w:right w:val="none" w:sz="0" w:space="0" w:color="auto"/>
      </w:divBdr>
    </w:div>
    <w:div w:id="1727680370">
      <w:marLeft w:val="640"/>
      <w:marRight w:val="0"/>
      <w:marTop w:val="0"/>
      <w:marBottom w:val="0"/>
      <w:divBdr>
        <w:top w:val="none" w:sz="0" w:space="0" w:color="auto"/>
        <w:left w:val="none" w:sz="0" w:space="0" w:color="auto"/>
        <w:bottom w:val="none" w:sz="0" w:space="0" w:color="auto"/>
        <w:right w:val="none" w:sz="0" w:space="0" w:color="auto"/>
      </w:divBdr>
    </w:div>
    <w:div w:id="1752042790">
      <w:marLeft w:val="640"/>
      <w:marRight w:val="0"/>
      <w:marTop w:val="0"/>
      <w:marBottom w:val="0"/>
      <w:divBdr>
        <w:top w:val="none" w:sz="0" w:space="0" w:color="auto"/>
        <w:left w:val="none" w:sz="0" w:space="0" w:color="auto"/>
        <w:bottom w:val="none" w:sz="0" w:space="0" w:color="auto"/>
        <w:right w:val="none" w:sz="0" w:space="0" w:color="auto"/>
      </w:divBdr>
    </w:div>
    <w:div w:id="1755008452">
      <w:marLeft w:val="640"/>
      <w:marRight w:val="0"/>
      <w:marTop w:val="0"/>
      <w:marBottom w:val="0"/>
      <w:divBdr>
        <w:top w:val="none" w:sz="0" w:space="0" w:color="auto"/>
        <w:left w:val="none" w:sz="0" w:space="0" w:color="auto"/>
        <w:bottom w:val="none" w:sz="0" w:space="0" w:color="auto"/>
        <w:right w:val="none" w:sz="0" w:space="0" w:color="auto"/>
      </w:divBdr>
    </w:div>
    <w:div w:id="1775129441">
      <w:marLeft w:val="640"/>
      <w:marRight w:val="0"/>
      <w:marTop w:val="0"/>
      <w:marBottom w:val="0"/>
      <w:divBdr>
        <w:top w:val="none" w:sz="0" w:space="0" w:color="auto"/>
        <w:left w:val="none" w:sz="0" w:space="0" w:color="auto"/>
        <w:bottom w:val="none" w:sz="0" w:space="0" w:color="auto"/>
        <w:right w:val="none" w:sz="0" w:space="0" w:color="auto"/>
      </w:divBdr>
    </w:div>
    <w:div w:id="1775133040">
      <w:marLeft w:val="640"/>
      <w:marRight w:val="0"/>
      <w:marTop w:val="0"/>
      <w:marBottom w:val="0"/>
      <w:divBdr>
        <w:top w:val="none" w:sz="0" w:space="0" w:color="auto"/>
        <w:left w:val="none" w:sz="0" w:space="0" w:color="auto"/>
        <w:bottom w:val="none" w:sz="0" w:space="0" w:color="auto"/>
        <w:right w:val="none" w:sz="0" w:space="0" w:color="auto"/>
      </w:divBdr>
    </w:div>
    <w:div w:id="1798333455">
      <w:marLeft w:val="640"/>
      <w:marRight w:val="0"/>
      <w:marTop w:val="0"/>
      <w:marBottom w:val="0"/>
      <w:divBdr>
        <w:top w:val="none" w:sz="0" w:space="0" w:color="auto"/>
        <w:left w:val="none" w:sz="0" w:space="0" w:color="auto"/>
        <w:bottom w:val="none" w:sz="0" w:space="0" w:color="auto"/>
        <w:right w:val="none" w:sz="0" w:space="0" w:color="auto"/>
      </w:divBdr>
    </w:div>
    <w:div w:id="1803234142">
      <w:marLeft w:val="640"/>
      <w:marRight w:val="0"/>
      <w:marTop w:val="0"/>
      <w:marBottom w:val="0"/>
      <w:divBdr>
        <w:top w:val="none" w:sz="0" w:space="0" w:color="auto"/>
        <w:left w:val="none" w:sz="0" w:space="0" w:color="auto"/>
        <w:bottom w:val="none" w:sz="0" w:space="0" w:color="auto"/>
        <w:right w:val="none" w:sz="0" w:space="0" w:color="auto"/>
      </w:divBdr>
    </w:div>
    <w:div w:id="1805156109">
      <w:marLeft w:val="640"/>
      <w:marRight w:val="0"/>
      <w:marTop w:val="0"/>
      <w:marBottom w:val="0"/>
      <w:divBdr>
        <w:top w:val="none" w:sz="0" w:space="0" w:color="auto"/>
        <w:left w:val="none" w:sz="0" w:space="0" w:color="auto"/>
        <w:bottom w:val="none" w:sz="0" w:space="0" w:color="auto"/>
        <w:right w:val="none" w:sz="0" w:space="0" w:color="auto"/>
      </w:divBdr>
    </w:div>
    <w:div w:id="1819759906">
      <w:marLeft w:val="640"/>
      <w:marRight w:val="0"/>
      <w:marTop w:val="0"/>
      <w:marBottom w:val="0"/>
      <w:divBdr>
        <w:top w:val="none" w:sz="0" w:space="0" w:color="auto"/>
        <w:left w:val="none" w:sz="0" w:space="0" w:color="auto"/>
        <w:bottom w:val="none" w:sz="0" w:space="0" w:color="auto"/>
        <w:right w:val="none" w:sz="0" w:space="0" w:color="auto"/>
      </w:divBdr>
    </w:div>
    <w:div w:id="1819760343">
      <w:marLeft w:val="640"/>
      <w:marRight w:val="0"/>
      <w:marTop w:val="0"/>
      <w:marBottom w:val="0"/>
      <w:divBdr>
        <w:top w:val="none" w:sz="0" w:space="0" w:color="auto"/>
        <w:left w:val="none" w:sz="0" w:space="0" w:color="auto"/>
        <w:bottom w:val="none" w:sz="0" w:space="0" w:color="auto"/>
        <w:right w:val="none" w:sz="0" w:space="0" w:color="auto"/>
      </w:divBdr>
    </w:div>
    <w:div w:id="1821994150">
      <w:marLeft w:val="640"/>
      <w:marRight w:val="0"/>
      <w:marTop w:val="0"/>
      <w:marBottom w:val="0"/>
      <w:divBdr>
        <w:top w:val="none" w:sz="0" w:space="0" w:color="auto"/>
        <w:left w:val="none" w:sz="0" w:space="0" w:color="auto"/>
        <w:bottom w:val="none" w:sz="0" w:space="0" w:color="auto"/>
        <w:right w:val="none" w:sz="0" w:space="0" w:color="auto"/>
      </w:divBdr>
    </w:div>
    <w:div w:id="1823111757">
      <w:marLeft w:val="640"/>
      <w:marRight w:val="0"/>
      <w:marTop w:val="0"/>
      <w:marBottom w:val="0"/>
      <w:divBdr>
        <w:top w:val="none" w:sz="0" w:space="0" w:color="auto"/>
        <w:left w:val="none" w:sz="0" w:space="0" w:color="auto"/>
        <w:bottom w:val="none" w:sz="0" w:space="0" w:color="auto"/>
        <w:right w:val="none" w:sz="0" w:space="0" w:color="auto"/>
      </w:divBdr>
    </w:div>
    <w:div w:id="1843812457">
      <w:marLeft w:val="640"/>
      <w:marRight w:val="0"/>
      <w:marTop w:val="0"/>
      <w:marBottom w:val="0"/>
      <w:divBdr>
        <w:top w:val="none" w:sz="0" w:space="0" w:color="auto"/>
        <w:left w:val="none" w:sz="0" w:space="0" w:color="auto"/>
        <w:bottom w:val="none" w:sz="0" w:space="0" w:color="auto"/>
        <w:right w:val="none" w:sz="0" w:space="0" w:color="auto"/>
      </w:divBdr>
    </w:div>
    <w:div w:id="1849711696">
      <w:marLeft w:val="640"/>
      <w:marRight w:val="0"/>
      <w:marTop w:val="0"/>
      <w:marBottom w:val="0"/>
      <w:divBdr>
        <w:top w:val="none" w:sz="0" w:space="0" w:color="auto"/>
        <w:left w:val="none" w:sz="0" w:space="0" w:color="auto"/>
        <w:bottom w:val="none" w:sz="0" w:space="0" w:color="auto"/>
        <w:right w:val="none" w:sz="0" w:space="0" w:color="auto"/>
      </w:divBdr>
    </w:div>
    <w:div w:id="1860391624">
      <w:marLeft w:val="640"/>
      <w:marRight w:val="0"/>
      <w:marTop w:val="0"/>
      <w:marBottom w:val="0"/>
      <w:divBdr>
        <w:top w:val="none" w:sz="0" w:space="0" w:color="auto"/>
        <w:left w:val="none" w:sz="0" w:space="0" w:color="auto"/>
        <w:bottom w:val="none" w:sz="0" w:space="0" w:color="auto"/>
        <w:right w:val="none" w:sz="0" w:space="0" w:color="auto"/>
      </w:divBdr>
    </w:div>
    <w:div w:id="1868059477">
      <w:marLeft w:val="640"/>
      <w:marRight w:val="0"/>
      <w:marTop w:val="0"/>
      <w:marBottom w:val="0"/>
      <w:divBdr>
        <w:top w:val="none" w:sz="0" w:space="0" w:color="auto"/>
        <w:left w:val="none" w:sz="0" w:space="0" w:color="auto"/>
        <w:bottom w:val="none" w:sz="0" w:space="0" w:color="auto"/>
        <w:right w:val="none" w:sz="0" w:space="0" w:color="auto"/>
      </w:divBdr>
    </w:div>
    <w:div w:id="1870871923">
      <w:marLeft w:val="640"/>
      <w:marRight w:val="0"/>
      <w:marTop w:val="0"/>
      <w:marBottom w:val="0"/>
      <w:divBdr>
        <w:top w:val="none" w:sz="0" w:space="0" w:color="auto"/>
        <w:left w:val="none" w:sz="0" w:space="0" w:color="auto"/>
        <w:bottom w:val="none" w:sz="0" w:space="0" w:color="auto"/>
        <w:right w:val="none" w:sz="0" w:space="0" w:color="auto"/>
      </w:divBdr>
    </w:div>
    <w:div w:id="1875656500">
      <w:marLeft w:val="640"/>
      <w:marRight w:val="0"/>
      <w:marTop w:val="0"/>
      <w:marBottom w:val="0"/>
      <w:divBdr>
        <w:top w:val="none" w:sz="0" w:space="0" w:color="auto"/>
        <w:left w:val="none" w:sz="0" w:space="0" w:color="auto"/>
        <w:bottom w:val="none" w:sz="0" w:space="0" w:color="auto"/>
        <w:right w:val="none" w:sz="0" w:space="0" w:color="auto"/>
      </w:divBdr>
    </w:div>
    <w:div w:id="1879539622">
      <w:bodyDiv w:val="1"/>
      <w:marLeft w:val="0"/>
      <w:marRight w:val="0"/>
      <w:marTop w:val="0"/>
      <w:marBottom w:val="0"/>
      <w:divBdr>
        <w:top w:val="none" w:sz="0" w:space="0" w:color="auto"/>
        <w:left w:val="none" w:sz="0" w:space="0" w:color="auto"/>
        <w:bottom w:val="none" w:sz="0" w:space="0" w:color="auto"/>
        <w:right w:val="none" w:sz="0" w:space="0" w:color="auto"/>
      </w:divBdr>
      <w:divsChild>
        <w:div w:id="1760910515">
          <w:marLeft w:val="0"/>
          <w:marRight w:val="0"/>
          <w:marTop w:val="0"/>
          <w:marBottom w:val="0"/>
          <w:divBdr>
            <w:top w:val="none" w:sz="0" w:space="0" w:color="auto"/>
            <w:left w:val="none" w:sz="0" w:space="0" w:color="auto"/>
            <w:bottom w:val="none" w:sz="0" w:space="0" w:color="auto"/>
            <w:right w:val="none" w:sz="0" w:space="0" w:color="auto"/>
          </w:divBdr>
        </w:div>
      </w:divsChild>
    </w:div>
    <w:div w:id="1880704120">
      <w:marLeft w:val="640"/>
      <w:marRight w:val="0"/>
      <w:marTop w:val="0"/>
      <w:marBottom w:val="0"/>
      <w:divBdr>
        <w:top w:val="none" w:sz="0" w:space="0" w:color="auto"/>
        <w:left w:val="none" w:sz="0" w:space="0" w:color="auto"/>
        <w:bottom w:val="none" w:sz="0" w:space="0" w:color="auto"/>
        <w:right w:val="none" w:sz="0" w:space="0" w:color="auto"/>
      </w:divBdr>
    </w:div>
    <w:div w:id="1884629504">
      <w:marLeft w:val="640"/>
      <w:marRight w:val="0"/>
      <w:marTop w:val="0"/>
      <w:marBottom w:val="0"/>
      <w:divBdr>
        <w:top w:val="none" w:sz="0" w:space="0" w:color="auto"/>
        <w:left w:val="none" w:sz="0" w:space="0" w:color="auto"/>
        <w:bottom w:val="none" w:sz="0" w:space="0" w:color="auto"/>
        <w:right w:val="none" w:sz="0" w:space="0" w:color="auto"/>
      </w:divBdr>
    </w:div>
    <w:div w:id="1888293567">
      <w:marLeft w:val="640"/>
      <w:marRight w:val="0"/>
      <w:marTop w:val="0"/>
      <w:marBottom w:val="0"/>
      <w:divBdr>
        <w:top w:val="none" w:sz="0" w:space="0" w:color="auto"/>
        <w:left w:val="none" w:sz="0" w:space="0" w:color="auto"/>
        <w:bottom w:val="none" w:sz="0" w:space="0" w:color="auto"/>
        <w:right w:val="none" w:sz="0" w:space="0" w:color="auto"/>
      </w:divBdr>
    </w:div>
    <w:div w:id="1897543283">
      <w:marLeft w:val="640"/>
      <w:marRight w:val="0"/>
      <w:marTop w:val="0"/>
      <w:marBottom w:val="0"/>
      <w:divBdr>
        <w:top w:val="none" w:sz="0" w:space="0" w:color="auto"/>
        <w:left w:val="none" w:sz="0" w:space="0" w:color="auto"/>
        <w:bottom w:val="none" w:sz="0" w:space="0" w:color="auto"/>
        <w:right w:val="none" w:sz="0" w:space="0" w:color="auto"/>
      </w:divBdr>
    </w:div>
    <w:div w:id="1903518666">
      <w:marLeft w:val="640"/>
      <w:marRight w:val="0"/>
      <w:marTop w:val="0"/>
      <w:marBottom w:val="0"/>
      <w:divBdr>
        <w:top w:val="none" w:sz="0" w:space="0" w:color="auto"/>
        <w:left w:val="none" w:sz="0" w:space="0" w:color="auto"/>
        <w:bottom w:val="none" w:sz="0" w:space="0" w:color="auto"/>
        <w:right w:val="none" w:sz="0" w:space="0" w:color="auto"/>
      </w:divBdr>
    </w:div>
    <w:div w:id="1916548037">
      <w:marLeft w:val="640"/>
      <w:marRight w:val="0"/>
      <w:marTop w:val="0"/>
      <w:marBottom w:val="0"/>
      <w:divBdr>
        <w:top w:val="none" w:sz="0" w:space="0" w:color="auto"/>
        <w:left w:val="none" w:sz="0" w:space="0" w:color="auto"/>
        <w:bottom w:val="none" w:sz="0" w:space="0" w:color="auto"/>
        <w:right w:val="none" w:sz="0" w:space="0" w:color="auto"/>
      </w:divBdr>
    </w:div>
    <w:div w:id="1917401490">
      <w:marLeft w:val="640"/>
      <w:marRight w:val="0"/>
      <w:marTop w:val="0"/>
      <w:marBottom w:val="0"/>
      <w:divBdr>
        <w:top w:val="none" w:sz="0" w:space="0" w:color="auto"/>
        <w:left w:val="none" w:sz="0" w:space="0" w:color="auto"/>
        <w:bottom w:val="none" w:sz="0" w:space="0" w:color="auto"/>
        <w:right w:val="none" w:sz="0" w:space="0" w:color="auto"/>
      </w:divBdr>
    </w:div>
    <w:div w:id="1920748603">
      <w:marLeft w:val="640"/>
      <w:marRight w:val="0"/>
      <w:marTop w:val="0"/>
      <w:marBottom w:val="0"/>
      <w:divBdr>
        <w:top w:val="none" w:sz="0" w:space="0" w:color="auto"/>
        <w:left w:val="none" w:sz="0" w:space="0" w:color="auto"/>
        <w:bottom w:val="none" w:sz="0" w:space="0" w:color="auto"/>
        <w:right w:val="none" w:sz="0" w:space="0" w:color="auto"/>
      </w:divBdr>
    </w:div>
    <w:div w:id="1927376255">
      <w:marLeft w:val="640"/>
      <w:marRight w:val="0"/>
      <w:marTop w:val="0"/>
      <w:marBottom w:val="0"/>
      <w:divBdr>
        <w:top w:val="none" w:sz="0" w:space="0" w:color="auto"/>
        <w:left w:val="none" w:sz="0" w:space="0" w:color="auto"/>
        <w:bottom w:val="none" w:sz="0" w:space="0" w:color="auto"/>
        <w:right w:val="none" w:sz="0" w:space="0" w:color="auto"/>
      </w:divBdr>
    </w:div>
    <w:div w:id="1928615516">
      <w:marLeft w:val="640"/>
      <w:marRight w:val="0"/>
      <w:marTop w:val="0"/>
      <w:marBottom w:val="0"/>
      <w:divBdr>
        <w:top w:val="none" w:sz="0" w:space="0" w:color="auto"/>
        <w:left w:val="none" w:sz="0" w:space="0" w:color="auto"/>
        <w:bottom w:val="none" w:sz="0" w:space="0" w:color="auto"/>
        <w:right w:val="none" w:sz="0" w:space="0" w:color="auto"/>
      </w:divBdr>
    </w:div>
    <w:div w:id="1930456867">
      <w:marLeft w:val="640"/>
      <w:marRight w:val="0"/>
      <w:marTop w:val="0"/>
      <w:marBottom w:val="0"/>
      <w:divBdr>
        <w:top w:val="none" w:sz="0" w:space="0" w:color="auto"/>
        <w:left w:val="none" w:sz="0" w:space="0" w:color="auto"/>
        <w:bottom w:val="none" w:sz="0" w:space="0" w:color="auto"/>
        <w:right w:val="none" w:sz="0" w:space="0" w:color="auto"/>
      </w:divBdr>
    </w:div>
    <w:div w:id="1932346617">
      <w:marLeft w:val="640"/>
      <w:marRight w:val="0"/>
      <w:marTop w:val="0"/>
      <w:marBottom w:val="0"/>
      <w:divBdr>
        <w:top w:val="none" w:sz="0" w:space="0" w:color="auto"/>
        <w:left w:val="none" w:sz="0" w:space="0" w:color="auto"/>
        <w:bottom w:val="none" w:sz="0" w:space="0" w:color="auto"/>
        <w:right w:val="none" w:sz="0" w:space="0" w:color="auto"/>
      </w:divBdr>
    </w:div>
    <w:div w:id="1934976364">
      <w:marLeft w:val="640"/>
      <w:marRight w:val="0"/>
      <w:marTop w:val="0"/>
      <w:marBottom w:val="0"/>
      <w:divBdr>
        <w:top w:val="none" w:sz="0" w:space="0" w:color="auto"/>
        <w:left w:val="none" w:sz="0" w:space="0" w:color="auto"/>
        <w:bottom w:val="none" w:sz="0" w:space="0" w:color="auto"/>
        <w:right w:val="none" w:sz="0" w:space="0" w:color="auto"/>
      </w:divBdr>
    </w:div>
    <w:div w:id="1947302285">
      <w:marLeft w:val="640"/>
      <w:marRight w:val="0"/>
      <w:marTop w:val="0"/>
      <w:marBottom w:val="0"/>
      <w:divBdr>
        <w:top w:val="none" w:sz="0" w:space="0" w:color="auto"/>
        <w:left w:val="none" w:sz="0" w:space="0" w:color="auto"/>
        <w:bottom w:val="none" w:sz="0" w:space="0" w:color="auto"/>
        <w:right w:val="none" w:sz="0" w:space="0" w:color="auto"/>
      </w:divBdr>
    </w:div>
    <w:div w:id="1950115637">
      <w:marLeft w:val="640"/>
      <w:marRight w:val="0"/>
      <w:marTop w:val="0"/>
      <w:marBottom w:val="0"/>
      <w:divBdr>
        <w:top w:val="none" w:sz="0" w:space="0" w:color="auto"/>
        <w:left w:val="none" w:sz="0" w:space="0" w:color="auto"/>
        <w:bottom w:val="none" w:sz="0" w:space="0" w:color="auto"/>
        <w:right w:val="none" w:sz="0" w:space="0" w:color="auto"/>
      </w:divBdr>
    </w:div>
    <w:div w:id="1969192224">
      <w:marLeft w:val="640"/>
      <w:marRight w:val="0"/>
      <w:marTop w:val="0"/>
      <w:marBottom w:val="0"/>
      <w:divBdr>
        <w:top w:val="none" w:sz="0" w:space="0" w:color="auto"/>
        <w:left w:val="none" w:sz="0" w:space="0" w:color="auto"/>
        <w:bottom w:val="none" w:sz="0" w:space="0" w:color="auto"/>
        <w:right w:val="none" w:sz="0" w:space="0" w:color="auto"/>
      </w:divBdr>
    </w:div>
    <w:div w:id="1975020143">
      <w:marLeft w:val="640"/>
      <w:marRight w:val="0"/>
      <w:marTop w:val="0"/>
      <w:marBottom w:val="0"/>
      <w:divBdr>
        <w:top w:val="none" w:sz="0" w:space="0" w:color="auto"/>
        <w:left w:val="none" w:sz="0" w:space="0" w:color="auto"/>
        <w:bottom w:val="none" w:sz="0" w:space="0" w:color="auto"/>
        <w:right w:val="none" w:sz="0" w:space="0" w:color="auto"/>
      </w:divBdr>
    </w:div>
    <w:div w:id="1976911796">
      <w:marLeft w:val="640"/>
      <w:marRight w:val="0"/>
      <w:marTop w:val="0"/>
      <w:marBottom w:val="0"/>
      <w:divBdr>
        <w:top w:val="none" w:sz="0" w:space="0" w:color="auto"/>
        <w:left w:val="none" w:sz="0" w:space="0" w:color="auto"/>
        <w:bottom w:val="none" w:sz="0" w:space="0" w:color="auto"/>
        <w:right w:val="none" w:sz="0" w:space="0" w:color="auto"/>
      </w:divBdr>
    </w:div>
    <w:div w:id="1989433403">
      <w:marLeft w:val="640"/>
      <w:marRight w:val="0"/>
      <w:marTop w:val="0"/>
      <w:marBottom w:val="0"/>
      <w:divBdr>
        <w:top w:val="none" w:sz="0" w:space="0" w:color="auto"/>
        <w:left w:val="none" w:sz="0" w:space="0" w:color="auto"/>
        <w:bottom w:val="none" w:sz="0" w:space="0" w:color="auto"/>
        <w:right w:val="none" w:sz="0" w:space="0" w:color="auto"/>
      </w:divBdr>
    </w:div>
    <w:div w:id="1995909253">
      <w:marLeft w:val="640"/>
      <w:marRight w:val="0"/>
      <w:marTop w:val="0"/>
      <w:marBottom w:val="0"/>
      <w:divBdr>
        <w:top w:val="none" w:sz="0" w:space="0" w:color="auto"/>
        <w:left w:val="none" w:sz="0" w:space="0" w:color="auto"/>
        <w:bottom w:val="none" w:sz="0" w:space="0" w:color="auto"/>
        <w:right w:val="none" w:sz="0" w:space="0" w:color="auto"/>
      </w:divBdr>
    </w:div>
    <w:div w:id="1999117211">
      <w:marLeft w:val="640"/>
      <w:marRight w:val="0"/>
      <w:marTop w:val="0"/>
      <w:marBottom w:val="0"/>
      <w:divBdr>
        <w:top w:val="none" w:sz="0" w:space="0" w:color="auto"/>
        <w:left w:val="none" w:sz="0" w:space="0" w:color="auto"/>
        <w:bottom w:val="none" w:sz="0" w:space="0" w:color="auto"/>
        <w:right w:val="none" w:sz="0" w:space="0" w:color="auto"/>
      </w:divBdr>
    </w:div>
    <w:div w:id="2000503192">
      <w:marLeft w:val="640"/>
      <w:marRight w:val="0"/>
      <w:marTop w:val="0"/>
      <w:marBottom w:val="0"/>
      <w:divBdr>
        <w:top w:val="none" w:sz="0" w:space="0" w:color="auto"/>
        <w:left w:val="none" w:sz="0" w:space="0" w:color="auto"/>
        <w:bottom w:val="none" w:sz="0" w:space="0" w:color="auto"/>
        <w:right w:val="none" w:sz="0" w:space="0" w:color="auto"/>
      </w:divBdr>
    </w:div>
    <w:div w:id="2001736527">
      <w:marLeft w:val="640"/>
      <w:marRight w:val="0"/>
      <w:marTop w:val="0"/>
      <w:marBottom w:val="0"/>
      <w:divBdr>
        <w:top w:val="none" w:sz="0" w:space="0" w:color="auto"/>
        <w:left w:val="none" w:sz="0" w:space="0" w:color="auto"/>
        <w:bottom w:val="none" w:sz="0" w:space="0" w:color="auto"/>
        <w:right w:val="none" w:sz="0" w:space="0" w:color="auto"/>
      </w:divBdr>
      <w:divsChild>
        <w:div w:id="1788612">
          <w:marLeft w:val="640"/>
          <w:marRight w:val="0"/>
          <w:marTop w:val="0"/>
          <w:marBottom w:val="0"/>
          <w:divBdr>
            <w:top w:val="none" w:sz="0" w:space="0" w:color="auto"/>
            <w:left w:val="none" w:sz="0" w:space="0" w:color="auto"/>
            <w:bottom w:val="none" w:sz="0" w:space="0" w:color="auto"/>
            <w:right w:val="none" w:sz="0" w:space="0" w:color="auto"/>
          </w:divBdr>
        </w:div>
        <w:div w:id="7104711">
          <w:marLeft w:val="640"/>
          <w:marRight w:val="0"/>
          <w:marTop w:val="0"/>
          <w:marBottom w:val="0"/>
          <w:divBdr>
            <w:top w:val="none" w:sz="0" w:space="0" w:color="auto"/>
            <w:left w:val="none" w:sz="0" w:space="0" w:color="auto"/>
            <w:bottom w:val="none" w:sz="0" w:space="0" w:color="auto"/>
            <w:right w:val="none" w:sz="0" w:space="0" w:color="auto"/>
          </w:divBdr>
        </w:div>
        <w:div w:id="7559416">
          <w:marLeft w:val="640"/>
          <w:marRight w:val="0"/>
          <w:marTop w:val="0"/>
          <w:marBottom w:val="0"/>
          <w:divBdr>
            <w:top w:val="none" w:sz="0" w:space="0" w:color="auto"/>
            <w:left w:val="none" w:sz="0" w:space="0" w:color="auto"/>
            <w:bottom w:val="none" w:sz="0" w:space="0" w:color="auto"/>
            <w:right w:val="none" w:sz="0" w:space="0" w:color="auto"/>
          </w:divBdr>
        </w:div>
        <w:div w:id="10493962">
          <w:marLeft w:val="640"/>
          <w:marRight w:val="0"/>
          <w:marTop w:val="0"/>
          <w:marBottom w:val="0"/>
          <w:divBdr>
            <w:top w:val="none" w:sz="0" w:space="0" w:color="auto"/>
            <w:left w:val="none" w:sz="0" w:space="0" w:color="auto"/>
            <w:bottom w:val="none" w:sz="0" w:space="0" w:color="auto"/>
            <w:right w:val="none" w:sz="0" w:space="0" w:color="auto"/>
          </w:divBdr>
        </w:div>
        <w:div w:id="13390245">
          <w:marLeft w:val="640"/>
          <w:marRight w:val="0"/>
          <w:marTop w:val="0"/>
          <w:marBottom w:val="0"/>
          <w:divBdr>
            <w:top w:val="none" w:sz="0" w:space="0" w:color="auto"/>
            <w:left w:val="none" w:sz="0" w:space="0" w:color="auto"/>
            <w:bottom w:val="none" w:sz="0" w:space="0" w:color="auto"/>
            <w:right w:val="none" w:sz="0" w:space="0" w:color="auto"/>
          </w:divBdr>
        </w:div>
        <w:div w:id="15695441">
          <w:marLeft w:val="640"/>
          <w:marRight w:val="0"/>
          <w:marTop w:val="0"/>
          <w:marBottom w:val="0"/>
          <w:divBdr>
            <w:top w:val="none" w:sz="0" w:space="0" w:color="auto"/>
            <w:left w:val="none" w:sz="0" w:space="0" w:color="auto"/>
            <w:bottom w:val="none" w:sz="0" w:space="0" w:color="auto"/>
            <w:right w:val="none" w:sz="0" w:space="0" w:color="auto"/>
          </w:divBdr>
        </w:div>
        <w:div w:id="16547607">
          <w:marLeft w:val="640"/>
          <w:marRight w:val="0"/>
          <w:marTop w:val="0"/>
          <w:marBottom w:val="0"/>
          <w:divBdr>
            <w:top w:val="none" w:sz="0" w:space="0" w:color="auto"/>
            <w:left w:val="none" w:sz="0" w:space="0" w:color="auto"/>
            <w:bottom w:val="none" w:sz="0" w:space="0" w:color="auto"/>
            <w:right w:val="none" w:sz="0" w:space="0" w:color="auto"/>
          </w:divBdr>
        </w:div>
        <w:div w:id="19404500">
          <w:marLeft w:val="640"/>
          <w:marRight w:val="0"/>
          <w:marTop w:val="0"/>
          <w:marBottom w:val="0"/>
          <w:divBdr>
            <w:top w:val="none" w:sz="0" w:space="0" w:color="auto"/>
            <w:left w:val="none" w:sz="0" w:space="0" w:color="auto"/>
            <w:bottom w:val="none" w:sz="0" w:space="0" w:color="auto"/>
            <w:right w:val="none" w:sz="0" w:space="0" w:color="auto"/>
          </w:divBdr>
        </w:div>
        <w:div w:id="22027088">
          <w:marLeft w:val="640"/>
          <w:marRight w:val="0"/>
          <w:marTop w:val="0"/>
          <w:marBottom w:val="0"/>
          <w:divBdr>
            <w:top w:val="none" w:sz="0" w:space="0" w:color="auto"/>
            <w:left w:val="none" w:sz="0" w:space="0" w:color="auto"/>
            <w:bottom w:val="none" w:sz="0" w:space="0" w:color="auto"/>
            <w:right w:val="none" w:sz="0" w:space="0" w:color="auto"/>
          </w:divBdr>
        </w:div>
        <w:div w:id="22949227">
          <w:marLeft w:val="640"/>
          <w:marRight w:val="0"/>
          <w:marTop w:val="0"/>
          <w:marBottom w:val="0"/>
          <w:divBdr>
            <w:top w:val="none" w:sz="0" w:space="0" w:color="auto"/>
            <w:left w:val="none" w:sz="0" w:space="0" w:color="auto"/>
            <w:bottom w:val="none" w:sz="0" w:space="0" w:color="auto"/>
            <w:right w:val="none" w:sz="0" w:space="0" w:color="auto"/>
          </w:divBdr>
        </w:div>
        <w:div w:id="27948659">
          <w:marLeft w:val="640"/>
          <w:marRight w:val="0"/>
          <w:marTop w:val="0"/>
          <w:marBottom w:val="0"/>
          <w:divBdr>
            <w:top w:val="none" w:sz="0" w:space="0" w:color="auto"/>
            <w:left w:val="none" w:sz="0" w:space="0" w:color="auto"/>
            <w:bottom w:val="none" w:sz="0" w:space="0" w:color="auto"/>
            <w:right w:val="none" w:sz="0" w:space="0" w:color="auto"/>
          </w:divBdr>
        </w:div>
        <w:div w:id="29570918">
          <w:marLeft w:val="640"/>
          <w:marRight w:val="0"/>
          <w:marTop w:val="0"/>
          <w:marBottom w:val="0"/>
          <w:divBdr>
            <w:top w:val="none" w:sz="0" w:space="0" w:color="auto"/>
            <w:left w:val="none" w:sz="0" w:space="0" w:color="auto"/>
            <w:bottom w:val="none" w:sz="0" w:space="0" w:color="auto"/>
            <w:right w:val="none" w:sz="0" w:space="0" w:color="auto"/>
          </w:divBdr>
        </w:div>
        <w:div w:id="30694075">
          <w:marLeft w:val="640"/>
          <w:marRight w:val="0"/>
          <w:marTop w:val="0"/>
          <w:marBottom w:val="0"/>
          <w:divBdr>
            <w:top w:val="none" w:sz="0" w:space="0" w:color="auto"/>
            <w:left w:val="none" w:sz="0" w:space="0" w:color="auto"/>
            <w:bottom w:val="none" w:sz="0" w:space="0" w:color="auto"/>
            <w:right w:val="none" w:sz="0" w:space="0" w:color="auto"/>
          </w:divBdr>
        </w:div>
        <w:div w:id="30766349">
          <w:marLeft w:val="640"/>
          <w:marRight w:val="0"/>
          <w:marTop w:val="0"/>
          <w:marBottom w:val="0"/>
          <w:divBdr>
            <w:top w:val="none" w:sz="0" w:space="0" w:color="auto"/>
            <w:left w:val="none" w:sz="0" w:space="0" w:color="auto"/>
            <w:bottom w:val="none" w:sz="0" w:space="0" w:color="auto"/>
            <w:right w:val="none" w:sz="0" w:space="0" w:color="auto"/>
          </w:divBdr>
        </w:div>
        <w:div w:id="31001460">
          <w:marLeft w:val="640"/>
          <w:marRight w:val="0"/>
          <w:marTop w:val="0"/>
          <w:marBottom w:val="0"/>
          <w:divBdr>
            <w:top w:val="none" w:sz="0" w:space="0" w:color="auto"/>
            <w:left w:val="none" w:sz="0" w:space="0" w:color="auto"/>
            <w:bottom w:val="none" w:sz="0" w:space="0" w:color="auto"/>
            <w:right w:val="none" w:sz="0" w:space="0" w:color="auto"/>
          </w:divBdr>
        </w:div>
        <w:div w:id="33702559">
          <w:marLeft w:val="640"/>
          <w:marRight w:val="0"/>
          <w:marTop w:val="0"/>
          <w:marBottom w:val="0"/>
          <w:divBdr>
            <w:top w:val="none" w:sz="0" w:space="0" w:color="auto"/>
            <w:left w:val="none" w:sz="0" w:space="0" w:color="auto"/>
            <w:bottom w:val="none" w:sz="0" w:space="0" w:color="auto"/>
            <w:right w:val="none" w:sz="0" w:space="0" w:color="auto"/>
          </w:divBdr>
        </w:div>
        <w:div w:id="35350367">
          <w:marLeft w:val="640"/>
          <w:marRight w:val="0"/>
          <w:marTop w:val="0"/>
          <w:marBottom w:val="0"/>
          <w:divBdr>
            <w:top w:val="none" w:sz="0" w:space="0" w:color="auto"/>
            <w:left w:val="none" w:sz="0" w:space="0" w:color="auto"/>
            <w:bottom w:val="none" w:sz="0" w:space="0" w:color="auto"/>
            <w:right w:val="none" w:sz="0" w:space="0" w:color="auto"/>
          </w:divBdr>
        </w:div>
        <w:div w:id="35550635">
          <w:marLeft w:val="640"/>
          <w:marRight w:val="0"/>
          <w:marTop w:val="0"/>
          <w:marBottom w:val="0"/>
          <w:divBdr>
            <w:top w:val="none" w:sz="0" w:space="0" w:color="auto"/>
            <w:left w:val="none" w:sz="0" w:space="0" w:color="auto"/>
            <w:bottom w:val="none" w:sz="0" w:space="0" w:color="auto"/>
            <w:right w:val="none" w:sz="0" w:space="0" w:color="auto"/>
          </w:divBdr>
        </w:div>
        <w:div w:id="35932877">
          <w:marLeft w:val="640"/>
          <w:marRight w:val="0"/>
          <w:marTop w:val="0"/>
          <w:marBottom w:val="0"/>
          <w:divBdr>
            <w:top w:val="none" w:sz="0" w:space="0" w:color="auto"/>
            <w:left w:val="none" w:sz="0" w:space="0" w:color="auto"/>
            <w:bottom w:val="none" w:sz="0" w:space="0" w:color="auto"/>
            <w:right w:val="none" w:sz="0" w:space="0" w:color="auto"/>
          </w:divBdr>
        </w:div>
        <w:div w:id="36709876">
          <w:marLeft w:val="640"/>
          <w:marRight w:val="0"/>
          <w:marTop w:val="0"/>
          <w:marBottom w:val="0"/>
          <w:divBdr>
            <w:top w:val="none" w:sz="0" w:space="0" w:color="auto"/>
            <w:left w:val="none" w:sz="0" w:space="0" w:color="auto"/>
            <w:bottom w:val="none" w:sz="0" w:space="0" w:color="auto"/>
            <w:right w:val="none" w:sz="0" w:space="0" w:color="auto"/>
          </w:divBdr>
        </w:div>
        <w:div w:id="37054036">
          <w:marLeft w:val="640"/>
          <w:marRight w:val="0"/>
          <w:marTop w:val="0"/>
          <w:marBottom w:val="0"/>
          <w:divBdr>
            <w:top w:val="none" w:sz="0" w:space="0" w:color="auto"/>
            <w:left w:val="none" w:sz="0" w:space="0" w:color="auto"/>
            <w:bottom w:val="none" w:sz="0" w:space="0" w:color="auto"/>
            <w:right w:val="none" w:sz="0" w:space="0" w:color="auto"/>
          </w:divBdr>
        </w:div>
        <w:div w:id="38552106">
          <w:marLeft w:val="640"/>
          <w:marRight w:val="0"/>
          <w:marTop w:val="0"/>
          <w:marBottom w:val="0"/>
          <w:divBdr>
            <w:top w:val="none" w:sz="0" w:space="0" w:color="auto"/>
            <w:left w:val="none" w:sz="0" w:space="0" w:color="auto"/>
            <w:bottom w:val="none" w:sz="0" w:space="0" w:color="auto"/>
            <w:right w:val="none" w:sz="0" w:space="0" w:color="auto"/>
          </w:divBdr>
        </w:div>
        <w:div w:id="39285764">
          <w:marLeft w:val="640"/>
          <w:marRight w:val="0"/>
          <w:marTop w:val="0"/>
          <w:marBottom w:val="0"/>
          <w:divBdr>
            <w:top w:val="none" w:sz="0" w:space="0" w:color="auto"/>
            <w:left w:val="none" w:sz="0" w:space="0" w:color="auto"/>
            <w:bottom w:val="none" w:sz="0" w:space="0" w:color="auto"/>
            <w:right w:val="none" w:sz="0" w:space="0" w:color="auto"/>
          </w:divBdr>
        </w:div>
        <w:div w:id="44303906">
          <w:marLeft w:val="640"/>
          <w:marRight w:val="0"/>
          <w:marTop w:val="0"/>
          <w:marBottom w:val="0"/>
          <w:divBdr>
            <w:top w:val="none" w:sz="0" w:space="0" w:color="auto"/>
            <w:left w:val="none" w:sz="0" w:space="0" w:color="auto"/>
            <w:bottom w:val="none" w:sz="0" w:space="0" w:color="auto"/>
            <w:right w:val="none" w:sz="0" w:space="0" w:color="auto"/>
          </w:divBdr>
        </w:div>
        <w:div w:id="46610055">
          <w:marLeft w:val="640"/>
          <w:marRight w:val="0"/>
          <w:marTop w:val="0"/>
          <w:marBottom w:val="0"/>
          <w:divBdr>
            <w:top w:val="none" w:sz="0" w:space="0" w:color="auto"/>
            <w:left w:val="none" w:sz="0" w:space="0" w:color="auto"/>
            <w:bottom w:val="none" w:sz="0" w:space="0" w:color="auto"/>
            <w:right w:val="none" w:sz="0" w:space="0" w:color="auto"/>
          </w:divBdr>
        </w:div>
        <w:div w:id="51852158">
          <w:marLeft w:val="640"/>
          <w:marRight w:val="0"/>
          <w:marTop w:val="0"/>
          <w:marBottom w:val="0"/>
          <w:divBdr>
            <w:top w:val="none" w:sz="0" w:space="0" w:color="auto"/>
            <w:left w:val="none" w:sz="0" w:space="0" w:color="auto"/>
            <w:bottom w:val="none" w:sz="0" w:space="0" w:color="auto"/>
            <w:right w:val="none" w:sz="0" w:space="0" w:color="auto"/>
          </w:divBdr>
        </w:div>
        <w:div w:id="54283623">
          <w:marLeft w:val="640"/>
          <w:marRight w:val="0"/>
          <w:marTop w:val="0"/>
          <w:marBottom w:val="0"/>
          <w:divBdr>
            <w:top w:val="none" w:sz="0" w:space="0" w:color="auto"/>
            <w:left w:val="none" w:sz="0" w:space="0" w:color="auto"/>
            <w:bottom w:val="none" w:sz="0" w:space="0" w:color="auto"/>
            <w:right w:val="none" w:sz="0" w:space="0" w:color="auto"/>
          </w:divBdr>
        </w:div>
        <w:div w:id="58404783">
          <w:marLeft w:val="640"/>
          <w:marRight w:val="0"/>
          <w:marTop w:val="0"/>
          <w:marBottom w:val="0"/>
          <w:divBdr>
            <w:top w:val="none" w:sz="0" w:space="0" w:color="auto"/>
            <w:left w:val="none" w:sz="0" w:space="0" w:color="auto"/>
            <w:bottom w:val="none" w:sz="0" w:space="0" w:color="auto"/>
            <w:right w:val="none" w:sz="0" w:space="0" w:color="auto"/>
          </w:divBdr>
        </w:div>
        <w:div w:id="60911789">
          <w:marLeft w:val="640"/>
          <w:marRight w:val="0"/>
          <w:marTop w:val="0"/>
          <w:marBottom w:val="0"/>
          <w:divBdr>
            <w:top w:val="none" w:sz="0" w:space="0" w:color="auto"/>
            <w:left w:val="none" w:sz="0" w:space="0" w:color="auto"/>
            <w:bottom w:val="none" w:sz="0" w:space="0" w:color="auto"/>
            <w:right w:val="none" w:sz="0" w:space="0" w:color="auto"/>
          </w:divBdr>
        </w:div>
        <w:div w:id="61027765">
          <w:marLeft w:val="640"/>
          <w:marRight w:val="0"/>
          <w:marTop w:val="0"/>
          <w:marBottom w:val="0"/>
          <w:divBdr>
            <w:top w:val="none" w:sz="0" w:space="0" w:color="auto"/>
            <w:left w:val="none" w:sz="0" w:space="0" w:color="auto"/>
            <w:bottom w:val="none" w:sz="0" w:space="0" w:color="auto"/>
            <w:right w:val="none" w:sz="0" w:space="0" w:color="auto"/>
          </w:divBdr>
        </w:div>
        <w:div w:id="61606129">
          <w:marLeft w:val="640"/>
          <w:marRight w:val="0"/>
          <w:marTop w:val="0"/>
          <w:marBottom w:val="0"/>
          <w:divBdr>
            <w:top w:val="none" w:sz="0" w:space="0" w:color="auto"/>
            <w:left w:val="none" w:sz="0" w:space="0" w:color="auto"/>
            <w:bottom w:val="none" w:sz="0" w:space="0" w:color="auto"/>
            <w:right w:val="none" w:sz="0" w:space="0" w:color="auto"/>
          </w:divBdr>
        </w:div>
        <w:div w:id="67074555">
          <w:marLeft w:val="640"/>
          <w:marRight w:val="0"/>
          <w:marTop w:val="0"/>
          <w:marBottom w:val="0"/>
          <w:divBdr>
            <w:top w:val="none" w:sz="0" w:space="0" w:color="auto"/>
            <w:left w:val="none" w:sz="0" w:space="0" w:color="auto"/>
            <w:bottom w:val="none" w:sz="0" w:space="0" w:color="auto"/>
            <w:right w:val="none" w:sz="0" w:space="0" w:color="auto"/>
          </w:divBdr>
        </w:div>
        <w:div w:id="68312299">
          <w:marLeft w:val="640"/>
          <w:marRight w:val="0"/>
          <w:marTop w:val="0"/>
          <w:marBottom w:val="0"/>
          <w:divBdr>
            <w:top w:val="none" w:sz="0" w:space="0" w:color="auto"/>
            <w:left w:val="none" w:sz="0" w:space="0" w:color="auto"/>
            <w:bottom w:val="none" w:sz="0" w:space="0" w:color="auto"/>
            <w:right w:val="none" w:sz="0" w:space="0" w:color="auto"/>
          </w:divBdr>
        </w:div>
        <w:div w:id="74254398">
          <w:marLeft w:val="640"/>
          <w:marRight w:val="0"/>
          <w:marTop w:val="0"/>
          <w:marBottom w:val="0"/>
          <w:divBdr>
            <w:top w:val="none" w:sz="0" w:space="0" w:color="auto"/>
            <w:left w:val="none" w:sz="0" w:space="0" w:color="auto"/>
            <w:bottom w:val="none" w:sz="0" w:space="0" w:color="auto"/>
            <w:right w:val="none" w:sz="0" w:space="0" w:color="auto"/>
          </w:divBdr>
        </w:div>
        <w:div w:id="77992457">
          <w:marLeft w:val="640"/>
          <w:marRight w:val="0"/>
          <w:marTop w:val="0"/>
          <w:marBottom w:val="0"/>
          <w:divBdr>
            <w:top w:val="none" w:sz="0" w:space="0" w:color="auto"/>
            <w:left w:val="none" w:sz="0" w:space="0" w:color="auto"/>
            <w:bottom w:val="none" w:sz="0" w:space="0" w:color="auto"/>
            <w:right w:val="none" w:sz="0" w:space="0" w:color="auto"/>
          </w:divBdr>
        </w:div>
        <w:div w:id="78216981">
          <w:marLeft w:val="640"/>
          <w:marRight w:val="0"/>
          <w:marTop w:val="0"/>
          <w:marBottom w:val="0"/>
          <w:divBdr>
            <w:top w:val="none" w:sz="0" w:space="0" w:color="auto"/>
            <w:left w:val="none" w:sz="0" w:space="0" w:color="auto"/>
            <w:bottom w:val="none" w:sz="0" w:space="0" w:color="auto"/>
            <w:right w:val="none" w:sz="0" w:space="0" w:color="auto"/>
          </w:divBdr>
        </w:div>
        <w:div w:id="79177849">
          <w:marLeft w:val="640"/>
          <w:marRight w:val="0"/>
          <w:marTop w:val="0"/>
          <w:marBottom w:val="0"/>
          <w:divBdr>
            <w:top w:val="none" w:sz="0" w:space="0" w:color="auto"/>
            <w:left w:val="none" w:sz="0" w:space="0" w:color="auto"/>
            <w:bottom w:val="none" w:sz="0" w:space="0" w:color="auto"/>
            <w:right w:val="none" w:sz="0" w:space="0" w:color="auto"/>
          </w:divBdr>
        </w:div>
        <w:div w:id="82185867">
          <w:marLeft w:val="640"/>
          <w:marRight w:val="0"/>
          <w:marTop w:val="0"/>
          <w:marBottom w:val="0"/>
          <w:divBdr>
            <w:top w:val="none" w:sz="0" w:space="0" w:color="auto"/>
            <w:left w:val="none" w:sz="0" w:space="0" w:color="auto"/>
            <w:bottom w:val="none" w:sz="0" w:space="0" w:color="auto"/>
            <w:right w:val="none" w:sz="0" w:space="0" w:color="auto"/>
          </w:divBdr>
        </w:div>
        <w:div w:id="82652824">
          <w:marLeft w:val="640"/>
          <w:marRight w:val="0"/>
          <w:marTop w:val="0"/>
          <w:marBottom w:val="0"/>
          <w:divBdr>
            <w:top w:val="none" w:sz="0" w:space="0" w:color="auto"/>
            <w:left w:val="none" w:sz="0" w:space="0" w:color="auto"/>
            <w:bottom w:val="none" w:sz="0" w:space="0" w:color="auto"/>
            <w:right w:val="none" w:sz="0" w:space="0" w:color="auto"/>
          </w:divBdr>
        </w:div>
        <w:div w:id="82999486">
          <w:marLeft w:val="640"/>
          <w:marRight w:val="0"/>
          <w:marTop w:val="0"/>
          <w:marBottom w:val="0"/>
          <w:divBdr>
            <w:top w:val="none" w:sz="0" w:space="0" w:color="auto"/>
            <w:left w:val="none" w:sz="0" w:space="0" w:color="auto"/>
            <w:bottom w:val="none" w:sz="0" w:space="0" w:color="auto"/>
            <w:right w:val="none" w:sz="0" w:space="0" w:color="auto"/>
          </w:divBdr>
        </w:div>
        <w:div w:id="83769953">
          <w:marLeft w:val="640"/>
          <w:marRight w:val="0"/>
          <w:marTop w:val="0"/>
          <w:marBottom w:val="0"/>
          <w:divBdr>
            <w:top w:val="none" w:sz="0" w:space="0" w:color="auto"/>
            <w:left w:val="none" w:sz="0" w:space="0" w:color="auto"/>
            <w:bottom w:val="none" w:sz="0" w:space="0" w:color="auto"/>
            <w:right w:val="none" w:sz="0" w:space="0" w:color="auto"/>
          </w:divBdr>
        </w:div>
        <w:div w:id="88813519">
          <w:marLeft w:val="640"/>
          <w:marRight w:val="0"/>
          <w:marTop w:val="0"/>
          <w:marBottom w:val="0"/>
          <w:divBdr>
            <w:top w:val="none" w:sz="0" w:space="0" w:color="auto"/>
            <w:left w:val="none" w:sz="0" w:space="0" w:color="auto"/>
            <w:bottom w:val="none" w:sz="0" w:space="0" w:color="auto"/>
            <w:right w:val="none" w:sz="0" w:space="0" w:color="auto"/>
          </w:divBdr>
        </w:div>
        <w:div w:id="89619509">
          <w:marLeft w:val="640"/>
          <w:marRight w:val="0"/>
          <w:marTop w:val="0"/>
          <w:marBottom w:val="0"/>
          <w:divBdr>
            <w:top w:val="none" w:sz="0" w:space="0" w:color="auto"/>
            <w:left w:val="none" w:sz="0" w:space="0" w:color="auto"/>
            <w:bottom w:val="none" w:sz="0" w:space="0" w:color="auto"/>
            <w:right w:val="none" w:sz="0" w:space="0" w:color="auto"/>
          </w:divBdr>
        </w:div>
        <w:div w:id="90319190">
          <w:marLeft w:val="640"/>
          <w:marRight w:val="0"/>
          <w:marTop w:val="0"/>
          <w:marBottom w:val="0"/>
          <w:divBdr>
            <w:top w:val="none" w:sz="0" w:space="0" w:color="auto"/>
            <w:left w:val="none" w:sz="0" w:space="0" w:color="auto"/>
            <w:bottom w:val="none" w:sz="0" w:space="0" w:color="auto"/>
            <w:right w:val="none" w:sz="0" w:space="0" w:color="auto"/>
          </w:divBdr>
        </w:div>
        <w:div w:id="96027123">
          <w:marLeft w:val="640"/>
          <w:marRight w:val="0"/>
          <w:marTop w:val="0"/>
          <w:marBottom w:val="0"/>
          <w:divBdr>
            <w:top w:val="none" w:sz="0" w:space="0" w:color="auto"/>
            <w:left w:val="none" w:sz="0" w:space="0" w:color="auto"/>
            <w:bottom w:val="none" w:sz="0" w:space="0" w:color="auto"/>
            <w:right w:val="none" w:sz="0" w:space="0" w:color="auto"/>
          </w:divBdr>
        </w:div>
        <w:div w:id="101384471">
          <w:marLeft w:val="640"/>
          <w:marRight w:val="0"/>
          <w:marTop w:val="0"/>
          <w:marBottom w:val="0"/>
          <w:divBdr>
            <w:top w:val="none" w:sz="0" w:space="0" w:color="auto"/>
            <w:left w:val="none" w:sz="0" w:space="0" w:color="auto"/>
            <w:bottom w:val="none" w:sz="0" w:space="0" w:color="auto"/>
            <w:right w:val="none" w:sz="0" w:space="0" w:color="auto"/>
          </w:divBdr>
        </w:div>
        <w:div w:id="101608588">
          <w:marLeft w:val="640"/>
          <w:marRight w:val="0"/>
          <w:marTop w:val="0"/>
          <w:marBottom w:val="0"/>
          <w:divBdr>
            <w:top w:val="none" w:sz="0" w:space="0" w:color="auto"/>
            <w:left w:val="none" w:sz="0" w:space="0" w:color="auto"/>
            <w:bottom w:val="none" w:sz="0" w:space="0" w:color="auto"/>
            <w:right w:val="none" w:sz="0" w:space="0" w:color="auto"/>
          </w:divBdr>
        </w:div>
        <w:div w:id="104159077">
          <w:marLeft w:val="640"/>
          <w:marRight w:val="0"/>
          <w:marTop w:val="0"/>
          <w:marBottom w:val="0"/>
          <w:divBdr>
            <w:top w:val="none" w:sz="0" w:space="0" w:color="auto"/>
            <w:left w:val="none" w:sz="0" w:space="0" w:color="auto"/>
            <w:bottom w:val="none" w:sz="0" w:space="0" w:color="auto"/>
            <w:right w:val="none" w:sz="0" w:space="0" w:color="auto"/>
          </w:divBdr>
        </w:div>
        <w:div w:id="106003207">
          <w:marLeft w:val="640"/>
          <w:marRight w:val="0"/>
          <w:marTop w:val="0"/>
          <w:marBottom w:val="0"/>
          <w:divBdr>
            <w:top w:val="none" w:sz="0" w:space="0" w:color="auto"/>
            <w:left w:val="none" w:sz="0" w:space="0" w:color="auto"/>
            <w:bottom w:val="none" w:sz="0" w:space="0" w:color="auto"/>
            <w:right w:val="none" w:sz="0" w:space="0" w:color="auto"/>
          </w:divBdr>
        </w:div>
        <w:div w:id="107626199">
          <w:marLeft w:val="640"/>
          <w:marRight w:val="0"/>
          <w:marTop w:val="0"/>
          <w:marBottom w:val="0"/>
          <w:divBdr>
            <w:top w:val="none" w:sz="0" w:space="0" w:color="auto"/>
            <w:left w:val="none" w:sz="0" w:space="0" w:color="auto"/>
            <w:bottom w:val="none" w:sz="0" w:space="0" w:color="auto"/>
            <w:right w:val="none" w:sz="0" w:space="0" w:color="auto"/>
          </w:divBdr>
        </w:div>
        <w:div w:id="108815415">
          <w:marLeft w:val="640"/>
          <w:marRight w:val="0"/>
          <w:marTop w:val="0"/>
          <w:marBottom w:val="0"/>
          <w:divBdr>
            <w:top w:val="none" w:sz="0" w:space="0" w:color="auto"/>
            <w:left w:val="none" w:sz="0" w:space="0" w:color="auto"/>
            <w:bottom w:val="none" w:sz="0" w:space="0" w:color="auto"/>
            <w:right w:val="none" w:sz="0" w:space="0" w:color="auto"/>
          </w:divBdr>
        </w:div>
        <w:div w:id="111751630">
          <w:marLeft w:val="640"/>
          <w:marRight w:val="0"/>
          <w:marTop w:val="0"/>
          <w:marBottom w:val="0"/>
          <w:divBdr>
            <w:top w:val="none" w:sz="0" w:space="0" w:color="auto"/>
            <w:left w:val="none" w:sz="0" w:space="0" w:color="auto"/>
            <w:bottom w:val="none" w:sz="0" w:space="0" w:color="auto"/>
            <w:right w:val="none" w:sz="0" w:space="0" w:color="auto"/>
          </w:divBdr>
        </w:div>
        <w:div w:id="112141313">
          <w:marLeft w:val="640"/>
          <w:marRight w:val="0"/>
          <w:marTop w:val="0"/>
          <w:marBottom w:val="0"/>
          <w:divBdr>
            <w:top w:val="none" w:sz="0" w:space="0" w:color="auto"/>
            <w:left w:val="none" w:sz="0" w:space="0" w:color="auto"/>
            <w:bottom w:val="none" w:sz="0" w:space="0" w:color="auto"/>
            <w:right w:val="none" w:sz="0" w:space="0" w:color="auto"/>
          </w:divBdr>
        </w:div>
        <w:div w:id="113139791">
          <w:marLeft w:val="640"/>
          <w:marRight w:val="0"/>
          <w:marTop w:val="0"/>
          <w:marBottom w:val="0"/>
          <w:divBdr>
            <w:top w:val="none" w:sz="0" w:space="0" w:color="auto"/>
            <w:left w:val="none" w:sz="0" w:space="0" w:color="auto"/>
            <w:bottom w:val="none" w:sz="0" w:space="0" w:color="auto"/>
            <w:right w:val="none" w:sz="0" w:space="0" w:color="auto"/>
          </w:divBdr>
        </w:div>
        <w:div w:id="114954172">
          <w:marLeft w:val="640"/>
          <w:marRight w:val="0"/>
          <w:marTop w:val="0"/>
          <w:marBottom w:val="0"/>
          <w:divBdr>
            <w:top w:val="none" w:sz="0" w:space="0" w:color="auto"/>
            <w:left w:val="none" w:sz="0" w:space="0" w:color="auto"/>
            <w:bottom w:val="none" w:sz="0" w:space="0" w:color="auto"/>
            <w:right w:val="none" w:sz="0" w:space="0" w:color="auto"/>
          </w:divBdr>
        </w:div>
        <w:div w:id="121047504">
          <w:marLeft w:val="640"/>
          <w:marRight w:val="0"/>
          <w:marTop w:val="0"/>
          <w:marBottom w:val="0"/>
          <w:divBdr>
            <w:top w:val="none" w:sz="0" w:space="0" w:color="auto"/>
            <w:left w:val="none" w:sz="0" w:space="0" w:color="auto"/>
            <w:bottom w:val="none" w:sz="0" w:space="0" w:color="auto"/>
            <w:right w:val="none" w:sz="0" w:space="0" w:color="auto"/>
          </w:divBdr>
        </w:div>
        <w:div w:id="129715209">
          <w:marLeft w:val="640"/>
          <w:marRight w:val="0"/>
          <w:marTop w:val="0"/>
          <w:marBottom w:val="0"/>
          <w:divBdr>
            <w:top w:val="none" w:sz="0" w:space="0" w:color="auto"/>
            <w:left w:val="none" w:sz="0" w:space="0" w:color="auto"/>
            <w:bottom w:val="none" w:sz="0" w:space="0" w:color="auto"/>
            <w:right w:val="none" w:sz="0" w:space="0" w:color="auto"/>
          </w:divBdr>
        </w:div>
        <w:div w:id="129976946">
          <w:marLeft w:val="640"/>
          <w:marRight w:val="0"/>
          <w:marTop w:val="0"/>
          <w:marBottom w:val="0"/>
          <w:divBdr>
            <w:top w:val="none" w:sz="0" w:space="0" w:color="auto"/>
            <w:left w:val="none" w:sz="0" w:space="0" w:color="auto"/>
            <w:bottom w:val="none" w:sz="0" w:space="0" w:color="auto"/>
            <w:right w:val="none" w:sz="0" w:space="0" w:color="auto"/>
          </w:divBdr>
        </w:div>
        <w:div w:id="130097788">
          <w:marLeft w:val="640"/>
          <w:marRight w:val="0"/>
          <w:marTop w:val="0"/>
          <w:marBottom w:val="0"/>
          <w:divBdr>
            <w:top w:val="none" w:sz="0" w:space="0" w:color="auto"/>
            <w:left w:val="none" w:sz="0" w:space="0" w:color="auto"/>
            <w:bottom w:val="none" w:sz="0" w:space="0" w:color="auto"/>
            <w:right w:val="none" w:sz="0" w:space="0" w:color="auto"/>
          </w:divBdr>
        </w:div>
        <w:div w:id="130750117">
          <w:marLeft w:val="640"/>
          <w:marRight w:val="0"/>
          <w:marTop w:val="0"/>
          <w:marBottom w:val="0"/>
          <w:divBdr>
            <w:top w:val="none" w:sz="0" w:space="0" w:color="auto"/>
            <w:left w:val="none" w:sz="0" w:space="0" w:color="auto"/>
            <w:bottom w:val="none" w:sz="0" w:space="0" w:color="auto"/>
            <w:right w:val="none" w:sz="0" w:space="0" w:color="auto"/>
          </w:divBdr>
        </w:div>
        <w:div w:id="132410644">
          <w:marLeft w:val="640"/>
          <w:marRight w:val="0"/>
          <w:marTop w:val="0"/>
          <w:marBottom w:val="0"/>
          <w:divBdr>
            <w:top w:val="none" w:sz="0" w:space="0" w:color="auto"/>
            <w:left w:val="none" w:sz="0" w:space="0" w:color="auto"/>
            <w:bottom w:val="none" w:sz="0" w:space="0" w:color="auto"/>
            <w:right w:val="none" w:sz="0" w:space="0" w:color="auto"/>
          </w:divBdr>
        </w:div>
        <w:div w:id="141584407">
          <w:marLeft w:val="640"/>
          <w:marRight w:val="0"/>
          <w:marTop w:val="0"/>
          <w:marBottom w:val="0"/>
          <w:divBdr>
            <w:top w:val="none" w:sz="0" w:space="0" w:color="auto"/>
            <w:left w:val="none" w:sz="0" w:space="0" w:color="auto"/>
            <w:bottom w:val="none" w:sz="0" w:space="0" w:color="auto"/>
            <w:right w:val="none" w:sz="0" w:space="0" w:color="auto"/>
          </w:divBdr>
        </w:div>
        <w:div w:id="143010803">
          <w:marLeft w:val="640"/>
          <w:marRight w:val="0"/>
          <w:marTop w:val="0"/>
          <w:marBottom w:val="0"/>
          <w:divBdr>
            <w:top w:val="none" w:sz="0" w:space="0" w:color="auto"/>
            <w:left w:val="none" w:sz="0" w:space="0" w:color="auto"/>
            <w:bottom w:val="none" w:sz="0" w:space="0" w:color="auto"/>
            <w:right w:val="none" w:sz="0" w:space="0" w:color="auto"/>
          </w:divBdr>
        </w:div>
        <w:div w:id="144275943">
          <w:marLeft w:val="640"/>
          <w:marRight w:val="0"/>
          <w:marTop w:val="0"/>
          <w:marBottom w:val="0"/>
          <w:divBdr>
            <w:top w:val="none" w:sz="0" w:space="0" w:color="auto"/>
            <w:left w:val="none" w:sz="0" w:space="0" w:color="auto"/>
            <w:bottom w:val="none" w:sz="0" w:space="0" w:color="auto"/>
            <w:right w:val="none" w:sz="0" w:space="0" w:color="auto"/>
          </w:divBdr>
        </w:div>
        <w:div w:id="145513992">
          <w:marLeft w:val="640"/>
          <w:marRight w:val="0"/>
          <w:marTop w:val="0"/>
          <w:marBottom w:val="0"/>
          <w:divBdr>
            <w:top w:val="none" w:sz="0" w:space="0" w:color="auto"/>
            <w:left w:val="none" w:sz="0" w:space="0" w:color="auto"/>
            <w:bottom w:val="none" w:sz="0" w:space="0" w:color="auto"/>
            <w:right w:val="none" w:sz="0" w:space="0" w:color="auto"/>
          </w:divBdr>
        </w:div>
        <w:div w:id="147290947">
          <w:marLeft w:val="640"/>
          <w:marRight w:val="0"/>
          <w:marTop w:val="0"/>
          <w:marBottom w:val="0"/>
          <w:divBdr>
            <w:top w:val="none" w:sz="0" w:space="0" w:color="auto"/>
            <w:left w:val="none" w:sz="0" w:space="0" w:color="auto"/>
            <w:bottom w:val="none" w:sz="0" w:space="0" w:color="auto"/>
            <w:right w:val="none" w:sz="0" w:space="0" w:color="auto"/>
          </w:divBdr>
        </w:div>
        <w:div w:id="151608954">
          <w:marLeft w:val="640"/>
          <w:marRight w:val="0"/>
          <w:marTop w:val="0"/>
          <w:marBottom w:val="0"/>
          <w:divBdr>
            <w:top w:val="none" w:sz="0" w:space="0" w:color="auto"/>
            <w:left w:val="none" w:sz="0" w:space="0" w:color="auto"/>
            <w:bottom w:val="none" w:sz="0" w:space="0" w:color="auto"/>
            <w:right w:val="none" w:sz="0" w:space="0" w:color="auto"/>
          </w:divBdr>
        </w:div>
        <w:div w:id="151988195">
          <w:marLeft w:val="640"/>
          <w:marRight w:val="0"/>
          <w:marTop w:val="0"/>
          <w:marBottom w:val="0"/>
          <w:divBdr>
            <w:top w:val="none" w:sz="0" w:space="0" w:color="auto"/>
            <w:left w:val="none" w:sz="0" w:space="0" w:color="auto"/>
            <w:bottom w:val="none" w:sz="0" w:space="0" w:color="auto"/>
            <w:right w:val="none" w:sz="0" w:space="0" w:color="auto"/>
          </w:divBdr>
        </w:div>
        <w:div w:id="155152805">
          <w:marLeft w:val="640"/>
          <w:marRight w:val="0"/>
          <w:marTop w:val="0"/>
          <w:marBottom w:val="0"/>
          <w:divBdr>
            <w:top w:val="none" w:sz="0" w:space="0" w:color="auto"/>
            <w:left w:val="none" w:sz="0" w:space="0" w:color="auto"/>
            <w:bottom w:val="none" w:sz="0" w:space="0" w:color="auto"/>
            <w:right w:val="none" w:sz="0" w:space="0" w:color="auto"/>
          </w:divBdr>
        </w:div>
        <w:div w:id="158159012">
          <w:marLeft w:val="640"/>
          <w:marRight w:val="0"/>
          <w:marTop w:val="0"/>
          <w:marBottom w:val="0"/>
          <w:divBdr>
            <w:top w:val="none" w:sz="0" w:space="0" w:color="auto"/>
            <w:left w:val="none" w:sz="0" w:space="0" w:color="auto"/>
            <w:bottom w:val="none" w:sz="0" w:space="0" w:color="auto"/>
            <w:right w:val="none" w:sz="0" w:space="0" w:color="auto"/>
          </w:divBdr>
        </w:div>
        <w:div w:id="161240758">
          <w:marLeft w:val="640"/>
          <w:marRight w:val="0"/>
          <w:marTop w:val="0"/>
          <w:marBottom w:val="0"/>
          <w:divBdr>
            <w:top w:val="none" w:sz="0" w:space="0" w:color="auto"/>
            <w:left w:val="none" w:sz="0" w:space="0" w:color="auto"/>
            <w:bottom w:val="none" w:sz="0" w:space="0" w:color="auto"/>
            <w:right w:val="none" w:sz="0" w:space="0" w:color="auto"/>
          </w:divBdr>
        </w:div>
        <w:div w:id="161507930">
          <w:marLeft w:val="640"/>
          <w:marRight w:val="0"/>
          <w:marTop w:val="0"/>
          <w:marBottom w:val="0"/>
          <w:divBdr>
            <w:top w:val="none" w:sz="0" w:space="0" w:color="auto"/>
            <w:left w:val="none" w:sz="0" w:space="0" w:color="auto"/>
            <w:bottom w:val="none" w:sz="0" w:space="0" w:color="auto"/>
            <w:right w:val="none" w:sz="0" w:space="0" w:color="auto"/>
          </w:divBdr>
        </w:div>
        <w:div w:id="162597131">
          <w:marLeft w:val="640"/>
          <w:marRight w:val="0"/>
          <w:marTop w:val="0"/>
          <w:marBottom w:val="0"/>
          <w:divBdr>
            <w:top w:val="none" w:sz="0" w:space="0" w:color="auto"/>
            <w:left w:val="none" w:sz="0" w:space="0" w:color="auto"/>
            <w:bottom w:val="none" w:sz="0" w:space="0" w:color="auto"/>
            <w:right w:val="none" w:sz="0" w:space="0" w:color="auto"/>
          </w:divBdr>
        </w:div>
        <w:div w:id="162818278">
          <w:marLeft w:val="640"/>
          <w:marRight w:val="0"/>
          <w:marTop w:val="0"/>
          <w:marBottom w:val="0"/>
          <w:divBdr>
            <w:top w:val="none" w:sz="0" w:space="0" w:color="auto"/>
            <w:left w:val="none" w:sz="0" w:space="0" w:color="auto"/>
            <w:bottom w:val="none" w:sz="0" w:space="0" w:color="auto"/>
            <w:right w:val="none" w:sz="0" w:space="0" w:color="auto"/>
          </w:divBdr>
        </w:div>
        <w:div w:id="163518415">
          <w:marLeft w:val="640"/>
          <w:marRight w:val="0"/>
          <w:marTop w:val="0"/>
          <w:marBottom w:val="0"/>
          <w:divBdr>
            <w:top w:val="none" w:sz="0" w:space="0" w:color="auto"/>
            <w:left w:val="none" w:sz="0" w:space="0" w:color="auto"/>
            <w:bottom w:val="none" w:sz="0" w:space="0" w:color="auto"/>
            <w:right w:val="none" w:sz="0" w:space="0" w:color="auto"/>
          </w:divBdr>
        </w:div>
        <w:div w:id="170024457">
          <w:marLeft w:val="640"/>
          <w:marRight w:val="0"/>
          <w:marTop w:val="0"/>
          <w:marBottom w:val="0"/>
          <w:divBdr>
            <w:top w:val="none" w:sz="0" w:space="0" w:color="auto"/>
            <w:left w:val="none" w:sz="0" w:space="0" w:color="auto"/>
            <w:bottom w:val="none" w:sz="0" w:space="0" w:color="auto"/>
            <w:right w:val="none" w:sz="0" w:space="0" w:color="auto"/>
          </w:divBdr>
        </w:div>
        <w:div w:id="173227856">
          <w:marLeft w:val="640"/>
          <w:marRight w:val="0"/>
          <w:marTop w:val="0"/>
          <w:marBottom w:val="0"/>
          <w:divBdr>
            <w:top w:val="none" w:sz="0" w:space="0" w:color="auto"/>
            <w:left w:val="none" w:sz="0" w:space="0" w:color="auto"/>
            <w:bottom w:val="none" w:sz="0" w:space="0" w:color="auto"/>
            <w:right w:val="none" w:sz="0" w:space="0" w:color="auto"/>
          </w:divBdr>
        </w:div>
        <w:div w:id="177812453">
          <w:marLeft w:val="640"/>
          <w:marRight w:val="0"/>
          <w:marTop w:val="0"/>
          <w:marBottom w:val="0"/>
          <w:divBdr>
            <w:top w:val="none" w:sz="0" w:space="0" w:color="auto"/>
            <w:left w:val="none" w:sz="0" w:space="0" w:color="auto"/>
            <w:bottom w:val="none" w:sz="0" w:space="0" w:color="auto"/>
            <w:right w:val="none" w:sz="0" w:space="0" w:color="auto"/>
          </w:divBdr>
        </w:div>
        <w:div w:id="178127775">
          <w:marLeft w:val="640"/>
          <w:marRight w:val="0"/>
          <w:marTop w:val="0"/>
          <w:marBottom w:val="0"/>
          <w:divBdr>
            <w:top w:val="none" w:sz="0" w:space="0" w:color="auto"/>
            <w:left w:val="none" w:sz="0" w:space="0" w:color="auto"/>
            <w:bottom w:val="none" w:sz="0" w:space="0" w:color="auto"/>
            <w:right w:val="none" w:sz="0" w:space="0" w:color="auto"/>
          </w:divBdr>
        </w:div>
        <w:div w:id="178979461">
          <w:marLeft w:val="640"/>
          <w:marRight w:val="0"/>
          <w:marTop w:val="0"/>
          <w:marBottom w:val="0"/>
          <w:divBdr>
            <w:top w:val="none" w:sz="0" w:space="0" w:color="auto"/>
            <w:left w:val="none" w:sz="0" w:space="0" w:color="auto"/>
            <w:bottom w:val="none" w:sz="0" w:space="0" w:color="auto"/>
            <w:right w:val="none" w:sz="0" w:space="0" w:color="auto"/>
          </w:divBdr>
        </w:div>
        <w:div w:id="179006125">
          <w:marLeft w:val="640"/>
          <w:marRight w:val="0"/>
          <w:marTop w:val="0"/>
          <w:marBottom w:val="0"/>
          <w:divBdr>
            <w:top w:val="none" w:sz="0" w:space="0" w:color="auto"/>
            <w:left w:val="none" w:sz="0" w:space="0" w:color="auto"/>
            <w:bottom w:val="none" w:sz="0" w:space="0" w:color="auto"/>
            <w:right w:val="none" w:sz="0" w:space="0" w:color="auto"/>
          </w:divBdr>
        </w:div>
        <w:div w:id="179466746">
          <w:marLeft w:val="640"/>
          <w:marRight w:val="0"/>
          <w:marTop w:val="0"/>
          <w:marBottom w:val="0"/>
          <w:divBdr>
            <w:top w:val="none" w:sz="0" w:space="0" w:color="auto"/>
            <w:left w:val="none" w:sz="0" w:space="0" w:color="auto"/>
            <w:bottom w:val="none" w:sz="0" w:space="0" w:color="auto"/>
            <w:right w:val="none" w:sz="0" w:space="0" w:color="auto"/>
          </w:divBdr>
        </w:div>
        <w:div w:id="181363382">
          <w:marLeft w:val="640"/>
          <w:marRight w:val="0"/>
          <w:marTop w:val="0"/>
          <w:marBottom w:val="0"/>
          <w:divBdr>
            <w:top w:val="none" w:sz="0" w:space="0" w:color="auto"/>
            <w:left w:val="none" w:sz="0" w:space="0" w:color="auto"/>
            <w:bottom w:val="none" w:sz="0" w:space="0" w:color="auto"/>
            <w:right w:val="none" w:sz="0" w:space="0" w:color="auto"/>
          </w:divBdr>
        </w:div>
        <w:div w:id="186989533">
          <w:marLeft w:val="640"/>
          <w:marRight w:val="0"/>
          <w:marTop w:val="0"/>
          <w:marBottom w:val="0"/>
          <w:divBdr>
            <w:top w:val="none" w:sz="0" w:space="0" w:color="auto"/>
            <w:left w:val="none" w:sz="0" w:space="0" w:color="auto"/>
            <w:bottom w:val="none" w:sz="0" w:space="0" w:color="auto"/>
            <w:right w:val="none" w:sz="0" w:space="0" w:color="auto"/>
          </w:divBdr>
        </w:div>
        <w:div w:id="187377018">
          <w:marLeft w:val="640"/>
          <w:marRight w:val="0"/>
          <w:marTop w:val="0"/>
          <w:marBottom w:val="0"/>
          <w:divBdr>
            <w:top w:val="none" w:sz="0" w:space="0" w:color="auto"/>
            <w:left w:val="none" w:sz="0" w:space="0" w:color="auto"/>
            <w:bottom w:val="none" w:sz="0" w:space="0" w:color="auto"/>
            <w:right w:val="none" w:sz="0" w:space="0" w:color="auto"/>
          </w:divBdr>
        </w:div>
        <w:div w:id="190991872">
          <w:marLeft w:val="640"/>
          <w:marRight w:val="0"/>
          <w:marTop w:val="0"/>
          <w:marBottom w:val="0"/>
          <w:divBdr>
            <w:top w:val="none" w:sz="0" w:space="0" w:color="auto"/>
            <w:left w:val="none" w:sz="0" w:space="0" w:color="auto"/>
            <w:bottom w:val="none" w:sz="0" w:space="0" w:color="auto"/>
            <w:right w:val="none" w:sz="0" w:space="0" w:color="auto"/>
          </w:divBdr>
        </w:div>
        <w:div w:id="196433989">
          <w:marLeft w:val="640"/>
          <w:marRight w:val="0"/>
          <w:marTop w:val="0"/>
          <w:marBottom w:val="0"/>
          <w:divBdr>
            <w:top w:val="none" w:sz="0" w:space="0" w:color="auto"/>
            <w:left w:val="none" w:sz="0" w:space="0" w:color="auto"/>
            <w:bottom w:val="none" w:sz="0" w:space="0" w:color="auto"/>
            <w:right w:val="none" w:sz="0" w:space="0" w:color="auto"/>
          </w:divBdr>
        </w:div>
        <w:div w:id="197159011">
          <w:marLeft w:val="640"/>
          <w:marRight w:val="0"/>
          <w:marTop w:val="0"/>
          <w:marBottom w:val="0"/>
          <w:divBdr>
            <w:top w:val="none" w:sz="0" w:space="0" w:color="auto"/>
            <w:left w:val="none" w:sz="0" w:space="0" w:color="auto"/>
            <w:bottom w:val="none" w:sz="0" w:space="0" w:color="auto"/>
            <w:right w:val="none" w:sz="0" w:space="0" w:color="auto"/>
          </w:divBdr>
        </w:div>
        <w:div w:id="199755673">
          <w:marLeft w:val="640"/>
          <w:marRight w:val="0"/>
          <w:marTop w:val="0"/>
          <w:marBottom w:val="0"/>
          <w:divBdr>
            <w:top w:val="none" w:sz="0" w:space="0" w:color="auto"/>
            <w:left w:val="none" w:sz="0" w:space="0" w:color="auto"/>
            <w:bottom w:val="none" w:sz="0" w:space="0" w:color="auto"/>
            <w:right w:val="none" w:sz="0" w:space="0" w:color="auto"/>
          </w:divBdr>
        </w:div>
        <w:div w:id="206527499">
          <w:marLeft w:val="640"/>
          <w:marRight w:val="0"/>
          <w:marTop w:val="0"/>
          <w:marBottom w:val="0"/>
          <w:divBdr>
            <w:top w:val="none" w:sz="0" w:space="0" w:color="auto"/>
            <w:left w:val="none" w:sz="0" w:space="0" w:color="auto"/>
            <w:bottom w:val="none" w:sz="0" w:space="0" w:color="auto"/>
            <w:right w:val="none" w:sz="0" w:space="0" w:color="auto"/>
          </w:divBdr>
        </w:div>
        <w:div w:id="212743199">
          <w:marLeft w:val="640"/>
          <w:marRight w:val="0"/>
          <w:marTop w:val="0"/>
          <w:marBottom w:val="0"/>
          <w:divBdr>
            <w:top w:val="none" w:sz="0" w:space="0" w:color="auto"/>
            <w:left w:val="none" w:sz="0" w:space="0" w:color="auto"/>
            <w:bottom w:val="none" w:sz="0" w:space="0" w:color="auto"/>
            <w:right w:val="none" w:sz="0" w:space="0" w:color="auto"/>
          </w:divBdr>
        </w:div>
        <w:div w:id="215432128">
          <w:marLeft w:val="640"/>
          <w:marRight w:val="0"/>
          <w:marTop w:val="0"/>
          <w:marBottom w:val="0"/>
          <w:divBdr>
            <w:top w:val="none" w:sz="0" w:space="0" w:color="auto"/>
            <w:left w:val="none" w:sz="0" w:space="0" w:color="auto"/>
            <w:bottom w:val="none" w:sz="0" w:space="0" w:color="auto"/>
            <w:right w:val="none" w:sz="0" w:space="0" w:color="auto"/>
          </w:divBdr>
        </w:div>
        <w:div w:id="216085619">
          <w:marLeft w:val="640"/>
          <w:marRight w:val="0"/>
          <w:marTop w:val="0"/>
          <w:marBottom w:val="0"/>
          <w:divBdr>
            <w:top w:val="none" w:sz="0" w:space="0" w:color="auto"/>
            <w:left w:val="none" w:sz="0" w:space="0" w:color="auto"/>
            <w:bottom w:val="none" w:sz="0" w:space="0" w:color="auto"/>
            <w:right w:val="none" w:sz="0" w:space="0" w:color="auto"/>
          </w:divBdr>
        </w:div>
        <w:div w:id="216362556">
          <w:marLeft w:val="640"/>
          <w:marRight w:val="0"/>
          <w:marTop w:val="0"/>
          <w:marBottom w:val="0"/>
          <w:divBdr>
            <w:top w:val="none" w:sz="0" w:space="0" w:color="auto"/>
            <w:left w:val="none" w:sz="0" w:space="0" w:color="auto"/>
            <w:bottom w:val="none" w:sz="0" w:space="0" w:color="auto"/>
            <w:right w:val="none" w:sz="0" w:space="0" w:color="auto"/>
          </w:divBdr>
        </w:div>
        <w:div w:id="216553528">
          <w:marLeft w:val="640"/>
          <w:marRight w:val="0"/>
          <w:marTop w:val="0"/>
          <w:marBottom w:val="0"/>
          <w:divBdr>
            <w:top w:val="none" w:sz="0" w:space="0" w:color="auto"/>
            <w:left w:val="none" w:sz="0" w:space="0" w:color="auto"/>
            <w:bottom w:val="none" w:sz="0" w:space="0" w:color="auto"/>
            <w:right w:val="none" w:sz="0" w:space="0" w:color="auto"/>
          </w:divBdr>
        </w:div>
        <w:div w:id="221985338">
          <w:marLeft w:val="640"/>
          <w:marRight w:val="0"/>
          <w:marTop w:val="0"/>
          <w:marBottom w:val="0"/>
          <w:divBdr>
            <w:top w:val="none" w:sz="0" w:space="0" w:color="auto"/>
            <w:left w:val="none" w:sz="0" w:space="0" w:color="auto"/>
            <w:bottom w:val="none" w:sz="0" w:space="0" w:color="auto"/>
            <w:right w:val="none" w:sz="0" w:space="0" w:color="auto"/>
          </w:divBdr>
        </w:div>
        <w:div w:id="224534329">
          <w:marLeft w:val="640"/>
          <w:marRight w:val="0"/>
          <w:marTop w:val="0"/>
          <w:marBottom w:val="0"/>
          <w:divBdr>
            <w:top w:val="none" w:sz="0" w:space="0" w:color="auto"/>
            <w:left w:val="none" w:sz="0" w:space="0" w:color="auto"/>
            <w:bottom w:val="none" w:sz="0" w:space="0" w:color="auto"/>
            <w:right w:val="none" w:sz="0" w:space="0" w:color="auto"/>
          </w:divBdr>
        </w:div>
        <w:div w:id="224950269">
          <w:marLeft w:val="640"/>
          <w:marRight w:val="0"/>
          <w:marTop w:val="0"/>
          <w:marBottom w:val="0"/>
          <w:divBdr>
            <w:top w:val="none" w:sz="0" w:space="0" w:color="auto"/>
            <w:left w:val="none" w:sz="0" w:space="0" w:color="auto"/>
            <w:bottom w:val="none" w:sz="0" w:space="0" w:color="auto"/>
            <w:right w:val="none" w:sz="0" w:space="0" w:color="auto"/>
          </w:divBdr>
        </w:div>
        <w:div w:id="228655511">
          <w:marLeft w:val="640"/>
          <w:marRight w:val="0"/>
          <w:marTop w:val="0"/>
          <w:marBottom w:val="0"/>
          <w:divBdr>
            <w:top w:val="none" w:sz="0" w:space="0" w:color="auto"/>
            <w:left w:val="none" w:sz="0" w:space="0" w:color="auto"/>
            <w:bottom w:val="none" w:sz="0" w:space="0" w:color="auto"/>
            <w:right w:val="none" w:sz="0" w:space="0" w:color="auto"/>
          </w:divBdr>
        </w:div>
        <w:div w:id="230041515">
          <w:marLeft w:val="640"/>
          <w:marRight w:val="0"/>
          <w:marTop w:val="0"/>
          <w:marBottom w:val="0"/>
          <w:divBdr>
            <w:top w:val="none" w:sz="0" w:space="0" w:color="auto"/>
            <w:left w:val="none" w:sz="0" w:space="0" w:color="auto"/>
            <w:bottom w:val="none" w:sz="0" w:space="0" w:color="auto"/>
            <w:right w:val="none" w:sz="0" w:space="0" w:color="auto"/>
          </w:divBdr>
        </w:div>
        <w:div w:id="232080816">
          <w:marLeft w:val="640"/>
          <w:marRight w:val="0"/>
          <w:marTop w:val="0"/>
          <w:marBottom w:val="0"/>
          <w:divBdr>
            <w:top w:val="none" w:sz="0" w:space="0" w:color="auto"/>
            <w:left w:val="none" w:sz="0" w:space="0" w:color="auto"/>
            <w:bottom w:val="none" w:sz="0" w:space="0" w:color="auto"/>
            <w:right w:val="none" w:sz="0" w:space="0" w:color="auto"/>
          </w:divBdr>
        </w:div>
        <w:div w:id="232085647">
          <w:marLeft w:val="640"/>
          <w:marRight w:val="0"/>
          <w:marTop w:val="0"/>
          <w:marBottom w:val="0"/>
          <w:divBdr>
            <w:top w:val="none" w:sz="0" w:space="0" w:color="auto"/>
            <w:left w:val="none" w:sz="0" w:space="0" w:color="auto"/>
            <w:bottom w:val="none" w:sz="0" w:space="0" w:color="auto"/>
            <w:right w:val="none" w:sz="0" w:space="0" w:color="auto"/>
          </w:divBdr>
        </w:div>
        <w:div w:id="234123401">
          <w:marLeft w:val="640"/>
          <w:marRight w:val="0"/>
          <w:marTop w:val="0"/>
          <w:marBottom w:val="0"/>
          <w:divBdr>
            <w:top w:val="none" w:sz="0" w:space="0" w:color="auto"/>
            <w:left w:val="none" w:sz="0" w:space="0" w:color="auto"/>
            <w:bottom w:val="none" w:sz="0" w:space="0" w:color="auto"/>
            <w:right w:val="none" w:sz="0" w:space="0" w:color="auto"/>
          </w:divBdr>
        </w:div>
        <w:div w:id="234319509">
          <w:marLeft w:val="640"/>
          <w:marRight w:val="0"/>
          <w:marTop w:val="0"/>
          <w:marBottom w:val="0"/>
          <w:divBdr>
            <w:top w:val="none" w:sz="0" w:space="0" w:color="auto"/>
            <w:left w:val="none" w:sz="0" w:space="0" w:color="auto"/>
            <w:bottom w:val="none" w:sz="0" w:space="0" w:color="auto"/>
            <w:right w:val="none" w:sz="0" w:space="0" w:color="auto"/>
          </w:divBdr>
        </w:div>
        <w:div w:id="236016176">
          <w:marLeft w:val="640"/>
          <w:marRight w:val="0"/>
          <w:marTop w:val="0"/>
          <w:marBottom w:val="0"/>
          <w:divBdr>
            <w:top w:val="none" w:sz="0" w:space="0" w:color="auto"/>
            <w:left w:val="none" w:sz="0" w:space="0" w:color="auto"/>
            <w:bottom w:val="none" w:sz="0" w:space="0" w:color="auto"/>
            <w:right w:val="none" w:sz="0" w:space="0" w:color="auto"/>
          </w:divBdr>
        </w:div>
        <w:div w:id="241255937">
          <w:marLeft w:val="640"/>
          <w:marRight w:val="0"/>
          <w:marTop w:val="0"/>
          <w:marBottom w:val="0"/>
          <w:divBdr>
            <w:top w:val="none" w:sz="0" w:space="0" w:color="auto"/>
            <w:left w:val="none" w:sz="0" w:space="0" w:color="auto"/>
            <w:bottom w:val="none" w:sz="0" w:space="0" w:color="auto"/>
            <w:right w:val="none" w:sz="0" w:space="0" w:color="auto"/>
          </w:divBdr>
        </w:div>
        <w:div w:id="241531344">
          <w:marLeft w:val="640"/>
          <w:marRight w:val="0"/>
          <w:marTop w:val="0"/>
          <w:marBottom w:val="0"/>
          <w:divBdr>
            <w:top w:val="none" w:sz="0" w:space="0" w:color="auto"/>
            <w:left w:val="none" w:sz="0" w:space="0" w:color="auto"/>
            <w:bottom w:val="none" w:sz="0" w:space="0" w:color="auto"/>
            <w:right w:val="none" w:sz="0" w:space="0" w:color="auto"/>
          </w:divBdr>
        </w:div>
        <w:div w:id="243338340">
          <w:marLeft w:val="640"/>
          <w:marRight w:val="0"/>
          <w:marTop w:val="0"/>
          <w:marBottom w:val="0"/>
          <w:divBdr>
            <w:top w:val="none" w:sz="0" w:space="0" w:color="auto"/>
            <w:left w:val="none" w:sz="0" w:space="0" w:color="auto"/>
            <w:bottom w:val="none" w:sz="0" w:space="0" w:color="auto"/>
            <w:right w:val="none" w:sz="0" w:space="0" w:color="auto"/>
          </w:divBdr>
        </w:div>
        <w:div w:id="244001665">
          <w:marLeft w:val="640"/>
          <w:marRight w:val="0"/>
          <w:marTop w:val="0"/>
          <w:marBottom w:val="0"/>
          <w:divBdr>
            <w:top w:val="none" w:sz="0" w:space="0" w:color="auto"/>
            <w:left w:val="none" w:sz="0" w:space="0" w:color="auto"/>
            <w:bottom w:val="none" w:sz="0" w:space="0" w:color="auto"/>
            <w:right w:val="none" w:sz="0" w:space="0" w:color="auto"/>
          </w:divBdr>
        </w:div>
        <w:div w:id="245192676">
          <w:marLeft w:val="640"/>
          <w:marRight w:val="0"/>
          <w:marTop w:val="0"/>
          <w:marBottom w:val="0"/>
          <w:divBdr>
            <w:top w:val="none" w:sz="0" w:space="0" w:color="auto"/>
            <w:left w:val="none" w:sz="0" w:space="0" w:color="auto"/>
            <w:bottom w:val="none" w:sz="0" w:space="0" w:color="auto"/>
            <w:right w:val="none" w:sz="0" w:space="0" w:color="auto"/>
          </w:divBdr>
        </w:div>
        <w:div w:id="248734027">
          <w:marLeft w:val="640"/>
          <w:marRight w:val="0"/>
          <w:marTop w:val="0"/>
          <w:marBottom w:val="0"/>
          <w:divBdr>
            <w:top w:val="none" w:sz="0" w:space="0" w:color="auto"/>
            <w:left w:val="none" w:sz="0" w:space="0" w:color="auto"/>
            <w:bottom w:val="none" w:sz="0" w:space="0" w:color="auto"/>
            <w:right w:val="none" w:sz="0" w:space="0" w:color="auto"/>
          </w:divBdr>
        </w:div>
        <w:div w:id="249431179">
          <w:marLeft w:val="640"/>
          <w:marRight w:val="0"/>
          <w:marTop w:val="0"/>
          <w:marBottom w:val="0"/>
          <w:divBdr>
            <w:top w:val="none" w:sz="0" w:space="0" w:color="auto"/>
            <w:left w:val="none" w:sz="0" w:space="0" w:color="auto"/>
            <w:bottom w:val="none" w:sz="0" w:space="0" w:color="auto"/>
            <w:right w:val="none" w:sz="0" w:space="0" w:color="auto"/>
          </w:divBdr>
        </w:div>
        <w:div w:id="250310903">
          <w:marLeft w:val="640"/>
          <w:marRight w:val="0"/>
          <w:marTop w:val="0"/>
          <w:marBottom w:val="0"/>
          <w:divBdr>
            <w:top w:val="none" w:sz="0" w:space="0" w:color="auto"/>
            <w:left w:val="none" w:sz="0" w:space="0" w:color="auto"/>
            <w:bottom w:val="none" w:sz="0" w:space="0" w:color="auto"/>
            <w:right w:val="none" w:sz="0" w:space="0" w:color="auto"/>
          </w:divBdr>
        </w:div>
        <w:div w:id="251624249">
          <w:marLeft w:val="640"/>
          <w:marRight w:val="0"/>
          <w:marTop w:val="0"/>
          <w:marBottom w:val="0"/>
          <w:divBdr>
            <w:top w:val="none" w:sz="0" w:space="0" w:color="auto"/>
            <w:left w:val="none" w:sz="0" w:space="0" w:color="auto"/>
            <w:bottom w:val="none" w:sz="0" w:space="0" w:color="auto"/>
            <w:right w:val="none" w:sz="0" w:space="0" w:color="auto"/>
          </w:divBdr>
        </w:div>
        <w:div w:id="251941259">
          <w:marLeft w:val="640"/>
          <w:marRight w:val="0"/>
          <w:marTop w:val="0"/>
          <w:marBottom w:val="0"/>
          <w:divBdr>
            <w:top w:val="none" w:sz="0" w:space="0" w:color="auto"/>
            <w:left w:val="none" w:sz="0" w:space="0" w:color="auto"/>
            <w:bottom w:val="none" w:sz="0" w:space="0" w:color="auto"/>
            <w:right w:val="none" w:sz="0" w:space="0" w:color="auto"/>
          </w:divBdr>
        </w:div>
        <w:div w:id="252319405">
          <w:marLeft w:val="640"/>
          <w:marRight w:val="0"/>
          <w:marTop w:val="0"/>
          <w:marBottom w:val="0"/>
          <w:divBdr>
            <w:top w:val="none" w:sz="0" w:space="0" w:color="auto"/>
            <w:left w:val="none" w:sz="0" w:space="0" w:color="auto"/>
            <w:bottom w:val="none" w:sz="0" w:space="0" w:color="auto"/>
            <w:right w:val="none" w:sz="0" w:space="0" w:color="auto"/>
          </w:divBdr>
        </w:div>
        <w:div w:id="253129237">
          <w:marLeft w:val="640"/>
          <w:marRight w:val="0"/>
          <w:marTop w:val="0"/>
          <w:marBottom w:val="0"/>
          <w:divBdr>
            <w:top w:val="none" w:sz="0" w:space="0" w:color="auto"/>
            <w:left w:val="none" w:sz="0" w:space="0" w:color="auto"/>
            <w:bottom w:val="none" w:sz="0" w:space="0" w:color="auto"/>
            <w:right w:val="none" w:sz="0" w:space="0" w:color="auto"/>
          </w:divBdr>
        </w:div>
        <w:div w:id="253249074">
          <w:marLeft w:val="640"/>
          <w:marRight w:val="0"/>
          <w:marTop w:val="0"/>
          <w:marBottom w:val="0"/>
          <w:divBdr>
            <w:top w:val="none" w:sz="0" w:space="0" w:color="auto"/>
            <w:left w:val="none" w:sz="0" w:space="0" w:color="auto"/>
            <w:bottom w:val="none" w:sz="0" w:space="0" w:color="auto"/>
            <w:right w:val="none" w:sz="0" w:space="0" w:color="auto"/>
          </w:divBdr>
        </w:div>
        <w:div w:id="253368644">
          <w:marLeft w:val="640"/>
          <w:marRight w:val="0"/>
          <w:marTop w:val="0"/>
          <w:marBottom w:val="0"/>
          <w:divBdr>
            <w:top w:val="none" w:sz="0" w:space="0" w:color="auto"/>
            <w:left w:val="none" w:sz="0" w:space="0" w:color="auto"/>
            <w:bottom w:val="none" w:sz="0" w:space="0" w:color="auto"/>
            <w:right w:val="none" w:sz="0" w:space="0" w:color="auto"/>
          </w:divBdr>
        </w:div>
        <w:div w:id="253587968">
          <w:marLeft w:val="640"/>
          <w:marRight w:val="0"/>
          <w:marTop w:val="0"/>
          <w:marBottom w:val="0"/>
          <w:divBdr>
            <w:top w:val="none" w:sz="0" w:space="0" w:color="auto"/>
            <w:left w:val="none" w:sz="0" w:space="0" w:color="auto"/>
            <w:bottom w:val="none" w:sz="0" w:space="0" w:color="auto"/>
            <w:right w:val="none" w:sz="0" w:space="0" w:color="auto"/>
          </w:divBdr>
        </w:div>
        <w:div w:id="255288135">
          <w:marLeft w:val="640"/>
          <w:marRight w:val="0"/>
          <w:marTop w:val="0"/>
          <w:marBottom w:val="0"/>
          <w:divBdr>
            <w:top w:val="none" w:sz="0" w:space="0" w:color="auto"/>
            <w:left w:val="none" w:sz="0" w:space="0" w:color="auto"/>
            <w:bottom w:val="none" w:sz="0" w:space="0" w:color="auto"/>
            <w:right w:val="none" w:sz="0" w:space="0" w:color="auto"/>
          </w:divBdr>
        </w:div>
        <w:div w:id="255750395">
          <w:marLeft w:val="640"/>
          <w:marRight w:val="0"/>
          <w:marTop w:val="0"/>
          <w:marBottom w:val="0"/>
          <w:divBdr>
            <w:top w:val="none" w:sz="0" w:space="0" w:color="auto"/>
            <w:left w:val="none" w:sz="0" w:space="0" w:color="auto"/>
            <w:bottom w:val="none" w:sz="0" w:space="0" w:color="auto"/>
            <w:right w:val="none" w:sz="0" w:space="0" w:color="auto"/>
          </w:divBdr>
        </w:div>
        <w:div w:id="256135573">
          <w:marLeft w:val="640"/>
          <w:marRight w:val="0"/>
          <w:marTop w:val="0"/>
          <w:marBottom w:val="0"/>
          <w:divBdr>
            <w:top w:val="none" w:sz="0" w:space="0" w:color="auto"/>
            <w:left w:val="none" w:sz="0" w:space="0" w:color="auto"/>
            <w:bottom w:val="none" w:sz="0" w:space="0" w:color="auto"/>
            <w:right w:val="none" w:sz="0" w:space="0" w:color="auto"/>
          </w:divBdr>
        </w:div>
        <w:div w:id="258178889">
          <w:marLeft w:val="640"/>
          <w:marRight w:val="0"/>
          <w:marTop w:val="0"/>
          <w:marBottom w:val="0"/>
          <w:divBdr>
            <w:top w:val="none" w:sz="0" w:space="0" w:color="auto"/>
            <w:left w:val="none" w:sz="0" w:space="0" w:color="auto"/>
            <w:bottom w:val="none" w:sz="0" w:space="0" w:color="auto"/>
            <w:right w:val="none" w:sz="0" w:space="0" w:color="auto"/>
          </w:divBdr>
        </w:div>
        <w:div w:id="263733430">
          <w:marLeft w:val="640"/>
          <w:marRight w:val="0"/>
          <w:marTop w:val="0"/>
          <w:marBottom w:val="0"/>
          <w:divBdr>
            <w:top w:val="none" w:sz="0" w:space="0" w:color="auto"/>
            <w:left w:val="none" w:sz="0" w:space="0" w:color="auto"/>
            <w:bottom w:val="none" w:sz="0" w:space="0" w:color="auto"/>
            <w:right w:val="none" w:sz="0" w:space="0" w:color="auto"/>
          </w:divBdr>
        </w:div>
        <w:div w:id="264962178">
          <w:marLeft w:val="640"/>
          <w:marRight w:val="0"/>
          <w:marTop w:val="0"/>
          <w:marBottom w:val="0"/>
          <w:divBdr>
            <w:top w:val="none" w:sz="0" w:space="0" w:color="auto"/>
            <w:left w:val="none" w:sz="0" w:space="0" w:color="auto"/>
            <w:bottom w:val="none" w:sz="0" w:space="0" w:color="auto"/>
            <w:right w:val="none" w:sz="0" w:space="0" w:color="auto"/>
          </w:divBdr>
        </w:div>
        <w:div w:id="268124802">
          <w:marLeft w:val="640"/>
          <w:marRight w:val="0"/>
          <w:marTop w:val="0"/>
          <w:marBottom w:val="0"/>
          <w:divBdr>
            <w:top w:val="none" w:sz="0" w:space="0" w:color="auto"/>
            <w:left w:val="none" w:sz="0" w:space="0" w:color="auto"/>
            <w:bottom w:val="none" w:sz="0" w:space="0" w:color="auto"/>
            <w:right w:val="none" w:sz="0" w:space="0" w:color="auto"/>
          </w:divBdr>
        </w:div>
        <w:div w:id="268127684">
          <w:marLeft w:val="640"/>
          <w:marRight w:val="0"/>
          <w:marTop w:val="0"/>
          <w:marBottom w:val="0"/>
          <w:divBdr>
            <w:top w:val="none" w:sz="0" w:space="0" w:color="auto"/>
            <w:left w:val="none" w:sz="0" w:space="0" w:color="auto"/>
            <w:bottom w:val="none" w:sz="0" w:space="0" w:color="auto"/>
            <w:right w:val="none" w:sz="0" w:space="0" w:color="auto"/>
          </w:divBdr>
        </w:div>
        <w:div w:id="268775712">
          <w:marLeft w:val="640"/>
          <w:marRight w:val="0"/>
          <w:marTop w:val="0"/>
          <w:marBottom w:val="0"/>
          <w:divBdr>
            <w:top w:val="none" w:sz="0" w:space="0" w:color="auto"/>
            <w:left w:val="none" w:sz="0" w:space="0" w:color="auto"/>
            <w:bottom w:val="none" w:sz="0" w:space="0" w:color="auto"/>
            <w:right w:val="none" w:sz="0" w:space="0" w:color="auto"/>
          </w:divBdr>
        </w:div>
        <w:div w:id="274412435">
          <w:marLeft w:val="640"/>
          <w:marRight w:val="0"/>
          <w:marTop w:val="0"/>
          <w:marBottom w:val="0"/>
          <w:divBdr>
            <w:top w:val="none" w:sz="0" w:space="0" w:color="auto"/>
            <w:left w:val="none" w:sz="0" w:space="0" w:color="auto"/>
            <w:bottom w:val="none" w:sz="0" w:space="0" w:color="auto"/>
            <w:right w:val="none" w:sz="0" w:space="0" w:color="auto"/>
          </w:divBdr>
        </w:div>
        <w:div w:id="278072705">
          <w:marLeft w:val="640"/>
          <w:marRight w:val="0"/>
          <w:marTop w:val="0"/>
          <w:marBottom w:val="0"/>
          <w:divBdr>
            <w:top w:val="none" w:sz="0" w:space="0" w:color="auto"/>
            <w:left w:val="none" w:sz="0" w:space="0" w:color="auto"/>
            <w:bottom w:val="none" w:sz="0" w:space="0" w:color="auto"/>
            <w:right w:val="none" w:sz="0" w:space="0" w:color="auto"/>
          </w:divBdr>
        </w:div>
        <w:div w:id="278345209">
          <w:marLeft w:val="640"/>
          <w:marRight w:val="0"/>
          <w:marTop w:val="0"/>
          <w:marBottom w:val="0"/>
          <w:divBdr>
            <w:top w:val="none" w:sz="0" w:space="0" w:color="auto"/>
            <w:left w:val="none" w:sz="0" w:space="0" w:color="auto"/>
            <w:bottom w:val="none" w:sz="0" w:space="0" w:color="auto"/>
            <w:right w:val="none" w:sz="0" w:space="0" w:color="auto"/>
          </w:divBdr>
        </w:div>
        <w:div w:id="281814411">
          <w:marLeft w:val="640"/>
          <w:marRight w:val="0"/>
          <w:marTop w:val="0"/>
          <w:marBottom w:val="0"/>
          <w:divBdr>
            <w:top w:val="none" w:sz="0" w:space="0" w:color="auto"/>
            <w:left w:val="none" w:sz="0" w:space="0" w:color="auto"/>
            <w:bottom w:val="none" w:sz="0" w:space="0" w:color="auto"/>
            <w:right w:val="none" w:sz="0" w:space="0" w:color="auto"/>
          </w:divBdr>
        </w:div>
        <w:div w:id="283315729">
          <w:marLeft w:val="640"/>
          <w:marRight w:val="0"/>
          <w:marTop w:val="0"/>
          <w:marBottom w:val="0"/>
          <w:divBdr>
            <w:top w:val="none" w:sz="0" w:space="0" w:color="auto"/>
            <w:left w:val="none" w:sz="0" w:space="0" w:color="auto"/>
            <w:bottom w:val="none" w:sz="0" w:space="0" w:color="auto"/>
            <w:right w:val="none" w:sz="0" w:space="0" w:color="auto"/>
          </w:divBdr>
        </w:div>
        <w:div w:id="285746500">
          <w:marLeft w:val="640"/>
          <w:marRight w:val="0"/>
          <w:marTop w:val="0"/>
          <w:marBottom w:val="0"/>
          <w:divBdr>
            <w:top w:val="none" w:sz="0" w:space="0" w:color="auto"/>
            <w:left w:val="none" w:sz="0" w:space="0" w:color="auto"/>
            <w:bottom w:val="none" w:sz="0" w:space="0" w:color="auto"/>
            <w:right w:val="none" w:sz="0" w:space="0" w:color="auto"/>
          </w:divBdr>
        </w:div>
        <w:div w:id="286396421">
          <w:marLeft w:val="640"/>
          <w:marRight w:val="0"/>
          <w:marTop w:val="0"/>
          <w:marBottom w:val="0"/>
          <w:divBdr>
            <w:top w:val="none" w:sz="0" w:space="0" w:color="auto"/>
            <w:left w:val="none" w:sz="0" w:space="0" w:color="auto"/>
            <w:bottom w:val="none" w:sz="0" w:space="0" w:color="auto"/>
            <w:right w:val="none" w:sz="0" w:space="0" w:color="auto"/>
          </w:divBdr>
        </w:div>
        <w:div w:id="286475229">
          <w:marLeft w:val="640"/>
          <w:marRight w:val="0"/>
          <w:marTop w:val="0"/>
          <w:marBottom w:val="0"/>
          <w:divBdr>
            <w:top w:val="none" w:sz="0" w:space="0" w:color="auto"/>
            <w:left w:val="none" w:sz="0" w:space="0" w:color="auto"/>
            <w:bottom w:val="none" w:sz="0" w:space="0" w:color="auto"/>
            <w:right w:val="none" w:sz="0" w:space="0" w:color="auto"/>
          </w:divBdr>
        </w:div>
        <w:div w:id="294258426">
          <w:marLeft w:val="640"/>
          <w:marRight w:val="0"/>
          <w:marTop w:val="0"/>
          <w:marBottom w:val="0"/>
          <w:divBdr>
            <w:top w:val="none" w:sz="0" w:space="0" w:color="auto"/>
            <w:left w:val="none" w:sz="0" w:space="0" w:color="auto"/>
            <w:bottom w:val="none" w:sz="0" w:space="0" w:color="auto"/>
            <w:right w:val="none" w:sz="0" w:space="0" w:color="auto"/>
          </w:divBdr>
        </w:div>
        <w:div w:id="294870202">
          <w:marLeft w:val="640"/>
          <w:marRight w:val="0"/>
          <w:marTop w:val="0"/>
          <w:marBottom w:val="0"/>
          <w:divBdr>
            <w:top w:val="none" w:sz="0" w:space="0" w:color="auto"/>
            <w:left w:val="none" w:sz="0" w:space="0" w:color="auto"/>
            <w:bottom w:val="none" w:sz="0" w:space="0" w:color="auto"/>
            <w:right w:val="none" w:sz="0" w:space="0" w:color="auto"/>
          </w:divBdr>
        </w:div>
        <w:div w:id="296374762">
          <w:marLeft w:val="640"/>
          <w:marRight w:val="0"/>
          <w:marTop w:val="0"/>
          <w:marBottom w:val="0"/>
          <w:divBdr>
            <w:top w:val="none" w:sz="0" w:space="0" w:color="auto"/>
            <w:left w:val="none" w:sz="0" w:space="0" w:color="auto"/>
            <w:bottom w:val="none" w:sz="0" w:space="0" w:color="auto"/>
            <w:right w:val="none" w:sz="0" w:space="0" w:color="auto"/>
          </w:divBdr>
        </w:div>
        <w:div w:id="297683628">
          <w:marLeft w:val="640"/>
          <w:marRight w:val="0"/>
          <w:marTop w:val="0"/>
          <w:marBottom w:val="0"/>
          <w:divBdr>
            <w:top w:val="none" w:sz="0" w:space="0" w:color="auto"/>
            <w:left w:val="none" w:sz="0" w:space="0" w:color="auto"/>
            <w:bottom w:val="none" w:sz="0" w:space="0" w:color="auto"/>
            <w:right w:val="none" w:sz="0" w:space="0" w:color="auto"/>
          </w:divBdr>
        </w:div>
        <w:div w:id="306709735">
          <w:marLeft w:val="640"/>
          <w:marRight w:val="0"/>
          <w:marTop w:val="0"/>
          <w:marBottom w:val="0"/>
          <w:divBdr>
            <w:top w:val="none" w:sz="0" w:space="0" w:color="auto"/>
            <w:left w:val="none" w:sz="0" w:space="0" w:color="auto"/>
            <w:bottom w:val="none" w:sz="0" w:space="0" w:color="auto"/>
            <w:right w:val="none" w:sz="0" w:space="0" w:color="auto"/>
          </w:divBdr>
        </w:div>
        <w:div w:id="307785690">
          <w:marLeft w:val="640"/>
          <w:marRight w:val="0"/>
          <w:marTop w:val="0"/>
          <w:marBottom w:val="0"/>
          <w:divBdr>
            <w:top w:val="none" w:sz="0" w:space="0" w:color="auto"/>
            <w:left w:val="none" w:sz="0" w:space="0" w:color="auto"/>
            <w:bottom w:val="none" w:sz="0" w:space="0" w:color="auto"/>
            <w:right w:val="none" w:sz="0" w:space="0" w:color="auto"/>
          </w:divBdr>
        </w:div>
        <w:div w:id="313728181">
          <w:marLeft w:val="640"/>
          <w:marRight w:val="0"/>
          <w:marTop w:val="0"/>
          <w:marBottom w:val="0"/>
          <w:divBdr>
            <w:top w:val="none" w:sz="0" w:space="0" w:color="auto"/>
            <w:left w:val="none" w:sz="0" w:space="0" w:color="auto"/>
            <w:bottom w:val="none" w:sz="0" w:space="0" w:color="auto"/>
            <w:right w:val="none" w:sz="0" w:space="0" w:color="auto"/>
          </w:divBdr>
        </w:div>
        <w:div w:id="315495026">
          <w:marLeft w:val="640"/>
          <w:marRight w:val="0"/>
          <w:marTop w:val="0"/>
          <w:marBottom w:val="0"/>
          <w:divBdr>
            <w:top w:val="none" w:sz="0" w:space="0" w:color="auto"/>
            <w:left w:val="none" w:sz="0" w:space="0" w:color="auto"/>
            <w:bottom w:val="none" w:sz="0" w:space="0" w:color="auto"/>
            <w:right w:val="none" w:sz="0" w:space="0" w:color="auto"/>
          </w:divBdr>
        </w:div>
        <w:div w:id="315883911">
          <w:marLeft w:val="640"/>
          <w:marRight w:val="0"/>
          <w:marTop w:val="0"/>
          <w:marBottom w:val="0"/>
          <w:divBdr>
            <w:top w:val="none" w:sz="0" w:space="0" w:color="auto"/>
            <w:left w:val="none" w:sz="0" w:space="0" w:color="auto"/>
            <w:bottom w:val="none" w:sz="0" w:space="0" w:color="auto"/>
            <w:right w:val="none" w:sz="0" w:space="0" w:color="auto"/>
          </w:divBdr>
        </w:div>
        <w:div w:id="319424925">
          <w:marLeft w:val="640"/>
          <w:marRight w:val="0"/>
          <w:marTop w:val="0"/>
          <w:marBottom w:val="0"/>
          <w:divBdr>
            <w:top w:val="none" w:sz="0" w:space="0" w:color="auto"/>
            <w:left w:val="none" w:sz="0" w:space="0" w:color="auto"/>
            <w:bottom w:val="none" w:sz="0" w:space="0" w:color="auto"/>
            <w:right w:val="none" w:sz="0" w:space="0" w:color="auto"/>
          </w:divBdr>
        </w:div>
        <w:div w:id="320088895">
          <w:marLeft w:val="640"/>
          <w:marRight w:val="0"/>
          <w:marTop w:val="0"/>
          <w:marBottom w:val="0"/>
          <w:divBdr>
            <w:top w:val="none" w:sz="0" w:space="0" w:color="auto"/>
            <w:left w:val="none" w:sz="0" w:space="0" w:color="auto"/>
            <w:bottom w:val="none" w:sz="0" w:space="0" w:color="auto"/>
            <w:right w:val="none" w:sz="0" w:space="0" w:color="auto"/>
          </w:divBdr>
        </w:div>
        <w:div w:id="320893009">
          <w:marLeft w:val="640"/>
          <w:marRight w:val="0"/>
          <w:marTop w:val="0"/>
          <w:marBottom w:val="0"/>
          <w:divBdr>
            <w:top w:val="none" w:sz="0" w:space="0" w:color="auto"/>
            <w:left w:val="none" w:sz="0" w:space="0" w:color="auto"/>
            <w:bottom w:val="none" w:sz="0" w:space="0" w:color="auto"/>
            <w:right w:val="none" w:sz="0" w:space="0" w:color="auto"/>
          </w:divBdr>
        </w:div>
        <w:div w:id="325014096">
          <w:marLeft w:val="640"/>
          <w:marRight w:val="0"/>
          <w:marTop w:val="0"/>
          <w:marBottom w:val="0"/>
          <w:divBdr>
            <w:top w:val="none" w:sz="0" w:space="0" w:color="auto"/>
            <w:left w:val="none" w:sz="0" w:space="0" w:color="auto"/>
            <w:bottom w:val="none" w:sz="0" w:space="0" w:color="auto"/>
            <w:right w:val="none" w:sz="0" w:space="0" w:color="auto"/>
          </w:divBdr>
        </w:div>
        <w:div w:id="325256223">
          <w:marLeft w:val="640"/>
          <w:marRight w:val="0"/>
          <w:marTop w:val="0"/>
          <w:marBottom w:val="0"/>
          <w:divBdr>
            <w:top w:val="none" w:sz="0" w:space="0" w:color="auto"/>
            <w:left w:val="none" w:sz="0" w:space="0" w:color="auto"/>
            <w:bottom w:val="none" w:sz="0" w:space="0" w:color="auto"/>
            <w:right w:val="none" w:sz="0" w:space="0" w:color="auto"/>
          </w:divBdr>
        </w:div>
        <w:div w:id="327707062">
          <w:marLeft w:val="640"/>
          <w:marRight w:val="0"/>
          <w:marTop w:val="0"/>
          <w:marBottom w:val="0"/>
          <w:divBdr>
            <w:top w:val="none" w:sz="0" w:space="0" w:color="auto"/>
            <w:left w:val="none" w:sz="0" w:space="0" w:color="auto"/>
            <w:bottom w:val="none" w:sz="0" w:space="0" w:color="auto"/>
            <w:right w:val="none" w:sz="0" w:space="0" w:color="auto"/>
          </w:divBdr>
        </w:div>
        <w:div w:id="328025503">
          <w:marLeft w:val="640"/>
          <w:marRight w:val="0"/>
          <w:marTop w:val="0"/>
          <w:marBottom w:val="0"/>
          <w:divBdr>
            <w:top w:val="none" w:sz="0" w:space="0" w:color="auto"/>
            <w:left w:val="none" w:sz="0" w:space="0" w:color="auto"/>
            <w:bottom w:val="none" w:sz="0" w:space="0" w:color="auto"/>
            <w:right w:val="none" w:sz="0" w:space="0" w:color="auto"/>
          </w:divBdr>
        </w:div>
        <w:div w:id="330380275">
          <w:marLeft w:val="640"/>
          <w:marRight w:val="0"/>
          <w:marTop w:val="0"/>
          <w:marBottom w:val="0"/>
          <w:divBdr>
            <w:top w:val="none" w:sz="0" w:space="0" w:color="auto"/>
            <w:left w:val="none" w:sz="0" w:space="0" w:color="auto"/>
            <w:bottom w:val="none" w:sz="0" w:space="0" w:color="auto"/>
            <w:right w:val="none" w:sz="0" w:space="0" w:color="auto"/>
          </w:divBdr>
        </w:div>
        <w:div w:id="330837492">
          <w:marLeft w:val="640"/>
          <w:marRight w:val="0"/>
          <w:marTop w:val="0"/>
          <w:marBottom w:val="0"/>
          <w:divBdr>
            <w:top w:val="none" w:sz="0" w:space="0" w:color="auto"/>
            <w:left w:val="none" w:sz="0" w:space="0" w:color="auto"/>
            <w:bottom w:val="none" w:sz="0" w:space="0" w:color="auto"/>
            <w:right w:val="none" w:sz="0" w:space="0" w:color="auto"/>
          </w:divBdr>
        </w:div>
        <w:div w:id="331565461">
          <w:marLeft w:val="640"/>
          <w:marRight w:val="0"/>
          <w:marTop w:val="0"/>
          <w:marBottom w:val="0"/>
          <w:divBdr>
            <w:top w:val="none" w:sz="0" w:space="0" w:color="auto"/>
            <w:left w:val="none" w:sz="0" w:space="0" w:color="auto"/>
            <w:bottom w:val="none" w:sz="0" w:space="0" w:color="auto"/>
            <w:right w:val="none" w:sz="0" w:space="0" w:color="auto"/>
          </w:divBdr>
        </w:div>
        <w:div w:id="336856479">
          <w:marLeft w:val="640"/>
          <w:marRight w:val="0"/>
          <w:marTop w:val="0"/>
          <w:marBottom w:val="0"/>
          <w:divBdr>
            <w:top w:val="none" w:sz="0" w:space="0" w:color="auto"/>
            <w:left w:val="none" w:sz="0" w:space="0" w:color="auto"/>
            <w:bottom w:val="none" w:sz="0" w:space="0" w:color="auto"/>
            <w:right w:val="none" w:sz="0" w:space="0" w:color="auto"/>
          </w:divBdr>
        </w:div>
        <w:div w:id="337200164">
          <w:marLeft w:val="640"/>
          <w:marRight w:val="0"/>
          <w:marTop w:val="0"/>
          <w:marBottom w:val="0"/>
          <w:divBdr>
            <w:top w:val="none" w:sz="0" w:space="0" w:color="auto"/>
            <w:left w:val="none" w:sz="0" w:space="0" w:color="auto"/>
            <w:bottom w:val="none" w:sz="0" w:space="0" w:color="auto"/>
            <w:right w:val="none" w:sz="0" w:space="0" w:color="auto"/>
          </w:divBdr>
        </w:div>
        <w:div w:id="338049724">
          <w:marLeft w:val="640"/>
          <w:marRight w:val="0"/>
          <w:marTop w:val="0"/>
          <w:marBottom w:val="0"/>
          <w:divBdr>
            <w:top w:val="none" w:sz="0" w:space="0" w:color="auto"/>
            <w:left w:val="none" w:sz="0" w:space="0" w:color="auto"/>
            <w:bottom w:val="none" w:sz="0" w:space="0" w:color="auto"/>
            <w:right w:val="none" w:sz="0" w:space="0" w:color="auto"/>
          </w:divBdr>
        </w:div>
        <w:div w:id="338696376">
          <w:marLeft w:val="640"/>
          <w:marRight w:val="0"/>
          <w:marTop w:val="0"/>
          <w:marBottom w:val="0"/>
          <w:divBdr>
            <w:top w:val="none" w:sz="0" w:space="0" w:color="auto"/>
            <w:left w:val="none" w:sz="0" w:space="0" w:color="auto"/>
            <w:bottom w:val="none" w:sz="0" w:space="0" w:color="auto"/>
            <w:right w:val="none" w:sz="0" w:space="0" w:color="auto"/>
          </w:divBdr>
        </w:div>
        <w:div w:id="339741344">
          <w:marLeft w:val="640"/>
          <w:marRight w:val="0"/>
          <w:marTop w:val="0"/>
          <w:marBottom w:val="0"/>
          <w:divBdr>
            <w:top w:val="none" w:sz="0" w:space="0" w:color="auto"/>
            <w:left w:val="none" w:sz="0" w:space="0" w:color="auto"/>
            <w:bottom w:val="none" w:sz="0" w:space="0" w:color="auto"/>
            <w:right w:val="none" w:sz="0" w:space="0" w:color="auto"/>
          </w:divBdr>
        </w:div>
        <w:div w:id="340352670">
          <w:marLeft w:val="640"/>
          <w:marRight w:val="0"/>
          <w:marTop w:val="0"/>
          <w:marBottom w:val="0"/>
          <w:divBdr>
            <w:top w:val="none" w:sz="0" w:space="0" w:color="auto"/>
            <w:left w:val="none" w:sz="0" w:space="0" w:color="auto"/>
            <w:bottom w:val="none" w:sz="0" w:space="0" w:color="auto"/>
            <w:right w:val="none" w:sz="0" w:space="0" w:color="auto"/>
          </w:divBdr>
        </w:div>
        <w:div w:id="343748851">
          <w:marLeft w:val="640"/>
          <w:marRight w:val="0"/>
          <w:marTop w:val="0"/>
          <w:marBottom w:val="0"/>
          <w:divBdr>
            <w:top w:val="none" w:sz="0" w:space="0" w:color="auto"/>
            <w:left w:val="none" w:sz="0" w:space="0" w:color="auto"/>
            <w:bottom w:val="none" w:sz="0" w:space="0" w:color="auto"/>
            <w:right w:val="none" w:sz="0" w:space="0" w:color="auto"/>
          </w:divBdr>
        </w:div>
        <w:div w:id="345600253">
          <w:marLeft w:val="640"/>
          <w:marRight w:val="0"/>
          <w:marTop w:val="0"/>
          <w:marBottom w:val="0"/>
          <w:divBdr>
            <w:top w:val="none" w:sz="0" w:space="0" w:color="auto"/>
            <w:left w:val="none" w:sz="0" w:space="0" w:color="auto"/>
            <w:bottom w:val="none" w:sz="0" w:space="0" w:color="auto"/>
            <w:right w:val="none" w:sz="0" w:space="0" w:color="auto"/>
          </w:divBdr>
        </w:div>
        <w:div w:id="345638925">
          <w:marLeft w:val="640"/>
          <w:marRight w:val="0"/>
          <w:marTop w:val="0"/>
          <w:marBottom w:val="0"/>
          <w:divBdr>
            <w:top w:val="none" w:sz="0" w:space="0" w:color="auto"/>
            <w:left w:val="none" w:sz="0" w:space="0" w:color="auto"/>
            <w:bottom w:val="none" w:sz="0" w:space="0" w:color="auto"/>
            <w:right w:val="none" w:sz="0" w:space="0" w:color="auto"/>
          </w:divBdr>
        </w:div>
        <w:div w:id="347877585">
          <w:marLeft w:val="640"/>
          <w:marRight w:val="0"/>
          <w:marTop w:val="0"/>
          <w:marBottom w:val="0"/>
          <w:divBdr>
            <w:top w:val="none" w:sz="0" w:space="0" w:color="auto"/>
            <w:left w:val="none" w:sz="0" w:space="0" w:color="auto"/>
            <w:bottom w:val="none" w:sz="0" w:space="0" w:color="auto"/>
            <w:right w:val="none" w:sz="0" w:space="0" w:color="auto"/>
          </w:divBdr>
        </w:div>
        <w:div w:id="352150371">
          <w:marLeft w:val="640"/>
          <w:marRight w:val="0"/>
          <w:marTop w:val="0"/>
          <w:marBottom w:val="0"/>
          <w:divBdr>
            <w:top w:val="none" w:sz="0" w:space="0" w:color="auto"/>
            <w:left w:val="none" w:sz="0" w:space="0" w:color="auto"/>
            <w:bottom w:val="none" w:sz="0" w:space="0" w:color="auto"/>
            <w:right w:val="none" w:sz="0" w:space="0" w:color="auto"/>
          </w:divBdr>
        </w:div>
        <w:div w:id="353770612">
          <w:marLeft w:val="640"/>
          <w:marRight w:val="0"/>
          <w:marTop w:val="0"/>
          <w:marBottom w:val="0"/>
          <w:divBdr>
            <w:top w:val="none" w:sz="0" w:space="0" w:color="auto"/>
            <w:left w:val="none" w:sz="0" w:space="0" w:color="auto"/>
            <w:bottom w:val="none" w:sz="0" w:space="0" w:color="auto"/>
            <w:right w:val="none" w:sz="0" w:space="0" w:color="auto"/>
          </w:divBdr>
        </w:div>
        <w:div w:id="356351377">
          <w:marLeft w:val="640"/>
          <w:marRight w:val="0"/>
          <w:marTop w:val="0"/>
          <w:marBottom w:val="0"/>
          <w:divBdr>
            <w:top w:val="none" w:sz="0" w:space="0" w:color="auto"/>
            <w:left w:val="none" w:sz="0" w:space="0" w:color="auto"/>
            <w:bottom w:val="none" w:sz="0" w:space="0" w:color="auto"/>
            <w:right w:val="none" w:sz="0" w:space="0" w:color="auto"/>
          </w:divBdr>
        </w:div>
        <w:div w:id="356543229">
          <w:marLeft w:val="640"/>
          <w:marRight w:val="0"/>
          <w:marTop w:val="0"/>
          <w:marBottom w:val="0"/>
          <w:divBdr>
            <w:top w:val="none" w:sz="0" w:space="0" w:color="auto"/>
            <w:left w:val="none" w:sz="0" w:space="0" w:color="auto"/>
            <w:bottom w:val="none" w:sz="0" w:space="0" w:color="auto"/>
            <w:right w:val="none" w:sz="0" w:space="0" w:color="auto"/>
          </w:divBdr>
        </w:div>
        <w:div w:id="356853230">
          <w:marLeft w:val="640"/>
          <w:marRight w:val="0"/>
          <w:marTop w:val="0"/>
          <w:marBottom w:val="0"/>
          <w:divBdr>
            <w:top w:val="none" w:sz="0" w:space="0" w:color="auto"/>
            <w:left w:val="none" w:sz="0" w:space="0" w:color="auto"/>
            <w:bottom w:val="none" w:sz="0" w:space="0" w:color="auto"/>
            <w:right w:val="none" w:sz="0" w:space="0" w:color="auto"/>
          </w:divBdr>
        </w:div>
        <w:div w:id="357779593">
          <w:marLeft w:val="640"/>
          <w:marRight w:val="0"/>
          <w:marTop w:val="0"/>
          <w:marBottom w:val="0"/>
          <w:divBdr>
            <w:top w:val="none" w:sz="0" w:space="0" w:color="auto"/>
            <w:left w:val="none" w:sz="0" w:space="0" w:color="auto"/>
            <w:bottom w:val="none" w:sz="0" w:space="0" w:color="auto"/>
            <w:right w:val="none" w:sz="0" w:space="0" w:color="auto"/>
          </w:divBdr>
        </w:div>
        <w:div w:id="369838735">
          <w:marLeft w:val="640"/>
          <w:marRight w:val="0"/>
          <w:marTop w:val="0"/>
          <w:marBottom w:val="0"/>
          <w:divBdr>
            <w:top w:val="none" w:sz="0" w:space="0" w:color="auto"/>
            <w:left w:val="none" w:sz="0" w:space="0" w:color="auto"/>
            <w:bottom w:val="none" w:sz="0" w:space="0" w:color="auto"/>
            <w:right w:val="none" w:sz="0" w:space="0" w:color="auto"/>
          </w:divBdr>
        </w:div>
        <w:div w:id="371541189">
          <w:marLeft w:val="640"/>
          <w:marRight w:val="0"/>
          <w:marTop w:val="0"/>
          <w:marBottom w:val="0"/>
          <w:divBdr>
            <w:top w:val="none" w:sz="0" w:space="0" w:color="auto"/>
            <w:left w:val="none" w:sz="0" w:space="0" w:color="auto"/>
            <w:bottom w:val="none" w:sz="0" w:space="0" w:color="auto"/>
            <w:right w:val="none" w:sz="0" w:space="0" w:color="auto"/>
          </w:divBdr>
        </w:div>
        <w:div w:id="372538760">
          <w:marLeft w:val="640"/>
          <w:marRight w:val="0"/>
          <w:marTop w:val="0"/>
          <w:marBottom w:val="0"/>
          <w:divBdr>
            <w:top w:val="none" w:sz="0" w:space="0" w:color="auto"/>
            <w:left w:val="none" w:sz="0" w:space="0" w:color="auto"/>
            <w:bottom w:val="none" w:sz="0" w:space="0" w:color="auto"/>
            <w:right w:val="none" w:sz="0" w:space="0" w:color="auto"/>
          </w:divBdr>
        </w:div>
        <w:div w:id="376585989">
          <w:marLeft w:val="640"/>
          <w:marRight w:val="0"/>
          <w:marTop w:val="0"/>
          <w:marBottom w:val="0"/>
          <w:divBdr>
            <w:top w:val="none" w:sz="0" w:space="0" w:color="auto"/>
            <w:left w:val="none" w:sz="0" w:space="0" w:color="auto"/>
            <w:bottom w:val="none" w:sz="0" w:space="0" w:color="auto"/>
            <w:right w:val="none" w:sz="0" w:space="0" w:color="auto"/>
          </w:divBdr>
        </w:div>
        <w:div w:id="377361554">
          <w:marLeft w:val="640"/>
          <w:marRight w:val="0"/>
          <w:marTop w:val="0"/>
          <w:marBottom w:val="0"/>
          <w:divBdr>
            <w:top w:val="none" w:sz="0" w:space="0" w:color="auto"/>
            <w:left w:val="none" w:sz="0" w:space="0" w:color="auto"/>
            <w:bottom w:val="none" w:sz="0" w:space="0" w:color="auto"/>
            <w:right w:val="none" w:sz="0" w:space="0" w:color="auto"/>
          </w:divBdr>
        </w:div>
        <w:div w:id="377440352">
          <w:marLeft w:val="640"/>
          <w:marRight w:val="0"/>
          <w:marTop w:val="0"/>
          <w:marBottom w:val="0"/>
          <w:divBdr>
            <w:top w:val="none" w:sz="0" w:space="0" w:color="auto"/>
            <w:left w:val="none" w:sz="0" w:space="0" w:color="auto"/>
            <w:bottom w:val="none" w:sz="0" w:space="0" w:color="auto"/>
            <w:right w:val="none" w:sz="0" w:space="0" w:color="auto"/>
          </w:divBdr>
        </w:div>
        <w:div w:id="379132801">
          <w:marLeft w:val="640"/>
          <w:marRight w:val="0"/>
          <w:marTop w:val="0"/>
          <w:marBottom w:val="0"/>
          <w:divBdr>
            <w:top w:val="none" w:sz="0" w:space="0" w:color="auto"/>
            <w:left w:val="none" w:sz="0" w:space="0" w:color="auto"/>
            <w:bottom w:val="none" w:sz="0" w:space="0" w:color="auto"/>
            <w:right w:val="none" w:sz="0" w:space="0" w:color="auto"/>
          </w:divBdr>
        </w:div>
        <w:div w:id="379213664">
          <w:marLeft w:val="640"/>
          <w:marRight w:val="0"/>
          <w:marTop w:val="0"/>
          <w:marBottom w:val="0"/>
          <w:divBdr>
            <w:top w:val="none" w:sz="0" w:space="0" w:color="auto"/>
            <w:left w:val="none" w:sz="0" w:space="0" w:color="auto"/>
            <w:bottom w:val="none" w:sz="0" w:space="0" w:color="auto"/>
            <w:right w:val="none" w:sz="0" w:space="0" w:color="auto"/>
          </w:divBdr>
        </w:div>
        <w:div w:id="383143756">
          <w:marLeft w:val="640"/>
          <w:marRight w:val="0"/>
          <w:marTop w:val="0"/>
          <w:marBottom w:val="0"/>
          <w:divBdr>
            <w:top w:val="none" w:sz="0" w:space="0" w:color="auto"/>
            <w:left w:val="none" w:sz="0" w:space="0" w:color="auto"/>
            <w:bottom w:val="none" w:sz="0" w:space="0" w:color="auto"/>
            <w:right w:val="none" w:sz="0" w:space="0" w:color="auto"/>
          </w:divBdr>
        </w:div>
        <w:div w:id="383145029">
          <w:marLeft w:val="640"/>
          <w:marRight w:val="0"/>
          <w:marTop w:val="0"/>
          <w:marBottom w:val="0"/>
          <w:divBdr>
            <w:top w:val="none" w:sz="0" w:space="0" w:color="auto"/>
            <w:left w:val="none" w:sz="0" w:space="0" w:color="auto"/>
            <w:bottom w:val="none" w:sz="0" w:space="0" w:color="auto"/>
            <w:right w:val="none" w:sz="0" w:space="0" w:color="auto"/>
          </w:divBdr>
        </w:div>
        <w:div w:id="384721840">
          <w:marLeft w:val="640"/>
          <w:marRight w:val="0"/>
          <w:marTop w:val="0"/>
          <w:marBottom w:val="0"/>
          <w:divBdr>
            <w:top w:val="none" w:sz="0" w:space="0" w:color="auto"/>
            <w:left w:val="none" w:sz="0" w:space="0" w:color="auto"/>
            <w:bottom w:val="none" w:sz="0" w:space="0" w:color="auto"/>
            <w:right w:val="none" w:sz="0" w:space="0" w:color="auto"/>
          </w:divBdr>
        </w:div>
        <w:div w:id="386531840">
          <w:marLeft w:val="640"/>
          <w:marRight w:val="0"/>
          <w:marTop w:val="0"/>
          <w:marBottom w:val="0"/>
          <w:divBdr>
            <w:top w:val="none" w:sz="0" w:space="0" w:color="auto"/>
            <w:left w:val="none" w:sz="0" w:space="0" w:color="auto"/>
            <w:bottom w:val="none" w:sz="0" w:space="0" w:color="auto"/>
            <w:right w:val="none" w:sz="0" w:space="0" w:color="auto"/>
          </w:divBdr>
        </w:div>
        <w:div w:id="387799460">
          <w:marLeft w:val="640"/>
          <w:marRight w:val="0"/>
          <w:marTop w:val="0"/>
          <w:marBottom w:val="0"/>
          <w:divBdr>
            <w:top w:val="none" w:sz="0" w:space="0" w:color="auto"/>
            <w:left w:val="none" w:sz="0" w:space="0" w:color="auto"/>
            <w:bottom w:val="none" w:sz="0" w:space="0" w:color="auto"/>
            <w:right w:val="none" w:sz="0" w:space="0" w:color="auto"/>
          </w:divBdr>
        </w:div>
        <w:div w:id="390082792">
          <w:marLeft w:val="640"/>
          <w:marRight w:val="0"/>
          <w:marTop w:val="0"/>
          <w:marBottom w:val="0"/>
          <w:divBdr>
            <w:top w:val="none" w:sz="0" w:space="0" w:color="auto"/>
            <w:left w:val="none" w:sz="0" w:space="0" w:color="auto"/>
            <w:bottom w:val="none" w:sz="0" w:space="0" w:color="auto"/>
            <w:right w:val="none" w:sz="0" w:space="0" w:color="auto"/>
          </w:divBdr>
        </w:div>
        <w:div w:id="390933679">
          <w:marLeft w:val="640"/>
          <w:marRight w:val="0"/>
          <w:marTop w:val="0"/>
          <w:marBottom w:val="0"/>
          <w:divBdr>
            <w:top w:val="none" w:sz="0" w:space="0" w:color="auto"/>
            <w:left w:val="none" w:sz="0" w:space="0" w:color="auto"/>
            <w:bottom w:val="none" w:sz="0" w:space="0" w:color="auto"/>
            <w:right w:val="none" w:sz="0" w:space="0" w:color="auto"/>
          </w:divBdr>
        </w:div>
        <w:div w:id="395594446">
          <w:marLeft w:val="640"/>
          <w:marRight w:val="0"/>
          <w:marTop w:val="0"/>
          <w:marBottom w:val="0"/>
          <w:divBdr>
            <w:top w:val="none" w:sz="0" w:space="0" w:color="auto"/>
            <w:left w:val="none" w:sz="0" w:space="0" w:color="auto"/>
            <w:bottom w:val="none" w:sz="0" w:space="0" w:color="auto"/>
            <w:right w:val="none" w:sz="0" w:space="0" w:color="auto"/>
          </w:divBdr>
        </w:div>
        <w:div w:id="395780406">
          <w:marLeft w:val="640"/>
          <w:marRight w:val="0"/>
          <w:marTop w:val="0"/>
          <w:marBottom w:val="0"/>
          <w:divBdr>
            <w:top w:val="none" w:sz="0" w:space="0" w:color="auto"/>
            <w:left w:val="none" w:sz="0" w:space="0" w:color="auto"/>
            <w:bottom w:val="none" w:sz="0" w:space="0" w:color="auto"/>
            <w:right w:val="none" w:sz="0" w:space="0" w:color="auto"/>
          </w:divBdr>
        </w:div>
        <w:div w:id="400057061">
          <w:marLeft w:val="640"/>
          <w:marRight w:val="0"/>
          <w:marTop w:val="0"/>
          <w:marBottom w:val="0"/>
          <w:divBdr>
            <w:top w:val="none" w:sz="0" w:space="0" w:color="auto"/>
            <w:left w:val="none" w:sz="0" w:space="0" w:color="auto"/>
            <w:bottom w:val="none" w:sz="0" w:space="0" w:color="auto"/>
            <w:right w:val="none" w:sz="0" w:space="0" w:color="auto"/>
          </w:divBdr>
        </w:div>
        <w:div w:id="410464656">
          <w:marLeft w:val="640"/>
          <w:marRight w:val="0"/>
          <w:marTop w:val="0"/>
          <w:marBottom w:val="0"/>
          <w:divBdr>
            <w:top w:val="none" w:sz="0" w:space="0" w:color="auto"/>
            <w:left w:val="none" w:sz="0" w:space="0" w:color="auto"/>
            <w:bottom w:val="none" w:sz="0" w:space="0" w:color="auto"/>
            <w:right w:val="none" w:sz="0" w:space="0" w:color="auto"/>
          </w:divBdr>
        </w:div>
        <w:div w:id="411120389">
          <w:marLeft w:val="640"/>
          <w:marRight w:val="0"/>
          <w:marTop w:val="0"/>
          <w:marBottom w:val="0"/>
          <w:divBdr>
            <w:top w:val="none" w:sz="0" w:space="0" w:color="auto"/>
            <w:left w:val="none" w:sz="0" w:space="0" w:color="auto"/>
            <w:bottom w:val="none" w:sz="0" w:space="0" w:color="auto"/>
            <w:right w:val="none" w:sz="0" w:space="0" w:color="auto"/>
          </w:divBdr>
        </w:div>
        <w:div w:id="411780221">
          <w:marLeft w:val="640"/>
          <w:marRight w:val="0"/>
          <w:marTop w:val="0"/>
          <w:marBottom w:val="0"/>
          <w:divBdr>
            <w:top w:val="none" w:sz="0" w:space="0" w:color="auto"/>
            <w:left w:val="none" w:sz="0" w:space="0" w:color="auto"/>
            <w:bottom w:val="none" w:sz="0" w:space="0" w:color="auto"/>
            <w:right w:val="none" w:sz="0" w:space="0" w:color="auto"/>
          </w:divBdr>
        </w:div>
        <w:div w:id="413357846">
          <w:marLeft w:val="640"/>
          <w:marRight w:val="0"/>
          <w:marTop w:val="0"/>
          <w:marBottom w:val="0"/>
          <w:divBdr>
            <w:top w:val="none" w:sz="0" w:space="0" w:color="auto"/>
            <w:left w:val="none" w:sz="0" w:space="0" w:color="auto"/>
            <w:bottom w:val="none" w:sz="0" w:space="0" w:color="auto"/>
            <w:right w:val="none" w:sz="0" w:space="0" w:color="auto"/>
          </w:divBdr>
        </w:div>
        <w:div w:id="414937460">
          <w:marLeft w:val="640"/>
          <w:marRight w:val="0"/>
          <w:marTop w:val="0"/>
          <w:marBottom w:val="0"/>
          <w:divBdr>
            <w:top w:val="none" w:sz="0" w:space="0" w:color="auto"/>
            <w:left w:val="none" w:sz="0" w:space="0" w:color="auto"/>
            <w:bottom w:val="none" w:sz="0" w:space="0" w:color="auto"/>
            <w:right w:val="none" w:sz="0" w:space="0" w:color="auto"/>
          </w:divBdr>
        </w:div>
        <w:div w:id="417214981">
          <w:marLeft w:val="640"/>
          <w:marRight w:val="0"/>
          <w:marTop w:val="0"/>
          <w:marBottom w:val="0"/>
          <w:divBdr>
            <w:top w:val="none" w:sz="0" w:space="0" w:color="auto"/>
            <w:left w:val="none" w:sz="0" w:space="0" w:color="auto"/>
            <w:bottom w:val="none" w:sz="0" w:space="0" w:color="auto"/>
            <w:right w:val="none" w:sz="0" w:space="0" w:color="auto"/>
          </w:divBdr>
        </w:div>
        <w:div w:id="423452712">
          <w:marLeft w:val="640"/>
          <w:marRight w:val="0"/>
          <w:marTop w:val="0"/>
          <w:marBottom w:val="0"/>
          <w:divBdr>
            <w:top w:val="none" w:sz="0" w:space="0" w:color="auto"/>
            <w:left w:val="none" w:sz="0" w:space="0" w:color="auto"/>
            <w:bottom w:val="none" w:sz="0" w:space="0" w:color="auto"/>
            <w:right w:val="none" w:sz="0" w:space="0" w:color="auto"/>
          </w:divBdr>
        </w:div>
        <w:div w:id="423460061">
          <w:marLeft w:val="640"/>
          <w:marRight w:val="0"/>
          <w:marTop w:val="0"/>
          <w:marBottom w:val="0"/>
          <w:divBdr>
            <w:top w:val="none" w:sz="0" w:space="0" w:color="auto"/>
            <w:left w:val="none" w:sz="0" w:space="0" w:color="auto"/>
            <w:bottom w:val="none" w:sz="0" w:space="0" w:color="auto"/>
            <w:right w:val="none" w:sz="0" w:space="0" w:color="auto"/>
          </w:divBdr>
        </w:div>
        <w:div w:id="426736141">
          <w:marLeft w:val="640"/>
          <w:marRight w:val="0"/>
          <w:marTop w:val="0"/>
          <w:marBottom w:val="0"/>
          <w:divBdr>
            <w:top w:val="none" w:sz="0" w:space="0" w:color="auto"/>
            <w:left w:val="none" w:sz="0" w:space="0" w:color="auto"/>
            <w:bottom w:val="none" w:sz="0" w:space="0" w:color="auto"/>
            <w:right w:val="none" w:sz="0" w:space="0" w:color="auto"/>
          </w:divBdr>
        </w:div>
        <w:div w:id="430202742">
          <w:marLeft w:val="640"/>
          <w:marRight w:val="0"/>
          <w:marTop w:val="0"/>
          <w:marBottom w:val="0"/>
          <w:divBdr>
            <w:top w:val="none" w:sz="0" w:space="0" w:color="auto"/>
            <w:left w:val="none" w:sz="0" w:space="0" w:color="auto"/>
            <w:bottom w:val="none" w:sz="0" w:space="0" w:color="auto"/>
            <w:right w:val="none" w:sz="0" w:space="0" w:color="auto"/>
          </w:divBdr>
        </w:div>
        <w:div w:id="439104012">
          <w:marLeft w:val="640"/>
          <w:marRight w:val="0"/>
          <w:marTop w:val="0"/>
          <w:marBottom w:val="0"/>
          <w:divBdr>
            <w:top w:val="none" w:sz="0" w:space="0" w:color="auto"/>
            <w:left w:val="none" w:sz="0" w:space="0" w:color="auto"/>
            <w:bottom w:val="none" w:sz="0" w:space="0" w:color="auto"/>
            <w:right w:val="none" w:sz="0" w:space="0" w:color="auto"/>
          </w:divBdr>
        </w:div>
        <w:div w:id="440104834">
          <w:marLeft w:val="640"/>
          <w:marRight w:val="0"/>
          <w:marTop w:val="0"/>
          <w:marBottom w:val="0"/>
          <w:divBdr>
            <w:top w:val="none" w:sz="0" w:space="0" w:color="auto"/>
            <w:left w:val="none" w:sz="0" w:space="0" w:color="auto"/>
            <w:bottom w:val="none" w:sz="0" w:space="0" w:color="auto"/>
            <w:right w:val="none" w:sz="0" w:space="0" w:color="auto"/>
          </w:divBdr>
        </w:div>
        <w:div w:id="443430025">
          <w:marLeft w:val="640"/>
          <w:marRight w:val="0"/>
          <w:marTop w:val="0"/>
          <w:marBottom w:val="0"/>
          <w:divBdr>
            <w:top w:val="none" w:sz="0" w:space="0" w:color="auto"/>
            <w:left w:val="none" w:sz="0" w:space="0" w:color="auto"/>
            <w:bottom w:val="none" w:sz="0" w:space="0" w:color="auto"/>
            <w:right w:val="none" w:sz="0" w:space="0" w:color="auto"/>
          </w:divBdr>
        </w:div>
        <w:div w:id="445655898">
          <w:marLeft w:val="640"/>
          <w:marRight w:val="0"/>
          <w:marTop w:val="0"/>
          <w:marBottom w:val="0"/>
          <w:divBdr>
            <w:top w:val="none" w:sz="0" w:space="0" w:color="auto"/>
            <w:left w:val="none" w:sz="0" w:space="0" w:color="auto"/>
            <w:bottom w:val="none" w:sz="0" w:space="0" w:color="auto"/>
            <w:right w:val="none" w:sz="0" w:space="0" w:color="auto"/>
          </w:divBdr>
        </w:div>
        <w:div w:id="445781237">
          <w:marLeft w:val="640"/>
          <w:marRight w:val="0"/>
          <w:marTop w:val="0"/>
          <w:marBottom w:val="0"/>
          <w:divBdr>
            <w:top w:val="none" w:sz="0" w:space="0" w:color="auto"/>
            <w:left w:val="none" w:sz="0" w:space="0" w:color="auto"/>
            <w:bottom w:val="none" w:sz="0" w:space="0" w:color="auto"/>
            <w:right w:val="none" w:sz="0" w:space="0" w:color="auto"/>
          </w:divBdr>
        </w:div>
        <w:div w:id="446775129">
          <w:marLeft w:val="640"/>
          <w:marRight w:val="0"/>
          <w:marTop w:val="0"/>
          <w:marBottom w:val="0"/>
          <w:divBdr>
            <w:top w:val="none" w:sz="0" w:space="0" w:color="auto"/>
            <w:left w:val="none" w:sz="0" w:space="0" w:color="auto"/>
            <w:bottom w:val="none" w:sz="0" w:space="0" w:color="auto"/>
            <w:right w:val="none" w:sz="0" w:space="0" w:color="auto"/>
          </w:divBdr>
        </w:div>
        <w:div w:id="446856313">
          <w:marLeft w:val="640"/>
          <w:marRight w:val="0"/>
          <w:marTop w:val="0"/>
          <w:marBottom w:val="0"/>
          <w:divBdr>
            <w:top w:val="none" w:sz="0" w:space="0" w:color="auto"/>
            <w:left w:val="none" w:sz="0" w:space="0" w:color="auto"/>
            <w:bottom w:val="none" w:sz="0" w:space="0" w:color="auto"/>
            <w:right w:val="none" w:sz="0" w:space="0" w:color="auto"/>
          </w:divBdr>
        </w:div>
        <w:div w:id="448477672">
          <w:marLeft w:val="640"/>
          <w:marRight w:val="0"/>
          <w:marTop w:val="0"/>
          <w:marBottom w:val="0"/>
          <w:divBdr>
            <w:top w:val="none" w:sz="0" w:space="0" w:color="auto"/>
            <w:left w:val="none" w:sz="0" w:space="0" w:color="auto"/>
            <w:bottom w:val="none" w:sz="0" w:space="0" w:color="auto"/>
            <w:right w:val="none" w:sz="0" w:space="0" w:color="auto"/>
          </w:divBdr>
        </w:div>
        <w:div w:id="449662853">
          <w:marLeft w:val="640"/>
          <w:marRight w:val="0"/>
          <w:marTop w:val="0"/>
          <w:marBottom w:val="0"/>
          <w:divBdr>
            <w:top w:val="none" w:sz="0" w:space="0" w:color="auto"/>
            <w:left w:val="none" w:sz="0" w:space="0" w:color="auto"/>
            <w:bottom w:val="none" w:sz="0" w:space="0" w:color="auto"/>
            <w:right w:val="none" w:sz="0" w:space="0" w:color="auto"/>
          </w:divBdr>
        </w:div>
        <w:div w:id="452134459">
          <w:marLeft w:val="640"/>
          <w:marRight w:val="0"/>
          <w:marTop w:val="0"/>
          <w:marBottom w:val="0"/>
          <w:divBdr>
            <w:top w:val="none" w:sz="0" w:space="0" w:color="auto"/>
            <w:left w:val="none" w:sz="0" w:space="0" w:color="auto"/>
            <w:bottom w:val="none" w:sz="0" w:space="0" w:color="auto"/>
            <w:right w:val="none" w:sz="0" w:space="0" w:color="auto"/>
          </w:divBdr>
        </w:div>
        <w:div w:id="454251077">
          <w:marLeft w:val="640"/>
          <w:marRight w:val="0"/>
          <w:marTop w:val="0"/>
          <w:marBottom w:val="0"/>
          <w:divBdr>
            <w:top w:val="none" w:sz="0" w:space="0" w:color="auto"/>
            <w:left w:val="none" w:sz="0" w:space="0" w:color="auto"/>
            <w:bottom w:val="none" w:sz="0" w:space="0" w:color="auto"/>
            <w:right w:val="none" w:sz="0" w:space="0" w:color="auto"/>
          </w:divBdr>
        </w:div>
        <w:div w:id="456262167">
          <w:marLeft w:val="640"/>
          <w:marRight w:val="0"/>
          <w:marTop w:val="0"/>
          <w:marBottom w:val="0"/>
          <w:divBdr>
            <w:top w:val="none" w:sz="0" w:space="0" w:color="auto"/>
            <w:left w:val="none" w:sz="0" w:space="0" w:color="auto"/>
            <w:bottom w:val="none" w:sz="0" w:space="0" w:color="auto"/>
            <w:right w:val="none" w:sz="0" w:space="0" w:color="auto"/>
          </w:divBdr>
        </w:div>
        <w:div w:id="457526087">
          <w:marLeft w:val="640"/>
          <w:marRight w:val="0"/>
          <w:marTop w:val="0"/>
          <w:marBottom w:val="0"/>
          <w:divBdr>
            <w:top w:val="none" w:sz="0" w:space="0" w:color="auto"/>
            <w:left w:val="none" w:sz="0" w:space="0" w:color="auto"/>
            <w:bottom w:val="none" w:sz="0" w:space="0" w:color="auto"/>
            <w:right w:val="none" w:sz="0" w:space="0" w:color="auto"/>
          </w:divBdr>
        </w:div>
        <w:div w:id="457533957">
          <w:marLeft w:val="640"/>
          <w:marRight w:val="0"/>
          <w:marTop w:val="0"/>
          <w:marBottom w:val="0"/>
          <w:divBdr>
            <w:top w:val="none" w:sz="0" w:space="0" w:color="auto"/>
            <w:left w:val="none" w:sz="0" w:space="0" w:color="auto"/>
            <w:bottom w:val="none" w:sz="0" w:space="0" w:color="auto"/>
            <w:right w:val="none" w:sz="0" w:space="0" w:color="auto"/>
          </w:divBdr>
        </w:div>
        <w:div w:id="460924065">
          <w:marLeft w:val="640"/>
          <w:marRight w:val="0"/>
          <w:marTop w:val="0"/>
          <w:marBottom w:val="0"/>
          <w:divBdr>
            <w:top w:val="none" w:sz="0" w:space="0" w:color="auto"/>
            <w:left w:val="none" w:sz="0" w:space="0" w:color="auto"/>
            <w:bottom w:val="none" w:sz="0" w:space="0" w:color="auto"/>
            <w:right w:val="none" w:sz="0" w:space="0" w:color="auto"/>
          </w:divBdr>
        </w:div>
        <w:div w:id="462232023">
          <w:marLeft w:val="640"/>
          <w:marRight w:val="0"/>
          <w:marTop w:val="0"/>
          <w:marBottom w:val="0"/>
          <w:divBdr>
            <w:top w:val="none" w:sz="0" w:space="0" w:color="auto"/>
            <w:left w:val="none" w:sz="0" w:space="0" w:color="auto"/>
            <w:bottom w:val="none" w:sz="0" w:space="0" w:color="auto"/>
            <w:right w:val="none" w:sz="0" w:space="0" w:color="auto"/>
          </w:divBdr>
        </w:div>
        <w:div w:id="462425660">
          <w:marLeft w:val="640"/>
          <w:marRight w:val="0"/>
          <w:marTop w:val="0"/>
          <w:marBottom w:val="0"/>
          <w:divBdr>
            <w:top w:val="none" w:sz="0" w:space="0" w:color="auto"/>
            <w:left w:val="none" w:sz="0" w:space="0" w:color="auto"/>
            <w:bottom w:val="none" w:sz="0" w:space="0" w:color="auto"/>
            <w:right w:val="none" w:sz="0" w:space="0" w:color="auto"/>
          </w:divBdr>
        </w:div>
        <w:div w:id="465270941">
          <w:marLeft w:val="640"/>
          <w:marRight w:val="0"/>
          <w:marTop w:val="0"/>
          <w:marBottom w:val="0"/>
          <w:divBdr>
            <w:top w:val="none" w:sz="0" w:space="0" w:color="auto"/>
            <w:left w:val="none" w:sz="0" w:space="0" w:color="auto"/>
            <w:bottom w:val="none" w:sz="0" w:space="0" w:color="auto"/>
            <w:right w:val="none" w:sz="0" w:space="0" w:color="auto"/>
          </w:divBdr>
        </w:div>
        <w:div w:id="465662801">
          <w:marLeft w:val="640"/>
          <w:marRight w:val="0"/>
          <w:marTop w:val="0"/>
          <w:marBottom w:val="0"/>
          <w:divBdr>
            <w:top w:val="none" w:sz="0" w:space="0" w:color="auto"/>
            <w:left w:val="none" w:sz="0" w:space="0" w:color="auto"/>
            <w:bottom w:val="none" w:sz="0" w:space="0" w:color="auto"/>
            <w:right w:val="none" w:sz="0" w:space="0" w:color="auto"/>
          </w:divBdr>
        </w:div>
        <w:div w:id="467750438">
          <w:marLeft w:val="640"/>
          <w:marRight w:val="0"/>
          <w:marTop w:val="0"/>
          <w:marBottom w:val="0"/>
          <w:divBdr>
            <w:top w:val="none" w:sz="0" w:space="0" w:color="auto"/>
            <w:left w:val="none" w:sz="0" w:space="0" w:color="auto"/>
            <w:bottom w:val="none" w:sz="0" w:space="0" w:color="auto"/>
            <w:right w:val="none" w:sz="0" w:space="0" w:color="auto"/>
          </w:divBdr>
        </w:div>
        <w:div w:id="467867025">
          <w:marLeft w:val="640"/>
          <w:marRight w:val="0"/>
          <w:marTop w:val="0"/>
          <w:marBottom w:val="0"/>
          <w:divBdr>
            <w:top w:val="none" w:sz="0" w:space="0" w:color="auto"/>
            <w:left w:val="none" w:sz="0" w:space="0" w:color="auto"/>
            <w:bottom w:val="none" w:sz="0" w:space="0" w:color="auto"/>
            <w:right w:val="none" w:sz="0" w:space="0" w:color="auto"/>
          </w:divBdr>
        </w:div>
        <w:div w:id="469713263">
          <w:marLeft w:val="640"/>
          <w:marRight w:val="0"/>
          <w:marTop w:val="0"/>
          <w:marBottom w:val="0"/>
          <w:divBdr>
            <w:top w:val="none" w:sz="0" w:space="0" w:color="auto"/>
            <w:left w:val="none" w:sz="0" w:space="0" w:color="auto"/>
            <w:bottom w:val="none" w:sz="0" w:space="0" w:color="auto"/>
            <w:right w:val="none" w:sz="0" w:space="0" w:color="auto"/>
          </w:divBdr>
        </w:div>
        <w:div w:id="470441402">
          <w:marLeft w:val="640"/>
          <w:marRight w:val="0"/>
          <w:marTop w:val="0"/>
          <w:marBottom w:val="0"/>
          <w:divBdr>
            <w:top w:val="none" w:sz="0" w:space="0" w:color="auto"/>
            <w:left w:val="none" w:sz="0" w:space="0" w:color="auto"/>
            <w:bottom w:val="none" w:sz="0" w:space="0" w:color="auto"/>
            <w:right w:val="none" w:sz="0" w:space="0" w:color="auto"/>
          </w:divBdr>
        </w:div>
        <w:div w:id="472063714">
          <w:marLeft w:val="640"/>
          <w:marRight w:val="0"/>
          <w:marTop w:val="0"/>
          <w:marBottom w:val="0"/>
          <w:divBdr>
            <w:top w:val="none" w:sz="0" w:space="0" w:color="auto"/>
            <w:left w:val="none" w:sz="0" w:space="0" w:color="auto"/>
            <w:bottom w:val="none" w:sz="0" w:space="0" w:color="auto"/>
            <w:right w:val="none" w:sz="0" w:space="0" w:color="auto"/>
          </w:divBdr>
        </w:div>
        <w:div w:id="472141165">
          <w:marLeft w:val="640"/>
          <w:marRight w:val="0"/>
          <w:marTop w:val="0"/>
          <w:marBottom w:val="0"/>
          <w:divBdr>
            <w:top w:val="none" w:sz="0" w:space="0" w:color="auto"/>
            <w:left w:val="none" w:sz="0" w:space="0" w:color="auto"/>
            <w:bottom w:val="none" w:sz="0" w:space="0" w:color="auto"/>
            <w:right w:val="none" w:sz="0" w:space="0" w:color="auto"/>
          </w:divBdr>
        </w:div>
        <w:div w:id="476653067">
          <w:marLeft w:val="640"/>
          <w:marRight w:val="0"/>
          <w:marTop w:val="0"/>
          <w:marBottom w:val="0"/>
          <w:divBdr>
            <w:top w:val="none" w:sz="0" w:space="0" w:color="auto"/>
            <w:left w:val="none" w:sz="0" w:space="0" w:color="auto"/>
            <w:bottom w:val="none" w:sz="0" w:space="0" w:color="auto"/>
            <w:right w:val="none" w:sz="0" w:space="0" w:color="auto"/>
          </w:divBdr>
        </w:div>
        <w:div w:id="477839313">
          <w:marLeft w:val="640"/>
          <w:marRight w:val="0"/>
          <w:marTop w:val="0"/>
          <w:marBottom w:val="0"/>
          <w:divBdr>
            <w:top w:val="none" w:sz="0" w:space="0" w:color="auto"/>
            <w:left w:val="none" w:sz="0" w:space="0" w:color="auto"/>
            <w:bottom w:val="none" w:sz="0" w:space="0" w:color="auto"/>
            <w:right w:val="none" w:sz="0" w:space="0" w:color="auto"/>
          </w:divBdr>
        </w:div>
        <w:div w:id="479805450">
          <w:marLeft w:val="640"/>
          <w:marRight w:val="0"/>
          <w:marTop w:val="0"/>
          <w:marBottom w:val="0"/>
          <w:divBdr>
            <w:top w:val="none" w:sz="0" w:space="0" w:color="auto"/>
            <w:left w:val="none" w:sz="0" w:space="0" w:color="auto"/>
            <w:bottom w:val="none" w:sz="0" w:space="0" w:color="auto"/>
            <w:right w:val="none" w:sz="0" w:space="0" w:color="auto"/>
          </w:divBdr>
        </w:div>
        <w:div w:id="487525510">
          <w:marLeft w:val="640"/>
          <w:marRight w:val="0"/>
          <w:marTop w:val="0"/>
          <w:marBottom w:val="0"/>
          <w:divBdr>
            <w:top w:val="none" w:sz="0" w:space="0" w:color="auto"/>
            <w:left w:val="none" w:sz="0" w:space="0" w:color="auto"/>
            <w:bottom w:val="none" w:sz="0" w:space="0" w:color="auto"/>
            <w:right w:val="none" w:sz="0" w:space="0" w:color="auto"/>
          </w:divBdr>
        </w:div>
        <w:div w:id="491027077">
          <w:marLeft w:val="640"/>
          <w:marRight w:val="0"/>
          <w:marTop w:val="0"/>
          <w:marBottom w:val="0"/>
          <w:divBdr>
            <w:top w:val="none" w:sz="0" w:space="0" w:color="auto"/>
            <w:left w:val="none" w:sz="0" w:space="0" w:color="auto"/>
            <w:bottom w:val="none" w:sz="0" w:space="0" w:color="auto"/>
            <w:right w:val="none" w:sz="0" w:space="0" w:color="auto"/>
          </w:divBdr>
        </w:div>
        <w:div w:id="492062663">
          <w:marLeft w:val="640"/>
          <w:marRight w:val="0"/>
          <w:marTop w:val="0"/>
          <w:marBottom w:val="0"/>
          <w:divBdr>
            <w:top w:val="none" w:sz="0" w:space="0" w:color="auto"/>
            <w:left w:val="none" w:sz="0" w:space="0" w:color="auto"/>
            <w:bottom w:val="none" w:sz="0" w:space="0" w:color="auto"/>
            <w:right w:val="none" w:sz="0" w:space="0" w:color="auto"/>
          </w:divBdr>
        </w:div>
        <w:div w:id="493228120">
          <w:marLeft w:val="640"/>
          <w:marRight w:val="0"/>
          <w:marTop w:val="0"/>
          <w:marBottom w:val="0"/>
          <w:divBdr>
            <w:top w:val="none" w:sz="0" w:space="0" w:color="auto"/>
            <w:left w:val="none" w:sz="0" w:space="0" w:color="auto"/>
            <w:bottom w:val="none" w:sz="0" w:space="0" w:color="auto"/>
            <w:right w:val="none" w:sz="0" w:space="0" w:color="auto"/>
          </w:divBdr>
        </w:div>
        <w:div w:id="493764463">
          <w:marLeft w:val="640"/>
          <w:marRight w:val="0"/>
          <w:marTop w:val="0"/>
          <w:marBottom w:val="0"/>
          <w:divBdr>
            <w:top w:val="none" w:sz="0" w:space="0" w:color="auto"/>
            <w:left w:val="none" w:sz="0" w:space="0" w:color="auto"/>
            <w:bottom w:val="none" w:sz="0" w:space="0" w:color="auto"/>
            <w:right w:val="none" w:sz="0" w:space="0" w:color="auto"/>
          </w:divBdr>
        </w:div>
        <w:div w:id="494734984">
          <w:marLeft w:val="640"/>
          <w:marRight w:val="0"/>
          <w:marTop w:val="0"/>
          <w:marBottom w:val="0"/>
          <w:divBdr>
            <w:top w:val="none" w:sz="0" w:space="0" w:color="auto"/>
            <w:left w:val="none" w:sz="0" w:space="0" w:color="auto"/>
            <w:bottom w:val="none" w:sz="0" w:space="0" w:color="auto"/>
            <w:right w:val="none" w:sz="0" w:space="0" w:color="auto"/>
          </w:divBdr>
        </w:div>
        <w:div w:id="494808347">
          <w:marLeft w:val="640"/>
          <w:marRight w:val="0"/>
          <w:marTop w:val="0"/>
          <w:marBottom w:val="0"/>
          <w:divBdr>
            <w:top w:val="none" w:sz="0" w:space="0" w:color="auto"/>
            <w:left w:val="none" w:sz="0" w:space="0" w:color="auto"/>
            <w:bottom w:val="none" w:sz="0" w:space="0" w:color="auto"/>
            <w:right w:val="none" w:sz="0" w:space="0" w:color="auto"/>
          </w:divBdr>
        </w:div>
        <w:div w:id="499200126">
          <w:marLeft w:val="640"/>
          <w:marRight w:val="0"/>
          <w:marTop w:val="0"/>
          <w:marBottom w:val="0"/>
          <w:divBdr>
            <w:top w:val="none" w:sz="0" w:space="0" w:color="auto"/>
            <w:left w:val="none" w:sz="0" w:space="0" w:color="auto"/>
            <w:bottom w:val="none" w:sz="0" w:space="0" w:color="auto"/>
            <w:right w:val="none" w:sz="0" w:space="0" w:color="auto"/>
          </w:divBdr>
        </w:div>
        <w:div w:id="499585330">
          <w:marLeft w:val="640"/>
          <w:marRight w:val="0"/>
          <w:marTop w:val="0"/>
          <w:marBottom w:val="0"/>
          <w:divBdr>
            <w:top w:val="none" w:sz="0" w:space="0" w:color="auto"/>
            <w:left w:val="none" w:sz="0" w:space="0" w:color="auto"/>
            <w:bottom w:val="none" w:sz="0" w:space="0" w:color="auto"/>
            <w:right w:val="none" w:sz="0" w:space="0" w:color="auto"/>
          </w:divBdr>
        </w:div>
        <w:div w:id="501705869">
          <w:marLeft w:val="640"/>
          <w:marRight w:val="0"/>
          <w:marTop w:val="0"/>
          <w:marBottom w:val="0"/>
          <w:divBdr>
            <w:top w:val="none" w:sz="0" w:space="0" w:color="auto"/>
            <w:left w:val="none" w:sz="0" w:space="0" w:color="auto"/>
            <w:bottom w:val="none" w:sz="0" w:space="0" w:color="auto"/>
            <w:right w:val="none" w:sz="0" w:space="0" w:color="auto"/>
          </w:divBdr>
        </w:div>
        <w:div w:id="506097924">
          <w:marLeft w:val="640"/>
          <w:marRight w:val="0"/>
          <w:marTop w:val="0"/>
          <w:marBottom w:val="0"/>
          <w:divBdr>
            <w:top w:val="none" w:sz="0" w:space="0" w:color="auto"/>
            <w:left w:val="none" w:sz="0" w:space="0" w:color="auto"/>
            <w:bottom w:val="none" w:sz="0" w:space="0" w:color="auto"/>
            <w:right w:val="none" w:sz="0" w:space="0" w:color="auto"/>
          </w:divBdr>
        </w:div>
        <w:div w:id="506485238">
          <w:marLeft w:val="640"/>
          <w:marRight w:val="0"/>
          <w:marTop w:val="0"/>
          <w:marBottom w:val="0"/>
          <w:divBdr>
            <w:top w:val="none" w:sz="0" w:space="0" w:color="auto"/>
            <w:left w:val="none" w:sz="0" w:space="0" w:color="auto"/>
            <w:bottom w:val="none" w:sz="0" w:space="0" w:color="auto"/>
            <w:right w:val="none" w:sz="0" w:space="0" w:color="auto"/>
          </w:divBdr>
        </w:div>
        <w:div w:id="508445826">
          <w:marLeft w:val="640"/>
          <w:marRight w:val="0"/>
          <w:marTop w:val="0"/>
          <w:marBottom w:val="0"/>
          <w:divBdr>
            <w:top w:val="none" w:sz="0" w:space="0" w:color="auto"/>
            <w:left w:val="none" w:sz="0" w:space="0" w:color="auto"/>
            <w:bottom w:val="none" w:sz="0" w:space="0" w:color="auto"/>
            <w:right w:val="none" w:sz="0" w:space="0" w:color="auto"/>
          </w:divBdr>
        </w:div>
        <w:div w:id="509836740">
          <w:marLeft w:val="640"/>
          <w:marRight w:val="0"/>
          <w:marTop w:val="0"/>
          <w:marBottom w:val="0"/>
          <w:divBdr>
            <w:top w:val="none" w:sz="0" w:space="0" w:color="auto"/>
            <w:left w:val="none" w:sz="0" w:space="0" w:color="auto"/>
            <w:bottom w:val="none" w:sz="0" w:space="0" w:color="auto"/>
            <w:right w:val="none" w:sz="0" w:space="0" w:color="auto"/>
          </w:divBdr>
        </w:div>
        <w:div w:id="510532279">
          <w:marLeft w:val="640"/>
          <w:marRight w:val="0"/>
          <w:marTop w:val="0"/>
          <w:marBottom w:val="0"/>
          <w:divBdr>
            <w:top w:val="none" w:sz="0" w:space="0" w:color="auto"/>
            <w:left w:val="none" w:sz="0" w:space="0" w:color="auto"/>
            <w:bottom w:val="none" w:sz="0" w:space="0" w:color="auto"/>
            <w:right w:val="none" w:sz="0" w:space="0" w:color="auto"/>
          </w:divBdr>
        </w:div>
        <w:div w:id="510920013">
          <w:marLeft w:val="640"/>
          <w:marRight w:val="0"/>
          <w:marTop w:val="0"/>
          <w:marBottom w:val="0"/>
          <w:divBdr>
            <w:top w:val="none" w:sz="0" w:space="0" w:color="auto"/>
            <w:left w:val="none" w:sz="0" w:space="0" w:color="auto"/>
            <w:bottom w:val="none" w:sz="0" w:space="0" w:color="auto"/>
            <w:right w:val="none" w:sz="0" w:space="0" w:color="auto"/>
          </w:divBdr>
        </w:div>
        <w:div w:id="512039845">
          <w:marLeft w:val="640"/>
          <w:marRight w:val="0"/>
          <w:marTop w:val="0"/>
          <w:marBottom w:val="0"/>
          <w:divBdr>
            <w:top w:val="none" w:sz="0" w:space="0" w:color="auto"/>
            <w:left w:val="none" w:sz="0" w:space="0" w:color="auto"/>
            <w:bottom w:val="none" w:sz="0" w:space="0" w:color="auto"/>
            <w:right w:val="none" w:sz="0" w:space="0" w:color="auto"/>
          </w:divBdr>
        </w:div>
        <w:div w:id="514268397">
          <w:marLeft w:val="640"/>
          <w:marRight w:val="0"/>
          <w:marTop w:val="0"/>
          <w:marBottom w:val="0"/>
          <w:divBdr>
            <w:top w:val="none" w:sz="0" w:space="0" w:color="auto"/>
            <w:left w:val="none" w:sz="0" w:space="0" w:color="auto"/>
            <w:bottom w:val="none" w:sz="0" w:space="0" w:color="auto"/>
            <w:right w:val="none" w:sz="0" w:space="0" w:color="auto"/>
          </w:divBdr>
        </w:div>
        <w:div w:id="515967460">
          <w:marLeft w:val="640"/>
          <w:marRight w:val="0"/>
          <w:marTop w:val="0"/>
          <w:marBottom w:val="0"/>
          <w:divBdr>
            <w:top w:val="none" w:sz="0" w:space="0" w:color="auto"/>
            <w:left w:val="none" w:sz="0" w:space="0" w:color="auto"/>
            <w:bottom w:val="none" w:sz="0" w:space="0" w:color="auto"/>
            <w:right w:val="none" w:sz="0" w:space="0" w:color="auto"/>
          </w:divBdr>
        </w:div>
        <w:div w:id="517549557">
          <w:marLeft w:val="640"/>
          <w:marRight w:val="0"/>
          <w:marTop w:val="0"/>
          <w:marBottom w:val="0"/>
          <w:divBdr>
            <w:top w:val="none" w:sz="0" w:space="0" w:color="auto"/>
            <w:left w:val="none" w:sz="0" w:space="0" w:color="auto"/>
            <w:bottom w:val="none" w:sz="0" w:space="0" w:color="auto"/>
            <w:right w:val="none" w:sz="0" w:space="0" w:color="auto"/>
          </w:divBdr>
        </w:div>
        <w:div w:id="523789165">
          <w:marLeft w:val="640"/>
          <w:marRight w:val="0"/>
          <w:marTop w:val="0"/>
          <w:marBottom w:val="0"/>
          <w:divBdr>
            <w:top w:val="none" w:sz="0" w:space="0" w:color="auto"/>
            <w:left w:val="none" w:sz="0" w:space="0" w:color="auto"/>
            <w:bottom w:val="none" w:sz="0" w:space="0" w:color="auto"/>
            <w:right w:val="none" w:sz="0" w:space="0" w:color="auto"/>
          </w:divBdr>
        </w:div>
        <w:div w:id="524368616">
          <w:marLeft w:val="640"/>
          <w:marRight w:val="0"/>
          <w:marTop w:val="0"/>
          <w:marBottom w:val="0"/>
          <w:divBdr>
            <w:top w:val="none" w:sz="0" w:space="0" w:color="auto"/>
            <w:left w:val="none" w:sz="0" w:space="0" w:color="auto"/>
            <w:bottom w:val="none" w:sz="0" w:space="0" w:color="auto"/>
            <w:right w:val="none" w:sz="0" w:space="0" w:color="auto"/>
          </w:divBdr>
        </w:div>
        <w:div w:id="525292936">
          <w:marLeft w:val="640"/>
          <w:marRight w:val="0"/>
          <w:marTop w:val="0"/>
          <w:marBottom w:val="0"/>
          <w:divBdr>
            <w:top w:val="none" w:sz="0" w:space="0" w:color="auto"/>
            <w:left w:val="none" w:sz="0" w:space="0" w:color="auto"/>
            <w:bottom w:val="none" w:sz="0" w:space="0" w:color="auto"/>
            <w:right w:val="none" w:sz="0" w:space="0" w:color="auto"/>
          </w:divBdr>
        </w:div>
        <w:div w:id="525753397">
          <w:marLeft w:val="640"/>
          <w:marRight w:val="0"/>
          <w:marTop w:val="0"/>
          <w:marBottom w:val="0"/>
          <w:divBdr>
            <w:top w:val="none" w:sz="0" w:space="0" w:color="auto"/>
            <w:left w:val="none" w:sz="0" w:space="0" w:color="auto"/>
            <w:bottom w:val="none" w:sz="0" w:space="0" w:color="auto"/>
            <w:right w:val="none" w:sz="0" w:space="0" w:color="auto"/>
          </w:divBdr>
        </w:div>
        <w:div w:id="528102358">
          <w:marLeft w:val="640"/>
          <w:marRight w:val="0"/>
          <w:marTop w:val="0"/>
          <w:marBottom w:val="0"/>
          <w:divBdr>
            <w:top w:val="none" w:sz="0" w:space="0" w:color="auto"/>
            <w:left w:val="none" w:sz="0" w:space="0" w:color="auto"/>
            <w:bottom w:val="none" w:sz="0" w:space="0" w:color="auto"/>
            <w:right w:val="none" w:sz="0" w:space="0" w:color="auto"/>
          </w:divBdr>
        </w:div>
        <w:div w:id="528684464">
          <w:marLeft w:val="640"/>
          <w:marRight w:val="0"/>
          <w:marTop w:val="0"/>
          <w:marBottom w:val="0"/>
          <w:divBdr>
            <w:top w:val="none" w:sz="0" w:space="0" w:color="auto"/>
            <w:left w:val="none" w:sz="0" w:space="0" w:color="auto"/>
            <w:bottom w:val="none" w:sz="0" w:space="0" w:color="auto"/>
            <w:right w:val="none" w:sz="0" w:space="0" w:color="auto"/>
          </w:divBdr>
        </w:div>
        <w:div w:id="528690718">
          <w:marLeft w:val="640"/>
          <w:marRight w:val="0"/>
          <w:marTop w:val="0"/>
          <w:marBottom w:val="0"/>
          <w:divBdr>
            <w:top w:val="none" w:sz="0" w:space="0" w:color="auto"/>
            <w:left w:val="none" w:sz="0" w:space="0" w:color="auto"/>
            <w:bottom w:val="none" w:sz="0" w:space="0" w:color="auto"/>
            <w:right w:val="none" w:sz="0" w:space="0" w:color="auto"/>
          </w:divBdr>
        </w:div>
        <w:div w:id="530581349">
          <w:marLeft w:val="640"/>
          <w:marRight w:val="0"/>
          <w:marTop w:val="0"/>
          <w:marBottom w:val="0"/>
          <w:divBdr>
            <w:top w:val="none" w:sz="0" w:space="0" w:color="auto"/>
            <w:left w:val="none" w:sz="0" w:space="0" w:color="auto"/>
            <w:bottom w:val="none" w:sz="0" w:space="0" w:color="auto"/>
            <w:right w:val="none" w:sz="0" w:space="0" w:color="auto"/>
          </w:divBdr>
        </w:div>
        <w:div w:id="530722541">
          <w:marLeft w:val="640"/>
          <w:marRight w:val="0"/>
          <w:marTop w:val="0"/>
          <w:marBottom w:val="0"/>
          <w:divBdr>
            <w:top w:val="none" w:sz="0" w:space="0" w:color="auto"/>
            <w:left w:val="none" w:sz="0" w:space="0" w:color="auto"/>
            <w:bottom w:val="none" w:sz="0" w:space="0" w:color="auto"/>
            <w:right w:val="none" w:sz="0" w:space="0" w:color="auto"/>
          </w:divBdr>
        </w:div>
        <w:div w:id="533232496">
          <w:marLeft w:val="640"/>
          <w:marRight w:val="0"/>
          <w:marTop w:val="0"/>
          <w:marBottom w:val="0"/>
          <w:divBdr>
            <w:top w:val="none" w:sz="0" w:space="0" w:color="auto"/>
            <w:left w:val="none" w:sz="0" w:space="0" w:color="auto"/>
            <w:bottom w:val="none" w:sz="0" w:space="0" w:color="auto"/>
            <w:right w:val="none" w:sz="0" w:space="0" w:color="auto"/>
          </w:divBdr>
        </w:div>
        <w:div w:id="534394689">
          <w:marLeft w:val="640"/>
          <w:marRight w:val="0"/>
          <w:marTop w:val="0"/>
          <w:marBottom w:val="0"/>
          <w:divBdr>
            <w:top w:val="none" w:sz="0" w:space="0" w:color="auto"/>
            <w:left w:val="none" w:sz="0" w:space="0" w:color="auto"/>
            <w:bottom w:val="none" w:sz="0" w:space="0" w:color="auto"/>
            <w:right w:val="none" w:sz="0" w:space="0" w:color="auto"/>
          </w:divBdr>
        </w:div>
        <w:div w:id="546994011">
          <w:marLeft w:val="640"/>
          <w:marRight w:val="0"/>
          <w:marTop w:val="0"/>
          <w:marBottom w:val="0"/>
          <w:divBdr>
            <w:top w:val="none" w:sz="0" w:space="0" w:color="auto"/>
            <w:left w:val="none" w:sz="0" w:space="0" w:color="auto"/>
            <w:bottom w:val="none" w:sz="0" w:space="0" w:color="auto"/>
            <w:right w:val="none" w:sz="0" w:space="0" w:color="auto"/>
          </w:divBdr>
        </w:div>
        <w:div w:id="547954318">
          <w:marLeft w:val="640"/>
          <w:marRight w:val="0"/>
          <w:marTop w:val="0"/>
          <w:marBottom w:val="0"/>
          <w:divBdr>
            <w:top w:val="none" w:sz="0" w:space="0" w:color="auto"/>
            <w:left w:val="none" w:sz="0" w:space="0" w:color="auto"/>
            <w:bottom w:val="none" w:sz="0" w:space="0" w:color="auto"/>
            <w:right w:val="none" w:sz="0" w:space="0" w:color="auto"/>
          </w:divBdr>
        </w:div>
        <w:div w:id="549001886">
          <w:marLeft w:val="640"/>
          <w:marRight w:val="0"/>
          <w:marTop w:val="0"/>
          <w:marBottom w:val="0"/>
          <w:divBdr>
            <w:top w:val="none" w:sz="0" w:space="0" w:color="auto"/>
            <w:left w:val="none" w:sz="0" w:space="0" w:color="auto"/>
            <w:bottom w:val="none" w:sz="0" w:space="0" w:color="auto"/>
            <w:right w:val="none" w:sz="0" w:space="0" w:color="auto"/>
          </w:divBdr>
        </w:div>
        <w:div w:id="549923918">
          <w:marLeft w:val="640"/>
          <w:marRight w:val="0"/>
          <w:marTop w:val="0"/>
          <w:marBottom w:val="0"/>
          <w:divBdr>
            <w:top w:val="none" w:sz="0" w:space="0" w:color="auto"/>
            <w:left w:val="none" w:sz="0" w:space="0" w:color="auto"/>
            <w:bottom w:val="none" w:sz="0" w:space="0" w:color="auto"/>
            <w:right w:val="none" w:sz="0" w:space="0" w:color="auto"/>
          </w:divBdr>
        </w:div>
        <w:div w:id="554197533">
          <w:marLeft w:val="640"/>
          <w:marRight w:val="0"/>
          <w:marTop w:val="0"/>
          <w:marBottom w:val="0"/>
          <w:divBdr>
            <w:top w:val="none" w:sz="0" w:space="0" w:color="auto"/>
            <w:left w:val="none" w:sz="0" w:space="0" w:color="auto"/>
            <w:bottom w:val="none" w:sz="0" w:space="0" w:color="auto"/>
            <w:right w:val="none" w:sz="0" w:space="0" w:color="auto"/>
          </w:divBdr>
        </w:div>
        <w:div w:id="555358545">
          <w:marLeft w:val="640"/>
          <w:marRight w:val="0"/>
          <w:marTop w:val="0"/>
          <w:marBottom w:val="0"/>
          <w:divBdr>
            <w:top w:val="none" w:sz="0" w:space="0" w:color="auto"/>
            <w:left w:val="none" w:sz="0" w:space="0" w:color="auto"/>
            <w:bottom w:val="none" w:sz="0" w:space="0" w:color="auto"/>
            <w:right w:val="none" w:sz="0" w:space="0" w:color="auto"/>
          </w:divBdr>
        </w:div>
        <w:div w:id="560945709">
          <w:marLeft w:val="640"/>
          <w:marRight w:val="0"/>
          <w:marTop w:val="0"/>
          <w:marBottom w:val="0"/>
          <w:divBdr>
            <w:top w:val="none" w:sz="0" w:space="0" w:color="auto"/>
            <w:left w:val="none" w:sz="0" w:space="0" w:color="auto"/>
            <w:bottom w:val="none" w:sz="0" w:space="0" w:color="auto"/>
            <w:right w:val="none" w:sz="0" w:space="0" w:color="auto"/>
          </w:divBdr>
        </w:div>
        <w:div w:id="562523241">
          <w:marLeft w:val="640"/>
          <w:marRight w:val="0"/>
          <w:marTop w:val="0"/>
          <w:marBottom w:val="0"/>
          <w:divBdr>
            <w:top w:val="none" w:sz="0" w:space="0" w:color="auto"/>
            <w:left w:val="none" w:sz="0" w:space="0" w:color="auto"/>
            <w:bottom w:val="none" w:sz="0" w:space="0" w:color="auto"/>
            <w:right w:val="none" w:sz="0" w:space="0" w:color="auto"/>
          </w:divBdr>
        </w:div>
        <w:div w:id="563877932">
          <w:marLeft w:val="640"/>
          <w:marRight w:val="0"/>
          <w:marTop w:val="0"/>
          <w:marBottom w:val="0"/>
          <w:divBdr>
            <w:top w:val="none" w:sz="0" w:space="0" w:color="auto"/>
            <w:left w:val="none" w:sz="0" w:space="0" w:color="auto"/>
            <w:bottom w:val="none" w:sz="0" w:space="0" w:color="auto"/>
            <w:right w:val="none" w:sz="0" w:space="0" w:color="auto"/>
          </w:divBdr>
        </w:div>
        <w:div w:id="564799079">
          <w:marLeft w:val="640"/>
          <w:marRight w:val="0"/>
          <w:marTop w:val="0"/>
          <w:marBottom w:val="0"/>
          <w:divBdr>
            <w:top w:val="none" w:sz="0" w:space="0" w:color="auto"/>
            <w:left w:val="none" w:sz="0" w:space="0" w:color="auto"/>
            <w:bottom w:val="none" w:sz="0" w:space="0" w:color="auto"/>
            <w:right w:val="none" w:sz="0" w:space="0" w:color="auto"/>
          </w:divBdr>
        </w:div>
        <w:div w:id="566066345">
          <w:marLeft w:val="640"/>
          <w:marRight w:val="0"/>
          <w:marTop w:val="0"/>
          <w:marBottom w:val="0"/>
          <w:divBdr>
            <w:top w:val="none" w:sz="0" w:space="0" w:color="auto"/>
            <w:left w:val="none" w:sz="0" w:space="0" w:color="auto"/>
            <w:bottom w:val="none" w:sz="0" w:space="0" w:color="auto"/>
            <w:right w:val="none" w:sz="0" w:space="0" w:color="auto"/>
          </w:divBdr>
        </w:div>
        <w:div w:id="567570159">
          <w:marLeft w:val="640"/>
          <w:marRight w:val="0"/>
          <w:marTop w:val="0"/>
          <w:marBottom w:val="0"/>
          <w:divBdr>
            <w:top w:val="none" w:sz="0" w:space="0" w:color="auto"/>
            <w:left w:val="none" w:sz="0" w:space="0" w:color="auto"/>
            <w:bottom w:val="none" w:sz="0" w:space="0" w:color="auto"/>
            <w:right w:val="none" w:sz="0" w:space="0" w:color="auto"/>
          </w:divBdr>
        </w:div>
        <w:div w:id="567765050">
          <w:marLeft w:val="640"/>
          <w:marRight w:val="0"/>
          <w:marTop w:val="0"/>
          <w:marBottom w:val="0"/>
          <w:divBdr>
            <w:top w:val="none" w:sz="0" w:space="0" w:color="auto"/>
            <w:left w:val="none" w:sz="0" w:space="0" w:color="auto"/>
            <w:bottom w:val="none" w:sz="0" w:space="0" w:color="auto"/>
            <w:right w:val="none" w:sz="0" w:space="0" w:color="auto"/>
          </w:divBdr>
        </w:div>
        <w:div w:id="570505279">
          <w:marLeft w:val="640"/>
          <w:marRight w:val="0"/>
          <w:marTop w:val="0"/>
          <w:marBottom w:val="0"/>
          <w:divBdr>
            <w:top w:val="none" w:sz="0" w:space="0" w:color="auto"/>
            <w:left w:val="none" w:sz="0" w:space="0" w:color="auto"/>
            <w:bottom w:val="none" w:sz="0" w:space="0" w:color="auto"/>
            <w:right w:val="none" w:sz="0" w:space="0" w:color="auto"/>
          </w:divBdr>
        </w:div>
        <w:div w:id="573399156">
          <w:marLeft w:val="640"/>
          <w:marRight w:val="0"/>
          <w:marTop w:val="0"/>
          <w:marBottom w:val="0"/>
          <w:divBdr>
            <w:top w:val="none" w:sz="0" w:space="0" w:color="auto"/>
            <w:left w:val="none" w:sz="0" w:space="0" w:color="auto"/>
            <w:bottom w:val="none" w:sz="0" w:space="0" w:color="auto"/>
            <w:right w:val="none" w:sz="0" w:space="0" w:color="auto"/>
          </w:divBdr>
        </w:div>
        <w:div w:id="580214043">
          <w:marLeft w:val="640"/>
          <w:marRight w:val="0"/>
          <w:marTop w:val="0"/>
          <w:marBottom w:val="0"/>
          <w:divBdr>
            <w:top w:val="none" w:sz="0" w:space="0" w:color="auto"/>
            <w:left w:val="none" w:sz="0" w:space="0" w:color="auto"/>
            <w:bottom w:val="none" w:sz="0" w:space="0" w:color="auto"/>
            <w:right w:val="none" w:sz="0" w:space="0" w:color="auto"/>
          </w:divBdr>
        </w:div>
        <w:div w:id="581446909">
          <w:marLeft w:val="640"/>
          <w:marRight w:val="0"/>
          <w:marTop w:val="0"/>
          <w:marBottom w:val="0"/>
          <w:divBdr>
            <w:top w:val="none" w:sz="0" w:space="0" w:color="auto"/>
            <w:left w:val="none" w:sz="0" w:space="0" w:color="auto"/>
            <w:bottom w:val="none" w:sz="0" w:space="0" w:color="auto"/>
            <w:right w:val="none" w:sz="0" w:space="0" w:color="auto"/>
          </w:divBdr>
        </w:div>
        <w:div w:id="587231750">
          <w:marLeft w:val="640"/>
          <w:marRight w:val="0"/>
          <w:marTop w:val="0"/>
          <w:marBottom w:val="0"/>
          <w:divBdr>
            <w:top w:val="none" w:sz="0" w:space="0" w:color="auto"/>
            <w:left w:val="none" w:sz="0" w:space="0" w:color="auto"/>
            <w:bottom w:val="none" w:sz="0" w:space="0" w:color="auto"/>
            <w:right w:val="none" w:sz="0" w:space="0" w:color="auto"/>
          </w:divBdr>
        </w:div>
        <w:div w:id="588855511">
          <w:marLeft w:val="640"/>
          <w:marRight w:val="0"/>
          <w:marTop w:val="0"/>
          <w:marBottom w:val="0"/>
          <w:divBdr>
            <w:top w:val="none" w:sz="0" w:space="0" w:color="auto"/>
            <w:left w:val="none" w:sz="0" w:space="0" w:color="auto"/>
            <w:bottom w:val="none" w:sz="0" w:space="0" w:color="auto"/>
            <w:right w:val="none" w:sz="0" w:space="0" w:color="auto"/>
          </w:divBdr>
        </w:div>
        <w:div w:id="594554116">
          <w:marLeft w:val="640"/>
          <w:marRight w:val="0"/>
          <w:marTop w:val="0"/>
          <w:marBottom w:val="0"/>
          <w:divBdr>
            <w:top w:val="none" w:sz="0" w:space="0" w:color="auto"/>
            <w:left w:val="none" w:sz="0" w:space="0" w:color="auto"/>
            <w:bottom w:val="none" w:sz="0" w:space="0" w:color="auto"/>
            <w:right w:val="none" w:sz="0" w:space="0" w:color="auto"/>
          </w:divBdr>
        </w:div>
        <w:div w:id="596716730">
          <w:marLeft w:val="640"/>
          <w:marRight w:val="0"/>
          <w:marTop w:val="0"/>
          <w:marBottom w:val="0"/>
          <w:divBdr>
            <w:top w:val="none" w:sz="0" w:space="0" w:color="auto"/>
            <w:left w:val="none" w:sz="0" w:space="0" w:color="auto"/>
            <w:bottom w:val="none" w:sz="0" w:space="0" w:color="auto"/>
            <w:right w:val="none" w:sz="0" w:space="0" w:color="auto"/>
          </w:divBdr>
        </w:div>
        <w:div w:id="596717812">
          <w:marLeft w:val="640"/>
          <w:marRight w:val="0"/>
          <w:marTop w:val="0"/>
          <w:marBottom w:val="0"/>
          <w:divBdr>
            <w:top w:val="none" w:sz="0" w:space="0" w:color="auto"/>
            <w:left w:val="none" w:sz="0" w:space="0" w:color="auto"/>
            <w:bottom w:val="none" w:sz="0" w:space="0" w:color="auto"/>
            <w:right w:val="none" w:sz="0" w:space="0" w:color="auto"/>
          </w:divBdr>
        </w:div>
        <w:div w:id="598951893">
          <w:marLeft w:val="640"/>
          <w:marRight w:val="0"/>
          <w:marTop w:val="0"/>
          <w:marBottom w:val="0"/>
          <w:divBdr>
            <w:top w:val="none" w:sz="0" w:space="0" w:color="auto"/>
            <w:left w:val="none" w:sz="0" w:space="0" w:color="auto"/>
            <w:bottom w:val="none" w:sz="0" w:space="0" w:color="auto"/>
            <w:right w:val="none" w:sz="0" w:space="0" w:color="auto"/>
          </w:divBdr>
        </w:div>
        <w:div w:id="600649689">
          <w:marLeft w:val="640"/>
          <w:marRight w:val="0"/>
          <w:marTop w:val="0"/>
          <w:marBottom w:val="0"/>
          <w:divBdr>
            <w:top w:val="none" w:sz="0" w:space="0" w:color="auto"/>
            <w:left w:val="none" w:sz="0" w:space="0" w:color="auto"/>
            <w:bottom w:val="none" w:sz="0" w:space="0" w:color="auto"/>
            <w:right w:val="none" w:sz="0" w:space="0" w:color="auto"/>
          </w:divBdr>
        </w:div>
        <w:div w:id="602104256">
          <w:marLeft w:val="640"/>
          <w:marRight w:val="0"/>
          <w:marTop w:val="0"/>
          <w:marBottom w:val="0"/>
          <w:divBdr>
            <w:top w:val="none" w:sz="0" w:space="0" w:color="auto"/>
            <w:left w:val="none" w:sz="0" w:space="0" w:color="auto"/>
            <w:bottom w:val="none" w:sz="0" w:space="0" w:color="auto"/>
            <w:right w:val="none" w:sz="0" w:space="0" w:color="auto"/>
          </w:divBdr>
        </w:div>
        <w:div w:id="603000587">
          <w:marLeft w:val="640"/>
          <w:marRight w:val="0"/>
          <w:marTop w:val="0"/>
          <w:marBottom w:val="0"/>
          <w:divBdr>
            <w:top w:val="none" w:sz="0" w:space="0" w:color="auto"/>
            <w:left w:val="none" w:sz="0" w:space="0" w:color="auto"/>
            <w:bottom w:val="none" w:sz="0" w:space="0" w:color="auto"/>
            <w:right w:val="none" w:sz="0" w:space="0" w:color="auto"/>
          </w:divBdr>
        </w:div>
        <w:div w:id="607738085">
          <w:marLeft w:val="640"/>
          <w:marRight w:val="0"/>
          <w:marTop w:val="0"/>
          <w:marBottom w:val="0"/>
          <w:divBdr>
            <w:top w:val="none" w:sz="0" w:space="0" w:color="auto"/>
            <w:left w:val="none" w:sz="0" w:space="0" w:color="auto"/>
            <w:bottom w:val="none" w:sz="0" w:space="0" w:color="auto"/>
            <w:right w:val="none" w:sz="0" w:space="0" w:color="auto"/>
          </w:divBdr>
        </w:div>
        <w:div w:id="608901188">
          <w:marLeft w:val="640"/>
          <w:marRight w:val="0"/>
          <w:marTop w:val="0"/>
          <w:marBottom w:val="0"/>
          <w:divBdr>
            <w:top w:val="none" w:sz="0" w:space="0" w:color="auto"/>
            <w:left w:val="none" w:sz="0" w:space="0" w:color="auto"/>
            <w:bottom w:val="none" w:sz="0" w:space="0" w:color="auto"/>
            <w:right w:val="none" w:sz="0" w:space="0" w:color="auto"/>
          </w:divBdr>
        </w:div>
        <w:div w:id="609288660">
          <w:marLeft w:val="640"/>
          <w:marRight w:val="0"/>
          <w:marTop w:val="0"/>
          <w:marBottom w:val="0"/>
          <w:divBdr>
            <w:top w:val="none" w:sz="0" w:space="0" w:color="auto"/>
            <w:left w:val="none" w:sz="0" w:space="0" w:color="auto"/>
            <w:bottom w:val="none" w:sz="0" w:space="0" w:color="auto"/>
            <w:right w:val="none" w:sz="0" w:space="0" w:color="auto"/>
          </w:divBdr>
        </w:div>
        <w:div w:id="613439686">
          <w:marLeft w:val="640"/>
          <w:marRight w:val="0"/>
          <w:marTop w:val="0"/>
          <w:marBottom w:val="0"/>
          <w:divBdr>
            <w:top w:val="none" w:sz="0" w:space="0" w:color="auto"/>
            <w:left w:val="none" w:sz="0" w:space="0" w:color="auto"/>
            <w:bottom w:val="none" w:sz="0" w:space="0" w:color="auto"/>
            <w:right w:val="none" w:sz="0" w:space="0" w:color="auto"/>
          </w:divBdr>
        </w:div>
        <w:div w:id="613488515">
          <w:marLeft w:val="640"/>
          <w:marRight w:val="0"/>
          <w:marTop w:val="0"/>
          <w:marBottom w:val="0"/>
          <w:divBdr>
            <w:top w:val="none" w:sz="0" w:space="0" w:color="auto"/>
            <w:left w:val="none" w:sz="0" w:space="0" w:color="auto"/>
            <w:bottom w:val="none" w:sz="0" w:space="0" w:color="auto"/>
            <w:right w:val="none" w:sz="0" w:space="0" w:color="auto"/>
          </w:divBdr>
        </w:div>
        <w:div w:id="614556105">
          <w:marLeft w:val="640"/>
          <w:marRight w:val="0"/>
          <w:marTop w:val="0"/>
          <w:marBottom w:val="0"/>
          <w:divBdr>
            <w:top w:val="none" w:sz="0" w:space="0" w:color="auto"/>
            <w:left w:val="none" w:sz="0" w:space="0" w:color="auto"/>
            <w:bottom w:val="none" w:sz="0" w:space="0" w:color="auto"/>
            <w:right w:val="none" w:sz="0" w:space="0" w:color="auto"/>
          </w:divBdr>
        </w:div>
        <w:div w:id="615603557">
          <w:marLeft w:val="640"/>
          <w:marRight w:val="0"/>
          <w:marTop w:val="0"/>
          <w:marBottom w:val="0"/>
          <w:divBdr>
            <w:top w:val="none" w:sz="0" w:space="0" w:color="auto"/>
            <w:left w:val="none" w:sz="0" w:space="0" w:color="auto"/>
            <w:bottom w:val="none" w:sz="0" w:space="0" w:color="auto"/>
            <w:right w:val="none" w:sz="0" w:space="0" w:color="auto"/>
          </w:divBdr>
        </w:div>
        <w:div w:id="616181637">
          <w:marLeft w:val="640"/>
          <w:marRight w:val="0"/>
          <w:marTop w:val="0"/>
          <w:marBottom w:val="0"/>
          <w:divBdr>
            <w:top w:val="none" w:sz="0" w:space="0" w:color="auto"/>
            <w:left w:val="none" w:sz="0" w:space="0" w:color="auto"/>
            <w:bottom w:val="none" w:sz="0" w:space="0" w:color="auto"/>
            <w:right w:val="none" w:sz="0" w:space="0" w:color="auto"/>
          </w:divBdr>
        </w:div>
        <w:div w:id="621769751">
          <w:marLeft w:val="640"/>
          <w:marRight w:val="0"/>
          <w:marTop w:val="0"/>
          <w:marBottom w:val="0"/>
          <w:divBdr>
            <w:top w:val="none" w:sz="0" w:space="0" w:color="auto"/>
            <w:left w:val="none" w:sz="0" w:space="0" w:color="auto"/>
            <w:bottom w:val="none" w:sz="0" w:space="0" w:color="auto"/>
            <w:right w:val="none" w:sz="0" w:space="0" w:color="auto"/>
          </w:divBdr>
        </w:div>
        <w:div w:id="625743733">
          <w:marLeft w:val="640"/>
          <w:marRight w:val="0"/>
          <w:marTop w:val="0"/>
          <w:marBottom w:val="0"/>
          <w:divBdr>
            <w:top w:val="none" w:sz="0" w:space="0" w:color="auto"/>
            <w:left w:val="none" w:sz="0" w:space="0" w:color="auto"/>
            <w:bottom w:val="none" w:sz="0" w:space="0" w:color="auto"/>
            <w:right w:val="none" w:sz="0" w:space="0" w:color="auto"/>
          </w:divBdr>
        </w:div>
        <w:div w:id="628753169">
          <w:marLeft w:val="640"/>
          <w:marRight w:val="0"/>
          <w:marTop w:val="0"/>
          <w:marBottom w:val="0"/>
          <w:divBdr>
            <w:top w:val="none" w:sz="0" w:space="0" w:color="auto"/>
            <w:left w:val="none" w:sz="0" w:space="0" w:color="auto"/>
            <w:bottom w:val="none" w:sz="0" w:space="0" w:color="auto"/>
            <w:right w:val="none" w:sz="0" w:space="0" w:color="auto"/>
          </w:divBdr>
        </w:div>
        <w:div w:id="629475451">
          <w:marLeft w:val="640"/>
          <w:marRight w:val="0"/>
          <w:marTop w:val="0"/>
          <w:marBottom w:val="0"/>
          <w:divBdr>
            <w:top w:val="none" w:sz="0" w:space="0" w:color="auto"/>
            <w:left w:val="none" w:sz="0" w:space="0" w:color="auto"/>
            <w:bottom w:val="none" w:sz="0" w:space="0" w:color="auto"/>
            <w:right w:val="none" w:sz="0" w:space="0" w:color="auto"/>
          </w:divBdr>
        </w:div>
        <w:div w:id="630063949">
          <w:marLeft w:val="640"/>
          <w:marRight w:val="0"/>
          <w:marTop w:val="0"/>
          <w:marBottom w:val="0"/>
          <w:divBdr>
            <w:top w:val="none" w:sz="0" w:space="0" w:color="auto"/>
            <w:left w:val="none" w:sz="0" w:space="0" w:color="auto"/>
            <w:bottom w:val="none" w:sz="0" w:space="0" w:color="auto"/>
            <w:right w:val="none" w:sz="0" w:space="0" w:color="auto"/>
          </w:divBdr>
        </w:div>
        <w:div w:id="633802209">
          <w:marLeft w:val="640"/>
          <w:marRight w:val="0"/>
          <w:marTop w:val="0"/>
          <w:marBottom w:val="0"/>
          <w:divBdr>
            <w:top w:val="none" w:sz="0" w:space="0" w:color="auto"/>
            <w:left w:val="none" w:sz="0" w:space="0" w:color="auto"/>
            <w:bottom w:val="none" w:sz="0" w:space="0" w:color="auto"/>
            <w:right w:val="none" w:sz="0" w:space="0" w:color="auto"/>
          </w:divBdr>
        </w:div>
        <w:div w:id="636491184">
          <w:marLeft w:val="640"/>
          <w:marRight w:val="0"/>
          <w:marTop w:val="0"/>
          <w:marBottom w:val="0"/>
          <w:divBdr>
            <w:top w:val="none" w:sz="0" w:space="0" w:color="auto"/>
            <w:left w:val="none" w:sz="0" w:space="0" w:color="auto"/>
            <w:bottom w:val="none" w:sz="0" w:space="0" w:color="auto"/>
            <w:right w:val="none" w:sz="0" w:space="0" w:color="auto"/>
          </w:divBdr>
        </w:div>
        <w:div w:id="637075463">
          <w:marLeft w:val="640"/>
          <w:marRight w:val="0"/>
          <w:marTop w:val="0"/>
          <w:marBottom w:val="0"/>
          <w:divBdr>
            <w:top w:val="none" w:sz="0" w:space="0" w:color="auto"/>
            <w:left w:val="none" w:sz="0" w:space="0" w:color="auto"/>
            <w:bottom w:val="none" w:sz="0" w:space="0" w:color="auto"/>
            <w:right w:val="none" w:sz="0" w:space="0" w:color="auto"/>
          </w:divBdr>
        </w:div>
        <w:div w:id="640964851">
          <w:marLeft w:val="640"/>
          <w:marRight w:val="0"/>
          <w:marTop w:val="0"/>
          <w:marBottom w:val="0"/>
          <w:divBdr>
            <w:top w:val="none" w:sz="0" w:space="0" w:color="auto"/>
            <w:left w:val="none" w:sz="0" w:space="0" w:color="auto"/>
            <w:bottom w:val="none" w:sz="0" w:space="0" w:color="auto"/>
            <w:right w:val="none" w:sz="0" w:space="0" w:color="auto"/>
          </w:divBdr>
        </w:div>
        <w:div w:id="650253532">
          <w:marLeft w:val="640"/>
          <w:marRight w:val="0"/>
          <w:marTop w:val="0"/>
          <w:marBottom w:val="0"/>
          <w:divBdr>
            <w:top w:val="none" w:sz="0" w:space="0" w:color="auto"/>
            <w:left w:val="none" w:sz="0" w:space="0" w:color="auto"/>
            <w:bottom w:val="none" w:sz="0" w:space="0" w:color="auto"/>
            <w:right w:val="none" w:sz="0" w:space="0" w:color="auto"/>
          </w:divBdr>
        </w:div>
        <w:div w:id="650598429">
          <w:marLeft w:val="640"/>
          <w:marRight w:val="0"/>
          <w:marTop w:val="0"/>
          <w:marBottom w:val="0"/>
          <w:divBdr>
            <w:top w:val="none" w:sz="0" w:space="0" w:color="auto"/>
            <w:left w:val="none" w:sz="0" w:space="0" w:color="auto"/>
            <w:bottom w:val="none" w:sz="0" w:space="0" w:color="auto"/>
            <w:right w:val="none" w:sz="0" w:space="0" w:color="auto"/>
          </w:divBdr>
        </w:div>
        <w:div w:id="652370100">
          <w:marLeft w:val="640"/>
          <w:marRight w:val="0"/>
          <w:marTop w:val="0"/>
          <w:marBottom w:val="0"/>
          <w:divBdr>
            <w:top w:val="none" w:sz="0" w:space="0" w:color="auto"/>
            <w:left w:val="none" w:sz="0" w:space="0" w:color="auto"/>
            <w:bottom w:val="none" w:sz="0" w:space="0" w:color="auto"/>
            <w:right w:val="none" w:sz="0" w:space="0" w:color="auto"/>
          </w:divBdr>
        </w:div>
        <w:div w:id="653610288">
          <w:marLeft w:val="640"/>
          <w:marRight w:val="0"/>
          <w:marTop w:val="0"/>
          <w:marBottom w:val="0"/>
          <w:divBdr>
            <w:top w:val="none" w:sz="0" w:space="0" w:color="auto"/>
            <w:left w:val="none" w:sz="0" w:space="0" w:color="auto"/>
            <w:bottom w:val="none" w:sz="0" w:space="0" w:color="auto"/>
            <w:right w:val="none" w:sz="0" w:space="0" w:color="auto"/>
          </w:divBdr>
        </w:div>
        <w:div w:id="654263114">
          <w:marLeft w:val="640"/>
          <w:marRight w:val="0"/>
          <w:marTop w:val="0"/>
          <w:marBottom w:val="0"/>
          <w:divBdr>
            <w:top w:val="none" w:sz="0" w:space="0" w:color="auto"/>
            <w:left w:val="none" w:sz="0" w:space="0" w:color="auto"/>
            <w:bottom w:val="none" w:sz="0" w:space="0" w:color="auto"/>
            <w:right w:val="none" w:sz="0" w:space="0" w:color="auto"/>
          </w:divBdr>
        </w:div>
        <w:div w:id="659504682">
          <w:marLeft w:val="640"/>
          <w:marRight w:val="0"/>
          <w:marTop w:val="0"/>
          <w:marBottom w:val="0"/>
          <w:divBdr>
            <w:top w:val="none" w:sz="0" w:space="0" w:color="auto"/>
            <w:left w:val="none" w:sz="0" w:space="0" w:color="auto"/>
            <w:bottom w:val="none" w:sz="0" w:space="0" w:color="auto"/>
            <w:right w:val="none" w:sz="0" w:space="0" w:color="auto"/>
          </w:divBdr>
        </w:div>
        <w:div w:id="664161505">
          <w:marLeft w:val="640"/>
          <w:marRight w:val="0"/>
          <w:marTop w:val="0"/>
          <w:marBottom w:val="0"/>
          <w:divBdr>
            <w:top w:val="none" w:sz="0" w:space="0" w:color="auto"/>
            <w:left w:val="none" w:sz="0" w:space="0" w:color="auto"/>
            <w:bottom w:val="none" w:sz="0" w:space="0" w:color="auto"/>
            <w:right w:val="none" w:sz="0" w:space="0" w:color="auto"/>
          </w:divBdr>
        </w:div>
        <w:div w:id="666134418">
          <w:marLeft w:val="640"/>
          <w:marRight w:val="0"/>
          <w:marTop w:val="0"/>
          <w:marBottom w:val="0"/>
          <w:divBdr>
            <w:top w:val="none" w:sz="0" w:space="0" w:color="auto"/>
            <w:left w:val="none" w:sz="0" w:space="0" w:color="auto"/>
            <w:bottom w:val="none" w:sz="0" w:space="0" w:color="auto"/>
            <w:right w:val="none" w:sz="0" w:space="0" w:color="auto"/>
          </w:divBdr>
        </w:div>
        <w:div w:id="666637769">
          <w:marLeft w:val="640"/>
          <w:marRight w:val="0"/>
          <w:marTop w:val="0"/>
          <w:marBottom w:val="0"/>
          <w:divBdr>
            <w:top w:val="none" w:sz="0" w:space="0" w:color="auto"/>
            <w:left w:val="none" w:sz="0" w:space="0" w:color="auto"/>
            <w:bottom w:val="none" w:sz="0" w:space="0" w:color="auto"/>
            <w:right w:val="none" w:sz="0" w:space="0" w:color="auto"/>
          </w:divBdr>
        </w:div>
        <w:div w:id="667174897">
          <w:marLeft w:val="640"/>
          <w:marRight w:val="0"/>
          <w:marTop w:val="0"/>
          <w:marBottom w:val="0"/>
          <w:divBdr>
            <w:top w:val="none" w:sz="0" w:space="0" w:color="auto"/>
            <w:left w:val="none" w:sz="0" w:space="0" w:color="auto"/>
            <w:bottom w:val="none" w:sz="0" w:space="0" w:color="auto"/>
            <w:right w:val="none" w:sz="0" w:space="0" w:color="auto"/>
          </w:divBdr>
        </w:div>
        <w:div w:id="669144071">
          <w:marLeft w:val="640"/>
          <w:marRight w:val="0"/>
          <w:marTop w:val="0"/>
          <w:marBottom w:val="0"/>
          <w:divBdr>
            <w:top w:val="none" w:sz="0" w:space="0" w:color="auto"/>
            <w:left w:val="none" w:sz="0" w:space="0" w:color="auto"/>
            <w:bottom w:val="none" w:sz="0" w:space="0" w:color="auto"/>
            <w:right w:val="none" w:sz="0" w:space="0" w:color="auto"/>
          </w:divBdr>
        </w:div>
        <w:div w:id="671645346">
          <w:marLeft w:val="640"/>
          <w:marRight w:val="0"/>
          <w:marTop w:val="0"/>
          <w:marBottom w:val="0"/>
          <w:divBdr>
            <w:top w:val="none" w:sz="0" w:space="0" w:color="auto"/>
            <w:left w:val="none" w:sz="0" w:space="0" w:color="auto"/>
            <w:bottom w:val="none" w:sz="0" w:space="0" w:color="auto"/>
            <w:right w:val="none" w:sz="0" w:space="0" w:color="auto"/>
          </w:divBdr>
        </w:div>
        <w:div w:id="673259799">
          <w:marLeft w:val="640"/>
          <w:marRight w:val="0"/>
          <w:marTop w:val="0"/>
          <w:marBottom w:val="0"/>
          <w:divBdr>
            <w:top w:val="none" w:sz="0" w:space="0" w:color="auto"/>
            <w:left w:val="none" w:sz="0" w:space="0" w:color="auto"/>
            <w:bottom w:val="none" w:sz="0" w:space="0" w:color="auto"/>
            <w:right w:val="none" w:sz="0" w:space="0" w:color="auto"/>
          </w:divBdr>
        </w:div>
        <w:div w:id="673797688">
          <w:marLeft w:val="640"/>
          <w:marRight w:val="0"/>
          <w:marTop w:val="0"/>
          <w:marBottom w:val="0"/>
          <w:divBdr>
            <w:top w:val="none" w:sz="0" w:space="0" w:color="auto"/>
            <w:left w:val="none" w:sz="0" w:space="0" w:color="auto"/>
            <w:bottom w:val="none" w:sz="0" w:space="0" w:color="auto"/>
            <w:right w:val="none" w:sz="0" w:space="0" w:color="auto"/>
          </w:divBdr>
        </w:div>
        <w:div w:id="674843503">
          <w:marLeft w:val="640"/>
          <w:marRight w:val="0"/>
          <w:marTop w:val="0"/>
          <w:marBottom w:val="0"/>
          <w:divBdr>
            <w:top w:val="none" w:sz="0" w:space="0" w:color="auto"/>
            <w:left w:val="none" w:sz="0" w:space="0" w:color="auto"/>
            <w:bottom w:val="none" w:sz="0" w:space="0" w:color="auto"/>
            <w:right w:val="none" w:sz="0" w:space="0" w:color="auto"/>
          </w:divBdr>
        </w:div>
        <w:div w:id="678384737">
          <w:marLeft w:val="640"/>
          <w:marRight w:val="0"/>
          <w:marTop w:val="0"/>
          <w:marBottom w:val="0"/>
          <w:divBdr>
            <w:top w:val="none" w:sz="0" w:space="0" w:color="auto"/>
            <w:left w:val="none" w:sz="0" w:space="0" w:color="auto"/>
            <w:bottom w:val="none" w:sz="0" w:space="0" w:color="auto"/>
            <w:right w:val="none" w:sz="0" w:space="0" w:color="auto"/>
          </w:divBdr>
        </w:div>
        <w:div w:id="683821661">
          <w:marLeft w:val="640"/>
          <w:marRight w:val="0"/>
          <w:marTop w:val="0"/>
          <w:marBottom w:val="0"/>
          <w:divBdr>
            <w:top w:val="none" w:sz="0" w:space="0" w:color="auto"/>
            <w:left w:val="none" w:sz="0" w:space="0" w:color="auto"/>
            <w:bottom w:val="none" w:sz="0" w:space="0" w:color="auto"/>
            <w:right w:val="none" w:sz="0" w:space="0" w:color="auto"/>
          </w:divBdr>
        </w:div>
        <w:div w:id="684867538">
          <w:marLeft w:val="640"/>
          <w:marRight w:val="0"/>
          <w:marTop w:val="0"/>
          <w:marBottom w:val="0"/>
          <w:divBdr>
            <w:top w:val="none" w:sz="0" w:space="0" w:color="auto"/>
            <w:left w:val="none" w:sz="0" w:space="0" w:color="auto"/>
            <w:bottom w:val="none" w:sz="0" w:space="0" w:color="auto"/>
            <w:right w:val="none" w:sz="0" w:space="0" w:color="auto"/>
          </w:divBdr>
        </w:div>
        <w:div w:id="687096737">
          <w:marLeft w:val="640"/>
          <w:marRight w:val="0"/>
          <w:marTop w:val="0"/>
          <w:marBottom w:val="0"/>
          <w:divBdr>
            <w:top w:val="none" w:sz="0" w:space="0" w:color="auto"/>
            <w:left w:val="none" w:sz="0" w:space="0" w:color="auto"/>
            <w:bottom w:val="none" w:sz="0" w:space="0" w:color="auto"/>
            <w:right w:val="none" w:sz="0" w:space="0" w:color="auto"/>
          </w:divBdr>
        </w:div>
        <w:div w:id="689140945">
          <w:marLeft w:val="640"/>
          <w:marRight w:val="0"/>
          <w:marTop w:val="0"/>
          <w:marBottom w:val="0"/>
          <w:divBdr>
            <w:top w:val="none" w:sz="0" w:space="0" w:color="auto"/>
            <w:left w:val="none" w:sz="0" w:space="0" w:color="auto"/>
            <w:bottom w:val="none" w:sz="0" w:space="0" w:color="auto"/>
            <w:right w:val="none" w:sz="0" w:space="0" w:color="auto"/>
          </w:divBdr>
        </w:div>
        <w:div w:id="689530456">
          <w:marLeft w:val="640"/>
          <w:marRight w:val="0"/>
          <w:marTop w:val="0"/>
          <w:marBottom w:val="0"/>
          <w:divBdr>
            <w:top w:val="none" w:sz="0" w:space="0" w:color="auto"/>
            <w:left w:val="none" w:sz="0" w:space="0" w:color="auto"/>
            <w:bottom w:val="none" w:sz="0" w:space="0" w:color="auto"/>
            <w:right w:val="none" w:sz="0" w:space="0" w:color="auto"/>
          </w:divBdr>
        </w:div>
        <w:div w:id="694502074">
          <w:marLeft w:val="640"/>
          <w:marRight w:val="0"/>
          <w:marTop w:val="0"/>
          <w:marBottom w:val="0"/>
          <w:divBdr>
            <w:top w:val="none" w:sz="0" w:space="0" w:color="auto"/>
            <w:left w:val="none" w:sz="0" w:space="0" w:color="auto"/>
            <w:bottom w:val="none" w:sz="0" w:space="0" w:color="auto"/>
            <w:right w:val="none" w:sz="0" w:space="0" w:color="auto"/>
          </w:divBdr>
        </w:div>
        <w:div w:id="696466609">
          <w:marLeft w:val="640"/>
          <w:marRight w:val="0"/>
          <w:marTop w:val="0"/>
          <w:marBottom w:val="0"/>
          <w:divBdr>
            <w:top w:val="none" w:sz="0" w:space="0" w:color="auto"/>
            <w:left w:val="none" w:sz="0" w:space="0" w:color="auto"/>
            <w:bottom w:val="none" w:sz="0" w:space="0" w:color="auto"/>
            <w:right w:val="none" w:sz="0" w:space="0" w:color="auto"/>
          </w:divBdr>
        </w:div>
        <w:div w:id="697194571">
          <w:marLeft w:val="640"/>
          <w:marRight w:val="0"/>
          <w:marTop w:val="0"/>
          <w:marBottom w:val="0"/>
          <w:divBdr>
            <w:top w:val="none" w:sz="0" w:space="0" w:color="auto"/>
            <w:left w:val="none" w:sz="0" w:space="0" w:color="auto"/>
            <w:bottom w:val="none" w:sz="0" w:space="0" w:color="auto"/>
            <w:right w:val="none" w:sz="0" w:space="0" w:color="auto"/>
          </w:divBdr>
        </w:div>
        <w:div w:id="703218530">
          <w:marLeft w:val="640"/>
          <w:marRight w:val="0"/>
          <w:marTop w:val="0"/>
          <w:marBottom w:val="0"/>
          <w:divBdr>
            <w:top w:val="none" w:sz="0" w:space="0" w:color="auto"/>
            <w:left w:val="none" w:sz="0" w:space="0" w:color="auto"/>
            <w:bottom w:val="none" w:sz="0" w:space="0" w:color="auto"/>
            <w:right w:val="none" w:sz="0" w:space="0" w:color="auto"/>
          </w:divBdr>
        </w:div>
        <w:div w:id="706028768">
          <w:marLeft w:val="640"/>
          <w:marRight w:val="0"/>
          <w:marTop w:val="0"/>
          <w:marBottom w:val="0"/>
          <w:divBdr>
            <w:top w:val="none" w:sz="0" w:space="0" w:color="auto"/>
            <w:left w:val="none" w:sz="0" w:space="0" w:color="auto"/>
            <w:bottom w:val="none" w:sz="0" w:space="0" w:color="auto"/>
            <w:right w:val="none" w:sz="0" w:space="0" w:color="auto"/>
          </w:divBdr>
        </w:div>
        <w:div w:id="706755989">
          <w:marLeft w:val="640"/>
          <w:marRight w:val="0"/>
          <w:marTop w:val="0"/>
          <w:marBottom w:val="0"/>
          <w:divBdr>
            <w:top w:val="none" w:sz="0" w:space="0" w:color="auto"/>
            <w:left w:val="none" w:sz="0" w:space="0" w:color="auto"/>
            <w:bottom w:val="none" w:sz="0" w:space="0" w:color="auto"/>
            <w:right w:val="none" w:sz="0" w:space="0" w:color="auto"/>
          </w:divBdr>
        </w:div>
        <w:div w:id="708071350">
          <w:marLeft w:val="640"/>
          <w:marRight w:val="0"/>
          <w:marTop w:val="0"/>
          <w:marBottom w:val="0"/>
          <w:divBdr>
            <w:top w:val="none" w:sz="0" w:space="0" w:color="auto"/>
            <w:left w:val="none" w:sz="0" w:space="0" w:color="auto"/>
            <w:bottom w:val="none" w:sz="0" w:space="0" w:color="auto"/>
            <w:right w:val="none" w:sz="0" w:space="0" w:color="auto"/>
          </w:divBdr>
        </w:div>
        <w:div w:id="708991155">
          <w:marLeft w:val="640"/>
          <w:marRight w:val="0"/>
          <w:marTop w:val="0"/>
          <w:marBottom w:val="0"/>
          <w:divBdr>
            <w:top w:val="none" w:sz="0" w:space="0" w:color="auto"/>
            <w:left w:val="none" w:sz="0" w:space="0" w:color="auto"/>
            <w:bottom w:val="none" w:sz="0" w:space="0" w:color="auto"/>
            <w:right w:val="none" w:sz="0" w:space="0" w:color="auto"/>
          </w:divBdr>
        </w:div>
        <w:div w:id="710619791">
          <w:marLeft w:val="640"/>
          <w:marRight w:val="0"/>
          <w:marTop w:val="0"/>
          <w:marBottom w:val="0"/>
          <w:divBdr>
            <w:top w:val="none" w:sz="0" w:space="0" w:color="auto"/>
            <w:left w:val="none" w:sz="0" w:space="0" w:color="auto"/>
            <w:bottom w:val="none" w:sz="0" w:space="0" w:color="auto"/>
            <w:right w:val="none" w:sz="0" w:space="0" w:color="auto"/>
          </w:divBdr>
        </w:div>
        <w:div w:id="711268953">
          <w:marLeft w:val="640"/>
          <w:marRight w:val="0"/>
          <w:marTop w:val="0"/>
          <w:marBottom w:val="0"/>
          <w:divBdr>
            <w:top w:val="none" w:sz="0" w:space="0" w:color="auto"/>
            <w:left w:val="none" w:sz="0" w:space="0" w:color="auto"/>
            <w:bottom w:val="none" w:sz="0" w:space="0" w:color="auto"/>
            <w:right w:val="none" w:sz="0" w:space="0" w:color="auto"/>
          </w:divBdr>
        </w:div>
        <w:div w:id="711422031">
          <w:marLeft w:val="640"/>
          <w:marRight w:val="0"/>
          <w:marTop w:val="0"/>
          <w:marBottom w:val="0"/>
          <w:divBdr>
            <w:top w:val="none" w:sz="0" w:space="0" w:color="auto"/>
            <w:left w:val="none" w:sz="0" w:space="0" w:color="auto"/>
            <w:bottom w:val="none" w:sz="0" w:space="0" w:color="auto"/>
            <w:right w:val="none" w:sz="0" w:space="0" w:color="auto"/>
          </w:divBdr>
        </w:div>
        <w:div w:id="711611452">
          <w:marLeft w:val="640"/>
          <w:marRight w:val="0"/>
          <w:marTop w:val="0"/>
          <w:marBottom w:val="0"/>
          <w:divBdr>
            <w:top w:val="none" w:sz="0" w:space="0" w:color="auto"/>
            <w:left w:val="none" w:sz="0" w:space="0" w:color="auto"/>
            <w:bottom w:val="none" w:sz="0" w:space="0" w:color="auto"/>
            <w:right w:val="none" w:sz="0" w:space="0" w:color="auto"/>
          </w:divBdr>
        </w:div>
        <w:div w:id="712268963">
          <w:marLeft w:val="640"/>
          <w:marRight w:val="0"/>
          <w:marTop w:val="0"/>
          <w:marBottom w:val="0"/>
          <w:divBdr>
            <w:top w:val="none" w:sz="0" w:space="0" w:color="auto"/>
            <w:left w:val="none" w:sz="0" w:space="0" w:color="auto"/>
            <w:bottom w:val="none" w:sz="0" w:space="0" w:color="auto"/>
            <w:right w:val="none" w:sz="0" w:space="0" w:color="auto"/>
          </w:divBdr>
        </w:div>
        <w:div w:id="713894138">
          <w:marLeft w:val="640"/>
          <w:marRight w:val="0"/>
          <w:marTop w:val="0"/>
          <w:marBottom w:val="0"/>
          <w:divBdr>
            <w:top w:val="none" w:sz="0" w:space="0" w:color="auto"/>
            <w:left w:val="none" w:sz="0" w:space="0" w:color="auto"/>
            <w:bottom w:val="none" w:sz="0" w:space="0" w:color="auto"/>
            <w:right w:val="none" w:sz="0" w:space="0" w:color="auto"/>
          </w:divBdr>
        </w:div>
        <w:div w:id="714433398">
          <w:marLeft w:val="640"/>
          <w:marRight w:val="0"/>
          <w:marTop w:val="0"/>
          <w:marBottom w:val="0"/>
          <w:divBdr>
            <w:top w:val="none" w:sz="0" w:space="0" w:color="auto"/>
            <w:left w:val="none" w:sz="0" w:space="0" w:color="auto"/>
            <w:bottom w:val="none" w:sz="0" w:space="0" w:color="auto"/>
            <w:right w:val="none" w:sz="0" w:space="0" w:color="auto"/>
          </w:divBdr>
        </w:div>
        <w:div w:id="717827667">
          <w:marLeft w:val="640"/>
          <w:marRight w:val="0"/>
          <w:marTop w:val="0"/>
          <w:marBottom w:val="0"/>
          <w:divBdr>
            <w:top w:val="none" w:sz="0" w:space="0" w:color="auto"/>
            <w:left w:val="none" w:sz="0" w:space="0" w:color="auto"/>
            <w:bottom w:val="none" w:sz="0" w:space="0" w:color="auto"/>
            <w:right w:val="none" w:sz="0" w:space="0" w:color="auto"/>
          </w:divBdr>
        </w:div>
        <w:div w:id="721253732">
          <w:marLeft w:val="640"/>
          <w:marRight w:val="0"/>
          <w:marTop w:val="0"/>
          <w:marBottom w:val="0"/>
          <w:divBdr>
            <w:top w:val="none" w:sz="0" w:space="0" w:color="auto"/>
            <w:left w:val="none" w:sz="0" w:space="0" w:color="auto"/>
            <w:bottom w:val="none" w:sz="0" w:space="0" w:color="auto"/>
            <w:right w:val="none" w:sz="0" w:space="0" w:color="auto"/>
          </w:divBdr>
        </w:div>
        <w:div w:id="723872761">
          <w:marLeft w:val="640"/>
          <w:marRight w:val="0"/>
          <w:marTop w:val="0"/>
          <w:marBottom w:val="0"/>
          <w:divBdr>
            <w:top w:val="none" w:sz="0" w:space="0" w:color="auto"/>
            <w:left w:val="none" w:sz="0" w:space="0" w:color="auto"/>
            <w:bottom w:val="none" w:sz="0" w:space="0" w:color="auto"/>
            <w:right w:val="none" w:sz="0" w:space="0" w:color="auto"/>
          </w:divBdr>
        </w:div>
        <w:div w:id="723911707">
          <w:marLeft w:val="640"/>
          <w:marRight w:val="0"/>
          <w:marTop w:val="0"/>
          <w:marBottom w:val="0"/>
          <w:divBdr>
            <w:top w:val="none" w:sz="0" w:space="0" w:color="auto"/>
            <w:left w:val="none" w:sz="0" w:space="0" w:color="auto"/>
            <w:bottom w:val="none" w:sz="0" w:space="0" w:color="auto"/>
            <w:right w:val="none" w:sz="0" w:space="0" w:color="auto"/>
          </w:divBdr>
        </w:div>
        <w:div w:id="723917554">
          <w:marLeft w:val="640"/>
          <w:marRight w:val="0"/>
          <w:marTop w:val="0"/>
          <w:marBottom w:val="0"/>
          <w:divBdr>
            <w:top w:val="none" w:sz="0" w:space="0" w:color="auto"/>
            <w:left w:val="none" w:sz="0" w:space="0" w:color="auto"/>
            <w:bottom w:val="none" w:sz="0" w:space="0" w:color="auto"/>
            <w:right w:val="none" w:sz="0" w:space="0" w:color="auto"/>
          </w:divBdr>
        </w:div>
        <w:div w:id="730426735">
          <w:marLeft w:val="640"/>
          <w:marRight w:val="0"/>
          <w:marTop w:val="0"/>
          <w:marBottom w:val="0"/>
          <w:divBdr>
            <w:top w:val="none" w:sz="0" w:space="0" w:color="auto"/>
            <w:left w:val="none" w:sz="0" w:space="0" w:color="auto"/>
            <w:bottom w:val="none" w:sz="0" w:space="0" w:color="auto"/>
            <w:right w:val="none" w:sz="0" w:space="0" w:color="auto"/>
          </w:divBdr>
        </w:div>
        <w:div w:id="732505032">
          <w:marLeft w:val="640"/>
          <w:marRight w:val="0"/>
          <w:marTop w:val="0"/>
          <w:marBottom w:val="0"/>
          <w:divBdr>
            <w:top w:val="none" w:sz="0" w:space="0" w:color="auto"/>
            <w:left w:val="none" w:sz="0" w:space="0" w:color="auto"/>
            <w:bottom w:val="none" w:sz="0" w:space="0" w:color="auto"/>
            <w:right w:val="none" w:sz="0" w:space="0" w:color="auto"/>
          </w:divBdr>
        </w:div>
        <w:div w:id="732510372">
          <w:marLeft w:val="640"/>
          <w:marRight w:val="0"/>
          <w:marTop w:val="0"/>
          <w:marBottom w:val="0"/>
          <w:divBdr>
            <w:top w:val="none" w:sz="0" w:space="0" w:color="auto"/>
            <w:left w:val="none" w:sz="0" w:space="0" w:color="auto"/>
            <w:bottom w:val="none" w:sz="0" w:space="0" w:color="auto"/>
            <w:right w:val="none" w:sz="0" w:space="0" w:color="auto"/>
          </w:divBdr>
        </w:div>
        <w:div w:id="735904426">
          <w:marLeft w:val="640"/>
          <w:marRight w:val="0"/>
          <w:marTop w:val="0"/>
          <w:marBottom w:val="0"/>
          <w:divBdr>
            <w:top w:val="none" w:sz="0" w:space="0" w:color="auto"/>
            <w:left w:val="none" w:sz="0" w:space="0" w:color="auto"/>
            <w:bottom w:val="none" w:sz="0" w:space="0" w:color="auto"/>
            <w:right w:val="none" w:sz="0" w:space="0" w:color="auto"/>
          </w:divBdr>
        </w:div>
        <w:div w:id="737283987">
          <w:marLeft w:val="640"/>
          <w:marRight w:val="0"/>
          <w:marTop w:val="0"/>
          <w:marBottom w:val="0"/>
          <w:divBdr>
            <w:top w:val="none" w:sz="0" w:space="0" w:color="auto"/>
            <w:left w:val="none" w:sz="0" w:space="0" w:color="auto"/>
            <w:bottom w:val="none" w:sz="0" w:space="0" w:color="auto"/>
            <w:right w:val="none" w:sz="0" w:space="0" w:color="auto"/>
          </w:divBdr>
        </w:div>
        <w:div w:id="737753195">
          <w:marLeft w:val="640"/>
          <w:marRight w:val="0"/>
          <w:marTop w:val="0"/>
          <w:marBottom w:val="0"/>
          <w:divBdr>
            <w:top w:val="none" w:sz="0" w:space="0" w:color="auto"/>
            <w:left w:val="none" w:sz="0" w:space="0" w:color="auto"/>
            <w:bottom w:val="none" w:sz="0" w:space="0" w:color="auto"/>
            <w:right w:val="none" w:sz="0" w:space="0" w:color="auto"/>
          </w:divBdr>
        </w:div>
        <w:div w:id="740710364">
          <w:marLeft w:val="640"/>
          <w:marRight w:val="0"/>
          <w:marTop w:val="0"/>
          <w:marBottom w:val="0"/>
          <w:divBdr>
            <w:top w:val="none" w:sz="0" w:space="0" w:color="auto"/>
            <w:left w:val="none" w:sz="0" w:space="0" w:color="auto"/>
            <w:bottom w:val="none" w:sz="0" w:space="0" w:color="auto"/>
            <w:right w:val="none" w:sz="0" w:space="0" w:color="auto"/>
          </w:divBdr>
        </w:div>
        <w:div w:id="742458726">
          <w:marLeft w:val="640"/>
          <w:marRight w:val="0"/>
          <w:marTop w:val="0"/>
          <w:marBottom w:val="0"/>
          <w:divBdr>
            <w:top w:val="none" w:sz="0" w:space="0" w:color="auto"/>
            <w:left w:val="none" w:sz="0" w:space="0" w:color="auto"/>
            <w:bottom w:val="none" w:sz="0" w:space="0" w:color="auto"/>
            <w:right w:val="none" w:sz="0" w:space="0" w:color="auto"/>
          </w:divBdr>
        </w:div>
        <w:div w:id="742680923">
          <w:marLeft w:val="640"/>
          <w:marRight w:val="0"/>
          <w:marTop w:val="0"/>
          <w:marBottom w:val="0"/>
          <w:divBdr>
            <w:top w:val="none" w:sz="0" w:space="0" w:color="auto"/>
            <w:left w:val="none" w:sz="0" w:space="0" w:color="auto"/>
            <w:bottom w:val="none" w:sz="0" w:space="0" w:color="auto"/>
            <w:right w:val="none" w:sz="0" w:space="0" w:color="auto"/>
          </w:divBdr>
        </w:div>
        <w:div w:id="744183002">
          <w:marLeft w:val="640"/>
          <w:marRight w:val="0"/>
          <w:marTop w:val="0"/>
          <w:marBottom w:val="0"/>
          <w:divBdr>
            <w:top w:val="none" w:sz="0" w:space="0" w:color="auto"/>
            <w:left w:val="none" w:sz="0" w:space="0" w:color="auto"/>
            <w:bottom w:val="none" w:sz="0" w:space="0" w:color="auto"/>
            <w:right w:val="none" w:sz="0" w:space="0" w:color="auto"/>
          </w:divBdr>
        </w:div>
        <w:div w:id="744570153">
          <w:marLeft w:val="640"/>
          <w:marRight w:val="0"/>
          <w:marTop w:val="0"/>
          <w:marBottom w:val="0"/>
          <w:divBdr>
            <w:top w:val="none" w:sz="0" w:space="0" w:color="auto"/>
            <w:left w:val="none" w:sz="0" w:space="0" w:color="auto"/>
            <w:bottom w:val="none" w:sz="0" w:space="0" w:color="auto"/>
            <w:right w:val="none" w:sz="0" w:space="0" w:color="auto"/>
          </w:divBdr>
        </w:div>
        <w:div w:id="745415020">
          <w:marLeft w:val="640"/>
          <w:marRight w:val="0"/>
          <w:marTop w:val="0"/>
          <w:marBottom w:val="0"/>
          <w:divBdr>
            <w:top w:val="none" w:sz="0" w:space="0" w:color="auto"/>
            <w:left w:val="none" w:sz="0" w:space="0" w:color="auto"/>
            <w:bottom w:val="none" w:sz="0" w:space="0" w:color="auto"/>
            <w:right w:val="none" w:sz="0" w:space="0" w:color="auto"/>
          </w:divBdr>
        </w:div>
        <w:div w:id="749548345">
          <w:marLeft w:val="640"/>
          <w:marRight w:val="0"/>
          <w:marTop w:val="0"/>
          <w:marBottom w:val="0"/>
          <w:divBdr>
            <w:top w:val="none" w:sz="0" w:space="0" w:color="auto"/>
            <w:left w:val="none" w:sz="0" w:space="0" w:color="auto"/>
            <w:bottom w:val="none" w:sz="0" w:space="0" w:color="auto"/>
            <w:right w:val="none" w:sz="0" w:space="0" w:color="auto"/>
          </w:divBdr>
        </w:div>
        <w:div w:id="749692245">
          <w:marLeft w:val="640"/>
          <w:marRight w:val="0"/>
          <w:marTop w:val="0"/>
          <w:marBottom w:val="0"/>
          <w:divBdr>
            <w:top w:val="none" w:sz="0" w:space="0" w:color="auto"/>
            <w:left w:val="none" w:sz="0" w:space="0" w:color="auto"/>
            <w:bottom w:val="none" w:sz="0" w:space="0" w:color="auto"/>
            <w:right w:val="none" w:sz="0" w:space="0" w:color="auto"/>
          </w:divBdr>
        </w:div>
        <w:div w:id="754011374">
          <w:marLeft w:val="640"/>
          <w:marRight w:val="0"/>
          <w:marTop w:val="0"/>
          <w:marBottom w:val="0"/>
          <w:divBdr>
            <w:top w:val="none" w:sz="0" w:space="0" w:color="auto"/>
            <w:left w:val="none" w:sz="0" w:space="0" w:color="auto"/>
            <w:bottom w:val="none" w:sz="0" w:space="0" w:color="auto"/>
            <w:right w:val="none" w:sz="0" w:space="0" w:color="auto"/>
          </w:divBdr>
        </w:div>
        <w:div w:id="755899199">
          <w:marLeft w:val="640"/>
          <w:marRight w:val="0"/>
          <w:marTop w:val="0"/>
          <w:marBottom w:val="0"/>
          <w:divBdr>
            <w:top w:val="none" w:sz="0" w:space="0" w:color="auto"/>
            <w:left w:val="none" w:sz="0" w:space="0" w:color="auto"/>
            <w:bottom w:val="none" w:sz="0" w:space="0" w:color="auto"/>
            <w:right w:val="none" w:sz="0" w:space="0" w:color="auto"/>
          </w:divBdr>
        </w:div>
        <w:div w:id="756631162">
          <w:marLeft w:val="640"/>
          <w:marRight w:val="0"/>
          <w:marTop w:val="0"/>
          <w:marBottom w:val="0"/>
          <w:divBdr>
            <w:top w:val="none" w:sz="0" w:space="0" w:color="auto"/>
            <w:left w:val="none" w:sz="0" w:space="0" w:color="auto"/>
            <w:bottom w:val="none" w:sz="0" w:space="0" w:color="auto"/>
            <w:right w:val="none" w:sz="0" w:space="0" w:color="auto"/>
          </w:divBdr>
        </w:div>
        <w:div w:id="757795698">
          <w:marLeft w:val="640"/>
          <w:marRight w:val="0"/>
          <w:marTop w:val="0"/>
          <w:marBottom w:val="0"/>
          <w:divBdr>
            <w:top w:val="none" w:sz="0" w:space="0" w:color="auto"/>
            <w:left w:val="none" w:sz="0" w:space="0" w:color="auto"/>
            <w:bottom w:val="none" w:sz="0" w:space="0" w:color="auto"/>
            <w:right w:val="none" w:sz="0" w:space="0" w:color="auto"/>
          </w:divBdr>
        </w:div>
        <w:div w:id="758259332">
          <w:marLeft w:val="640"/>
          <w:marRight w:val="0"/>
          <w:marTop w:val="0"/>
          <w:marBottom w:val="0"/>
          <w:divBdr>
            <w:top w:val="none" w:sz="0" w:space="0" w:color="auto"/>
            <w:left w:val="none" w:sz="0" w:space="0" w:color="auto"/>
            <w:bottom w:val="none" w:sz="0" w:space="0" w:color="auto"/>
            <w:right w:val="none" w:sz="0" w:space="0" w:color="auto"/>
          </w:divBdr>
        </w:div>
        <w:div w:id="759759263">
          <w:marLeft w:val="640"/>
          <w:marRight w:val="0"/>
          <w:marTop w:val="0"/>
          <w:marBottom w:val="0"/>
          <w:divBdr>
            <w:top w:val="none" w:sz="0" w:space="0" w:color="auto"/>
            <w:left w:val="none" w:sz="0" w:space="0" w:color="auto"/>
            <w:bottom w:val="none" w:sz="0" w:space="0" w:color="auto"/>
            <w:right w:val="none" w:sz="0" w:space="0" w:color="auto"/>
          </w:divBdr>
        </w:div>
        <w:div w:id="762608091">
          <w:marLeft w:val="640"/>
          <w:marRight w:val="0"/>
          <w:marTop w:val="0"/>
          <w:marBottom w:val="0"/>
          <w:divBdr>
            <w:top w:val="none" w:sz="0" w:space="0" w:color="auto"/>
            <w:left w:val="none" w:sz="0" w:space="0" w:color="auto"/>
            <w:bottom w:val="none" w:sz="0" w:space="0" w:color="auto"/>
            <w:right w:val="none" w:sz="0" w:space="0" w:color="auto"/>
          </w:divBdr>
        </w:div>
        <w:div w:id="764303637">
          <w:marLeft w:val="640"/>
          <w:marRight w:val="0"/>
          <w:marTop w:val="0"/>
          <w:marBottom w:val="0"/>
          <w:divBdr>
            <w:top w:val="none" w:sz="0" w:space="0" w:color="auto"/>
            <w:left w:val="none" w:sz="0" w:space="0" w:color="auto"/>
            <w:bottom w:val="none" w:sz="0" w:space="0" w:color="auto"/>
            <w:right w:val="none" w:sz="0" w:space="0" w:color="auto"/>
          </w:divBdr>
        </w:div>
        <w:div w:id="766193411">
          <w:marLeft w:val="640"/>
          <w:marRight w:val="0"/>
          <w:marTop w:val="0"/>
          <w:marBottom w:val="0"/>
          <w:divBdr>
            <w:top w:val="none" w:sz="0" w:space="0" w:color="auto"/>
            <w:left w:val="none" w:sz="0" w:space="0" w:color="auto"/>
            <w:bottom w:val="none" w:sz="0" w:space="0" w:color="auto"/>
            <w:right w:val="none" w:sz="0" w:space="0" w:color="auto"/>
          </w:divBdr>
        </w:div>
        <w:div w:id="766969741">
          <w:marLeft w:val="640"/>
          <w:marRight w:val="0"/>
          <w:marTop w:val="0"/>
          <w:marBottom w:val="0"/>
          <w:divBdr>
            <w:top w:val="none" w:sz="0" w:space="0" w:color="auto"/>
            <w:left w:val="none" w:sz="0" w:space="0" w:color="auto"/>
            <w:bottom w:val="none" w:sz="0" w:space="0" w:color="auto"/>
            <w:right w:val="none" w:sz="0" w:space="0" w:color="auto"/>
          </w:divBdr>
        </w:div>
        <w:div w:id="767391336">
          <w:marLeft w:val="640"/>
          <w:marRight w:val="0"/>
          <w:marTop w:val="0"/>
          <w:marBottom w:val="0"/>
          <w:divBdr>
            <w:top w:val="none" w:sz="0" w:space="0" w:color="auto"/>
            <w:left w:val="none" w:sz="0" w:space="0" w:color="auto"/>
            <w:bottom w:val="none" w:sz="0" w:space="0" w:color="auto"/>
            <w:right w:val="none" w:sz="0" w:space="0" w:color="auto"/>
          </w:divBdr>
        </w:div>
        <w:div w:id="769203500">
          <w:marLeft w:val="640"/>
          <w:marRight w:val="0"/>
          <w:marTop w:val="0"/>
          <w:marBottom w:val="0"/>
          <w:divBdr>
            <w:top w:val="none" w:sz="0" w:space="0" w:color="auto"/>
            <w:left w:val="none" w:sz="0" w:space="0" w:color="auto"/>
            <w:bottom w:val="none" w:sz="0" w:space="0" w:color="auto"/>
            <w:right w:val="none" w:sz="0" w:space="0" w:color="auto"/>
          </w:divBdr>
        </w:div>
        <w:div w:id="772091938">
          <w:marLeft w:val="640"/>
          <w:marRight w:val="0"/>
          <w:marTop w:val="0"/>
          <w:marBottom w:val="0"/>
          <w:divBdr>
            <w:top w:val="none" w:sz="0" w:space="0" w:color="auto"/>
            <w:left w:val="none" w:sz="0" w:space="0" w:color="auto"/>
            <w:bottom w:val="none" w:sz="0" w:space="0" w:color="auto"/>
            <w:right w:val="none" w:sz="0" w:space="0" w:color="auto"/>
          </w:divBdr>
        </w:div>
        <w:div w:id="773477096">
          <w:marLeft w:val="640"/>
          <w:marRight w:val="0"/>
          <w:marTop w:val="0"/>
          <w:marBottom w:val="0"/>
          <w:divBdr>
            <w:top w:val="none" w:sz="0" w:space="0" w:color="auto"/>
            <w:left w:val="none" w:sz="0" w:space="0" w:color="auto"/>
            <w:bottom w:val="none" w:sz="0" w:space="0" w:color="auto"/>
            <w:right w:val="none" w:sz="0" w:space="0" w:color="auto"/>
          </w:divBdr>
        </w:div>
        <w:div w:id="774054292">
          <w:marLeft w:val="640"/>
          <w:marRight w:val="0"/>
          <w:marTop w:val="0"/>
          <w:marBottom w:val="0"/>
          <w:divBdr>
            <w:top w:val="none" w:sz="0" w:space="0" w:color="auto"/>
            <w:left w:val="none" w:sz="0" w:space="0" w:color="auto"/>
            <w:bottom w:val="none" w:sz="0" w:space="0" w:color="auto"/>
            <w:right w:val="none" w:sz="0" w:space="0" w:color="auto"/>
          </w:divBdr>
        </w:div>
        <w:div w:id="774981086">
          <w:marLeft w:val="640"/>
          <w:marRight w:val="0"/>
          <w:marTop w:val="0"/>
          <w:marBottom w:val="0"/>
          <w:divBdr>
            <w:top w:val="none" w:sz="0" w:space="0" w:color="auto"/>
            <w:left w:val="none" w:sz="0" w:space="0" w:color="auto"/>
            <w:bottom w:val="none" w:sz="0" w:space="0" w:color="auto"/>
            <w:right w:val="none" w:sz="0" w:space="0" w:color="auto"/>
          </w:divBdr>
        </w:div>
        <w:div w:id="775710347">
          <w:marLeft w:val="640"/>
          <w:marRight w:val="0"/>
          <w:marTop w:val="0"/>
          <w:marBottom w:val="0"/>
          <w:divBdr>
            <w:top w:val="none" w:sz="0" w:space="0" w:color="auto"/>
            <w:left w:val="none" w:sz="0" w:space="0" w:color="auto"/>
            <w:bottom w:val="none" w:sz="0" w:space="0" w:color="auto"/>
            <w:right w:val="none" w:sz="0" w:space="0" w:color="auto"/>
          </w:divBdr>
        </w:div>
        <w:div w:id="786580483">
          <w:marLeft w:val="640"/>
          <w:marRight w:val="0"/>
          <w:marTop w:val="0"/>
          <w:marBottom w:val="0"/>
          <w:divBdr>
            <w:top w:val="none" w:sz="0" w:space="0" w:color="auto"/>
            <w:left w:val="none" w:sz="0" w:space="0" w:color="auto"/>
            <w:bottom w:val="none" w:sz="0" w:space="0" w:color="auto"/>
            <w:right w:val="none" w:sz="0" w:space="0" w:color="auto"/>
          </w:divBdr>
        </w:div>
        <w:div w:id="787044462">
          <w:marLeft w:val="640"/>
          <w:marRight w:val="0"/>
          <w:marTop w:val="0"/>
          <w:marBottom w:val="0"/>
          <w:divBdr>
            <w:top w:val="none" w:sz="0" w:space="0" w:color="auto"/>
            <w:left w:val="none" w:sz="0" w:space="0" w:color="auto"/>
            <w:bottom w:val="none" w:sz="0" w:space="0" w:color="auto"/>
            <w:right w:val="none" w:sz="0" w:space="0" w:color="auto"/>
          </w:divBdr>
        </w:div>
        <w:div w:id="791245505">
          <w:marLeft w:val="640"/>
          <w:marRight w:val="0"/>
          <w:marTop w:val="0"/>
          <w:marBottom w:val="0"/>
          <w:divBdr>
            <w:top w:val="none" w:sz="0" w:space="0" w:color="auto"/>
            <w:left w:val="none" w:sz="0" w:space="0" w:color="auto"/>
            <w:bottom w:val="none" w:sz="0" w:space="0" w:color="auto"/>
            <w:right w:val="none" w:sz="0" w:space="0" w:color="auto"/>
          </w:divBdr>
        </w:div>
        <w:div w:id="792553785">
          <w:marLeft w:val="640"/>
          <w:marRight w:val="0"/>
          <w:marTop w:val="0"/>
          <w:marBottom w:val="0"/>
          <w:divBdr>
            <w:top w:val="none" w:sz="0" w:space="0" w:color="auto"/>
            <w:left w:val="none" w:sz="0" w:space="0" w:color="auto"/>
            <w:bottom w:val="none" w:sz="0" w:space="0" w:color="auto"/>
            <w:right w:val="none" w:sz="0" w:space="0" w:color="auto"/>
          </w:divBdr>
        </w:div>
        <w:div w:id="795607655">
          <w:marLeft w:val="640"/>
          <w:marRight w:val="0"/>
          <w:marTop w:val="0"/>
          <w:marBottom w:val="0"/>
          <w:divBdr>
            <w:top w:val="none" w:sz="0" w:space="0" w:color="auto"/>
            <w:left w:val="none" w:sz="0" w:space="0" w:color="auto"/>
            <w:bottom w:val="none" w:sz="0" w:space="0" w:color="auto"/>
            <w:right w:val="none" w:sz="0" w:space="0" w:color="auto"/>
          </w:divBdr>
        </w:div>
        <w:div w:id="800654059">
          <w:marLeft w:val="640"/>
          <w:marRight w:val="0"/>
          <w:marTop w:val="0"/>
          <w:marBottom w:val="0"/>
          <w:divBdr>
            <w:top w:val="none" w:sz="0" w:space="0" w:color="auto"/>
            <w:left w:val="none" w:sz="0" w:space="0" w:color="auto"/>
            <w:bottom w:val="none" w:sz="0" w:space="0" w:color="auto"/>
            <w:right w:val="none" w:sz="0" w:space="0" w:color="auto"/>
          </w:divBdr>
        </w:div>
        <w:div w:id="801538018">
          <w:marLeft w:val="640"/>
          <w:marRight w:val="0"/>
          <w:marTop w:val="0"/>
          <w:marBottom w:val="0"/>
          <w:divBdr>
            <w:top w:val="none" w:sz="0" w:space="0" w:color="auto"/>
            <w:left w:val="none" w:sz="0" w:space="0" w:color="auto"/>
            <w:bottom w:val="none" w:sz="0" w:space="0" w:color="auto"/>
            <w:right w:val="none" w:sz="0" w:space="0" w:color="auto"/>
          </w:divBdr>
        </w:div>
        <w:div w:id="802693291">
          <w:marLeft w:val="640"/>
          <w:marRight w:val="0"/>
          <w:marTop w:val="0"/>
          <w:marBottom w:val="0"/>
          <w:divBdr>
            <w:top w:val="none" w:sz="0" w:space="0" w:color="auto"/>
            <w:left w:val="none" w:sz="0" w:space="0" w:color="auto"/>
            <w:bottom w:val="none" w:sz="0" w:space="0" w:color="auto"/>
            <w:right w:val="none" w:sz="0" w:space="0" w:color="auto"/>
          </w:divBdr>
        </w:div>
        <w:div w:id="807166545">
          <w:marLeft w:val="640"/>
          <w:marRight w:val="0"/>
          <w:marTop w:val="0"/>
          <w:marBottom w:val="0"/>
          <w:divBdr>
            <w:top w:val="none" w:sz="0" w:space="0" w:color="auto"/>
            <w:left w:val="none" w:sz="0" w:space="0" w:color="auto"/>
            <w:bottom w:val="none" w:sz="0" w:space="0" w:color="auto"/>
            <w:right w:val="none" w:sz="0" w:space="0" w:color="auto"/>
          </w:divBdr>
        </w:div>
        <w:div w:id="809713950">
          <w:marLeft w:val="640"/>
          <w:marRight w:val="0"/>
          <w:marTop w:val="0"/>
          <w:marBottom w:val="0"/>
          <w:divBdr>
            <w:top w:val="none" w:sz="0" w:space="0" w:color="auto"/>
            <w:left w:val="none" w:sz="0" w:space="0" w:color="auto"/>
            <w:bottom w:val="none" w:sz="0" w:space="0" w:color="auto"/>
            <w:right w:val="none" w:sz="0" w:space="0" w:color="auto"/>
          </w:divBdr>
        </w:div>
        <w:div w:id="810368115">
          <w:marLeft w:val="640"/>
          <w:marRight w:val="0"/>
          <w:marTop w:val="0"/>
          <w:marBottom w:val="0"/>
          <w:divBdr>
            <w:top w:val="none" w:sz="0" w:space="0" w:color="auto"/>
            <w:left w:val="none" w:sz="0" w:space="0" w:color="auto"/>
            <w:bottom w:val="none" w:sz="0" w:space="0" w:color="auto"/>
            <w:right w:val="none" w:sz="0" w:space="0" w:color="auto"/>
          </w:divBdr>
        </w:div>
        <w:div w:id="811219220">
          <w:marLeft w:val="640"/>
          <w:marRight w:val="0"/>
          <w:marTop w:val="0"/>
          <w:marBottom w:val="0"/>
          <w:divBdr>
            <w:top w:val="none" w:sz="0" w:space="0" w:color="auto"/>
            <w:left w:val="none" w:sz="0" w:space="0" w:color="auto"/>
            <w:bottom w:val="none" w:sz="0" w:space="0" w:color="auto"/>
            <w:right w:val="none" w:sz="0" w:space="0" w:color="auto"/>
          </w:divBdr>
        </w:div>
        <w:div w:id="812480022">
          <w:marLeft w:val="640"/>
          <w:marRight w:val="0"/>
          <w:marTop w:val="0"/>
          <w:marBottom w:val="0"/>
          <w:divBdr>
            <w:top w:val="none" w:sz="0" w:space="0" w:color="auto"/>
            <w:left w:val="none" w:sz="0" w:space="0" w:color="auto"/>
            <w:bottom w:val="none" w:sz="0" w:space="0" w:color="auto"/>
            <w:right w:val="none" w:sz="0" w:space="0" w:color="auto"/>
          </w:divBdr>
        </w:div>
        <w:div w:id="814181143">
          <w:marLeft w:val="640"/>
          <w:marRight w:val="0"/>
          <w:marTop w:val="0"/>
          <w:marBottom w:val="0"/>
          <w:divBdr>
            <w:top w:val="none" w:sz="0" w:space="0" w:color="auto"/>
            <w:left w:val="none" w:sz="0" w:space="0" w:color="auto"/>
            <w:bottom w:val="none" w:sz="0" w:space="0" w:color="auto"/>
            <w:right w:val="none" w:sz="0" w:space="0" w:color="auto"/>
          </w:divBdr>
        </w:div>
        <w:div w:id="828903471">
          <w:marLeft w:val="640"/>
          <w:marRight w:val="0"/>
          <w:marTop w:val="0"/>
          <w:marBottom w:val="0"/>
          <w:divBdr>
            <w:top w:val="none" w:sz="0" w:space="0" w:color="auto"/>
            <w:left w:val="none" w:sz="0" w:space="0" w:color="auto"/>
            <w:bottom w:val="none" w:sz="0" w:space="0" w:color="auto"/>
            <w:right w:val="none" w:sz="0" w:space="0" w:color="auto"/>
          </w:divBdr>
        </w:div>
        <w:div w:id="834536908">
          <w:marLeft w:val="640"/>
          <w:marRight w:val="0"/>
          <w:marTop w:val="0"/>
          <w:marBottom w:val="0"/>
          <w:divBdr>
            <w:top w:val="none" w:sz="0" w:space="0" w:color="auto"/>
            <w:left w:val="none" w:sz="0" w:space="0" w:color="auto"/>
            <w:bottom w:val="none" w:sz="0" w:space="0" w:color="auto"/>
            <w:right w:val="none" w:sz="0" w:space="0" w:color="auto"/>
          </w:divBdr>
        </w:div>
        <w:div w:id="840311531">
          <w:marLeft w:val="640"/>
          <w:marRight w:val="0"/>
          <w:marTop w:val="0"/>
          <w:marBottom w:val="0"/>
          <w:divBdr>
            <w:top w:val="none" w:sz="0" w:space="0" w:color="auto"/>
            <w:left w:val="none" w:sz="0" w:space="0" w:color="auto"/>
            <w:bottom w:val="none" w:sz="0" w:space="0" w:color="auto"/>
            <w:right w:val="none" w:sz="0" w:space="0" w:color="auto"/>
          </w:divBdr>
        </w:div>
        <w:div w:id="840848500">
          <w:marLeft w:val="640"/>
          <w:marRight w:val="0"/>
          <w:marTop w:val="0"/>
          <w:marBottom w:val="0"/>
          <w:divBdr>
            <w:top w:val="none" w:sz="0" w:space="0" w:color="auto"/>
            <w:left w:val="none" w:sz="0" w:space="0" w:color="auto"/>
            <w:bottom w:val="none" w:sz="0" w:space="0" w:color="auto"/>
            <w:right w:val="none" w:sz="0" w:space="0" w:color="auto"/>
          </w:divBdr>
        </w:div>
        <w:div w:id="842008090">
          <w:marLeft w:val="640"/>
          <w:marRight w:val="0"/>
          <w:marTop w:val="0"/>
          <w:marBottom w:val="0"/>
          <w:divBdr>
            <w:top w:val="none" w:sz="0" w:space="0" w:color="auto"/>
            <w:left w:val="none" w:sz="0" w:space="0" w:color="auto"/>
            <w:bottom w:val="none" w:sz="0" w:space="0" w:color="auto"/>
            <w:right w:val="none" w:sz="0" w:space="0" w:color="auto"/>
          </w:divBdr>
        </w:div>
        <w:div w:id="842278660">
          <w:marLeft w:val="640"/>
          <w:marRight w:val="0"/>
          <w:marTop w:val="0"/>
          <w:marBottom w:val="0"/>
          <w:divBdr>
            <w:top w:val="none" w:sz="0" w:space="0" w:color="auto"/>
            <w:left w:val="none" w:sz="0" w:space="0" w:color="auto"/>
            <w:bottom w:val="none" w:sz="0" w:space="0" w:color="auto"/>
            <w:right w:val="none" w:sz="0" w:space="0" w:color="auto"/>
          </w:divBdr>
        </w:div>
        <w:div w:id="845486566">
          <w:marLeft w:val="640"/>
          <w:marRight w:val="0"/>
          <w:marTop w:val="0"/>
          <w:marBottom w:val="0"/>
          <w:divBdr>
            <w:top w:val="none" w:sz="0" w:space="0" w:color="auto"/>
            <w:left w:val="none" w:sz="0" w:space="0" w:color="auto"/>
            <w:bottom w:val="none" w:sz="0" w:space="0" w:color="auto"/>
            <w:right w:val="none" w:sz="0" w:space="0" w:color="auto"/>
          </w:divBdr>
        </w:div>
        <w:div w:id="846136360">
          <w:marLeft w:val="640"/>
          <w:marRight w:val="0"/>
          <w:marTop w:val="0"/>
          <w:marBottom w:val="0"/>
          <w:divBdr>
            <w:top w:val="none" w:sz="0" w:space="0" w:color="auto"/>
            <w:left w:val="none" w:sz="0" w:space="0" w:color="auto"/>
            <w:bottom w:val="none" w:sz="0" w:space="0" w:color="auto"/>
            <w:right w:val="none" w:sz="0" w:space="0" w:color="auto"/>
          </w:divBdr>
        </w:div>
        <w:div w:id="846140294">
          <w:marLeft w:val="640"/>
          <w:marRight w:val="0"/>
          <w:marTop w:val="0"/>
          <w:marBottom w:val="0"/>
          <w:divBdr>
            <w:top w:val="none" w:sz="0" w:space="0" w:color="auto"/>
            <w:left w:val="none" w:sz="0" w:space="0" w:color="auto"/>
            <w:bottom w:val="none" w:sz="0" w:space="0" w:color="auto"/>
            <w:right w:val="none" w:sz="0" w:space="0" w:color="auto"/>
          </w:divBdr>
        </w:div>
        <w:div w:id="847524663">
          <w:marLeft w:val="640"/>
          <w:marRight w:val="0"/>
          <w:marTop w:val="0"/>
          <w:marBottom w:val="0"/>
          <w:divBdr>
            <w:top w:val="none" w:sz="0" w:space="0" w:color="auto"/>
            <w:left w:val="none" w:sz="0" w:space="0" w:color="auto"/>
            <w:bottom w:val="none" w:sz="0" w:space="0" w:color="auto"/>
            <w:right w:val="none" w:sz="0" w:space="0" w:color="auto"/>
          </w:divBdr>
        </w:div>
        <w:div w:id="848643610">
          <w:marLeft w:val="640"/>
          <w:marRight w:val="0"/>
          <w:marTop w:val="0"/>
          <w:marBottom w:val="0"/>
          <w:divBdr>
            <w:top w:val="none" w:sz="0" w:space="0" w:color="auto"/>
            <w:left w:val="none" w:sz="0" w:space="0" w:color="auto"/>
            <w:bottom w:val="none" w:sz="0" w:space="0" w:color="auto"/>
            <w:right w:val="none" w:sz="0" w:space="0" w:color="auto"/>
          </w:divBdr>
        </w:div>
        <w:div w:id="852187635">
          <w:marLeft w:val="640"/>
          <w:marRight w:val="0"/>
          <w:marTop w:val="0"/>
          <w:marBottom w:val="0"/>
          <w:divBdr>
            <w:top w:val="none" w:sz="0" w:space="0" w:color="auto"/>
            <w:left w:val="none" w:sz="0" w:space="0" w:color="auto"/>
            <w:bottom w:val="none" w:sz="0" w:space="0" w:color="auto"/>
            <w:right w:val="none" w:sz="0" w:space="0" w:color="auto"/>
          </w:divBdr>
        </w:div>
        <w:div w:id="853419257">
          <w:marLeft w:val="640"/>
          <w:marRight w:val="0"/>
          <w:marTop w:val="0"/>
          <w:marBottom w:val="0"/>
          <w:divBdr>
            <w:top w:val="none" w:sz="0" w:space="0" w:color="auto"/>
            <w:left w:val="none" w:sz="0" w:space="0" w:color="auto"/>
            <w:bottom w:val="none" w:sz="0" w:space="0" w:color="auto"/>
            <w:right w:val="none" w:sz="0" w:space="0" w:color="auto"/>
          </w:divBdr>
        </w:div>
        <w:div w:id="856777454">
          <w:marLeft w:val="640"/>
          <w:marRight w:val="0"/>
          <w:marTop w:val="0"/>
          <w:marBottom w:val="0"/>
          <w:divBdr>
            <w:top w:val="none" w:sz="0" w:space="0" w:color="auto"/>
            <w:left w:val="none" w:sz="0" w:space="0" w:color="auto"/>
            <w:bottom w:val="none" w:sz="0" w:space="0" w:color="auto"/>
            <w:right w:val="none" w:sz="0" w:space="0" w:color="auto"/>
          </w:divBdr>
        </w:div>
        <w:div w:id="860971681">
          <w:marLeft w:val="640"/>
          <w:marRight w:val="0"/>
          <w:marTop w:val="0"/>
          <w:marBottom w:val="0"/>
          <w:divBdr>
            <w:top w:val="none" w:sz="0" w:space="0" w:color="auto"/>
            <w:left w:val="none" w:sz="0" w:space="0" w:color="auto"/>
            <w:bottom w:val="none" w:sz="0" w:space="0" w:color="auto"/>
            <w:right w:val="none" w:sz="0" w:space="0" w:color="auto"/>
          </w:divBdr>
        </w:div>
        <w:div w:id="865217294">
          <w:marLeft w:val="640"/>
          <w:marRight w:val="0"/>
          <w:marTop w:val="0"/>
          <w:marBottom w:val="0"/>
          <w:divBdr>
            <w:top w:val="none" w:sz="0" w:space="0" w:color="auto"/>
            <w:left w:val="none" w:sz="0" w:space="0" w:color="auto"/>
            <w:bottom w:val="none" w:sz="0" w:space="0" w:color="auto"/>
            <w:right w:val="none" w:sz="0" w:space="0" w:color="auto"/>
          </w:divBdr>
        </w:div>
        <w:div w:id="866527149">
          <w:marLeft w:val="640"/>
          <w:marRight w:val="0"/>
          <w:marTop w:val="0"/>
          <w:marBottom w:val="0"/>
          <w:divBdr>
            <w:top w:val="none" w:sz="0" w:space="0" w:color="auto"/>
            <w:left w:val="none" w:sz="0" w:space="0" w:color="auto"/>
            <w:bottom w:val="none" w:sz="0" w:space="0" w:color="auto"/>
            <w:right w:val="none" w:sz="0" w:space="0" w:color="auto"/>
          </w:divBdr>
        </w:div>
        <w:div w:id="871185764">
          <w:marLeft w:val="640"/>
          <w:marRight w:val="0"/>
          <w:marTop w:val="0"/>
          <w:marBottom w:val="0"/>
          <w:divBdr>
            <w:top w:val="none" w:sz="0" w:space="0" w:color="auto"/>
            <w:left w:val="none" w:sz="0" w:space="0" w:color="auto"/>
            <w:bottom w:val="none" w:sz="0" w:space="0" w:color="auto"/>
            <w:right w:val="none" w:sz="0" w:space="0" w:color="auto"/>
          </w:divBdr>
        </w:div>
        <w:div w:id="875433089">
          <w:marLeft w:val="640"/>
          <w:marRight w:val="0"/>
          <w:marTop w:val="0"/>
          <w:marBottom w:val="0"/>
          <w:divBdr>
            <w:top w:val="none" w:sz="0" w:space="0" w:color="auto"/>
            <w:left w:val="none" w:sz="0" w:space="0" w:color="auto"/>
            <w:bottom w:val="none" w:sz="0" w:space="0" w:color="auto"/>
            <w:right w:val="none" w:sz="0" w:space="0" w:color="auto"/>
          </w:divBdr>
        </w:div>
        <w:div w:id="876547362">
          <w:marLeft w:val="640"/>
          <w:marRight w:val="0"/>
          <w:marTop w:val="0"/>
          <w:marBottom w:val="0"/>
          <w:divBdr>
            <w:top w:val="none" w:sz="0" w:space="0" w:color="auto"/>
            <w:left w:val="none" w:sz="0" w:space="0" w:color="auto"/>
            <w:bottom w:val="none" w:sz="0" w:space="0" w:color="auto"/>
            <w:right w:val="none" w:sz="0" w:space="0" w:color="auto"/>
          </w:divBdr>
        </w:div>
        <w:div w:id="883443684">
          <w:marLeft w:val="640"/>
          <w:marRight w:val="0"/>
          <w:marTop w:val="0"/>
          <w:marBottom w:val="0"/>
          <w:divBdr>
            <w:top w:val="none" w:sz="0" w:space="0" w:color="auto"/>
            <w:left w:val="none" w:sz="0" w:space="0" w:color="auto"/>
            <w:bottom w:val="none" w:sz="0" w:space="0" w:color="auto"/>
            <w:right w:val="none" w:sz="0" w:space="0" w:color="auto"/>
          </w:divBdr>
        </w:div>
        <w:div w:id="884218059">
          <w:marLeft w:val="640"/>
          <w:marRight w:val="0"/>
          <w:marTop w:val="0"/>
          <w:marBottom w:val="0"/>
          <w:divBdr>
            <w:top w:val="none" w:sz="0" w:space="0" w:color="auto"/>
            <w:left w:val="none" w:sz="0" w:space="0" w:color="auto"/>
            <w:bottom w:val="none" w:sz="0" w:space="0" w:color="auto"/>
            <w:right w:val="none" w:sz="0" w:space="0" w:color="auto"/>
          </w:divBdr>
        </w:div>
        <w:div w:id="889271797">
          <w:marLeft w:val="640"/>
          <w:marRight w:val="0"/>
          <w:marTop w:val="0"/>
          <w:marBottom w:val="0"/>
          <w:divBdr>
            <w:top w:val="none" w:sz="0" w:space="0" w:color="auto"/>
            <w:left w:val="none" w:sz="0" w:space="0" w:color="auto"/>
            <w:bottom w:val="none" w:sz="0" w:space="0" w:color="auto"/>
            <w:right w:val="none" w:sz="0" w:space="0" w:color="auto"/>
          </w:divBdr>
        </w:div>
        <w:div w:id="890771252">
          <w:marLeft w:val="640"/>
          <w:marRight w:val="0"/>
          <w:marTop w:val="0"/>
          <w:marBottom w:val="0"/>
          <w:divBdr>
            <w:top w:val="none" w:sz="0" w:space="0" w:color="auto"/>
            <w:left w:val="none" w:sz="0" w:space="0" w:color="auto"/>
            <w:bottom w:val="none" w:sz="0" w:space="0" w:color="auto"/>
            <w:right w:val="none" w:sz="0" w:space="0" w:color="auto"/>
          </w:divBdr>
        </w:div>
        <w:div w:id="891961011">
          <w:marLeft w:val="640"/>
          <w:marRight w:val="0"/>
          <w:marTop w:val="0"/>
          <w:marBottom w:val="0"/>
          <w:divBdr>
            <w:top w:val="none" w:sz="0" w:space="0" w:color="auto"/>
            <w:left w:val="none" w:sz="0" w:space="0" w:color="auto"/>
            <w:bottom w:val="none" w:sz="0" w:space="0" w:color="auto"/>
            <w:right w:val="none" w:sz="0" w:space="0" w:color="auto"/>
          </w:divBdr>
        </w:div>
        <w:div w:id="894008158">
          <w:marLeft w:val="640"/>
          <w:marRight w:val="0"/>
          <w:marTop w:val="0"/>
          <w:marBottom w:val="0"/>
          <w:divBdr>
            <w:top w:val="none" w:sz="0" w:space="0" w:color="auto"/>
            <w:left w:val="none" w:sz="0" w:space="0" w:color="auto"/>
            <w:bottom w:val="none" w:sz="0" w:space="0" w:color="auto"/>
            <w:right w:val="none" w:sz="0" w:space="0" w:color="auto"/>
          </w:divBdr>
        </w:div>
        <w:div w:id="894511279">
          <w:marLeft w:val="640"/>
          <w:marRight w:val="0"/>
          <w:marTop w:val="0"/>
          <w:marBottom w:val="0"/>
          <w:divBdr>
            <w:top w:val="none" w:sz="0" w:space="0" w:color="auto"/>
            <w:left w:val="none" w:sz="0" w:space="0" w:color="auto"/>
            <w:bottom w:val="none" w:sz="0" w:space="0" w:color="auto"/>
            <w:right w:val="none" w:sz="0" w:space="0" w:color="auto"/>
          </w:divBdr>
        </w:div>
        <w:div w:id="894894356">
          <w:marLeft w:val="640"/>
          <w:marRight w:val="0"/>
          <w:marTop w:val="0"/>
          <w:marBottom w:val="0"/>
          <w:divBdr>
            <w:top w:val="none" w:sz="0" w:space="0" w:color="auto"/>
            <w:left w:val="none" w:sz="0" w:space="0" w:color="auto"/>
            <w:bottom w:val="none" w:sz="0" w:space="0" w:color="auto"/>
            <w:right w:val="none" w:sz="0" w:space="0" w:color="auto"/>
          </w:divBdr>
        </w:div>
        <w:div w:id="896598333">
          <w:marLeft w:val="640"/>
          <w:marRight w:val="0"/>
          <w:marTop w:val="0"/>
          <w:marBottom w:val="0"/>
          <w:divBdr>
            <w:top w:val="none" w:sz="0" w:space="0" w:color="auto"/>
            <w:left w:val="none" w:sz="0" w:space="0" w:color="auto"/>
            <w:bottom w:val="none" w:sz="0" w:space="0" w:color="auto"/>
            <w:right w:val="none" w:sz="0" w:space="0" w:color="auto"/>
          </w:divBdr>
        </w:div>
        <w:div w:id="897283809">
          <w:marLeft w:val="640"/>
          <w:marRight w:val="0"/>
          <w:marTop w:val="0"/>
          <w:marBottom w:val="0"/>
          <w:divBdr>
            <w:top w:val="none" w:sz="0" w:space="0" w:color="auto"/>
            <w:left w:val="none" w:sz="0" w:space="0" w:color="auto"/>
            <w:bottom w:val="none" w:sz="0" w:space="0" w:color="auto"/>
            <w:right w:val="none" w:sz="0" w:space="0" w:color="auto"/>
          </w:divBdr>
        </w:div>
        <w:div w:id="899175527">
          <w:marLeft w:val="640"/>
          <w:marRight w:val="0"/>
          <w:marTop w:val="0"/>
          <w:marBottom w:val="0"/>
          <w:divBdr>
            <w:top w:val="none" w:sz="0" w:space="0" w:color="auto"/>
            <w:left w:val="none" w:sz="0" w:space="0" w:color="auto"/>
            <w:bottom w:val="none" w:sz="0" w:space="0" w:color="auto"/>
            <w:right w:val="none" w:sz="0" w:space="0" w:color="auto"/>
          </w:divBdr>
        </w:div>
        <w:div w:id="899442651">
          <w:marLeft w:val="640"/>
          <w:marRight w:val="0"/>
          <w:marTop w:val="0"/>
          <w:marBottom w:val="0"/>
          <w:divBdr>
            <w:top w:val="none" w:sz="0" w:space="0" w:color="auto"/>
            <w:left w:val="none" w:sz="0" w:space="0" w:color="auto"/>
            <w:bottom w:val="none" w:sz="0" w:space="0" w:color="auto"/>
            <w:right w:val="none" w:sz="0" w:space="0" w:color="auto"/>
          </w:divBdr>
        </w:div>
        <w:div w:id="910119679">
          <w:marLeft w:val="640"/>
          <w:marRight w:val="0"/>
          <w:marTop w:val="0"/>
          <w:marBottom w:val="0"/>
          <w:divBdr>
            <w:top w:val="none" w:sz="0" w:space="0" w:color="auto"/>
            <w:left w:val="none" w:sz="0" w:space="0" w:color="auto"/>
            <w:bottom w:val="none" w:sz="0" w:space="0" w:color="auto"/>
            <w:right w:val="none" w:sz="0" w:space="0" w:color="auto"/>
          </w:divBdr>
        </w:div>
        <w:div w:id="912931257">
          <w:marLeft w:val="640"/>
          <w:marRight w:val="0"/>
          <w:marTop w:val="0"/>
          <w:marBottom w:val="0"/>
          <w:divBdr>
            <w:top w:val="none" w:sz="0" w:space="0" w:color="auto"/>
            <w:left w:val="none" w:sz="0" w:space="0" w:color="auto"/>
            <w:bottom w:val="none" w:sz="0" w:space="0" w:color="auto"/>
            <w:right w:val="none" w:sz="0" w:space="0" w:color="auto"/>
          </w:divBdr>
        </w:div>
        <w:div w:id="913199553">
          <w:marLeft w:val="640"/>
          <w:marRight w:val="0"/>
          <w:marTop w:val="0"/>
          <w:marBottom w:val="0"/>
          <w:divBdr>
            <w:top w:val="none" w:sz="0" w:space="0" w:color="auto"/>
            <w:left w:val="none" w:sz="0" w:space="0" w:color="auto"/>
            <w:bottom w:val="none" w:sz="0" w:space="0" w:color="auto"/>
            <w:right w:val="none" w:sz="0" w:space="0" w:color="auto"/>
          </w:divBdr>
        </w:div>
        <w:div w:id="916747150">
          <w:marLeft w:val="640"/>
          <w:marRight w:val="0"/>
          <w:marTop w:val="0"/>
          <w:marBottom w:val="0"/>
          <w:divBdr>
            <w:top w:val="none" w:sz="0" w:space="0" w:color="auto"/>
            <w:left w:val="none" w:sz="0" w:space="0" w:color="auto"/>
            <w:bottom w:val="none" w:sz="0" w:space="0" w:color="auto"/>
            <w:right w:val="none" w:sz="0" w:space="0" w:color="auto"/>
          </w:divBdr>
        </w:div>
        <w:div w:id="917979532">
          <w:marLeft w:val="640"/>
          <w:marRight w:val="0"/>
          <w:marTop w:val="0"/>
          <w:marBottom w:val="0"/>
          <w:divBdr>
            <w:top w:val="none" w:sz="0" w:space="0" w:color="auto"/>
            <w:left w:val="none" w:sz="0" w:space="0" w:color="auto"/>
            <w:bottom w:val="none" w:sz="0" w:space="0" w:color="auto"/>
            <w:right w:val="none" w:sz="0" w:space="0" w:color="auto"/>
          </w:divBdr>
        </w:div>
        <w:div w:id="923957411">
          <w:marLeft w:val="640"/>
          <w:marRight w:val="0"/>
          <w:marTop w:val="0"/>
          <w:marBottom w:val="0"/>
          <w:divBdr>
            <w:top w:val="none" w:sz="0" w:space="0" w:color="auto"/>
            <w:left w:val="none" w:sz="0" w:space="0" w:color="auto"/>
            <w:bottom w:val="none" w:sz="0" w:space="0" w:color="auto"/>
            <w:right w:val="none" w:sz="0" w:space="0" w:color="auto"/>
          </w:divBdr>
        </w:div>
        <w:div w:id="924454043">
          <w:marLeft w:val="640"/>
          <w:marRight w:val="0"/>
          <w:marTop w:val="0"/>
          <w:marBottom w:val="0"/>
          <w:divBdr>
            <w:top w:val="none" w:sz="0" w:space="0" w:color="auto"/>
            <w:left w:val="none" w:sz="0" w:space="0" w:color="auto"/>
            <w:bottom w:val="none" w:sz="0" w:space="0" w:color="auto"/>
            <w:right w:val="none" w:sz="0" w:space="0" w:color="auto"/>
          </w:divBdr>
        </w:div>
        <w:div w:id="924846273">
          <w:marLeft w:val="640"/>
          <w:marRight w:val="0"/>
          <w:marTop w:val="0"/>
          <w:marBottom w:val="0"/>
          <w:divBdr>
            <w:top w:val="none" w:sz="0" w:space="0" w:color="auto"/>
            <w:left w:val="none" w:sz="0" w:space="0" w:color="auto"/>
            <w:bottom w:val="none" w:sz="0" w:space="0" w:color="auto"/>
            <w:right w:val="none" w:sz="0" w:space="0" w:color="auto"/>
          </w:divBdr>
        </w:div>
        <w:div w:id="930234374">
          <w:marLeft w:val="640"/>
          <w:marRight w:val="0"/>
          <w:marTop w:val="0"/>
          <w:marBottom w:val="0"/>
          <w:divBdr>
            <w:top w:val="none" w:sz="0" w:space="0" w:color="auto"/>
            <w:left w:val="none" w:sz="0" w:space="0" w:color="auto"/>
            <w:bottom w:val="none" w:sz="0" w:space="0" w:color="auto"/>
            <w:right w:val="none" w:sz="0" w:space="0" w:color="auto"/>
          </w:divBdr>
        </w:div>
        <w:div w:id="935673211">
          <w:marLeft w:val="640"/>
          <w:marRight w:val="0"/>
          <w:marTop w:val="0"/>
          <w:marBottom w:val="0"/>
          <w:divBdr>
            <w:top w:val="none" w:sz="0" w:space="0" w:color="auto"/>
            <w:left w:val="none" w:sz="0" w:space="0" w:color="auto"/>
            <w:bottom w:val="none" w:sz="0" w:space="0" w:color="auto"/>
            <w:right w:val="none" w:sz="0" w:space="0" w:color="auto"/>
          </w:divBdr>
        </w:div>
        <w:div w:id="940916963">
          <w:marLeft w:val="640"/>
          <w:marRight w:val="0"/>
          <w:marTop w:val="0"/>
          <w:marBottom w:val="0"/>
          <w:divBdr>
            <w:top w:val="none" w:sz="0" w:space="0" w:color="auto"/>
            <w:left w:val="none" w:sz="0" w:space="0" w:color="auto"/>
            <w:bottom w:val="none" w:sz="0" w:space="0" w:color="auto"/>
            <w:right w:val="none" w:sz="0" w:space="0" w:color="auto"/>
          </w:divBdr>
        </w:div>
        <w:div w:id="942105575">
          <w:marLeft w:val="640"/>
          <w:marRight w:val="0"/>
          <w:marTop w:val="0"/>
          <w:marBottom w:val="0"/>
          <w:divBdr>
            <w:top w:val="none" w:sz="0" w:space="0" w:color="auto"/>
            <w:left w:val="none" w:sz="0" w:space="0" w:color="auto"/>
            <w:bottom w:val="none" w:sz="0" w:space="0" w:color="auto"/>
            <w:right w:val="none" w:sz="0" w:space="0" w:color="auto"/>
          </w:divBdr>
        </w:div>
        <w:div w:id="945230914">
          <w:marLeft w:val="640"/>
          <w:marRight w:val="0"/>
          <w:marTop w:val="0"/>
          <w:marBottom w:val="0"/>
          <w:divBdr>
            <w:top w:val="none" w:sz="0" w:space="0" w:color="auto"/>
            <w:left w:val="none" w:sz="0" w:space="0" w:color="auto"/>
            <w:bottom w:val="none" w:sz="0" w:space="0" w:color="auto"/>
            <w:right w:val="none" w:sz="0" w:space="0" w:color="auto"/>
          </w:divBdr>
        </w:div>
        <w:div w:id="949897916">
          <w:marLeft w:val="640"/>
          <w:marRight w:val="0"/>
          <w:marTop w:val="0"/>
          <w:marBottom w:val="0"/>
          <w:divBdr>
            <w:top w:val="none" w:sz="0" w:space="0" w:color="auto"/>
            <w:left w:val="none" w:sz="0" w:space="0" w:color="auto"/>
            <w:bottom w:val="none" w:sz="0" w:space="0" w:color="auto"/>
            <w:right w:val="none" w:sz="0" w:space="0" w:color="auto"/>
          </w:divBdr>
        </w:div>
        <w:div w:id="949974553">
          <w:marLeft w:val="640"/>
          <w:marRight w:val="0"/>
          <w:marTop w:val="0"/>
          <w:marBottom w:val="0"/>
          <w:divBdr>
            <w:top w:val="none" w:sz="0" w:space="0" w:color="auto"/>
            <w:left w:val="none" w:sz="0" w:space="0" w:color="auto"/>
            <w:bottom w:val="none" w:sz="0" w:space="0" w:color="auto"/>
            <w:right w:val="none" w:sz="0" w:space="0" w:color="auto"/>
          </w:divBdr>
        </w:div>
        <w:div w:id="952712344">
          <w:marLeft w:val="640"/>
          <w:marRight w:val="0"/>
          <w:marTop w:val="0"/>
          <w:marBottom w:val="0"/>
          <w:divBdr>
            <w:top w:val="none" w:sz="0" w:space="0" w:color="auto"/>
            <w:left w:val="none" w:sz="0" w:space="0" w:color="auto"/>
            <w:bottom w:val="none" w:sz="0" w:space="0" w:color="auto"/>
            <w:right w:val="none" w:sz="0" w:space="0" w:color="auto"/>
          </w:divBdr>
        </w:div>
        <w:div w:id="952713752">
          <w:marLeft w:val="640"/>
          <w:marRight w:val="0"/>
          <w:marTop w:val="0"/>
          <w:marBottom w:val="0"/>
          <w:divBdr>
            <w:top w:val="none" w:sz="0" w:space="0" w:color="auto"/>
            <w:left w:val="none" w:sz="0" w:space="0" w:color="auto"/>
            <w:bottom w:val="none" w:sz="0" w:space="0" w:color="auto"/>
            <w:right w:val="none" w:sz="0" w:space="0" w:color="auto"/>
          </w:divBdr>
        </w:div>
        <w:div w:id="958341266">
          <w:marLeft w:val="640"/>
          <w:marRight w:val="0"/>
          <w:marTop w:val="0"/>
          <w:marBottom w:val="0"/>
          <w:divBdr>
            <w:top w:val="none" w:sz="0" w:space="0" w:color="auto"/>
            <w:left w:val="none" w:sz="0" w:space="0" w:color="auto"/>
            <w:bottom w:val="none" w:sz="0" w:space="0" w:color="auto"/>
            <w:right w:val="none" w:sz="0" w:space="0" w:color="auto"/>
          </w:divBdr>
        </w:div>
        <w:div w:id="959646015">
          <w:marLeft w:val="640"/>
          <w:marRight w:val="0"/>
          <w:marTop w:val="0"/>
          <w:marBottom w:val="0"/>
          <w:divBdr>
            <w:top w:val="none" w:sz="0" w:space="0" w:color="auto"/>
            <w:left w:val="none" w:sz="0" w:space="0" w:color="auto"/>
            <w:bottom w:val="none" w:sz="0" w:space="0" w:color="auto"/>
            <w:right w:val="none" w:sz="0" w:space="0" w:color="auto"/>
          </w:divBdr>
        </w:div>
        <w:div w:id="962611844">
          <w:marLeft w:val="640"/>
          <w:marRight w:val="0"/>
          <w:marTop w:val="0"/>
          <w:marBottom w:val="0"/>
          <w:divBdr>
            <w:top w:val="none" w:sz="0" w:space="0" w:color="auto"/>
            <w:left w:val="none" w:sz="0" w:space="0" w:color="auto"/>
            <w:bottom w:val="none" w:sz="0" w:space="0" w:color="auto"/>
            <w:right w:val="none" w:sz="0" w:space="0" w:color="auto"/>
          </w:divBdr>
        </w:div>
        <w:div w:id="970089977">
          <w:marLeft w:val="640"/>
          <w:marRight w:val="0"/>
          <w:marTop w:val="0"/>
          <w:marBottom w:val="0"/>
          <w:divBdr>
            <w:top w:val="none" w:sz="0" w:space="0" w:color="auto"/>
            <w:left w:val="none" w:sz="0" w:space="0" w:color="auto"/>
            <w:bottom w:val="none" w:sz="0" w:space="0" w:color="auto"/>
            <w:right w:val="none" w:sz="0" w:space="0" w:color="auto"/>
          </w:divBdr>
        </w:div>
        <w:div w:id="973751893">
          <w:marLeft w:val="640"/>
          <w:marRight w:val="0"/>
          <w:marTop w:val="0"/>
          <w:marBottom w:val="0"/>
          <w:divBdr>
            <w:top w:val="none" w:sz="0" w:space="0" w:color="auto"/>
            <w:left w:val="none" w:sz="0" w:space="0" w:color="auto"/>
            <w:bottom w:val="none" w:sz="0" w:space="0" w:color="auto"/>
            <w:right w:val="none" w:sz="0" w:space="0" w:color="auto"/>
          </w:divBdr>
        </w:div>
        <w:div w:id="975375433">
          <w:marLeft w:val="640"/>
          <w:marRight w:val="0"/>
          <w:marTop w:val="0"/>
          <w:marBottom w:val="0"/>
          <w:divBdr>
            <w:top w:val="none" w:sz="0" w:space="0" w:color="auto"/>
            <w:left w:val="none" w:sz="0" w:space="0" w:color="auto"/>
            <w:bottom w:val="none" w:sz="0" w:space="0" w:color="auto"/>
            <w:right w:val="none" w:sz="0" w:space="0" w:color="auto"/>
          </w:divBdr>
        </w:div>
        <w:div w:id="976451338">
          <w:marLeft w:val="640"/>
          <w:marRight w:val="0"/>
          <w:marTop w:val="0"/>
          <w:marBottom w:val="0"/>
          <w:divBdr>
            <w:top w:val="none" w:sz="0" w:space="0" w:color="auto"/>
            <w:left w:val="none" w:sz="0" w:space="0" w:color="auto"/>
            <w:bottom w:val="none" w:sz="0" w:space="0" w:color="auto"/>
            <w:right w:val="none" w:sz="0" w:space="0" w:color="auto"/>
          </w:divBdr>
        </w:div>
        <w:div w:id="976958239">
          <w:marLeft w:val="640"/>
          <w:marRight w:val="0"/>
          <w:marTop w:val="0"/>
          <w:marBottom w:val="0"/>
          <w:divBdr>
            <w:top w:val="none" w:sz="0" w:space="0" w:color="auto"/>
            <w:left w:val="none" w:sz="0" w:space="0" w:color="auto"/>
            <w:bottom w:val="none" w:sz="0" w:space="0" w:color="auto"/>
            <w:right w:val="none" w:sz="0" w:space="0" w:color="auto"/>
          </w:divBdr>
        </w:div>
        <w:div w:id="981349647">
          <w:marLeft w:val="640"/>
          <w:marRight w:val="0"/>
          <w:marTop w:val="0"/>
          <w:marBottom w:val="0"/>
          <w:divBdr>
            <w:top w:val="none" w:sz="0" w:space="0" w:color="auto"/>
            <w:left w:val="none" w:sz="0" w:space="0" w:color="auto"/>
            <w:bottom w:val="none" w:sz="0" w:space="0" w:color="auto"/>
            <w:right w:val="none" w:sz="0" w:space="0" w:color="auto"/>
          </w:divBdr>
        </w:div>
        <w:div w:id="981547166">
          <w:marLeft w:val="640"/>
          <w:marRight w:val="0"/>
          <w:marTop w:val="0"/>
          <w:marBottom w:val="0"/>
          <w:divBdr>
            <w:top w:val="none" w:sz="0" w:space="0" w:color="auto"/>
            <w:left w:val="none" w:sz="0" w:space="0" w:color="auto"/>
            <w:bottom w:val="none" w:sz="0" w:space="0" w:color="auto"/>
            <w:right w:val="none" w:sz="0" w:space="0" w:color="auto"/>
          </w:divBdr>
        </w:div>
        <w:div w:id="982929853">
          <w:marLeft w:val="640"/>
          <w:marRight w:val="0"/>
          <w:marTop w:val="0"/>
          <w:marBottom w:val="0"/>
          <w:divBdr>
            <w:top w:val="none" w:sz="0" w:space="0" w:color="auto"/>
            <w:left w:val="none" w:sz="0" w:space="0" w:color="auto"/>
            <w:bottom w:val="none" w:sz="0" w:space="0" w:color="auto"/>
            <w:right w:val="none" w:sz="0" w:space="0" w:color="auto"/>
          </w:divBdr>
        </w:div>
        <w:div w:id="985428314">
          <w:marLeft w:val="640"/>
          <w:marRight w:val="0"/>
          <w:marTop w:val="0"/>
          <w:marBottom w:val="0"/>
          <w:divBdr>
            <w:top w:val="none" w:sz="0" w:space="0" w:color="auto"/>
            <w:left w:val="none" w:sz="0" w:space="0" w:color="auto"/>
            <w:bottom w:val="none" w:sz="0" w:space="0" w:color="auto"/>
            <w:right w:val="none" w:sz="0" w:space="0" w:color="auto"/>
          </w:divBdr>
        </w:div>
        <w:div w:id="986133940">
          <w:marLeft w:val="640"/>
          <w:marRight w:val="0"/>
          <w:marTop w:val="0"/>
          <w:marBottom w:val="0"/>
          <w:divBdr>
            <w:top w:val="none" w:sz="0" w:space="0" w:color="auto"/>
            <w:left w:val="none" w:sz="0" w:space="0" w:color="auto"/>
            <w:bottom w:val="none" w:sz="0" w:space="0" w:color="auto"/>
            <w:right w:val="none" w:sz="0" w:space="0" w:color="auto"/>
          </w:divBdr>
        </w:div>
        <w:div w:id="986710260">
          <w:marLeft w:val="640"/>
          <w:marRight w:val="0"/>
          <w:marTop w:val="0"/>
          <w:marBottom w:val="0"/>
          <w:divBdr>
            <w:top w:val="none" w:sz="0" w:space="0" w:color="auto"/>
            <w:left w:val="none" w:sz="0" w:space="0" w:color="auto"/>
            <w:bottom w:val="none" w:sz="0" w:space="0" w:color="auto"/>
            <w:right w:val="none" w:sz="0" w:space="0" w:color="auto"/>
          </w:divBdr>
        </w:div>
        <w:div w:id="986934084">
          <w:marLeft w:val="640"/>
          <w:marRight w:val="0"/>
          <w:marTop w:val="0"/>
          <w:marBottom w:val="0"/>
          <w:divBdr>
            <w:top w:val="none" w:sz="0" w:space="0" w:color="auto"/>
            <w:left w:val="none" w:sz="0" w:space="0" w:color="auto"/>
            <w:bottom w:val="none" w:sz="0" w:space="0" w:color="auto"/>
            <w:right w:val="none" w:sz="0" w:space="0" w:color="auto"/>
          </w:divBdr>
        </w:div>
        <w:div w:id="990600623">
          <w:marLeft w:val="640"/>
          <w:marRight w:val="0"/>
          <w:marTop w:val="0"/>
          <w:marBottom w:val="0"/>
          <w:divBdr>
            <w:top w:val="none" w:sz="0" w:space="0" w:color="auto"/>
            <w:left w:val="none" w:sz="0" w:space="0" w:color="auto"/>
            <w:bottom w:val="none" w:sz="0" w:space="0" w:color="auto"/>
            <w:right w:val="none" w:sz="0" w:space="0" w:color="auto"/>
          </w:divBdr>
        </w:div>
        <w:div w:id="995574862">
          <w:marLeft w:val="640"/>
          <w:marRight w:val="0"/>
          <w:marTop w:val="0"/>
          <w:marBottom w:val="0"/>
          <w:divBdr>
            <w:top w:val="none" w:sz="0" w:space="0" w:color="auto"/>
            <w:left w:val="none" w:sz="0" w:space="0" w:color="auto"/>
            <w:bottom w:val="none" w:sz="0" w:space="0" w:color="auto"/>
            <w:right w:val="none" w:sz="0" w:space="0" w:color="auto"/>
          </w:divBdr>
        </w:div>
        <w:div w:id="997537172">
          <w:marLeft w:val="640"/>
          <w:marRight w:val="0"/>
          <w:marTop w:val="0"/>
          <w:marBottom w:val="0"/>
          <w:divBdr>
            <w:top w:val="none" w:sz="0" w:space="0" w:color="auto"/>
            <w:left w:val="none" w:sz="0" w:space="0" w:color="auto"/>
            <w:bottom w:val="none" w:sz="0" w:space="0" w:color="auto"/>
            <w:right w:val="none" w:sz="0" w:space="0" w:color="auto"/>
          </w:divBdr>
        </w:div>
        <w:div w:id="1001852580">
          <w:marLeft w:val="640"/>
          <w:marRight w:val="0"/>
          <w:marTop w:val="0"/>
          <w:marBottom w:val="0"/>
          <w:divBdr>
            <w:top w:val="none" w:sz="0" w:space="0" w:color="auto"/>
            <w:left w:val="none" w:sz="0" w:space="0" w:color="auto"/>
            <w:bottom w:val="none" w:sz="0" w:space="0" w:color="auto"/>
            <w:right w:val="none" w:sz="0" w:space="0" w:color="auto"/>
          </w:divBdr>
        </w:div>
        <w:div w:id="1005519988">
          <w:marLeft w:val="640"/>
          <w:marRight w:val="0"/>
          <w:marTop w:val="0"/>
          <w:marBottom w:val="0"/>
          <w:divBdr>
            <w:top w:val="none" w:sz="0" w:space="0" w:color="auto"/>
            <w:left w:val="none" w:sz="0" w:space="0" w:color="auto"/>
            <w:bottom w:val="none" w:sz="0" w:space="0" w:color="auto"/>
            <w:right w:val="none" w:sz="0" w:space="0" w:color="auto"/>
          </w:divBdr>
        </w:div>
        <w:div w:id="1009286426">
          <w:marLeft w:val="640"/>
          <w:marRight w:val="0"/>
          <w:marTop w:val="0"/>
          <w:marBottom w:val="0"/>
          <w:divBdr>
            <w:top w:val="none" w:sz="0" w:space="0" w:color="auto"/>
            <w:left w:val="none" w:sz="0" w:space="0" w:color="auto"/>
            <w:bottom w:val="none" w:sz="0" w:space="0" w:color="auto"/>
            <w:right w:val="none" w:sz="0" w:space="0" w:color="auto"/>
          </w:divBdr>
        </w:div>
        <w:div w:id="1016225701">
          <w:marLeft w:val="640"/>
          <w:marRight w:val="0"/>
          <w:marTop w:val="0"/>
          <w:marBottom w:val="0"/>
          <w:divBdr>
            <w:top w:val="none" w:sz="0" w:space="0" w:color="auto"/>
            <w:left w:val="none" w:sz="0" w:space="0" w:color="auto"/>
            <w:bottom w:val="none" w:sz="0" w:space="0" w:color="auto"/>
            <w:right w:val="none" w:sz="0" w:space="0" w:color="auto"/>
          </w:divBdr>
        </w:div>
        <w:div w:id="1022124056">
          <w:marLeft w:val="640"/>
          <w:marRight w:val="0"/>
          <w:marTop w:val="0"/>
          <w:marBottom w:val="0"/>
          <w:divBdr>
            <w:top w:val="none" w:sz="0" w:space="0" w:color="auto"/>
            <w:left w:val="none" w:sz="0" w:space="0" w:color="auto"/>
            <w:bottom w:val="none" w:sz="0" w:space="0" w:color="auto"/>
            <w:right w:val="none" w:sz="0" w:space="0" w:color="auto"/>
          </w:divBdr>
        </w:div>
        <w:div w:id="1026642516">
          <w:marLeft w:val="640"/>
          <w:marRight w:val="0"/>
          <w:marTop w:val="0"/>
          <w:marBottom w:val="0"/>
          <w:divBdr>
            <w:top w:val="none" w:sz="0" w:space="0" w:color="auto"/>
            <w:left w:val="none" w:sz="0" w:space="0" w:color="auto"/>
            <w:bottom w:val="none" w:sz="0" w:space="0" w:color="auto"/>
            <w:right w:val="none" w:sz="0" w:space="0" w:color="auto"/>
          </w:divBdr>
        </w:div>
        <w:div w:id="1026827673">
          <w:marLeft w:val="640"/>
          <w:marRight w:val="0"/>
          <w:marTop w:val="0"/>
          <w:marBottom w:val="0"/>
          <w:divBdr>
            <w:top w:val="none" w:sz="0" w:space="0" w:color="auto"/>
            <w:left w:val="none" w:sz="0" w:space="0" w:color="auto"/>
            <w:bottom w:val="none" w:sz="0" w:space="0" w:color="auto"/>
            <w:right w:val="none" w:sz="0" w:space="0" w:color="auto"/>
          </w:divBdr>
        </w:div>
        <w:div w:id="1027677010">
          <w:marLeft w:val="640"/>
          <w:marRight w:val="0"/>
          <w:marTop w:val="0"/>
          <w:marBottom w:val="0"/>
          <w:divBdr>
            <w:top w:val="none" w:sz="0" w:space="0" w:color="auto"/>
            <w:left w:val="none" w:sz="0" w:space="0" w:color="auto"/>
            <w:bottom w:val="none" w:sz="0" w:space="0" w:color="auto"/>
            <w:right w:val="none" w:sz="0" w:space="0" w:color="auto"/>
          </w:divBdr>
        </w:div>
        <w:div w:id="1030034357">
          <w:marLeft w:val="640"/>
          <w:marRight w:val="0"/>
          <w:marTop w:val="0"/>
          <w:marBottom w:val="0"/>
          <w:divBdr>
            <w:top w:val="none" w:sz="0" w:space="0" w:color="auto"/>
            <w:left w:val="none" w:sz="0" w:space="0" w:color="auto"/>
            <w:bottom w:val="none" w:sz="0" w:space="0" w:color="auto"/>
            <w:right w:val="none" w:sz="0" w:space="0" w:color="auto"/>
          </w:divBdr>
        </w:div>
        <w:div w:id="1031880241">
          <w:marLeft w:val="640"/>
          <w:marRight w:val="0"/>
          <w:marTop w:val="0"/>
          <w:marBottom w:val="0"/>
          <w:divBdr>
            <w:top w:val="none" w:sz="0" w:space="0" w:color="auto"/>
            <w:left w:val="none" w:sz="0" w:space="0" w:color="auto"/>
            <w:bottom w:val="none" w:sz="0" w:space="0" w:color="auto"/>
            <w:right w:val="none" w:sz="0" w:space="0" w:color="auto"/>
          </w:divBdr>
        </w:div>
        <w:div w:id="1037781396">
          <w:marLeft w:val="640"/>
          <w:marRight w:val="0"/>
          <w:marTop w:val="0"/>
          <w:marBottom w:val="0"/>
          <w:divBdr>
            <w:top w:val="none" w:sz="0" w:space="0" w:color="auto"/>
            <w:left w:val="none" w:sz="0" w:space="0" w:color="auto"/>
            <w:bottom w:val="none" w:sz="0" w:space="0" w:color="auto"/>
            <w:right w:val="none" w:sz="0" w:space="0" w:color="auto"/>
          </w:divBdr>
        </w:div>
        <w:div w:id="1039626560">
          <w:marLeft w:val="640"/>
          <w:marRight w:val="0"/>
          <w:marTop w:val="0"/>
          <w:marBottom w:val="0"/>
          <w:divBdr>
            <w:top w:val="none" w:sz="0" w:space="0" w:color="auto"/>
            <w:left w:val="none" w:sz="0" w:space="0" w:color="auto"/>
            <w:bottom w:val="none" w:sz="0" w:space="0" w:color="auto"/>
            <w:right w:val="none" w:sz="0" w:space="0" w:color="auto"/>
          </w:divBdr>
        </w:div>
        <w:div w:id="1041589288">
          <w:marLeft w:val="640"/>
          <w:marRight w:val="0"/>
          <w:marTop w:val="0"/>
          <w:marBottom w:val="0"/>
          <w:divBdr>
            <w:top w:val="none" w:sz="0" w:space="0" w:color="auto"/>
            <w:left w:val="none" w:sz="0" w:space="0" w:color="auto"/>
            <w:bottom w:val="none" w:sz="0" w:space="0" w:color="auto"/>
            <w:right w:val="none" w:sz="0" w:space="0" w:color="auto"/>
          </w:divBdr>
        </w:div>
        <w:div w:id="1046177425">
          <w:marLeft w:val="640"/>
          <w:marRight w:val="0"/>
          <w:marTop w:val="0"/>
          <w:marBottom w:val="0"/>
          <w:divBdr>
            <w:top w:val="none" w:sz="0" w:space="0" w:color="auto"/>
            <w:left w:val="none" w:sz="0" w:space="0" w:color="auto"/>
            <w:bottom w:val="none" w:sz="0" w:space="0" w:color="auto"/>
            <w:right w:val="none" w:sz="0" w:space="0" w:color="auto"/>
          </w:divBdr>
        </w:div>
        <w:div w:id="1046567657">
          <w:marLeft w:val="640"/>
          <w:marRight w:val="0"/>
          <w:marTop w:val="0"/>
          <w:marBottom w:val="0"/>
          <w:divBdr>
            <w:top w:val="none" w:sz="0" w:space="0" w:color="auto"/>
            <w:left w:val="none" w:sz="0" w:space="0" w:color="auto"/>
            <w:bottom w:val="none" w:sz="0" w:space="0" w:color="auto"/>
            <w:right w:val="none" w:sz="0" w:space="0" w:color="auto"/>
          </w:divBdr>
        </w:div>
        <w:div w:id="1049106461">
          <w:marLeft w:val="640"/>
          <w:marRight w:val="0"/>
          <w:marTop w:val="0"/>
          <w:marBottom w:val="0"/>
          <w:divBdr>
            <w:top w:val="none" w:sz="0" w:space="0" w:color="auto"/>
            <w:left w:val="none" w:sz="0" w:space="0" w:color="auto"/>
            <w:bottom w:val="none" w:sz="0" w:space="0" w:color="auto"/>
            <w:right w:val="none" w:sz="0" w:space="0" w:color="auto"/>
          </w:divBdr>
        </w:div>
        <w:div w:id="1049842531">
          <w:marLeft w:val="640"/>
          <w:marRight w:val="0"/>
          <w:marTop w:val="0"/>
          <w:marBottom w:val="0"/>
          <w:divBdr>
            <w:top w:val="none" w:sz="0" w:space="0" w:color="auto"/>
            <w:left w:val="none" w:sz="0" w:space="0" w:color="auto"/>
            <w:bottom w:val="none" w:sz="0" w:space="0" w:color="auto"/>
            <w:right w:val="none" w:sz="0" w:space="0" w:color="auto"/>
          </w:divBdr>
        </w:div>
        <w:div w:id="1054892496">
          <w:marLeft w:val="640"/>
          <w:marRight w:val="0"/>
          <w:marTop w:val="0"/>
          <w:marBottom w:val="0"/>
          <w:divBdr>
            <w:top w:val="none" w:sz="0" w:space="0" w:color="auto"/>
            <w:left w:val="none" w:sz="0" w:space="0" w:color="auto"/>
            <w:bottom w:val="none" w:sz="0" w:space="0" w:color="auto"/>
            <w:right w:val="none" w:sz="0" w:space="0" w:color="auto"/>
          </w:divBdr>
        </w:div>
        <w:div w:id="1059785779">
          <w:marLeft w:val="640"/>
          <w:marRight w:val="0"/>
          <w:marTop w:val="0"/>
          <w:marBottom w:val="0"/>
          <w:divBdr>
            <w:top w:val="none" w:sz="0" w:space="0" w:color="auto"/>
            <w:left w:val="none" w:sz="0" w:space="0" w:color="auto"/>
            <w:bottom w:val="none" w:sz="0" w:space="0" w:color="auto"/>
            <w:right w:val="none" w:sz="0" w:space="0" w:color="auto"/>
          </w:divBdr>
        </w:div>
        <w:div w:id="1060056007">
          <w:marLeft w:val="640"/>
          <w:marRight w:val="0"/>
          <w:marTop w:val="0"/>
          <w:marBottom w:val="0"/>
          <w:divBdr>
            <w:top w:val="none" w:sz="0" w:space="0" w:color="auto"/>
            <w:left w:val="none" w:sz="0" w:space="0" w:color="auto"/>
            <w:bottom w:val="none" w:sz="0" w:space="0" w:color="auto"/>
            <w:right w:val="none" w:sz="0" w:space="0" w:color="auto"/>
          </w:divBdr>
        </w:div>
        <w:div w:id="1061249604">
          <w:marLeft w:val="640"/>
          <w:marRight w:val="0"/>
          <w:marTop w:val="0"/>
          <w:marBottom w:val="0"/>
          <w:divBdr>
            <w:top w:val="none" w:sz="0" w:space="0" w:color="auto"/>
            <w:left w:val="none" w:sz="0" w:space="0" w:color="auto"/>
            <w:bottom w:val="none" w:sz="0" w:space="0" w:color="auto"/>
            <w:right w:val="none" w:sz="0" w:space="0" w:color="auto"/>
          </w:divBdr>
        </w:div>
        <w:div w:id="1067654838">
          <w:marLeft w:val="640"/>
          <w:marRight w:val="0"/>
          <w:marTop w:val="0"/>
          <w:marBottom w:val="0"/>
          <w:divBdr>
            <w:top w:val="none" w:sz="0" w:space="0" w:color="auto"/>
            <w:left w:val="none" w:sz="0" w:space="0" w:color="auto"/>
            <w:bottom w:val="none" w:sz="0" w:space="0" w:color="auto"/>
            <w:right w:val="none" w:sz="0" w:space="0" w:color="auto"/>
          </w:divBdr>
        </w:div>
        <w:div w:id="1067722461">
          <w:marLeft w:val="640"/>
          <w:marRight w:val="0"/>
          <w:marTop w:val="0"/>
          <w:marBottom w:val="0"/>
          <w:divBdr>
            <w:top w:val="none" w:sz="0" w:space="0" w:color="auto"/>
            <w:left w:val="none" w:sz="0" w:space="0" w:color="auto"/>
            <w:bottom w:val="none" w:sz="0" w:space="0" w:color="auto"/>
            <w:right w:val="none" w:sz="0" w:space="0" w:color="auto"/>
          </w:divBdr>
        </w:div>
        <w:div w:id="1069115258">
          <w:marLeft w:val="640"/>
          <w:marRight w:val="0"/>
          <w:marTop w:val="0"/>
          <w:marBottom w:val="0"/>
          <w:divBdr>
            <w:top w:val="none" w:sz="0" w:space="0" w:color="auto"/>
            <w:left w:val="none" w:sz="0" w:space="0" w:color="auto"/>
            <w:bottom w:val="none" w:sz="0" w:space="0" w:color="auto"/>
            <w:right w:val="none" w:sz="0" w:space="0" w:color="auto"/>
          </w:divBdr>
        </w:div>
        <w:div w:id="1069155868">
          <w:marLeft w:val="640"/>
          <w:marRight w:val="0"/>
          <w:marTop w:val="0"/>
          <w:marBottom w:val="0"/>
          <w:divBdr>
            <w:top w:val="none" w:sz="0" w:space="0" w:color="auto"/>
            <w:left w:val="none" w:sz="0" w:space="0" w:color="auto"/>
            <w:bottom w:val="none" w:sz="0" w:space="0" w:color="auto"/>
            <w:right w:val="none" w:sz="0" w:space="0" w:color="auto"/>
          </w:divBdr>
        </w:div>
        <w:div w:id="1071006224">
          <w:marLeft w:val="640"/>
          <w:marRight w:val="0"/>
          <w:marTop w:val="0"/>
          <w:marBottom w:val="0"/>
          <w:divBdr>
            <w:top w:val="none" w:sz="0" w:space="0" w:color="auto"/>
            <w:left w:val="none" w:sz="0" w:space="0" w:color="auto"/>
            <w:bottom w:val="none" w:sz="0" w:space="0" w:color="auto"/>
            <w:right w:val="none" w:sz="0" w:space="0" w:color="auto"/>
          </w:divBdr>
        </w:div>
        <w:div w:id="1072699779">
          <w:marLeft w:val="640"/>
          <w:marRight w:val="0"/>
          <w:marTop w:val="0"/>
          <w:marBottom w:val="0"/>
          <w:divBdr>
            <w:top w:val="none" w:sz="0" w:space="0" w:color="auto"/>
            <w:left w:val="none" w:sz="0" w:space="0" w:color="auto"/>
            <w:bottom w:val="none" w:sz="0" w:space="0" w:color="auto"/>
            <w:right w:val="none" w:sz="0" w:space="0" w:color="auto"/>
          </w:divBdr>
        </w:div>
        <w:div w:id="1077243520">
          <w:marLeft w:val="640"/>
          <w:marRight w:val="0"/>
          <w:marTop w:val="0"/>
          <w:marBottom w:val="0"/>
          <w:divBdr>
            <w:top w:val="none" w:sz="0" w:space="0" w:color="auto"/>
            <w:left w:val="none" w:sz="0" w:space="0" w:color="auto"/>
            <w:bottom w:val="none" w:sz="0" w:space="0" w:color="auto"/>
            <w:right w:val="none" w:sz="0" w:space="0" w:color="auto"/>
          </w:divBdr>
        </w:div>
        <w:div w:id="1077898767">
          <w:marLeft w:val="640"/>
          <w:marRight w:val="0"/>
          <w:marTop w:val="0"/>
          <w:marBottom w:val="0"/>
          <w:divBdr>
            <w:top w:val="none" w:sz="0" w:space="0" w:color="auto"/>
            <w:left w:val="none" w:sz="0" w:space="0" w:color="auto"/>
            <w:bottom w:val="none" w:sz="0" w:space="0" w:color="auto"/>
            <w:right w:val="none" w:sz="0" w:space="0" w:color="auto"/>
          </w:divBdr>
        </w:div>
        <w:div w:id="1079130489">
          <w:marLeft w:val="640"/>
          <w:marRight w:val="0"/>
          <w:marTop w:val="0"/>
          <w:marBottom w:val="0"/>
          <w:divBdr>
            <w:top w:val="none" w:sz="0" w:space="0" w:color="auto"/>
            <w:left w:val="none" w:sz="0" w:space="0" w:color="auto"/>
            <w:bottom w:val="none" w:sz="0" w:space="0" w:color="auto"/>
            <w:right w:val="none" w:sz="0" w:space="0" w:color="auto"/>
          </w:divBdr>
        </w:div>
        <w:div w:id="1082607792">
          <w:marLeft w:val="640"/>
          <w:marRight w:val="0"/>
          <w:marTop w:val="0"/>
          <w:marBottom w:val="0"/>
          <w:divBdr>
            <w:top w:val="none" w:sz="0" w:space="0" w:color="auto"/>
            <w:left w:val="none" w:sz="0" w:space="0" w:color="auto"/>
            <w:bottom w:val="none" w:sz="0" w:space="0" w:color="auto"/>
            <w:right w:val="none" w:sz="0" w:space="0" w:color="auto"/>
          </w:divBdr>
        </w:div>
        <w:div w:id="1082802069">
          <w:marLeft w:val="640"/>
          <w:marRight w:val="0"/>
          <w:marTop w:val="0"/>
          <w:marBottom w:val="0"/>
          <w:divBdr>
            <w:top w:val="none" w:sz="0" w:space="0" w:color="auto"/>
            <w:left w:val="none" w:sz="0" w:space="0" w:color="auto"/>
            <w:bottom w:val="none" w:sz="0" w:space="0" w:color="auto"/>
            <w:right w:val="none" w:sz="0" w:space="0" w:color="auto"/>
          </w:divBdr>
        </w:div>
        <w:div w:id="1082946433">
          <w:marLeft w:val="640"/>
          <w:marRight w:val="0"/>
          <w:marTop w:val="0"/>
          <w:marBottom w:val="0"/>
          <w:divBdr>
            <w:top w:val="none" w:sz="0" w:space="0" w:color="auto"/>
            <w:left w:val="none" w:sz="0" w:space="0" w:color="auto"/>
            <w:bottom w:val="none" w:sz="0" w:space="0" w:color="auto"/>
            <w:right w:val="none" w:sz="0" w:space="0" w:color="auto"/>
          </w:divBdr>
        </w:div>
        <w:div w:id="1083068601">
          <w:marLeft w:val="640"/>
          <w:marRight w:val="0"/>
          <w:marTop w:val="0"/>
          <w:marBottom w:val="0"/>
          <w:divBdr>
            <w:top w:val="none" w:sz="0" w:space="0" w:color="auto"/>
            <w:left w:val="none" w:sz="0" w:space="0" w:color="auto"/>
            <w:bottom w:val="none" w:sz="0" w:space="0" w:color="auto"/>
            <w:right w:val="none" w:sz="0" w:space="0" w:color="auto"/>
          </w:divBdr>
        </w:div>
        <w:div w:id="1083070580">
          <w:marLeft w:val="640"/>
          <w:marRight w:val="0"/>
          <w:marTop w:val="0"/>
          <w:marBottom w:val="0"/>
          <w:divBdr>
            <w:top w:val="none" w:sz="0" w:space="0" w:color="auto"/>
            <w:left w:val="none" w:sz="0" w:space="0" w:color="auto"/>
            <w:bottom w:val="none" w:sz="0" w:space="0" w:color="auto"/>
            <w:right w:val="none" w:sz="0" w:space="0" w:color="auto"/>
          </w:divBdr>
        </w:div>
        <w:div w:id="1085300592">
          <w:marLeft w:val="640"/>
          <w:marRight w:val="0"/>
          <w:marTop w:val="0"/>
          <w:marBottom w:val="0"/>
          <w:divBdr>
            <w:top w:val="none" w:sz="0" w:space="0" w:color="auto"/>
            <w:left w:val="none" w:sz="0" w:space="0" w:color="auto"/>
            <w:bottom w:val="none" w:sz="0" w:space="0" w:color="auto"/>
            <w:right w:val="none" w:sz="0" w:space="0" w:color="auto"/>
          </w:divBdr>
        </w:div>
        <w:div w:id="1088232758">
          <w:marLeft w:val="640"/>
          <w:marRight w:val="0"/>
          <w:marTop w:val="0"/>
          <w:marBottom w:val="0"/>
          <w:divBdr>
            <w:top w:val="none" w:sz="0" w:space="0" w:color="auto"/>
            <w:left w:val="none" w:sz="0" w:space="0" w:color="auto"/>
            <w:bottom w:val="none" w:sz="0" w:space="0" w:color="auto"/>
            <w:right w:val="none" w:sz="0" w:space="0" w:color="auto"/>
          </w:divBdr>
        </w:div>
        <w:div w:id="1089153289">
          <w:marLeft w:val="640"/>
          <w:marRight w:val="0"/>
          <w:marTop w:val="0"/>
          <w:marBottom w:val="0"/>
          <w:divBdr>
            <w:top w:val="none" w:sz="0" w:space="0" w:color="auto"/>
            <w:left w:val="none" w:sz="0" w:space="0" w:color="auto"/>
            <w:bottom w:val="none" w:sz="0" w:space="0" w:color="auto"/>
            <w:right w:val="none" w:sz="0" w:space="0" w:color="auto"/>
          </w:divBdr>
        </w:div>
        <w:div w:id="1092623915">
          <w:marLeft w:val="640"/>
          <w:marRight w:val="0"/>
          <w:marTop w:val="0"/>
          <w:marBottom w:val="0"/>
          <w:divBdr>
            <w:top w:val="none" w:sz="0" w:space="0" w:color="auto"/>
            <w:left w:val="none" w:sz="0" w:space="0" w:color="auto"/>
            <w:bottom w:val="none" w:sz="0" w:space="0" w:color="auto"/>
            <w:right w:val="none" w:sz="0" w:space="0" w:color="auto"/>
          </w:divBdr>
        </w:div>
        <w:div w:id="1095907703">
          <w:marLeft w:val="640"/>
          <w:marRight w:val="0"/>
          <w:marTop w:val="0"/>
          <w:marBottom w:val="0"/>
          <w:divBdr>
            <w:top w:val="none" w:sz="0" w:space="0" w:color="auto"/>
            <w:left w:val="none" w:sz="0" w:space="0" w:color="auto"/>
            <w:bottom w:val="none" w:sz="0" w:space="0" w:color="auto"/>
            <w:right w:val="none" w:sz="0" w:space="0" w:color="auto"/>
          </w:divBdr>
        </w:div>
        <w:div w:id="1098870034">
          <w:marLeft w:val="640"/>
          <w:marRight w:val="0"/>
          <w:marTop w:val="0"/>
          <w:marBottom w:val="0"/>
          <w:divBdr>
            <w:top w:val="none" w:sz="0" w:space="0" w:color="auto"/>
            <w:left w:val="none" w:sz="0" w:space="0" w:color="auto"/>
            <w:bottom w:val="none" w:sz="0" w:space="0" w:color="auto"/>
            <w:right w:val="none" w:sz="0" w:space="0" w:color="auto"/>
          </w:divBdr>
        </w:div>
        <w:div w:id="1105999749">
          <w:marLeft w:val="640"/>
          <w:marRight w:val="0"/>
          <w:marTop w:val="0"/>
          <w:marBottom w:val="0"/>
          <w:divBdr>
            <w:top w:val="none" w:sz="0" w:space="0" w:color="auto"/>
            <w:left w:val="none" w:sz="0" w:space="0" w:color="auto"/>
            <w:bottom w:val="none" w:sz="0" w:space="0" w:color="auto"/>
            <w:right w:val="none" w:sz="0" w:space="0" w:color="auto"/>
          </w:divBdr>
        </w:div>
        <w:div w:id="1110003820">
          <w:marLeft w:val="640"/>
          <w:marRight w:val="0"/>
          <w:marTop w:val="0"/>
          <w:marBottom w:val="0"/>
          <w:divBdr>
            <w:top w:val="none" w:sz="0" w:space="0" w:color="auto"/>
            <w:left w:val="none" w:sz="0" w:space="0" w:color="auto"/>
            <w:bottom w:val="none" w:sz="0" w:space="0" w:color="auto"/>
            <w:right w:val="none" w:sz="0" w:space="0" w:color="auto"/>
          </w:divBdr>
        </w:div>
        <w:div w:id="1112238871">
          <w:marLeft w:val="640"/>
          <w:marRight w:val="0"/>
          <w:marTop w:val="0"/>
          <w:marBottom w:val="0"/>
          <w:divBdr>
            <w:top w:val="none" w:sz="0" w:space="0" w:color="auto"/>
            <w:left w:val="none" w:sz="0" w:space="0" w:color="auto"/>
            <w:bottom w:val="none" w:sz="0" w:space="0" w:color="auto"/>
            <w:right w:val="none" w:sz="0" w:space="0" w:color="auto"/>
          </w:divBdr>
        </w:div>
        <w:div w:id="1115055944">
          <w:marLeft w:val="640"/>
          <w:marRight w:val="0"/>
          <w:marTop w:val="0"/>
          <w:marBottom w:val="0"/>
          <w:divBdr>
            <w:top w:val="none" w:sz="0" w:space="0" w:color="auto"/>
            <w:left w:val="none" w:sz="0" w:space="0" w:color="auto"/>
            <w:bottom w:val="none" w:sz="0" w:space="0" w:color="auto"/>
            <w:right w:val="none" w:sz="0" w:space="0" w:color="auto"/>
          </w:divBdr>
        </w:div>
        <w:div w:id="1116557834">
          <w:marLeft w:val="640"/>
          <w:marRight w:val="0"/>
          <w:marTop w:val="0"/>
          <w:marBottom w:val="0"/>
          <w:divBdr>
            <w:top w:val="none" w:sz="0" w:space="0" w:color="auto"/>
            <w:left w:val="none" w:sz="0" w:space="0" w:color="auto"/>
            <w:bottom w:val="none" w:sz="0" w:space="0" w:color="auto"/>
            <w:right w:val="none" w:sz="0" w:space="0" w:color="auto"/>
          </w:divBdr>
        </w:div>
        <w:div w:id="1116755486">
          <w:marLeft w:val="640"/>
          <w:marRight w:val="0"/>
          <w:marTop w:val="0"/>
          <w:marBottom w:val="0"/>
          <w:divBdr>
            <w:top w:val="none" w:sz="0" w:space="0" w:color="auto"/>
            <w:left w:val="none" w:sz="0" w:space="0" w:color="auto"/>
            <w:bottom w:val="none" w:sz="0" w:space="0" w:color="auto"/>
            <w:right w:val="none" w:sz="0" w:space="0" w:color="auto"/>
          </w:divBdr>
        </w:div>
        <w:div w:id="1121342685">
          <w:marLeft w:val="640"/>
          <w:marRight w:val="0"/>
          <w:marTop w:val="0"/>
          <w:marBottom w:val="0"/>
          <w:divBdr>
            <w:top w:val="none" w:sz="0" w:space="0" w:color="auto"/>
            <w:left w:val="none" w:sz="0" w:space="0" w:color="auto"/>
            <w:bottom w:val="none" w:sz="0" w:space="0" w:color="auto"/>
            <w:right w:val="none" w:sz="0" w:space="0" w:color="auto"/>
          </w:divBdr>
        </w:div>
        <w:div w:id="1127820481">
          <w:marLeft w:val="640"/>
          <w:marRight w:val="0"/>
          <w:marTop w:val="0"/>
          <w:marBottom w:val="0"/>
          <w:divBdr>
            <w:top w:val="none" w:sz="0" w:space="0" w:color="auto"/>
            <w:left w:val="none" w:sz="0" w:space="0" w:color="auto"/>
            <w:bottom w:val="none" w:sz="0" w:space="0" w:color="auto"/>
            <w:right w:val="none" w:sz="0" w:space="0" w:color="auto"/>
          </w:divBdr>
        </w:div>
        <w:div w:id="1128014280">
          <w:marLeft w:val="640"/>
          <w:marRight w:val="0"/>
          <w:marTop w:val="0"/>
          <w:marBottom w:val="0"/>
          <w:divBdr>
            <w:top w:val="none" w:sz="0" w:space="0" w:color="auto"/>
            <w:left w:val="none" w:sz="0" w:space="0" w:color="auto"/>
            <w:bottom w:val="none" w:sz="0" w:space="0" w:color="auto"/>
            <w:right w:val="none" w:sz="0" w:space="0" w:color="auto"/>
          </w:divBdr>
        </w:div>
        <w:div w:id="1131821072">
          <w:marLeft w:val="640"/>
          <w:marRight w:val="0"/>
          <w:marTop w:val="0"/>
          <w:marBottom w:val="0"/>
          <w:divBdr>
            <w:top w:val="none" w:sz="0" w:space="0" w:color="auto"/>
            <w:left w:val="none" w:sz="0" w:space="0" w:color="auto"/>
            <w:bottom w:val="none" w:sz="0" w:space="0" w:color="auto"/>
            <w:right w:val="none" w:sz="0" w:space="0" w:color="auto"/>
          </w:divBdr>
        </w:div>
        <w:div w:id="1133983647">
          <w:marLeft w:val="640"/>
          <w:marRight w:val="0"/>
          <w:marTop w:val="0"/>
          <w:marBottom w:val="0"/>
          <w:divBdr>
            <w:top w:val="none" w:sz="0" w:space="0" w:color="auto"/>
            <w:left w:val="none" w:sz="0" w:space="0" w:color="auto"/>
            <w:bottom w:val="none" w:sz="0" w:space="0" w:color="auto"/>
            <w:right w:val="none" w:sz="0" w:space="0" w:color="auto"/>
          </w:divBdr>
        </w:div>
        <w:div w:id="1133987120">
          <w:marLeft w:val="640"/>
          <w:marRight w:val="0"/>
          <w:marTop w:val="0"/>
          <w:marBottom w:val="0"/>
          <w:divBdr>
            <w:top w:val="none" w:sz="0" w:space="0" w:color="auto"/>
            <w:left w:val="none" w:sz="0" w:space="0" w:color="auto"/>
            <w:bottom w:val="none" w:sz="0" w:space="0" w:color="auto"/>
            <w:right w:val="none" w:sz="0" w:space="0" w:color="auto"/>
          </w:divBdr>
        </w:div>
        <w:div w:id="1137332726">
          <w:marLeft w:val="640"/>
          <w:marRight w:val="0"/>
          <w:marTop w:val="0"/>
          <w:marBottom w:val="0"/>
          <w:divBdr>
            <w:top w:val="none" w:sz="0" w:space="0" w:color="auto"/>
            <w:left w:val="none" w:sz="0" w:space="0" w:color="auto"/>
            <w:bottom w:val="none" w:sz="0" w:space="0" w:color="auto"/>
            <w:right w:val="none" w:sz="0" w:space="0" w:color="auto"/>
          </w:divBdr>
        </w:div>
        <w:div w:id="1137837160">
          <w:marLeft w:val="640"/>
          <w:marRight w:val="0"/>
          <w:marTop w:val="0"/>
          <w:marBottom w:val="0"/>
          <w:divBdr>
            <w:top w:val="none" w:sz="0" w:space="0" w:color="auto"/>
            <w:left w:val="none" w:sz="0" w:space="0" w:color="auto"/>
            <w:bottom w:val="none" w:sz="0" w:space="0" w:color="auto"/>
            <w:right w:val="none" w:sz="0" w:space="0" w:color="auto"/>
          </w:divBdr>
        </w:div>
        <w:div w:id="1139347990">
          <w:marLeft w:val="640"/>
          <w:marRight w:val="0"/>
          <w:marTop w:val="0"/>
          <w:marBottom w:val="0"/>
          <w:divBdr>
            <w:top w:val="none" w:sz="0" w:space="0" w:color="auto"/>
            <w:left w:val="none" w:sz="0" w:space="0" w:color="auto"/>
            <w:bottom w:val="none" w:sz="0" w:space="0" w:color="auto"/>
            <w:right w:val="none" w:sz="0" w:space="0" w:color="auto"/>
          </w:divBdr>
        </w:div>
        <w:div w:id="1140732056">
          <w:marLeft w:val="640"/>
          <w:marRight w:val="0"/>
          <w:marTop w:val="0"/>
          <w:marBottom w:val="0"/>
          <w:divBdr>
            <w:top w:val="none" w:sz="0" w:space="0" w:color="auto"/>
            <w:left w:val="none" w:sz="0" w:space="0" w:color="auto"/>
            <w:bottom w:val="none" w:sz="0" w:space="0" w:color="auto"/>
            <w:right w:val="none" w:sz="0" w:space="0" w:color="auto"/>
          </w:divBdr>
        </w:div>
        <w:div w:id="1146093878">
          <w:marLeft w:val="640"/>
          <w:marRight w:val="0"/>
          <w:marTop w:val="0"/>
          <w:marBottom w:val="0"/>
          <w:divBdr>
            <w:top w:val="none" w:sz="0" w:space="0" w:color="auto"/>
            <w:left w:val="none" w:sz="0" w:space="0" w:color="auto"/>
            <w:bottom w:val="none" w:sz="0" w:space="0" w:color="auto"/>
            <w:right w:val="none" w:sz="0" w:space="0" w:color="auto"/>
          </w:divBdr>
        </w:div>
        <w:div w:id="1155217374">
          <w:marLeft w:val="640"/>
          <w:marRight w:val="0"/>
          <w:marTop w:val="0"/>
          <w:marBottom w:val="0"/>
          <w:divBdr>
            <w:top w:val="none" w:sz="0" w:space="0" w:color="auto"/>
            <w:left w:val="none" w:sz="0" w:space="0" w:color="auto"/>
            <w:bottom w:val="none" w:sz="0" w:space="0" w:color="auto"/>
            <w:right w:val="none" w:sz="0" w:space="0" w:color="auto"/>
          </w:divBdr>
        </w:div>
        <w:div w:id="1156532938">
          <w:marLeft w:val="640"/>
          <w:marRight w:val="0"/>
          <w:marTop w:val="0"/>
          <w:marBottom w:val="0"/>
          <w:divBdr>
            <w:top w:val="none" w:sz="0" w:space="0" w:color="auto"/>
            <w:left w:val="none" w:sz="0" w:space="0" w:color="auto"/>
            <w:bottom w:val="none" w:sz="0" w:space="0" w:color="auto"/>
            <w:right w:val="none" w:sz="0" w:space="0" w:color="auto"/>
          </w:divBdr>
        </w:div>
        <w:div w:id="1158811942">
          <w:marLeft w:val="640"/>
          <w:marRight w:val="0"/>
          <w:marTop w:val="0"/>
          <w:marBottom w:val="0"/>
          <w:divBdr>
            <w:top w:val="none" w:sz="0" w:space="0" w:color="auto"/>
            <w:left w:val="none" w:sz="0" w:space="0" w:color="auto"/>
            <w:bottom w:val="none" w:sz="0" w:space="0" w:color="auto"/>
            <w:right w:val="none" w:sz="0" w:space="0" w:color="auto"/>
          </w:divBdr>
        </w:div>
        <w:div w:id="1162163047">
          <w:marLeft w:val="640"/>
          <w:marRight w:val="0"/>
          <w:marTop w:val="0"/>
          <w:marBottom w:val="0"/>
          <w:divBdr>
            <w:top w:val="none" w:sz="0" w:space="0" w:color="auto"/>
            <w:left w:val="none" w:sz="0" w:space="0" w:color="auto"/>
            <w:bottom w:val="none" w:sz="0" w:space="0" w:color="auto"/>
            <w:right w:val="none" w:sz="0" w:space="0" w:color="auto"/>
          </w:divBdr>
        </w:div>
        <w:div w:id="1162895755">
          <w:marLeft w:val="640"/>
          <w:marRight w:val="0"/>
          <w:marTop w:val="0"/>
          <w:marBottom w:val="0"/>
          <w:divBdr>
            <w:top w:val="none" w:sz="0" w:space="0" w:color="auto"/>
            <w:left w:val="none" w:sz="0" w:space="0" w:color="auto"/>
            <w:bottom w:val="none" w:sz="0" w:space="0" w:color="auto"/>
            <w:right w:val="none" w:sz="0" w:space="0" w:color="auto"/>
          </w:divBdr>
        </w:div>
        <w:div w:id="1167597582">
          <w:marLeft w:val="640"/>
          <w:marRight w:val="0"/>
          <w:marTop w:val="0"/>
          <w:marBottom w:val="0"/>
          <w:divBdr>
            <w:top w:val="none" w:sz="0" w:space="0" w:color="auto"/>
            <w:left w:val="none" w:sz="0" w:space="0" w:color="auto"/>
            <w:bottom w:val="none" w:sz="0" w:space="0" w:color="auto"/>
            <w:right w:val="none" w:sz="0" w:space="0" w:color="auto"/>
          </w:divBdr>
        </w:div>
        <w:div w:id="1171065063">
          <w:marLeft w:val="640"/>
          <w:marRight w:val="0"/>
          <w:marTop w:val="0"/>
          <w:marBottom w:val="0"/>
          <w:divBdr>
            <w:top w:val="none" w:sz="0" w:space="0" w:color="auto"/>
            <w:left w:val="none" w:sz="0" w:space="0" w:color="auto"/>
            <w:bottom w:val="none" w:sz="0" w:space="0" w:color="auto"/>
            <w:right w:val="none" w:sz="0" w:space="0" w:color="auto"/>
          </w:divBdr>
        </w:div>
        <w:div w:id="1172068097">
          <w:marLeft w:val="640"/>
          <w:marRight w:val="0"/>
          <w:marTop w:val="0"/>
          <w:marBottom w:val="0"/>
          <w:divBdr>
            <w:top w:val="none" w:sz="0" w:space="0" w:color="auto"/>
            <w:left w:val="none" w:sz="0" w:space="0" w:color="auto"/>
            <w:bottom w:val="none" w:sz="0" w:space="0" w:color="auto"/>
            <w:right w:val="none" w:sz="0" w:space="0" w:color="auto"/>
          </w:divBdr>
        </w:div>
        <w:div w:id="1174800215">
          <w:marLeft w:val="640"/>
          <w:marRight w:val="0"/>
          <w:marTop w:val="0"/>
          <w:marBottom w:val="0"/>
          <w:divBdr>
            <w:top w:val="none" w:sz="0" w:space="0" w:color="auto"/>
            <w:left w:val="none" w:sz="0" w:space="0" w:color="auto"/>
            <w:bottom w:val="none" w:sz="0" w:space="0" w:color="auto"/>
            <w:right w:val="none" w:sz="0" w:space="0" w:color="auto"/>
          </w:divBdr>
        </w:div>
        <w:div w:id="1175611766">
          <w:marLeft w:val="640"/>
          <w:marRight w:val="0"/>
          <w:marTop w:val="0"/>
          <w:marBottom w:val="0"/>
          <w:divBdr>
            <w:top w:val="none" w:sz="0" w:space="0" w:color="auto"/>
            <w:left w:val="none" w:sz="0" w:space="0" w:color="auto"/>
            <w:bottom w:val="none" w:sz="0" w:space="0" w:color="auto"/>
            <w:right w:val="none" w:sz="0" w:space="0" w:color="auto"/>
          </w:divBdr>
        </w:div>
        <w:div w:id="1178468847">
          <w:marLeft w:val="640"/>
          <w:marRight w:val="0"/>
          <w:marTop w:val="0"/>
          <w:marBottom w:val="0"/>
          <w:divBdr>
            <w:top w:val="none" w:sz="0" w:space="0" w:color="auto"/>
            <w:left w:val="none" w:sz="0" w:space="0" w:color="auto"/>
            <w:bottom w:val="none" w:sz="0" w:space="0" w:color="auto"/>
            <w:right w:val="none" w:sz="0" w:space="0" w:color="auto"/>
          </w:divBdr>
        </w:div>
        <w:div w:id="1182545428">
          <w:marLeft w:val="640"/>
          <w:marRight w:val="0"/>
          <w:marTop w:val="0"/>
          <w:marBottom w:val="0"/>
          <w:divBdr>
            <w:top w:val="none" w:sz="0" w:space="0" w:color="auto"/>
            <w:left w:val="none" w:sz="0" w:space="0" w:color="auto"/>
            <w:bottom w:val="none" w:sz="0" w:space="0" w:color="auto"/>
            <w:right w:val="none" w:sz="0" w:space="0" w:color="auto"/>
          </w:divBdr>
        </w:div>
        <w:div w:id="1184631914">
          <w:marLeft w:val="640"/>
          <w:marRight w:val="0"/>
          <w:marTop w:val="0"/>
          <w:marBottom w:val="0"/>
          <w:divBdr>
            <w:top w:val="none" w:sz="0" w:space="0" w:color="auto"/>
            <w:left w:val="none" w:sz="0" w:space="0" w:color="auto"/>
            <w:bottom w:val="none" w:sz="0" w:space="0" w:color="auto"/>
            <w:right w:val="none" w:sz="0" w:space="0" w:color="auto"/>
          </w:divBdr>
        </w:div>
        <w:div w:id="1187057852">
          <w:marLeft w:val="640"/>
          <w:marRight w:val="0"/>
          <w:marTop w:val="0"/>
          <w:marBottom w:val="0"/>
          <w:divBdr>
            <w:top w:val="none" w:sz="0" w:space="0" w:color="auto"/>
            <w:left w:val="none" w:sz="0" w:space="0" w:color="auto"/>
            <w:bottom w:val="none" w:sz="0" w:space="0" w:color="auto"/>
            <w:right w:val="none" w:sz="0" w:space="0" w:color="auto"/>
          </w:divBdr>
        </w:div>
        <w:div w:id="1192258315">
          <w:marLeft w:val="640"/>
          <w:marRight w:val="0"/>
          <w:marTop w:val="0"/>
          <w:marBottom w:val="0"/>
          <w:divBdr>
            <w:top w:val="none" w:sz="0" w:space="0" w:color="auto"/>
            <w:left w:val="none" w:sz="0" w:space="0" w:color="auto"/>
            <w:bottom w:val="none" w:sz="0" w:space="0" w:color="auto"/>
            <w:right w:val="none" w:sz="0" w:space="0" w:color="auto"/>
          </w:divBdr>
        </w:div>
        <w:div w:id="1195313800">
          <w:marLeft w:val="640"/>
          <w:marRight w:val="0"/>
          <w:marTop w:val="0"/>
          <w:marBottom w:val="0"/>
          <w:divBdr>
            <w:top w:val="none" w:sz="0" w:space="0" w:color="auto"/>
            <w:left w:val="none" w:sz="0" w:space="0" w:color="auto"/>
            <w:bottom w:val="none" w:sz="0" w:space="0" w:color="auto"/>
            <w:right w:val="none" w:sz="0" w:space="0" w:color="auto"/>
          </w:divBdr>
        </w:div>
        <w:div w:id="1195340861">
          <w:marLeft w:val="640"/>
          <w:marRight w:val="0"/>
          <w:marTop w:val="0"/>
          <w:marBottom w:val="0"/>
          <w:divBdr>
            <w:top w:val="none" w:sz="0" w:space="0" w:color="auto"/>
            <w:left w:val="none" w:sz="0" w:space="0" w:color="auto"/>
            <w:bottom w:val="none" w:sz="0" w:space="0" w:color="auto"/>
            <w:right w:val="none" w:sz="0" w:space="0" w:color="auto"/>
          </w:divBdr>
        </w:div>
        <w:div w:id="1195540298">
          <w:marLeft w:val="640"/>
          <w:marRight w:val="0"/>
          <w:marTop w:val="0"/>
          <w:marBottom w:val="0"/>
          <w:divBdr>
            <w:top w:val="none" w:sz="0" w:space="0" w:color="auto"/>
            <w:left w:val="none" w:sz="0" w:space="0" w:color="auto"/>
            <w:bottom w:val="none" w:sz="0" w:space="0" w:color="auto"/>
            <w:right w:val="none" w:sz="0" w:space="0" w:color="auto"/>
          </w:divBdr>
        </w:div>
        <w:div w:id="1195578250">
          <w:marLeft w:val="640"/>
          <w:marRight w:val="0"/>
          <w:marTop w:val="0"/>
          <w:marBottom w:val="0"/>
          <w:divBdr>
            <w:top w:val="none" w:sz="0" w:space="0" w:color="auto"/>
            <w:left w:val="none" w:sz="0" w:space="0" w:color="auto"/>
            <w:bottom w:val="none" w:sz="0" w:space="0" w:color="auto"/>
            <w:right w:val="none" w:sz="0" w:space="0" w:color="auto"/>
          </w:divBdr>
        </w:div>
        <w:div w:id="1195734114">
          <w:marLeft w:val="640"/>
          <w:marRight w:val="0"/>
          <w:marTop w:val="0"/>
          <w:marBottom w:val="0"/>
          <w:divBdr>
            <w:top w:val="none" w:sz="0" w:space="0" w:color="auto"/>
            <w:left w:val="none" w:sz="0" w:space="0" w:color="auto"/>
            <w:bottom w:val="none" w:sz="0" w:space="0" w:color="auto"/>
            <w:right w:val="none" w:sz="0" w:space="0" w:color="auto"/>
          </w:divBdr>
        </w:div>
        <w:div w:id="1196700748">
          <w:marLeft w:val="640"/>
          <w:marRight w:val="0"/>
          <w:marTop w:val="0"/>
          <w:marBottom w:val="0"/>
          <w:divBdr>
            <w:top w:val="none" w:sz="0" w:space="0" w:color="auto"/>
            <w:left w:val="none" w:sz="0" w:space="0" w:color="auto"/>
            <w:bottom w:val="none" w:sz="0" w:space="0" w:color="auto"/>
            <w:right w:val="none" w:sz="0" w:space="0" w:color="auto"/>
          </w:divBdr>
        </w:div>
        <w:div w:id="1200510018">
          <w:marLeft w:val="640"/>
          <w:marRight w:val="0"/>
          <w:marTop w:val="0"/>
          <w:marBottom w:val="0"/>
          <w:divBdr>
            <w:top w:val="none" w:sz="0" w:space="0" w:color="auto"/>
            <w:left w:val="none" w:sz="0" w:space="0" w:color="auto"/>
            <w:bottom w:val="none" w:sz="0" w:space="0" w:color="auto"/>
            <w:right w:val="none" w:sz="0" w:space="0" w:color="auto"/>
          </w:divBdr>
        </w:div>
        <w:div w:id="1200707035">
          <w:marLeft w:val="640"/>
          <w:marRight w:val="0"/>
          <w:marTop w:val="0"/>
          <w:marBottom w:val="0"/>
          <w:divBdr>
            <w:top w:val="none" w:sz="0" w:space="0" w:color="auto"/>
            <w:left w:val="none" w:sz="0" w:space="0" w:color="auto"/>
            <w:bottom w:val="none" w:sz="0" w:space="0" w:color="auto"/>
            <w:right w:val="none" w:sz="0" w:space="0" w:color="auto"/>
          </w:divBdr>
        </w:div>
        <w:div w:id="1203404565">
          <w:marLeft w:val="640"/>
          <w:marRight w:val="0"/>
          <w:marTop w:val="0"/>
          <w:marBottom w:val="0"/>
          <w:divBdr>
            <w:top w:val="none" w:sz="0" w:space="0" w:color="auto"/>
            <w:left w:val="none" w:sz="0" w:space="0" w:color="auto"/>
            <w:bottom w:val="none" w:sz="0" w:space="0" w:color="auto"/>
            <w:right w:val="none" w:sz="0" w:space="0" w:color="auto"/>
          </w:divBdr>
        </w:div>
        <w:div w:id="1204904123">
          <w:marLeft w:val="640"/>
          <w:marRight w:val="0"/>
          <w:marTop w:val="0"/>
          <w:marBottom w:val="0"/>
          <w:divBdr>
            <w:top w:val="none" w:sz="0" w:space="0" w:color="auto"/>
            <w:left w:val="none" w:sz="0" w:space="0" w:color="auto"/>
            <w:bottom w:val="none" w:sz="0" w:space="0" w:color="auto"/>
            <w:right w:val="none" w:sz="0" w:space="0" w:color="auto"/>
          </w:divBdr>
        </w:div>
        <w:div w:id="1205286070">
          <w:marLeft w:val="640"/>
          <w:marRight w:val="0"/>
          <w:marTop w:val="0"/>
          <w:marBottom w:val="0"/>
          <w:divBdr>
            <w:top w:val="none" w:sz="0" w:space="0" w:color="auto"/>
            <w:left w:val="none" w:sz="0" w:space="0" w:color="auto"/>
            <w:bottom w:val="none" w:sz="0" w:space="0" w:color="auto"/>
            <w:right w:val="none" w:sz="0" w:space="0" w:color="auto"/>
          </w:divBdr>
        </w:div>
        <w:div w:id="1206403473">
          <w:marLeft w:val="640"/>
          <w:marRight w:val="0"/>
          <w:marTop w:val="0"/>
          <w:marBottom w:val="0"/>
          <w:divBdr>
            <w:top w:val="none" w:sz="0" w:space="0" w:color="auto"/>
            <w:left w:val="none" w:sz="0" w:space="0" w:color="auto"/>
            <w:bottom w:val="none" w:sz="0" w:space="0" w:color="auto"/>
            <w:right w:val="none" w:sz="0" w:space="0" w:color="auto"/>
          </w:divBdr>
        </w:div>
        <w:div w:id="1206916409">
          <w:marLeft w:val="640"/>
          <w:marRight w:val="0"/>
          <w:marTop w:val="0"/>
          <w:marBottom w:val="0"/>
          <w:divBdr>
            <w:top w:val="none" w:sz="0" w:space="0" w:color="auto"/>
            <w:left w:val="none" w:sz="0" w:space="0" w:color="auto"/>
            <w:bottom w:val="none" w:sz="0" w:space="0" w:color="auto"/>
            <w:right w:val="none" w:sz="0" w:space="0" w:color="auto"/>
          </w:divBdr>
        </w:div>
        <w:div w:id="1208571905">
          <w:marLeft w:val="640"/>
          <w:marRight w:val="0"/>
          <w:marTop w:val="0"/>
          <w:marBottom w:val="0"/>
          <w:divBdr>
            <w:top w:val="none" w:sz="0" w:space="0" w:color="auto"/>
            <w:left w:val="none" w:sz="0" w:space="0" w:color="auto"/>
            <w:bottom w:val="none" w:sz="0" w:space="0" w:color="auto"/>
            <w:right w:val="none" w:sz="0" w:space="0" w:color="auto"/>
          </w:divBdr>
        </w:div>
        <w:div w:id="1212956015">
          <w:marLeft w:val="640"/>
          <w:marRight w:val="0"/>
          <w:marTop w:val="0"/>
          <w:marBottom w:val="0"/>
          <w:divBdr>
            <w:top w:val="none" w:sz="0" w:space="0" w:color="auto"/>
            <w:left w:val="none" w:sz="0" w:space="0" w:color="auto"/>
            <w:bottom w:val="none" w:sz="0" w:space="0" w:color="auto"/>
            <w:right w:val="none" w:sz="0" w:space="0" w:color="auto"/>
          </w:divBdr>
        </w:div>
        <w:div w:id="1213149424">
          <w:marLeft w:val="640"/>
          <w:marRight w:val="0"/>
          <w:marTop w:val="0"/>
          <w:marBottom w:val="0"/>
          <w:divBdr>
            <w:top w:val="none" w:sz="0" w:space="0" w:color="auto"/>
            <w:left w:val="none" w:sz="0" w:space="0" w:color="auto"/>
            <w:bottom w:val="none" w:sz="0" w:space="0" w:color="auto"/>
            <w:right w:val="none" w:sz="0" w:space="0" w:color="auto"/>
          </w:divBdr>
        </w:div>
        <w:div w:id="1214268488">
          <w:marLeft w:val="640"/>
          <w:marRight w:val="0"/>
          <w:marTop w:val="0"/>
          <w:marBottom w:val="0"/>
          <w:divBdr>
            <w:top w:val="none" w:sz="0" w:space="0" w:color="auto"/>
            <w:left w:val="none" w:sz="0" w:space="0" w:color="auto"/>
            <w:bottom w:val="none" w:sz="0" w:space="0" w:color="auto"/>
            <w:right w:val="none" w:sz="0" w:space="0" w:color="auto"/>
          </w:divBdr>
        </w:div>
        <w:div w:id="1215193259">
          <w:marLeft w:val="640"/>
          <w:marRight w:val="0"/>
          <w:marTop w:val="0"/>
          <w:marBottom w:val="0"/>
          <w:divBdr>
            <w:top w:val="none" w:sz="0" w:space="0" w:color="auto"/>
            <w:left w:val="none" w:sz="0" w:space="0" w:color="auto"/>
            <w:bottom w:val="none" w:sz="0" w:space="0" w:color="auto"/>
            <w:right w:val="none" w:sz="0" w:space="0" w:color="auto"/>
          </w:divBdr>
        </w:div>
        <w:div w:id="1215770915">
          <w:marLeft w:val="640"/>
          <w:marRight w:val="0"/>
          <w:marTop w:val="0"/>
          <w:marBottom w:val="0"/>
          <w:divBdr>
            <w:top w:val="none" w:sz="0" w:space="0" w:color="auto"/>
            <w:left w:val="none" w:sz="0" w:space="0" w:color="auto"/>
            <w:bottom w:val="none" w:sz="0" w:space="0" w:color="auto"/>
            <w:right w:val="none" w:sz="0" w:space="0" w:color="auto"/>
          </w:divBdr>
        </w:div>
        <w:div w:id="1217860573">
          <w:marLeft w:val="640"/>
          <w:marRight w:val="0"/>
          <w:marTop w:val="0"/>
          <w:marBottom w:val="0"/>
          <w:divBdr>
            <w:top w:val="none" w:sz="0" w:space="0" w:color="auto"/>
            <w:left w:val="none" w:sz="0" w:space="0" w:color="auto"/>
            <w:bottom w:val="none" w:sz="0" w:space="0" w:color="auto"/>
            <w:right w:val="none" w:sz="0" w:space="0" w:color="auto"/>
          </w:divBdr>
        </w:div>
        <w:div w:id="1219124766">
          <w:marLeft w:val="640"/>
          <w:marRight w:val="0"/>
          <w:marTop w:val="0"/>
          <w:marBottom w:val="0"/>
          <w:divBdr>
            <w:top w:val="none" w:sz="0" w:space="0" w:color="auto"/>
            <w:left w:val="none" w:sz="0" w:space="0" w:color="auto"/>
            <w:bottom w:val="none" w:sz="0" w:space="0" w:color="auto"/>
            <w:right w:val="none" w:sz="0" w:space="0" w:color="auto"/>
          </w:divBdr>
        </w:div>
        <w:div w:id="1221789453">
          <w:marLeft w:val="640"/>
          <w:marRight w:val="0"/>
          <w:marTop w:val="0"/>
          <w:marBottom w:val="0"/>
          <w:divBdr>
            <w:top w:val="none" w:sz="0" w:space="0" w:color="auto"/>
            <w:left w:val="none" w:sz="0" w:space="0" w:color="auto"/>
            <w:bottom w:val="none" w:sz="0" w:space="0" w:color="auto"/>
            <w:right w:val="none" w:sz="0" w:space="0" w:color="auto"/>
          </w:divBdr>
        </w:div>
        <w:div w:id="1222401151">
          <w:marLeft w:val="640"/>
          <w:marRight w:val="0"/>
          <w:marTop w:val="0"/>
          <w:marBottom w:val="0"/>
          <w:divBdr>
            <w:top w:val="none" w:sz="0" w:space="0" w:color="auto"/>
            <w:left w:val="none" w:sz="0" w:space="0" w:color="auto"/>
            <w:bottom w:val="none" w:sz="0" w:space="0" w:color="auto"/>
            <w:right w:val="none" w:sz="0" w:space="0" w:color="auto"/>
          </w:divBdr>
        </w:div>
        <w:div w:id="1223129806">
          <w:marLeft w:val="640"/>
          <w:marRight w:val="0"/>
          <w:marTop w:val="0"/>
          <w:marBottom w:val="0"/>
          <w:divBdr>
            <w:top w:val="none" w:sz="0" w:space="0" w:color="auto"/>
            <w:left w:val="none" w:sz="0" w:space="0" w:color="auto"/>
            <w:bottom w:val="none" w:sz="0" w:space="0" w:color="auto"/>
            <w:right w:val="none" w:sz="0" w:space="0" w:color="auto"/>
          </w:divBdr>
        </w:div>
        <w:div w:id="1223248881">
          <w:marLeft w:val="640"/>
          <w:marRight w:val="0"/>
          <w:marTop w:val="0"/>
          <w:marBottom w:val="0"/>
          <w:divBdr>
            <w:top w:val="none" w:sz="0" w:space="0" w:color="auto"/>
            <w:left w:val="none" w:sz="0" w:space="0" w:color="auto"/>
            <w:bottom w:val="none" w:sz="0" w:space="0" w:color="auto"/>
            <w:right w:val="none" w:sz="0" w:space="0" w:color="auto"/>
          </w:divBdr>
        </w:div>
        <w:div w:id="1223756230">
          <w:marLeft w:val="640"/>
          <w:marRight w:val="0"/>
          <w:marTop w:val="0"/>
          <w:marBottom w:val="0"/>
          <w:divBdr>
            <w:top w:val="none" w:sz="0" w:space="0" w:color="auto"/>
            <w:left w:val="none" w:sz="0" w:space="0" w:color="auto"/>
            <w:bottom w:val="none" w:sz="0" w:space="0" w:color="auto"/>
            <w:right w:val="none" w:sz="0" w:space="0" w:color="auto"/>
          </w:divBdr>
        </w:div>
        <w:div w:id="1224021491">
          <w:marLeft w:val="640"/>
          <w:marRight w:val="0"/>
          <w:marTop w:val="0"/>
          <w:marBottom w:val="0"/>
          <w:divBdr>
            <w:top w:val="none" w:sz="0" w:space="0" w:color="auto"/>
            <w:left w:val="none" w:sz="0" w:space="0" w:color="auto"/>
            <w:bottom w:val="none" w:sz="0" w:space="0" w:color="auto"/>
            <w:right w:val="none" w:sz="0" w:space="0" w:color="auto"/>
          </w:divBdr>
        </w:div>
        <w:div w:id="1226379655">
          <w:marLeft w:val="640"/>
          <w:marRight w:val="0"/>
          <w:marTop w:val="0"/>
          <w:marBottom w:val="0"/>
          <w:divBdr>
            <w:top w:val="none" w:sz="0" w:space="0" w:color="auto"/>
            <w:left w:val="none" w:sz="0" w:space="0" w:color="auto"/>
            <w:bottom w:val="none" w:sz="0" w:space="0" w:color="auto"/>
            <w:right w:val="none" w:sz="0" w:space="0" w:color="auto"/>
          </w:divBdr>
        </w:div>
        <w:div w:id="1227180267">
          <w:marLeft w:val="640"/>
          <w:marRight w:val="0"/>
          <w:marTop w:val="0"/>
          <w:marBottom w:val="0"/>
          <w:divBdr>
            <w:top w:val="none" w:sz="0" w:space="0" w:color="auto"/>
            <w:left w:val="none" w:sz="0" w:space="0" w:color="auto"/>
            <w:bottom w:val="none" w:sz="0" w:space="0" w:color="auto"/>
            <w:right w:val="none" w:sz="0" w:space="0" w:color="auto"/>
          </w:divBdr>
        </w:div>
        <w:div w:id="1231119525">
          <w:marLeft w:val="640"/>
          <w:marRight w:val="0"/>
          <w:marTop w:val="0"/>
          <w:marBottom w:val="0"/>
          <w:divBdr>
            <w:top w:val="none" w:sz="0" w:space="0" w:color="auto"/>
            <w:left w:val="none" w:sz="0" w:space="0" w:color="auto"/>
            <w:bottom w:val="none" w:sz="0" w:space="0" w:color="auto"/>
            <w:right w:val="none" w:sz="0" w:space="0" w:color="auto"/>
          </w:divBdr>
        </w:div>
        <w:div w:id="1233665128">
          <w:marLeft w:val="640"/>
          <w:marRight w:val="0"/>
          <w:marTop w:val="0"/>
          <w:marBottom w:val="0"/>
          <w:divBdr>
            <w:top w:val="none" w:sz="0" w:space="0" w:color="auto"/>
            <w:left w:val="none" w:sz="0" w:space="0" w:color="auto"/>
            <w:bottom w:val="none" w:sz="0" w:space="0" w:color="auto"/>
            <w:right w:val="none" w:sz="0" w:space="0" w:color="auto"/>
          </w:divBdr>
        </w:div>
        <w:div w:id="1234393524">
          <w:marLeft w:val="640"/>
          <w:marRight w:val="0"/>
          <w:marTop w:val="0"/>
          <w:marBottom w:val="0"/>
          <w:divBdr>
            <w:top w:val="none" w:sz="0" w:space="0" w:color="auto"/>
            <w:left w:val="none" w:sz="0" w:space="0" w:color="auto"/>
            <w:bottom w:val="none" w:sz="0" w:space="0" w:color="auto"/>
            <w:right w:val="none" w:sz="0" w:space="0" w:color="auto"/>
          </w:divBdr>
        </w:div>
        <w:div w:id="1235552105">
          <w:marLeft w:val="640"/>
          <w:marRight w:val="0"/>
          <w:marTop w:val="0"/>
          <w:marBottom w:val="0"/>
          <w:divBdr>
            <w:top w:val="none" w:sz="0" w:space="0" w:color="auto"/>
            <w:left w:val="none" w:sz="0" w:space="0" w:color="auto"/>
            <w:bottom w:val="none" w:sz="0" w:space="0" w:color="auto"/>
            <w:right w:val="none" w:sz="0" w:space="0" w:color="auto"/>
          </w:divBdr>
        </w:div>
        <w:div w:id="1236352147">
          <w:marLeft w:val="640"/>
          <w:marRight w:val="0"/>
          <w:marTop w:val="0"/>
          <w:marBottom w:val="0"/>
          <w:divBdr>
            <w:top w:val="none" w:sz="0" w:space="0" w:color="auto"/>
            <w:left w:val="none" w:sz="0" w:space="0" w:color="auto"/>
            <w:bottom w:val="none" w:sz="0" w:space="0" w:color="auto"/>
            <w:right w:val="none" w:sz="0" w:space="0" w:color="auto"/>
          </w:divBdr>
        </w:div>
        <w:div w:id="1237669565">
          <w:marLeft w:val="640"/>
          <w:marRight w:val="0"/>
          <w:marTop w:val="0"/>
          <w:marBottom w:val="0"/>
          <w:divBdr>
            <w:top w:val="none" w:sz="0" w:space="0" w:color="auto"/>
            <w:left w:val="none" w:sz="0" w:space="0" w:color="auto"/>
            <w:bottom w:val="none" w:sz="0" w:space="0" w:color="auto"/>
            <w:right w:val="none" w:sz="0" w:space="0" w:color="auto"/>
          </w:divBdr>
        </w:div>
        <w:div w:id="1237861471">
          <w:marLeft w:val="640"/>
          <w:marRight w:val="0"/>
          <w:marTop w:val="0"/>
          <w:marBottom w:val="0"/>
          <w:divBdr>
            <w:top w:val="none" w:sz="0" w:space="0" w:color="auto"/>
            <w:left w:val="none" w:sz="0" w:space="0" w:color="auto"/>
            <w:bottom w:val="none" w:sz="0" w:space="0" w:color="auto"/>
            <w:right w:val="none" w:sz="0" w:space="0" w:color="auto"/>
          </w:divBdr>
        </w:div>
        <w:div w:id="1239680306">
          <w:marLeft w:val="640"/>
          <w:marRight w:val="0"/>
          <w:marTop w:val="0"/>
          <w:marBottom w:val="0"/>
          <w:divBdr>
            <w:top w:val="none" w:sz="0" w:space="0" w:color="auto"/>
            <w:left w:val="none" w:sz="0" w:space="0" w:color="auto"/>
            <w:bottom w:val="none" w:sz="0" w:space="0" w:color="auto"/>
            <w:right w:val="none" w:sz="0" w:space="0" w:color="auto"/>
          </w:divBdr>
        </w:div>
        <w:div w:id="1242564772">
          <w:marLeft w:val="640"/>
          <w:marRight w:val="0"/>
          <w:marTop w:val="0"/>
          <w:marBottom w:val="0"/>
          <w:divBdr>
            <w:top w:val="none" w:sz="0" w:space="0" w:color="auto"/>
            <w:left w:val="none" w:sz="0" w:space="0" w:color="auto"/>
            <w:bottom w:val="none" w:sz="0" w:space="0" w:color="auto"/>
            <w:right w:val="none" w:sz="0" w:space="0" w:color="auto"/>
          </w:divBdr>
        </w:div>
        <w:div w:id="1243298810">
          <w:marLeft w:val="640"/>
          <w:marRight w:val="0"/>
          <w:marTop w:val="0"/>
          <w:marBottom w:val="0"/>
          <w:divBdr>
            <w:top w:val="none" w:sz="0" w:space="0" w:color="auto"/>
            <w:left w:val="none" w:sz="0" w:space="0" w:color="auto"/>
            <w:bottom w:val="none" w:sz="0" w:space="0" w:color="auto"/>
            <w:right w:val="none" w:sz="0" w:space="0" w:color="auto"/>
          </w:divBdr>
        </w:div>
        <w:div w:id="1244528796">
          <w:marLeft w:val="640"/>
          <w:marRight w:val="0"/>
          <w:marTop w:val="0"/>
          <w:marBottom w:val="0"/>
          <w:divBdr>
            <w:top w:val="none" w:sz="0" w:space="0" w:color="auto"/>
            <w:left w:val="none" w:sz="0" w:space="0" w:color="auto"/>
            <w:bottom w:val="none" w:sz="0" w:space="0" w:color="auto"/>
            <w:right w:val="none" w:sz="0" w:space="0" w:color="auto"/>
          </w:divBdr>
        </w:div>
        <w:div w:id="1245066232">
          <w:marLeft w:val="640"/>
          <w:marRight w:val="0"/>
          <w:marTop w:val="0"/>
          <w:marBottom w:val="0"/>
          <w:divBdr>
            <w:top w:val="none" w:sz="0" w:space="0" w:color="auto"/>
            <w:left w:val="none" w:sz="0" w:space="0" w:color="auto"/>
            <w:bottom w:val="none" w:sz="0" w:space="0" w:color="auto"/>
            <w:right w:val="none" w:sz="0" w:space="0" w:color="auto"/>
          </w:divBdr>
        </w:div>
        <w:div w:id="1247494199">
          <w:marLeft w:val="640"/>
          <w:marRight w:val="0"/>
          <w:marTop w:val="0"/>
          <w:marBottom w:val="0"/>
          <w:divBdr>
            <w:top w:val="none" w:sz="0" w:space="0" w:color="auto"/>
            <w:left w:val="none" w:sz="0" w:space="0" w:color="auto"/>
            <w:bottom w:val="none" w:sz="0" w:space="0" w:color="auto"/>
            <w:right w:val="none" w:sz="0" w:space="0" w:color="auto"/>
          </w:divBdr>
        </w:div>
        <w:div w:id="1249538619">
          <w:marLeft w:val="640"/>
          <w:marRight w:val="0"/>
          <w:marTop w:val="0"/>
          <w:marBottom w:val="0"/>
          <w:divBdr>
            <w:top w:val="none" w:sz="0" w:space="0" w:color="auto"/>
            <w:left w:val="none" w:sz="0" w:space="0" w:color="auto"/>
            <w:bottom w:val="none" w:sz="0" w:space="0" w:color="auto"/>
            <w:right w:val="none" w:sz="0" w:space="0" w:color="auto"/>
          </w:divBdr>
        </w:div>
        <w:div w:id="1251354349">
          <w:marLeft w:val="640"/>
          <w:marRight w:val="0"/>
          <w:marTop w:val="0"/>
          <w:marBottom w:val="0"/>
          <w:divBdr>
            <w:top w:val="none" w:sz="0" w:space="0" w:color="auto"/>
            <w:left w:val="none" w:sz="0" w:space="0" w:color="auto"/>
            <w:bottom w:val="none" w:sz="0" w:space="0" w:color="auto"/>
            <w:right w:val="none" w:sz="0" w:space="0" w:color="auto"/>
          </w:divBdr>
        </w:div>
        <w:div w:id="1253851551">
          <w:marLeft w:val="640"/>
          <w:marRight w:val="0"/>
          <w:marTop w:val="0"/>
          <w:marBottom w:val="0"/>
          <w:divBdr>
            <w:top w:val="none" w:sz="0" w:space="0" w:color="auto"/>
            <w:left w:val="none" w:sz="0" w:space="0" w:color="auto"/>
            <w:bottom w:val="none" w:sz="0" w:space="0" w:color="auto"/>
            <w:right w:val="none" w:sz="0" w:space="0" w:color="auto"/>
          </w:divBdr>
        </w:div>
        <w:div w:id="1256328116">
          <w:marLeft w:val="640"/>
          <w:marRight w:val="0"/>
          <w:marTop w:val="0"/>
          <w:marBottom w:val="0"/>
          <w:divBdr>
            <w:top w:val="none" w:sz="0" w:space="0" w:color="auto"/>
            <w:left w:val="none" w:sz="0" w:space="0" w:color="auto"/>
            <w:bottom w:val="none" w:sz="0" w:space="0" w:color="auto"/>
            <w:right w:val="none" w:sz="0" w:space="0" w:color="auto"/>
          </w:divBdr>
        </w:div>
        <w:div w:id="1258905054">
          <w:marLeft w:val="640"/>
          <w:marRight w:val="0"/>
          <w:marTop w:val="0"/>
          <w:marBottom w:val="0"/>
          <w:divBdr>
            <w:top w:val="none" w:sz="0" w:space="0" w:color="auto"/>
            <w:left w:val="none" w:sz="0" w:space="0" w:color="auto"/>
            <w:bottom w:val="none" w:sz="0" w:space="0" w:color="auto"/>
            <w:right w:val="none" w:sz="0" w:space="0" w:color="auto"/>
          </w:divBdr>
        </w:div>
        <w:div w:id="1261597675">
          <w:marLeft w:val="640"/>
          <w:marRight w:val="0"/>
          <w:marTop w:val="0"/>
          <w:marBottom w:val="0"/>
          <w:divBdr>
            <w:top w:val="none" w:sz="0" w:space="0" w:color="auto"/>
            <w:left w:val="none" w:sz="0" w:space="0" w:color="auto"/>
            <w:bottom w:val="none" w:sz="0" w:space="0" w:color="auto"/>
            <w:right w:val="none" w:sz="0" w:space="0" w:color="auto"/>
          </w:divBdr>
        </w:div>
        <w:div w:id="1263296632">
          <w:marLeft w:val="640"/>
          <w:marRight w:val="0"/>
          <w:marTop w:val="0"/>
          <w:marBottom w:val="0"/>
          <w:divBdr>
            <w:top w:val="none" w:sz="0" w:space="0" w:color="auto"/>
            <w:left w:val="none" w:sz="0" w:space="0" w:color="auto"/>
            <w:bottom w:val="none" w:sz="0" w:space="0" w:color="auto"/>
            <w:right w:val="none" w:sz="0" w:space="0" w:color="auto"/>
          </w:divBdr>
        </w:div>
        <w:div w:id="1266890194">
          <w:marLeft w:val="640"/>
          <w:marRight w:val="0"/>
          <w:marTop w:val="0"/>
          <w:marBottom w:val="0"/>
          <w:divBdr>
            <w:top w:val="none" w:sz="0" w:space="0" w:color="auto"/>
            <w:left w:val="none" w:sz="0" w:space="0" w:color="auto"/>
            <w:bottom w:val="none" w:sz="0" w:space="0" w:color="auto"/>
            <w:right w:val="none" w:sz="0" w:space="0" w:color="auto"/>
          </w:divBdr>
        </w:div>
        <w:div w:id="1266962998">
          <w:marLeft w:val="640"/>
          <w:marRight w:val="0"/>
          <w:marTop w:val="0"/>
          <w:marBottom w:val="0"/>
          <w:divBdr>
            <w:top w:val="none" w:sz="0" w:space="0" w:color="auto"/>
            <w:left w:val="none" w:sz="0" w:space="0" w:color="auto"/>
            <w:bottom w:val="none" w:sz="0" w:space="0" w:color="auto"/>
            <w:right w:val="none" w:sz="0" w:space="0" w:color="auto"/>
          </w:divBdr>
        </w:div>
        <w:div w:id="1269003833">
          <w:marLeft w:val="640"/>
          <w:marRight w:val="0"/>
          <w:marTop w:val="0"/>
          <w:marBottom w:val="0"/>
          <w:divBdr>
            <w:top w:val="none" w:sz="0" w:space="0" w:color="auto"/>
            <w:left w:val="none" w:sz="0" w:space="0" w:color="auto"/>
            <w:bottom w:val="none" w:sz="0" w:space="0" w:color="auto"/>
            <w:right w:val="none" w:sz="0" w:space="0" w:color="auto"/>
          </w:divBdr>
        </w:div>
        <w:div w:id="1269855388">
          <w:marLeft w:val="640"/>
          <w:marRight w:val="0"/>
          <w:marTop w:val="0"/>
          <w:marBottom w:val="0"/>
          <w:divBdr>
            <w:top w:val="none" w:sz="0" w:space="0" w:color="auto"/>
            <w:left w:val="none" w:sz="0" w:space="0" w:color="auto"/>
            <w:bottom w:val="none" w:sz="0" w:space="0" w:color="auto"/>
            <w:right w:val="none" w:sz="0" w:space="0" w:color="auto"/>
          </w:divBdr>
        </w:div>
        <w:div w:id="1273174128">
          <w:marLeft w:val="640"/>
          <w:marRight w:val="0"/>
          <w:marTop w:val="0"/>
          <w:marBottom w:val="0"/>
          <w:divBdr>
            <w:top w:val="none" w:sz="0" w:space="0" w:color="auto"/>
            <w:left w:val="none" w:sz="0" w:space="0" w:color="auto"/>
            <w:bottom w:val="none" w:sz="0" w:space="0" w:color="auto"/>
            <w:right w:val="none" w:sz="0" w:space="0" w:color="auto"/>
          </w:divBdr>
        </w:div>
        <w:div w:id="1275790626">
          <w:marLeft w:val="640"/>
          <w:marRight w:val="0"/>
          <w:marTop w:val="0"/>
          <w:marBottom w:val="0"/>
          <w:divBdr>
            <w:top w:val="none" w:sz="0" w:space="0" w:color="auto"/>
            <w:left w:val="none" w:sz="0" w:space="0" w:color="auto"/>
            <w:bottom w:val="none" w:sz="0" w:space="0" w:color="auto"/>
            <w:right w:val="none" w:sz="0" w:space="0" w:color="auto"/>
          </w:divBdr>
        </w:div>
        <w:div w:id="1276207913">
          <w:marLeft w:val="640"/>
          <w:marRight w:val="0"/>
          <w:marTop w:val="0"/>
          <w:marBottom w:val="0"/>
          <w:divBdr>
            <w:top w:val="none" w:sz="0" w:space="0" w:color="auto"/>
            <w:left w:val="none" w:sz="0" w:space="0" w:color="auto"/>
            <w:bottom w:val="none" w:sz="0" w:space="0" w:color="auto"/>
            <w:right w:val="none" w:sz="0" w:space="0" w:color="auto"/>
          </w:divBdr>
        </w:div>
        <w:div w:id="1276521342">
          <w:marLeft w:val="640"/>
          <w:marRight w:val="0"/>
          <w:marTop w:val="0"/>
          <w:marBottom w:val="0"/>
          <w:divBdr>
            <w:top w:val="none" w:sz="0" w:space="0" w:color="auto"/>
            <w:left w:val="none" w:sz="0" w:space="0" w:color="auto"/>
            <w:bottom w:val="none" w:sz="0" w:space="0" w:color="auto"/>
            <w:right w:val="none" w:sz="0" w:space="0" w:color="auto"/>
          </w:divBdr>
        </w:div>
        <w:div w:id="1284193663">
          <w:marLeft w:val="640"/>
          <w:marRight w:val="0"/>
          <w:marTop w:val="0"/>
          <w:marBottom w:val="0"/>
          <w:divBdr>
            <w:top w:val="none" w:sz="0" w:space="0" w:color="auto"/>
            <w:left w:val="none" w:sz="0" w:space="0" w:color="auto"/>
            <w:bottom w:val="none" w:sz="0" w:space="0" w:color="auto"/>
            <w:right w:val="none" w:sz="0" w:space="0" w:color="auto"/>
          </w:divBdr>
        </w:div>
        <w:div w:id="1284775605">
          <w:marLeft w:val="640"/>
          <w:marRight w:val="0"/>
          <w:marTop w:val="0"/>
          <w:marBottom w:val="0"/>
          <w:divBdr>
            <w:top w:val="none" w:sz="0" w:space="0" w:color="auto"/>
            <w:left w:val="none" w:sz="0" w:space="0" w:color="auto"/>
            <w:bottom w:val="none" w:sz="0" w:space="0" w:color="auto"/>
            <w:right w:val="none" w:sz="0" w:space="0" w:color="auto"/>
          </w:divBdr>
        </w:div>
        <w:div w:id="1285426827">
          <w:marLeft w:val="640"/>
          <w:marRight w:val="0"/>
          <w:marTop w:val="0"/>
          <w:marBottom w:val="0"/>
          <w:divBdr>
            <w:top w:val="none" w:sz="0" w:space="0" w:color="auto"/>
            <w:left w:val="none" w:sz="0" w:space="0" w:color="auto"/>
            <w:bottom w:val="none" w:sz="0" w:space="0" w:color="auto"/>
            <w:right w:val="none" w:sz="0" w:space="0" w:color="auto"/>
          </w:divBdr>
        </w:div>
        <w:div w:id="1289429054">
          <w:marLeft w:val="640"/>
          <w:marRight w:val="0"/>
          <w:marTop w:val="0"/>
          <w:marBottom w:val="0"/>
          <w:divBdr>
            <w:top w:val="none" w:sz="0" w:space="0" w:color="auto"/>
            <w:left w:val="none" w:sz="0" w:space="0" w:color="auto"/>
            <w:bottom w:val="none" w:sz="0" w:space="0" w:color="auto"/>
            <w:right w:val="none" w:sz="0" w:space="0" w:color="auto"/>
          </w:divBdr>
        </w:div>
        <w:div w:id="1289513124">
          <w:marLeft w:val="640"/>
          <w:marRight w:val="0"/>
          <w:marTop w:val="0"/>
          <w:marBottom w:val="0"/>
          <w:divBdr>
            <w:top w:val="none" w:sz="0" w:space="0" w:color="auto"/>
            <w:left w:val="none" w:sz="0" w:space="0" w:color="auto"/>
            <w:bottom w:val="none" w:sz="0" w:space="0" w:color="auto"/>
            <w:right w:val="none" w:sz="0" w:space="0" w:color="auto"/>
          </w:divBdr>
        </w:div>
        <w:div w:id="1290281841">
          <w:marLeft w:val="640"/>
          <w:marRight w:val="0"/>
          <w:marTop w:val="0"/>
          <w:marBottom w:val="0"/>
          <w:divBdr>
            <w:top w:val="none" w:sz="0" w:space="0" w:color="auto"/>
            <w:left w:val="none" w:sz="0" w:space="0" w:color="auto"/>
            <w:bottom w:val="none" w:sz="0" w:space="0" w:color="auto"/>
            <w:right w:val="none" w:sz="0" w:space="0" w:color="auto"/>
          </w:divBdr>
        </w:div>
        <w:div w:id="1290553058">
          <w:marLeft w:val="640"/>
          <w:marRight w:val="0"/>
          <w:marTop w:val="0"/>
          <w:marBottom w:val="0"/>
          <w:divBdr>
            <w:top w:val="none" w:sz="0" w:space="0" w:color="auto"/>
            <w:left w:val="none" w:sz="0" w:space="0" w:color="auto"/>
            <w:bottom w:val="none" w:sz="0" w:space="0" w:color="auto"/>
            <w:right w:val="none" w:sz="0" w:space="0" w:color="auto"/>
          </w:divBdr>
        </w:div>
        <w:div w:id="1290622958">
          <w:marLeft w:val="640"/>
          <w:marRight w:val="0"/>
          <w:marTop w:val="0"/>
          <w:marBottom w:val="0"/>
          <w:divBdr>
            <w:top w:val="none" w:sz="0" w:space="0" w:color="auto"/>
            <w:left w:val="none" w:sz="0" w:space="0" w:color="auto"/>
            <w:bottom w:val="none" w:sz="0" w:space="0" w:color="auto"/>
            <w:right w:val="none" w:sz="0" w:space="0" w:color="auto"/>
          </w:divBdr>
        </w:div>
        <w:div w:id="1295478887">
          <w:marLeft w:val="640"/>
          <w:marRight w:val="0"/>
          <w:marTop w:val="0"/>
          <w:marBottom w:val="0"/>
          <w:divBdr>
            <w:top w:val="none" w:sz="0" w:space="0" w:color="auto"/>
            <w:left w:val="none" w:sz="0" w:space="0" w:color="auto"/>
            <w:bottom w:val="none" w:sz="0" w:space="0" w:color="auto"/>
            <w:right w:val="none" w:sz="0" w:space="0" w:color="auto"/>
          </w:divBdr>
        </w:div>
        <w:div w:id="1297292396">
          <w:marLeft w:val="640"/>
          <w:marRight w:val="0"/>
          <w:marTop w:val="0"/>
          <w:marBottom w:val="0"/>
          <w:divBdr>
            <w:top w:val="none" w:sz="0" w:space="0" w:color="auto"/>
            <w:left w:val="none" w:sz="0" w:space="0" w:color="auto"/>
            <w:bottom w:val="none" w:sz="0" w:space="0" w:color="auto"/>
            <w:right w:val="none" w:sz="0" w:space="0" w:color="auto"/>
          </w:divBdr>
        </w:div>
        <w:div w:id="1298728182">
          <w:marLeft w:val="640"/>
          <w:marRight w:val="0"/>
          <w:marTop w:val="0"/>
          <w:marBottom w:val="0"/>
          <w:divBdr>
            <w:top w:val="none" w:sz="0" w:space="0" w:color="auto"/>
            <w:left w:val="none" w:sz="0" w:space="0" w:color="auto"/>
            <w:bottom w:val="none" w:sz="0" w:space="0" w:color="auto"/>
            <w:right w:val="none" w:sz="0" w:space="0" w:color="auto"/>
          </w:divBdr>
        </w:div>
        <w:div w:id="1298990057">
          <w:marLeft w:val="640"/>
          <w:marRight w:val="0"/>
          <w:marTop w:val="0"/>
          <w:marBottom w:val="0"/>
          <w:divBdr>
            <w:top w:val="none" w:sz="0" w:space="0" w:color="auto"/>
            <w:left w:val="none" w:sz="0" w:space="0" w:color="auto"/>
            <w:bottom w:val="none" w:sz="0" w:space="0" w:color="auto"/>
            <w:right w:val="none" w:sz="0" w:space="0" w:color="auto"/>
          </w:divBdr>
        </w:div>
        <w:div w:id="1302149956">
          <w:marLeft w:val="640"/>
          <w:marRight w:val="0"/>
          <w:marTop w:val="0"/>
          <w:marBottom w:val="0"/>
          <w:divBdr>
            <w:top w:val="none" w:sz="0" w:space="0" w:color="auto"/>
            <w:left w:val="none" w:sz="0" w:space="0" w:color="auto"/>
            <w:bottom w:val="none" w:sz="0" w:space="0" w:color="auto"/>
            <w:right w:val="none" w:sz="0" w:space="0" w:color="auto"/>
          </w:divBdr>
        </w:div>
        <w:div w:id="1302535231">
          <w:marLeft w:val="640"/>
          <w:marRight w:val="0"/>
          <w:marTop w:val="0"/>
          <w:marBottom w:val="0"/>
          <w:divBdr>
            <w:top w:val="none" w:sz="0" w:space="0" w:color="auto"/>
            <w:left w:val="none" w:sz="0" w:space="0" w:color="auto"/>
            <w:bottom w:val="none" w:sz="0" w:space="0" w:color="auto"/>
            <w:right w:val="none" w:sz="0" w:space="0" w:color="auto"/>
          </w:divBdr>
        </w:div>
        <w:div w:id="1303582305">
          <w:marLeft w:val="640"/>
          <w:marRight w:val="0"/>
          <w:marTop w:val="0"/>
          <w:marBottom w:val="0"/>
          <w:divBdr>
            <w:top w:val="none" w:sz="0" w:space="0" w:color="auto"/>
            <w:left w:val="none" w:sz="0" w:space="0" w:color="auto"/>
            <w:bottom w:val="none" w:sz="0" w:space="0" w:color="auto"/>
            <w:right w:val="none" w:sz="0" w:space="0" w:color="auto"/>
          </w:divBdr>
        </w:div>
        <w:div w:id="1303730910">
          <w:marLeft w:val="640"/>
          <w:marRight w:val="0"/>
          <w:marTop w:val="0"/>
          <w:marBottom w:val="0"/>
          <w:divBdr>
            <w:top w:val="none" w:sz="0" w:space="0" w:color="auto"/>
            <w:left w:val="none" w:sz="0" w:space="0" w:color="auto"/>
            <w:bottom w:val="none" w:sz="0" w:space="0" w:color="auto"/>
            <w:right w:val="none" w:sz="0" w:space="0" w:color="auto"/>
          </w:divBdr>
        </w:div>
        <w:div w:id="1308361808">
          <w:marLeft w:val="640"/>
          <w:marRight w:val="0"/>
          <w:marTop w:val="0"/>
          <w:marBottom w:val="0"/>
          <w:divBdr>
            <w:top w:val="none" w:sz="0" w:space="0" w:color="auto"/>
            <w:left w:val="none" w:sz="0" w:space="0" w:color="auto"/>
            <w:bottom w:val="none" w:sz="0" w:space="0" w:color="auto"/>
            <w:right w:val="none" w:sz="0" w:space="0" w:color="auto"/>
          </w:divBdr>
        </w:div>
        <w:div w:id="1308975686">
          <w:marLeft w:val="640"/>
          <w:marRight w:val="0"/>
          <w:marTop w:val="0"/>
          <w:marBottom w:val="0"/>
          <w:divBdr>
            <w:top w:val="none" w:sz="0" w:space="0" w:color="auto"/>
            <w:left w:val="none" w:sz="0" w:space="0" w:color="auto"/>
            <w:bottom w:val="none" w:sz="0" w:space="0" w:color="auto"/>
            <w:right w:val="none" w:sz="0" w:space="0" w:color="auto"/>
          </w:divBdr>
        </w:div>
        <w:div w:id="1312248765">
          <w:marLeft w:val="640"/>
          <w:marRight w:val="0"/>
          <w:marTop w:val="0"/>
          <w:marBottom w:val="0"/>
          <w:divBdr>
            <w:top w:val="none" w:sz="0" w:space="0" w:color="auto"/>
            <w:left w:val="none" w:sz="0" w:space="0" w:color="auto"/>
            <w:bottom w:val="none" w:sz="0" w:space="0" w:color="auto"/>
            <w:right w:val="none" w:sz="0" w:space="0" w:color="auto"/>
          </w:divBdr>
        </w:div>
        <w:div w:id="1313674362">
          <w:marLeft w:val="640"/>
          <w:marRight w:val="0"/>
          <w:marTop w:val="0"/>
          <w:marBottom w:val="0"/>
          <w:divBdr>
            <w:top w:val="none" w:sz="0" w:space="0" w:color="auto"/>
            <w:left w:val="none" w:sz="0" w:space="0" w:color="auto"/>
            <w:bottom w:val="none" w:sz="0" w:space="0" w:color="auto"/>
            <w:right w:val="none" w:sz="0" w:space="0" w:color="auto"/>
          </w:divBdr>
        </w:div>
        <w:div w:id="1314488208">
          <w:marLeft w:val="640"/>
          <w:marRight w:val="0"/>
          <w:marTop w:val="0"/>
          <w:marBottom w:val="0"/>
          <w:divBdr>
            <w:top w:val="none" w:sz="0" w:space="0" w:color="auto"/>
            <w:left w:val="none" w:sz="0" w:space="0" w:color="auto"/>
            <w:bottom w:val="none" w:sz="0" w:space="0" w:color="auto"/>
            <w:right w:val="none" w:sz="0" w:space="0" w:color="auto"/>
          </w:divBdr>
        </w:div>
        <w:div w:id="1314797391">
          <w:marLeft w:val="640"/>
          <w:marRight w:val="0"/>
          <w:marTop w:val="0"/>
          <w:marBottom w:val="0"/>
          <w:divBdr>
            <w:top w:val="none" w:sz="0" w:space="0" w:color="auto"/>
            <w:left w:val="none" w:sz="0" w:space="0" w:color="auto"/>
            <w:bottom w:val="none" w:sz="0" w:space="0" w:color="auto"/>
            <w:right w:val="none" w:sz="0" w:space="0" w:color="auto"/>
          </w:divBdr>
        </w:div>
        <w:div w:id="1316642104">
          <w:marLeft w:val="640"/>
          <w:marRight w:val="0"/>
          <w:marTop w:val="0"/>
          <w:marBottom w:val="0"/>
          <w:divBdr>
            <w:top w:val="none" w:sz="0" w:space="0" w:color="auto"/>
            <w:left w:val="none" w:sz="0" w:space="0" w:color="auto"/>
            <w:bottom w:val="none" w:sz="0" w:space="0" w:color="auto"/>
            <w:right w:val="none" w:sz="0" w:space="0" w:color="auto"/>
          </w:divBdr>
        </w:div>
        <w:div w:id="1317028884">
          <w:marLeft w:val="640"/>
          <w:marRight w:val="0"/>
          <w:marTop w:val="0"/>
          <w:marBottom w:val="0"/>
          <w:divBdr>
            <w:top w:val="none" w:sz="0" w:space="0" w:color="auto"/>
            <w:left w:val="none" w:sz="0" w:space="0" w:color="auto"/>
            <w:bottom w:val="none" w:sz="0" w:space="0" w:color="auto"/>
            <w:right w:val="none" w:sz="0" w:space="0" w:color="auto"/>
          </w:divBdr>
        </w:div>
        <w:div w:id="1317492325">
          <w:marLeft w:val="640"/>
          <w:marRight w:val="0"/>
          <w:marTop w:val="0"/>
          <w:marBottom w:val="0"/>
          <w:divBdr>
            <w:top w:val="none" w:sz="0" w:space="0" w:color="auto"/>
            <w:left w:val="none" w:sz="0" w:space="0" w:color="auto"/>
            <w:bottom w:val="none" w:sz="0" w:space="0" w:color="auto"/>
            <w:right w:val="none" w:sz="0" w:space="0" w:color="auto"/>
          </w:divBdr>
        </w:div>
        <w:div w:id="1318068062">
          <w:marLeft w:val="640"/>
          <w:marRight w:val="0"/>
          <w:marTop w:val="0"/>
          <w:marBottom w:val="0"/>
          <w:divBdr>
            <w:top w:val="none" w:sz="0" w:space="0" w:color="auto"/>
            <w:left w:val="none" w:sz="0" w:space="0" w:color="auto"/>
            <w:bottom w:val="none" w:sz="0" w:space="0" w:color="auto"/>
            <w:right w:val="none" w:sz="0" w:space="0" w:color="auto"/>
          </w:divBdr>
        </w:div>
        <w:div w:id="1319378354">
          <w:marLeft w:val="640"/>
          <w:marRight w:val="0"/>
          <w:marTop w:val="0"/>
          <w:marBottom w:val="0"/>
          <w:divBdr>
            <w:top w:val="none" w:sz="0" w:space="0" w:color="auto"/>
            <w:left w:val="none" w:sz="0" w:space="0" w:color="auto"/>
            <w:bottom w:val="none" w:sz="0" w:space="0" w:color="auto"/>
            <w:right w:val="none" w:sz="0" w:space="0" w:color="auto"/>
          </w:divBdr>
        </w:div>
        <w:div w:id="1319528853">
          <w:marLeft w:val="640"/>
          <w:marRight w:val="0"/>
          <w:marTop w:val="0"/>
          <w:marBottom w:val="0"/>
          <w:divBdr>
            <w:top w:val="none" w:sz="0" w:space="0" w:color="auto"/>
            <w:left w:val="none" w:sz="0" w:space="0" w:color="auto"/>
            <w:bottom w:val="none" w:sz="0" w:space="0" w:color="auto"/>
            <w:right w:val="none" w:sz="0" w:space="0" w:color="auto"/>
          </w:divBdr>
        </w:div>
        <w:div w:id="1320647217">
          <w:marLeft w:val="640"/>
          <w:marRight w:val="0"/>
          <w:marTop w:val="0"/>
          <w:marBottom w:val="0"/>
          <w:divBdr>
            <w:top w:val="none" w:sz="0" w:space="0" w:color="auto"/>
            <w:left w:val="none" w:sz="0" w:space="0" w:color="auto"/>
            <w:bottom w:val="none" w:sz="0" w:space="0" w:color="auto"/>
            <w:right w:val="none" w:sz="0" w:space="0" w:color="auto"/>
          </w:divBdr>
        </w:div>
        <w:div w:id="1323654665">
          <w:marLeft w:val="640"/>
          <w:marRight w:val="0"/>
          <w:marTop w:val="0"/>
          <w:marBottom w:val="0"/>
          <w:divBdr>
            <w:top w:val="none" w:sz="0" w:space="0" w:color="auto"/>
            <w:left w:val="none" w:sz="0" w:space="0" w:color="auto"/>
            <w:bottom w:val="none" w:sz="0" w:space="0" w:color="auto"/>
            <w:right w:val="none" w:sz="0" w:space="0" w:color="auto"/>
          </w:divBdr>
        </w:div>
        <w:div w:id="1323967896">
          <w:marLeft w:val="640"/>
          <w:marRight w:val="0"/>
          <w:marTop w:val="0"/>
          <w:marBottom w:val="0"/>
          <w:divBdr>
            <w:top w:val="none" w:sz="0" w:space="0" w:color="auto"/>
            <w:left w:val="none" w:sz="0" w:space="0" w:color="auto"/>
            <w:bottom w:val="none" w:sz="0" w:space="0" w:color="auto"/>
            <w:right w:val="none" w:sz="0" w:space="0" w:color="auto"/>
          </w:divBdr>
        </w:div>
        <w:div w:id="1326284198">
          <w:marLeft w:val="640"/>
          <w:marRight w:val="0"/>
          <w:marTop w:val="0"/>
          <w:marBottom w:val="0"/>
          <w:divBdr>
            <w:top w:val="none" w:sz="0" w:space="0" w:color="auto"/>
            <w:left w:val="none" w:sz="0" w:space="0" w:color="auto"/>
            <w:bottom w:val="none" w:sz="0" w:space="0" w:color="auto"/>
            <w:right w:val="none" w:sz="0" w:space="0" w:color="auto"/>
          </w:divBdr>
        </w:div>
        <w:div w:id="1327125594">
          <w:marLeft w:val="640"/>
          <w:marRight w:val="0"/>
          <w:marTop w:val="0"/>
          <w:marBottom w:val="0"/>
          <w:divBdr>
            <w:top w:val="none" w:sz="0" w:space="0" w:color="auto"/>
            <w:left w:val="none" w:sz="0" w:space="0" w:color="auto"/>
            <w:bottom w:val="none" w:sz="0" w:space="0" w:color="auto"/>
            <w:right w:val="none" w:sz="0" w:space="0" w:color="auto"/>
          </w:divBdr>
        </w:div>
        <w:div w:id="1329098353">
          <w:marLeft w:val="640"/>
          <w:marRight w:val="0"/>
          <w:marTop w:val="0"/>
          <w:marBottom w:val="0"/>
          <w:divBdr>
            <w:top w:val="none" w:sz="0" w:space="0" w:color="auto"/>
            <w:left w:val="none" w:sz="0" w:space="0" w:color="auto"/>
            <w:bottom w:val="none" w:sz="0" w:space="0" w:color="auto"/>
            <w:right w:val="none" w:sz="0" w:space="0" w:color="auto"/>
          </w:divBdr>
        </w:div>
        <w:div w:id="1330596772">
          <w:marLeft w:val="640"/>
          <w:marRight w:val="0"/>
          <w:marTop w:val="0"/>
          <w:marBottom w:val="0"/>
          <w:divBdr>
            <w:top w:val="none" w:sz="0" w:space="0" w:color="auto"/>
            <w:left w:val="none" w:sz="0" w:space="0" w:color="auto"/>
            <w:bottom w:val="none" w:sz="0" w:space="0" w:color="auto"/>
            <w:right w:val="none" w:sz="0" w:space="0" w:color="auto"/>
          </w:divBdr>
        </w:div>
        <w:div w:id="1332172265">
          <w:marLeft w:val="640"/>
          <w:marRight w:val="0"/>
          <w:marTop w:val="0"/>
          <w:marBottom w:val="0"/>
          <w:divBdr>
            <w:top w:val="none" w:sz="0" w:space="0" w:color="auto"/>
            <w:left w:val="none" w:sz="0" w:space="0" w:color="auto"/>
            <w:bottom w:val="none" w:sz="0" w:space="0" w:color="auto"/>
            <w:right w:val="none" w:sz="0" w:space="0" w:color="auto"/>
          </w:divBdr>
        </w:div>
        <w:div w:id="1332178791">
          <w:marLeft w:val="640"/>
          <w:marRight w:val="0"/>
          <w:marTop w:val="0"/>
          <w:marBottom w:val="0"/>
          <w:divBdr>
            <w:top w:val="none" w:sz="0" w:space="0" w:color="auto"/>
            <w:left w:val="none" w:sz="0" w:space="0" w:color="auto"/>
            <w:bottom w:val="none" w:sz="0" w:space="0" w:color="auto"/>
            <w:right w:val="none" w:sz="0" w:space="0" w:color="auto"/>
          </w:divBdr>
        </w:div>
        <w:div w:id="1332875788">
          <w:marLeft w:val="640"/>
          <w:marRight w:val="0"/>
          <w:marTop w:val="0"/>
          <w:marBottom w:val="0"/>
          <w:divBdr>
            <w:top w:val="none" w:sz="0" w:space="0" w:color="auto"/>
            <w:left w:val="none" w:sz="0" w:space="0" w:color="auto"/>
            <w:bottom w:val="none" w:sz="0" w:space="0" w:color="auto"/>
            <w:right w:val="none" w:sz="0" w:space="0" w:color="auto"/>
          </w:divBdr>
        </w:div>
        <w:div w:id="1333139939">
          <w:marLeft w:val="640"/>
          <w:marRight w:val="0"/>
          <w:marTop w:val="0"/>
          <w:marBottom w:val="0"/>
          <w:divBdr>
            <w:top w:val="none" w:sz="0" w:space="0" w:color="auto"/>
            <w:left w:val="none" w:sz="0" w:space="0" w:color="auto"/>
            <w:bottom w:val="none" w:sz="0" w:space="0" w:color="auto"/>
            <w:right w:val="none" w:sz="0" w:space="0" w:color="auto"/>
          </w:divBdr>
        </w:div>
        <w:div w:id="1335642347">
          <w:marLeft w:val="640"/>
          <w:marRight w:val="0"/>
          <w:marTop w:val="0"/>
          <w:marBottom w:val="0"/>
          <w:divBdr>
            <w:top w:val="none" w:sz="0" w:space="0" w:color="auto"/>
            <w:left w:val="none" w:sz="0" w:space="0" w:color="auto"/>
            <w:bottom w:val="none" w:sz="0" w:space="0" w:color="auto"/>
            <w:right w:val="none" w:sz="0" w:space="0" w:color="auto"/>
          </w:divBdr>
        </w:div>
        <w:div w:id="1336834551">
          <w:marLeft w:val="640"/>
          <w:marRight w:val="0"/>
          <w:marTop w:val="0"/>
          <w:marBottom w:val="0"/>
          <w:divBdr>
            <w:top w:val="none" w:sz="0" w:space="0" w:color="auto"/>
            <w:left w:val="none" w:sz="0" w:space="0" w:color="auto"/>
            <w:bottom w:val="none" w:sz="0" w:space="0" w:color="auto"/>
            <w:right w:val="none" w:sz="0" w:space="0" w:color="auto"/>
          </w:divBdr>
        </w:div>
        <w:div w:id="1339230172">
          <w:marLeft w:val="640"/>
          <w:marRight w:val="0"/>
          <w:marTop w:val="0"/>
          <w:marBottom w:val="0"/>
          <w:divBdr>
            <w:top w:val="none" w:sz="0" w:space="0" w:color="auto"/>
            <w:left w:val="none" w:sz="0" w:space="0" w:color="auto"/>
            <w:bottom w:val="none" w:sz="0" w:space="0" w:color="auto"/>
            <w:right w:val="none" w:sz="0" w:space="0" w:color="auto"/>
          </w:divBdr>
        </w:div>
        <w:div w:id="1343894847">
          <w:marLeft w:val="640"/>
          <w:marRight w:val="0"/>
          <w:marTop w:val="0"/>
          <w:marBottom w:val="0"/>
          <w:divBdr>
            <w:top w:val="none" w:sz="0" w:space="0" w:color="auto"/>
            <w:left w:val="none" w:sz="0" w:space="0" w:color="auto"/>
            <w:bottom w:val="none" w:sz="0" w:space="0" w:color="auto"/>
            <w:right w:val="none" w:sz="0" w:space="0" w:color="auto"/>
          </w:divBdr>
        </w:div>
        <w:div w:id="1346714943">
          <w:marLeft w:val="640"/>
          <w:marRight w:val="0"/>
          <w:marTop w:val="0"/>
          <w:marBottom w:val="0"/>
          <w:divBdr>
            <w:top w:val="none" w:sz="0" w:space="0" w:color="auto"/>
            <w:left w:val="none" w:sz="0" w:space="0" w:color="auto"/>
            <w:bottom w:val="none" w:sz="0" w:space="0" w:color="auto"/>
            <w:right w:val="none" w:sz="0" w:space="0" w:color="auto"/>
          </w:divBdr>
        </w:div>
        <w:div w:id="1347755444">
          <w:marLeft w:val="640"/>
          <w:marRight w:val="0"/>
          <w:marTop w:val="0"/>
          <w:marBottom w:val="0"/>
          <w:divBdr>
            <w:top w:val="none" w:sz="0" w:space="0" w:color="auto"/>
            <w:left w:val="none" w:sz="0" w:space="0" w:color="auto"/>
            <w:bottom w:val="none" w:sz="0" w:space="0" w:color="auto"/>
            <w:right w:val="none" w:sz="0" w:space="0" w:color="auto"/>
          </w:divBdr>
        </w:div>
        <w:div w:id="1349671481">
          <w:marLeft w:val="640"/>
          <w:marRight w:val="0"/>
          <w:marTop w:val="0"/>
          <w:marBottom w:val="0"/>
          <w:divBdr>
            <w:top w:val="none" w:sz="0" w:space="0" w:color="auto"/>
            <w:left w:val="none" w:sz="0" w:space="0" w:color="auto"/>
            <w:bottom w:val="none" w:sz="0" w:space="0" w:color="auto"/>
            <w:right w:val="none" w:sz="0" w:space="0" w:color="auto"/>
          </w:divBdr>
        </w:div>
        <w:div w:id="1350987069">
          <w:marLeft w:val="640"/>
          <w:marRight w:val="0"/>
          <w:marTop w:val="0"/>
          <w:marBottom w:val="0"/>
          <w:divBdr>
            <w:top w:val="none" w:sz="0" w:space="0" w:color="auto"/>
            <w:left w:val="none" w:sz="0" w:space="0" w:color="auto"/>
            <w:bottom w:val="none" w:sz="0" w:space="0" w:color="auto"/>
            <w:right w:val="none" w:sz="0" w:space="0" w:color="auto"/>
          </w:divBdr>
        </w:div>
        <w:div w:id="1354527885">
          <w:marLeft w:val="640"/>
          <w:marRight w:val="0"/>
          <w:marTop w:val="0"/>
          <w:marBottom w:val="0"/>
          <w:divBdr>
            <w:top w:val="none" w:sz="0" w:space="0" w:color="auto"/>
            <w:left w:val="none" w:sz="0" w:space="0" w:color="auto"/>
            <w:bottom w:val="none" w:sz="0" w:space="0" w:color="auto"/>
            <w:right w:val="none" w:sz="0" w:space="0" w:color="auto"/>
          </w:divBdr>
        </w:div>
        <w:div w:id="1356543448">
          <w:marLeft w:val="640"/>
          <w:marRight w:val="0"/>
          <w:marTop w:val="0"/>
          <w:marBottom w:val="0"/>
          <w:divBdr>
            <w:top w:val="none" w:sz="0" w:space="0" w:color="auto"/>
            <w:left w:val="none" w:sz="0" w:space="0" w:color="auto"/>
            <w:bottom w:val="none" w:sz="0" w:space="0" w:color="auto"/>
            <w:right w:val="none" w:sz="0" w:space="0" w:color="auto"/>
          </w:divBdr>
        </w:div>
        <w:div w:id="1365402576">
          <w:marLeft w:val="640"/>
          <w:marRight w:val="0"/>
          <w:marTop w:val="0"/>
          <w:marBottom w:val="0"/>
          <w:divBdr>
            <w:top w:val="none" w:sz="0" w:space="0" w:color="auto"/>
            <w:left w:val="none" w:sz="0" w:space="0" w:color="auto"/>
            <w:bottom w:val="none" w:sz="0" w:space="0" w:color="auto"/>
            <w:right w:val="none" w:sz="0" w:space="0" w:color="auto"/>
          </w:divBdr>
        </w:div>
        <w:div w:id="1367170353">
          <w:marLeft w:val="640"/>
          <w:marRight w:val="0"/>
          <w:marTop w:val="0"/>
          <w:marBottom w:val="0"/>
          <w:divBdr>
            <w:top w:val="none" w:sz="0" w:space="0" w:color="auto"/>
            <w:left w:val="none" w:sz="0" w:space="0" w:color="auto"/>
            <w:bottom w:val="none" w:sz="0" w:space="0" w:color="auto"/>
            <w:right w:val="none" w:sz="0" w:space="0" w:color="auto"/>
          </w:divBdr>
        </w:div>
        <w:div w:id="1369377640">
          <w:marLeft w:val="640"/>
          <w:marRight w:val="0"/>
          <w:marTop w:val="0"/>
          <w:marBottom w:val="0"/>
          <w:divBdr>
            <w:top w:val="none" w:sz="0" w:space="0" w:color="auto"/>
            <w:left w:val="none" w:sz="0" w:space="0" w:color="auto"/>
            <w:bottom w:val="none" w:sz="0" w:space="0" w:color="auto"/>
            <w:right w:val="none" w:sz="0" w:space="0" w:color="auto"/>
          </w:divBdr>
        </w:div>
        <w:div w:id="1372414389">
          <w:marLeft w:val="640"/>
          <w:marRight w:val="0"/>
          <w:marTop w:val="0"/>
          <w:marBottom w:val="0"/>
          <w:divBdr>
            <w:top w:val="none" w:sz="0" w:space="0" w:color="auto"/>
            <w:left w:val="none" w:sz="0" w:space="0" w:color="auto"/>
            <w:bottom w:val="none" w:sz="0" w:space="0" w:color="auto"/>
            <w:right w:val="none" w:sz="0" w:space="0" w:color="auto"/>
          </w:divBdr>
        </w:div>
        <w:div w:id="1376084329">
          <w:marLeft w:val="640"/>
          <w:marRight w:val="0"/>
          <w:marTop w:val="0"/>
          <w:marBottom w:val="0"/>
          <w:divBdr>
            <w:top w:val="none" w:sz="0" w:space="0" w:color="auto"/>
            <w:left w:val="none" w:sz="0" w:space="0" w:color="auto"/>
            <w:bottom w:val="none" w:sz="0" w:space="0" w:color="auto"/>
            <w:right w:val="none" w:sz="0" w:space="0" w:color="auto"/>
          </w:divBdr>
        </w:div>
        <w:div w:id="1376855942">
          <w:marLeft w:val="640"/>
          <w:marRight w:val="0"/>
          <w:marTop w:val="0"/>
          <w:marBottom w:val="0"/>
          <w:divBdr>
            <w:top w:val="none" w:sz="0" w:space="0" w:color="auto"/>
            <w:left w:val="none" w:sz="0" w:space="0" w:color="auto"/>
            <w:bottom w:val="none" w:sz="0" w:space="0" w:color="auto"/>
            <w:right w:val="none" w:sz="0" w:space="0" w:color="auto"/>
          </w:divBdr>
        </w:div>
        <w:div w:id="1377973574">
          <w:marLeft w:val="640"/>
          <w:marRight w:val="0"/>
          <w:marTop w:val="0"/>
          <w:marBottom w:val="0"/>
          <w:divBdr>
            <w:top w:val="none" w:sz="0" w:space="0" w:color="auto"/>
            <w:left w:val="none" w:sz="0" w:space="0" w:color="auto"/>
            <w:bottom w:val="none" w:sz="0" w:space="0" w:color="auto"/>
            <w:right w:val="none" w:sz="0" w:space="0" w:color="auto"/>
          </w:divBdr>
        </w:div>
        <w:div w:id="1379014732">
          <w:marLeft w:val="640"/>
          <w:marRight w:val="0"/>
          <w:marTop w:val="0"/>
          <w:marBottom w:val="0"/>
          <w:divBdr>
            <w:top w:val="none" w:sz="0" w:space="0" w:color="auto"/>
            <w:left w:val="none" w:sz="0" w:space="0" w:color="auto"/>
            <w:bottom w:val="none" w:sz="0" w:space="0" w:color="auto"/>
            <w:right w:val="none" w:sz="0" w:space="0" w:color="auto"/>
          </w:divBdr>
        </w:div>
        <w:div w:id="1379353687">
          <w:marLeft w:val="640"/>
          <w:marRight w:val="0"/>
          <w:marTop w:val="0"/>
          <w:marBottom w:val="0"/>
          <w:divBdr>
            <w:top w:val="none" w:sz="0" w:space="0" w:color="auto"/>
            <w:left w:val="none" w:sz="0" w:space="0" w:color="auto"/>
            <w:bottom w:val="none" w:sz="0" w:space="0" w:color="auto"/>
            <w:right w:val="none" w:sz="0" w:space="0" w:color="auto"/>
          </w:divBdr>
        </w:div>
        <w:div w:id="1379822250">
          <w:marLeft w:val="640"/>
          <w:marRight w:val="0"/>
          <w:marTop w:val="0"/>
          <w:marBottom w:val="0"/>
          <w:divBdr>
            <w:top w:val="none" w:sz="0" w:space="0" w:color="auto"/>
            <w:left w:val="none" w:sz="0" w:space="0" w:color="auto"/>
            <w:bottom w:val="none" w:sz="0" w:space="0" w:color="auto"/>
            <w:right w:val="none" w:sz="0" w:space="0" w:color="auto"/>
          </w:divBdr>
        </w:div>
        <w:div w:id="1382636546">
          <w:marLeft w:val="640"/>
          <w:marRight w:val="0"/>
          <w:marTop w:val="0"/>
          <w:marBottom w:val="0"/>
          <w:divBdr>
            <w:top w:val="none" w:sz="0" w:space="0" w:color="auto"/>
            <w:left w:val="none" w:sz="0" w:space="0" w:color="auto"/>
            <w:bottom w:val="none" w:sz="0" w:space="0" w:color="auto"/>
            <w:right w:val="none" w:sz="0" w:space="0" w:color="auto"/>
          </w:divBdr>
        </w:div>
        <w:div w:id="1387796525">
          <w:marLeft w:val="640"/>
          <w:marRight w:val="0"/>
          <w:marTop w:val="0"/>
          <w:marBottom w:val="0"/>
          <w:divBdr>
            <w:top w:val="none" w:sz="0" w:space="0" w:color="auto"/>
            <w:left w:val="none" w:sz="0" w:space="0" w:color="auto"/>
            <w:bottom w:val="none" w:sz="0" w:space="0" w:color="auto"/>
            <w:right w:val="none" w:sz="0" w:space="0" w:color="auto"/>
          </w:divBdr>
        </w:div>
        <w:div w:id="1388143707">
          <w:marLeft w:val="640"/>
          <w:marRight w:val="0"/>
          <w:marTop w:val="0"/>
          <w:marBottom w:val="0"/>
          <w:divBdr>
            <w:top w:val="none" w:sz="0" w:space="0" w:color="auto"/>
            <w:left w:val="none" w:sz="0" w:space="0" w:color="auto"/>
            <w:bottom w:val="none" w:sz="0" w:space="0" w:color="auto"/>
            <w:right w:val="none" w:sz="0" w:space="0" w:color="auto"/>
          </w:divBdr>
        </w:div>
        <w:div w:id="1388646110">
          <w:marLeft w:val="640"/>
          <w:marRight w:val="0"/>
          <w:marTop w:val="0"/>
          <w:marBottom w:val="0"/>
          <w:divBdr>
            <w:top w:val="none" w:sz="0" w:space="0" w:color="auto"/>
            <w:left w:val="none" w:sz="0" w:space="0" w:color="auto"/>
            <w:bottom w:val="none" w:sz="0" w:space="0" w:color="auto"/>
            <w:right w:val="none" w:sz="0" w:space="0" w:color="auto"/>
          </w:divBdr>
        </w:div>
        <w:div w:id="1389301462">
          <w:marLeft w:val="640"/>
          <w:marRight w:val="0"/>
          <w:marTop w:val="0"/>
          <w:marBottom w:val="0"/>
          <w:divBdr>
            <w:top w:val="none" w:sz="0" w:space="0" w:color="auto"/>
            <w:left w:val="none" w:sz="0" w:space="0" w:color="auto"/>
            <w:bottom w:val="none" w:sz="0" w:space="0" w:color="auto"/>
            <w:right w:val="none" w:sz="0" w:space="0" w:color="auto"/>
          </w:divBdr>
        </w:div>
        <w:div w:id="1395667464">
          <w:marLeft w:val="640"/>
          <w:marRight w:val="0"/>
          <w:marTop w:val="0"/>
          <w:marBottom w:val="0"/>
          <w:divBdr>
            <w:top w:val="none" w:sz="0" w:space="0" w:color="auto"/>
            <w:left w:val="none" w:sz="0" w:space="0" w:color="auto"/>
            <w:bottom w:val="none" w:sz="0" w:space="0" w:color="auto"/>
            <w:right w:val="none" w:sz="0" w:space="0" w:color="auto"/>
          </w:divBdr>
        </w:div>
        <w:div w:id="1396276262">
          <w:marLeft w:val="640"/>
          <w:marRight w:val="0"/>
          <w:marTop w:val="0"/>
          <w:marBottom w:val="0"/>
          <w:divBdr>
            <w:top w:val="none" w:sz="0" w:space="0" w:color="auto"/>
            <w:left w:val="none" w:sz="0" w:space="0" w:color="auto"/>
            <w:bottom w:val="none" w:sz="0" w:space="0" w:color="auto"/>
            <w:right w:val="none" w:sz="0" w:space="0" w:color="auto"/>
          </w:divBdr>
        </w:div>
        <w:div w:id="1398043210">
          <w:marLeft w:val="640"/>
          <w:marRight w:val="0"/>
          <w:marTop w:val="0"/>
          <w:marBottom w:val="0"/>
          <w:divBdr>
            <w:top w:val="none" w:sz="0" w:space="0" w:color="auto"/>
            <w:left w:val="none" w:sz="0" w:space="0" w:color="auto"/>
            <w:bottom w:val="none" w:sz="0" w:space="0" w:color="auto"/>
            <w:right w:val="none" w:sz="0" w:space="0" w:color="auto"/>
          </w:divBdr>
        </w:div>
        <w:div w:id="1403288710">
          <w:marLeft w:val="640"/>
          <w:marRight w:val="0"/>
          <w:marTop w:val="0"/>
          <w:marBottom w:val="0"/>
          <w:divBdr>
            <w:top w:val="none" w:sz="0" w:space="0" w:color="auto"/>
            <w:left w:val="none" w:sz="0" w:space="0" w:color="auto"/>
            <w:bottom w:val="none" w:sz="0" w:space="0" w:color="auto"/>
            <w:right w:val="none" w:sz="0" w:space="0" w:color="auto"/>
          </w:divBdr>
        </w:div>
        <w:div w:id="1404983621">
          <w:marLeft w:val="640"/>
          <w:marRight w:val="0"/>
          <w:marTop w:val="0"/>
          <w:marBottom w:val="0"/>
          <w:divBdr>
            <w:top w:val="none" w:sz="0" w:space="0" w:color="auto"/>
            <w:left w:val="none" w:sz="0" w:space="0" w:color="auto"/>
            <w:bottom w:val="none" w:sz="0" w:space="0" w:color="auto"/>
            <w:right w:val="none" w:sz="0" w:space="0" w:color="auto"/>
          </w:divBdr>
        </w:div>
        <w:div w:id="1406221817">
          <w:marLeft w:val="640"/>
          <w:marRight w:val="0"/>
          <w:marTop w:val="0"/>
          <w:marBottom w:val="0"/>
          <w:divBdr>
            <w:top w:val="none" w:sz="0" w:space="0" w:color="auto"/>
            <w:left w:val="none" w:sz="0" w:space="0" w:color="auto"/>
            <w:bottom w:val="none" w:sz="0" w:space="0" w:color="auto"/>
            <w:right w:val="none" w:sz="0" w:space="0" w:color="auto"/>
          </w:divBdr>
        </w:div>
        <w:div w:id="1407531827">
          <w:marLeft w:val="640"/>
          <w:marRight w:val="0"/>
          <w:marTop w:val="0"/>
          <w:marBottom w:val="0"/>
          <w:divBdr>
            <w:top w:val="none" w:sz="0" w:space="0" w:color="auto"/>
            <w:left w:val="none" w:sz="0" w:space="0" w:color="auto"/>
            <w:bottom w:val="none" w:sz="0" w:space="0" w:color="auto"/>
            <w:right w:val="none" w:sz="0" w:space="0" w:color="auto"/>
          </w:divBdr>
        </w:div>
        <w:div w:id="1409227425">
          <w:marLeft w:val="640"/>
          <w:marRight w:val="0"/>
          <w:marTop w:val="0"/>
          <w:marBottom w:val="0"/>
          <w:divBdr>
            <w:top w:val="none" w:sz="0" w:space="0" w:color="auto"/>
            <w:left w:val="none" w:sz="0" w:space="0" w:color="auto"/>
            <w:bottom w:val="none" w:sz="0" w:space="0" w:color="auto"/>
            <w:right w:val="none" w:sz="0" w:space="0" w:color="auto"/>
          </w:divBdr>
        </w:div>
        <w:div w:id="1411728324">
          <w:marLeft w:val="640"/>
          <w:marRight w:val="0"/>
          <w:marTop w:val="0"/>
          <w:marBottom w:val="0"/>
          <w:divBdr>
            <w:top w:val="none" w:sz="0" w:space="0" w:color="auto"/>
            <w:left w:val="none" w:sz="0" w:space="0" w:color="auto"/>
            <w:bottom w:val="none" w:sz="0" w:space="0" w:color="auto"/>
            <w:right w:val="none" w:sz="0" w:space="0" w:color="auto"/>
          </w:divBdr>
        </w:div>
        <w:div w:id="1413694672">
          <w:marLeft w:val="640"/>
          <w:marRight w:val="0"/>
          <w:marTop w:val="0"/>
          <w:marBottom w:val="0"/>
          <w:divBdr>
            <w:top w:val="none" w:sz="0" w:space="0" w:color="auto"/>
            <w:left w:val="none" w:sz="0" w:space="0" w:color="auto"/>
            <w:bottom w:val="none" w:sz="0" w:space="0" w:color="auto"/>
            <w:right w:val="none" w:sz="0" w:space="0" w:color="auto"/>
          </w:divBdr>
        </w:div>
        <w:div w:id="1415708864">
          <w:marLeft w:val="640"/>
          <w:marRight w:val="0"/>
          <w:marTop w:val="0"/>
          <w:marBottom w:val="0"/>
          <w:divBdr>
            <w:top w:val="none" w:sz="0" w:space="0" w:color="auto"/>
            <w:left w:val="none" w:sz="0" w:space="0" w:color="auto"/>
            <w:bottom w:val="none" w:sz="0" w:space="0" w:color="auto"/>
            <w:right w:val="none" w:sz="0" w:space="0" w:color="auto"/>
          </w:divBdr>
        </w:div>
        <w:div w:id="1417286703">
          <w:marLeft w:val="640"/>
          <w:marRight w:val="0"/>
          <w:marTop w:val="0"/>
          <w:marBottom w:val="0"/>
          <w:divBdr>
            <w:top w:val="none" w:sz="0" w:space="0" w:color="auto"/>
            <w:left w:val="none" w:sz="0" w:space="0" w:color="auto"/>
            <w:bottom w:val="none" w:sz="0" w:space="0" w:color="auto"/>
            <w:right w:val="none" w:sz="0" w:space="0" w:color="auto"/>
          </w:divBdr>
        </w:div>
        <w:div w:id="1417482407">
          <w:marLeft w:val="640"/>
          <w:marRight w:val="0"/>
          <w:marTop w:val="0"/>
          <w:marBottom w:val="0"/>
          <w:divBdr>
            <w:top w:val="none" w:sz="0" w:space="0" w:color="auto"/>
            <w:left w:val="none" w:sz="0" w:space="0" w:color="auto"/>
            <w:bottom w:val="none" w:sz="0" w:space="0" w:color="auto"/>
            <w:right w:val="none" w:sz="0" w:space="0" w:color="auto"/>
          </w:divBdr>
        </w:div>
        <w:div w:id="1417937381">
          <w:marLeft w:val="640"/>
          <w:marRight w:val="0"/>
          <w:marTop w:val="0"/>
          <w:marBottom w:val="0"/>
          <w:divBdr>
            <w:top w:val="none" w:sz="0" w:space="0" w:color="auto"/>
            <w:left w:val="none" w:sz="0" w:space="0" w:color="auto"/>
            <w:bottom w:val="none" w:sz="0" w:space="0" w:color="auto"/>
            <w:right w:val="none" w:sz="0" w:space="0" w:color="auto"/>
          </w:divBdr>
        </w:div>
        <w:div w:id="1418288128">
          <w:marLeft w:val="640"/>
          <w:marRight w:val="0"/>
          <w:marTop w:val="0"/>
          <w:marBottom w:val="0"/>
          <w:divBdr>
            <w:top w:val="none" w:sz="0" w:space="0" w:color="auto"/>
            <w:left w:val="none" w:sz="0" w:space="0" w:color="auto"/>
            <w:bottom w:val="none" w:sz="0" w:space="0" w:color="auto"/>
            <w:right w:val="none" w:sz="0" w:space="0" w:color="auto"/>
          </w:divBdr>
        </w:div>
        <w:div w:id="1422027755">
          <w:marLeft w:val="640"/>
          <w:marRight w:val="0"/>
          <w:marTop w:val="0"/>
          <w:marBottom w:val="0"/>
          <w:divBdr>
            <w:top w:val="none" w:sz="0" w:space="0" w:color="auto"/>
            <w:left w:val="none" w:sz="0" w:space="0" w:color="auto"/>
            <w:bottom w:val="none" w:sz="0" w:space="0" w:color="auto"/>
            <w:right w:val="none" w:sz="0" w:space="0" w:color="auto"/>
          </w:divBdr>
        </w:div>
        <w:div w:id="1427771978">
          <w:marLeft w:val="640"/>
          <w:marRight w:val="0"/>
          <w:marTop w:val="0"/>
          <w:marBottom w:val="0"/>
          <w:divBdr>
            <w:top w:val="none" w:sz="0" w:space="0" w:color="auto"/>
            <w:left w:val="none" w:sz="0" w:space="0" w:color="auto"/>
            <w:bottom w:val="none" w:sz="0" w:space="0" w:color="auto"/>
            <w:right w:val="none" w:sz="0" w:space="0" w:color="auto"/>
          </w:divBdr>
        </w:div>
        <w:div w:id="1428815976">
          <w:marLeft w:val="640"/>
          <w:marRight w:val="0"/>
          <w:marTop w:val="0"/>
          <w:marBottom w:val="0"/>
          <w:divBdr>
            <w:top w:val="none" w:sz="0" w:space="0" w:color="auto"/>
            <w:left w:val="none" w:sz="0" w:space="0" w:color="auto"/>
            <w:bottom w:val="none" w:sz="0" w:space="0" w:color="auto"/>
            <w:right w:val="none" w:sz="0" w:space="0" w:color="auto"/>
          </w:divBdr>
        </w:div>
        <w:div w:id="1428966178">
          <w:marLeft w:val="640"/>
          <w:marRight w:val="0"/>
          <w:marTop w:val="0"/>
          <w:marBottom w:val="0"/>
          <w:divBdr>
            <w:top w:val="none" w:sz="0" w:space="0" w:color="auto"/>
            <w:left w:val="none" w:sz="0" w:space="0" w:color="auto"/>
            <w:bottom w:val="none" w:sz="0" w:space="0" w:color="auto"/>
            <w:right w:val="none" w:sz="0" w:space="0" w:color="auto"/>
          </w:divBdr>
        </w:div>
        <w:div w:id="1430354289">
          <w:marLeft w:val="640"/>
          <w:marRight w:val="0"/>
          <w:marTop w:val="0"/>
          <w:marBottom w:val="0"/>
          <w:divBdr>
            <w:top w:val="none" w:sz="0" w:space="0" w:color="auto"/>
            <w:left w:val="none" w:sz="0" w:space="0" w:color="auto"/>
            <w:bottom w:val="none" w:sz="0" w:space="0" w:color="auto"/>
            <w:right w:val="none" w:sz="0" w:space="0" w:color="auto"/>
          </w:divBdr>
        </w:div>
        <w:div w:id="1433016452">
          <w:marLeft w:val="640"/>
          <w:marRight w:val="0"/>
          <w:marTop w:val="0"/>
          <w:marBottom w:val="0"/>
          <w:divBdr>
            <w:top w:val="none" w:sz="0" w:space="0" w:color="auto"/>
            <w:left w:val="none" w:sz="0" w:space="0" w:color="auto"/>
            <w:bottom w:val="none" w:sz="0" w:space="0" w:color="auto"/>
            <w:right w:val="none" w:sz="0" w:space="0" w:color="auto"/>
          </w:divBdr>
        </w:div>
        <w:div w:id="1434395843">
          <w:marLeft w:val="640"/>
          <w:marRight w:val="0"/>
          <w:marTop w:val="0"/>
          <w:marBottom w:val="0"/>
          <w:divBdr>
            <w:top w:val="none" w:sz="0" w:space="0" w:color="auto"/>
            <w:left w:val="none" w:sz="0" w:space="0" w:color="auto"/>
            <w:bottom w:val="none" w:sz="0" w:space="0" w:color="auto"/>
            <w:right w:val="none" w:sz="0" w:space="0" w:color="auto"/>
          </w:divBdr>
        </w:div>
        <w:div w:id="1438019511">
          <w:marLeft w:val="640"/>
          <w:marRight w:val="0"/>
          <w:marTop w:val="0"/>
          <w:marBottom w:val="0"/>
          <w:divBdr>
            <w:top w:val="none" w:sz="0" w:space="0" w:color="auto"/>
            <w:left w:val="none" w:sz="0" w:space="0" w:color="auto"/>
            <w:bottom w:val="none" w:sz="0" w:space="0" w:color="auto"/>
            <w:right w:val="none" w:sz="0" w:space="0" w:color="auto"/>
          </w:divBdr>
        </w:div>
        <w:div w:id="1438989264">
          <w:marLeft w:val="640"/>
          <w:marRight w:val="0"/>
          <w:marTop w:val="0"/>
          <w:marBottom w:val="0"/>
          <w:divBdr>
            <w:top w:val="none" w:sz="0" w:space="0" w:color="auto"/>
            <w:left w:val="none" w:sz="0" w:space="0" w:color="auto"/>
            <w:bottom w:val="none" w:sz="0" w:space="0" w:color="auto"/>
            <w:right w:val="none" w:sz="0" w:space="0" w:color="auto"/>
          </w:divBdr>
        </w:div>
        <w:div w:id="1441873234">
          <w:marLeft w:val="640"/>
          <w:marRight w:val="0"/>
          <w:marTop w:val="0"/>
          <w:marBottom w:val="0"/>
          <w:divBdr>
            <w:top w:val="none" w:sz="0" w:space="0" w:color="auto"/>
            <w:left w:val="none" w:sz="0" w:space="0" w:color="auto"/>
            <w:bottom w:val="none" w:sz="0" w:space="0" w:color="auto"/>
            <w:right w:val="none" w:sz="0" w:space="0" w:color="auto"/>
          </w:divBdr>
        </w:div>
        <w:div w:id="1447308163">
          <w:marLeft w:val="640"/>
          <w:marRight w:val="0"/>
          <w:marTop w:val="0"/>
          <w:marBottom w:val="0"/>
          <w:divBdr>
            <w:top w:val="none" w:sz="0" w:space="0" w:color="auto"/>
            <w:left w:val="none" w:sz="0" w:space="0" w:color="auto"/>
            <w:bottom w:val="none" w:sz="0" w:space="0" w:color="auto"/>
            <w:right w:val="none" w:sz="0" w:space="0" w:color="auto"/>
          </w:divBdr>
        </w:div>
        <w:div w:id="1447387900">
          <w:marLeft w:val="640"/>
          <w:marRight w:val="0"/>
          <w:marTop w:val="0"/>
          <w:marBottom w:val="0"/>
          <w:divBdr>
            <w:top w:val="none" w:sz="0" w:space="0" w:color="auto"/>
            <w:left w:val="none" w:sz="0" w:space="0" w:color="auto"/>
            <w:bottom w:val="none" w:sz="0" w:space="0" w:color="auto"/>
            <w:right w:val="none" w:sz="0" w:space="0" w:color="auto"/>
          </w:divBdr>
        </w:div>
        <w:div w:id="1448499186">
          <w:marLeft w:val="640"/>
          <w:marRight w:val="0"/>
          <w:marTop w:val="0"/>
          <w:marBottom w:val="0"/>
          <w:divBdr>
            <w:top w:val="none" w:sz="0" w:space="0" w:color="auto"/>
            <w:left w:val="none" w:sz="0" w:space="0" w:color="auto"/>
            <w:bottom w:val="none" w:sz="0" w:space="0" w:color="auto"/>
            <w:right w:val="none" w:sz="0" w:space="0" w:color="auto"/>
          </w:divBdr>
        </w:div>
        <w:div w:id="1448500540">
          <w:marLeft w:val="640"/>
          <w:marRight w:val="0"/>
          <w:marTop w:val="0"/>
          <w:marBottom w:val="0"/>
          <w:divBdr>
            <w:top w:val="none" w:sz="0" w:space="0" w:color="auto"/>
            <w:left w:val="none" w:sz="0" w:space="0" w:color="auto"/>
            <w:bottom w:val="none" w:sz="0" w:space="0" w:color="auto"/>
            <w:right w:val="none" w:sz="0" w:space="0" w:color="auto"/>
          </w:divBdr>
        </w:div>
        <w:div w:id="1448501746">
          <w:marLeft w:val="640"/>
          <w:marRight w:val="0"/>
          <w:marTop w:val="0"/>
          <w:marBottom w:val="0"/>
          <w:divBdr>
            <w:top w:val="none" w:sz="0" w:space="0" w:color="auto"/>
            <w:left w:val="none" w:sz="0" w:space="0" w:color="auto"/>
            <w:bottom w:val="none" w:sz="0" w:space="0" w:color="auto"/>
            <w:right w:val="none" w:sz="0" w:space="0" w:color="auto"/>
          </w:divBdr>
        </w:div>
        <w:div w:id="1448542854">
          <w:marLeft w:val="640"/>
          <w:marRight w:val="0"/>
          <w:marTop w:val="0"/>
          <w:marBottom w:val="0"/>
          <w:divBdr>
            <w:top w:val="none" w:sz="0" w:space="0" w:color="auto"/>
            <w:left w:val="none" w:sz="0" w:space="0" w:color="auto"/>
            <w:bottom w:val="none" w:sz="0" w:space="0" w:color="auto"/>
            <w:right w:val="none" w:sz="0" w:space="0" w:color="auto"/>
          </w:divBdr>
        </w:div>
        <w:div w:id="1451558252">
          <w:marLeft w:val="640"/>
          <w:marRight w:val="0"/>
          <w:marTop w:val="0"/>
          <w:marBottom w:val="0"/>
          <w:divBdr>
            <w:top w:val="none" w:sz="0" w:space="0" w:color="auto"/>
            <w:left w:val="none" w:sz="0" w:space="0" w:color="auto"/>
            <w:bottom w:val="none" w:sz="0" w:space="0" w:color="auto"/>
            <w:right w:val="none" w:sz="0" w:space="0" w:color="auto"/>
          </w:divBdr>
        </w:div>
        <w:div w:id="1455292800">
          <w:marLeft w:val="640"/>
          <w:marRight w:val="0"/>
          <w:marTop w:val="0"/>
          <w:marBottom w:val="0"/>
          <w:divBdr>
            <w:top w:val="none" w:sz="0" w:space="0" w:color="auto"/>
            <w:left w:val="none" w:sz="0" w:space="0" w:color="auto"/>
            <w:bottom w:val="none" w:sz="0" w:space="0" w:color="auto"/>
            <w:right w:val="none" w:sz="0" w:space="0" w:color="auto"/>
          </w:divBdr>
        </w:div>
        <w:div w:id="1461533060">
          <w:marLeft w:val="640"/>
          <w:marRight w:val="0"/>
          <w:marTop w:val="0"/>
          <w:marBottom w:val="0"/>
          <w:divBdr>
            <w:top w:val="none" w:sz="0" w:space="0" w:color="auto"/>
            <w:left w:val="none" w:sz="0" w:space="0" w:color="auto"/>
            <w:bottom w:val="none" w:sz="0" w:space="0" w:color="auto"/>
            <w:right w:val="none" w:sz="0" w:space="0" w:color="auto"/>
          </w:divBdr>
        </w:div>
        <w:div w:id="1462531179">
          <w:marLeft w:val="640"/>
          <w:marRight w:val="0"/>
          <w:marTop w:val="0"/>
          <w:marBottom w:val="0"/>
          <w:divBdr>
            <w:top w:val="none" w:sz="0" w:space="0" w:color="auto"/>
            <w:left w:val="none" w:sz="0" w:space="0" w:color="auto"/>
            <w:bottom w:val="none" w:sz="0" w:space="0" w:color="auto"/>
            <w:right w:val="none" w:sz="0" w:space="0" w:color="auto"/>
          </w:divBdr>
        </w:div>
        <w:div w:id="1464274253">
          <w:marLeft w:val="640"/>
          <w:marRight w:val="0"/>
          <w:marTop w:val="0"/>
          <w:marBottom w:val="0"/>
          <w:divBdr>
            <w:top w:val="none" w:sz="0" w:space="0" w:color="auto"/>
            <w:left w:val="none" w:sz="0" w:space="0" w:color="auto"/>
            <w:bottom w:val="none" w:sz="0" w:space="0" w:color="auto"/>
            <w:right w:val="none" w:sz="0" w:space="0" w:color="auto"/>
          </w:divBdr>
        </w:div>
        <w:div w:id="1466699940">
          <w:marLeft w:val="640"/>
          <w:marRight w:val="0"/>
          <w:marTop w:val="0"/>
          <w:marBottom w:val="0"/>
          <w:divBdr>
            <w:top w:val="none" w:sz="0" w:space="0" w:color="auto"/>
            <w:left w:val="none" w:sz="0" w:space="0" w:color="auto"/>
            <w:bottom w:val="none" w:sz="0" w:space="0" w:color="auto"/>
            <w:right w:val="none" w:sz="0" w:space="0" w:color="auto"/>
          </w:divBdr>
        </w:div>
        <w:div w:id="1466972893">
          <w:marLeft w:val="640"/>
          <w:marRight w:val="0"/>
          <w:marTop w:val="0"/>
          <w:marBottom w:val="0"/>
          <w:divBdr>
            <w:top w:val="none" w:sz="0" w:space="0" w:color="auto"/>
            <w:left w:val="none" w:sz="0" w:space="0" w:color="auto"/>
            <w:bottom w:val="none" w:sz="0" w:space="0" w:color="auto"/>
            <w:right w:val="none" w:sz="0" w:space="0" w:color="auto"/>
          </w:divBdr>
        </w:div>
        <w:div w:id="1468476482">
          <w:marLeft w:val="640"/>
          <w:marRight w:val="0"/>
          <w:marTop w:val="0"/>
          <w:marBottom w:val="0"/>
          <w:divBdr>
            <w:top w:val="none" w:sz="0" w:space="0" w:color="auto"/>
            <w:left w:val="none" w:sz="0" w:space="0" w:color="auto"/>
            <w:bottom w:val="none" w:sz="0" w:space="0" w:color="auto"/>
            <w:right w:val="none" w:sz="0" w:space="0" w:color="auto"/>
          </w:divBdr>
        </w:div>
        <w:div w:id="1470589844">
          <w:marLeft w:val="640"/>
          <w:marRight w:val="0"/>
          <w:marTop w:val="0"/>
          <w:marBottom w:val="0"/>
          <w:divBdr>
            <w:top w:val="none" w:sz="0" w:space="0" w:color="auto"/>
            <w:left w:val="none" w:sz="0" w:space="0" w:color="auto"/>
            <w:bottom w:val="none" w:sz="0" w:space="0" w:color="auto"/>
            <w:right w:val="none" w:sz="0" w:space="0" w:color="auto"/>
          </w:divBdr>
        </w:div>
        <w:div w:id="1472405271">
          <w:marLeft w:val="640"/>
          <w:marRight w:val="0"/>
          <w:marTop w:val="0"/>
          <w:marBottom w:val="0"/>
          <w:divBdr>
            <w:top w:val="none" w:sz="0" w:space="0" w:color="auto"/>
            <w:left w:val="none" w:sz="0" w:space="0" w:color="auto"/>
            <w:bottom w:val="none" w:sz="0" w:space="0" w:color="auto"/>
            <w:right w:val="none" w:sz="0" w:space="0" w:color="auto"/>
          </w:divBdr>
        </w:div>
        <w:div w:id="1474906890">
          <w:marLeft w:val="640"/>
          <w:marRight w:val="0"/>
          <w:marTop w:val="0"/>
          <w:marBottom w:val="0"/>
          <w:divBdr>
            <w:top w:val="none" w:sz="0" w:space="0" w:color="auto"/>
            <w:left w:val="none" w:sz="0" w:space="0" w:color="auto"/>
            <w:bottom w:val="none" w:sz="0" w:space="0" w:color="auto"/>
            <w:right w:val="none" w:sz="0" w:space="0" w:color="auto"/>
          </w:divBdr>
        </w:div>
        <w:div w:id="1477644223">
          <w:marLeft w:val="640"/>
          <w:marRight w:val="0"/>
          <w:marTop w:val="0"/>
          <w:marBottom w:val="0"/>
          <w:divBdr>
            <w:top w:val="none" w:sz="0" w:space="0" w:color="auto"/>
            <w:left w:val="none" w:sz="0" w:space="0" w:color="auto"/>
            <w:bottom w:val="none" w:sz="0" w:space="0" w:color="auto"/>
            <w:right w:val="none" w:sz="0" w:space="0" w:color="auto"/>
          </w:divBdr>
        </w:div>
        <w:div w:id="1481773677">
          <w:marLeft w:val="640"/>
          <w:marRight w:val="0"/>
          <w:marTop w:val="0"/>
          <w:marBottom w:val="0"/>
          <w:divBdr>
            <w:top w:val="none" w:sz="0" w:space="0" w:color="auto"/>
            <w:left w:val="none" w:sz="0" w:space="0" w:color="auto"/>
            <w:bottom w:val="none" w:sz="0" w:space="0" w:color="auto"/>
            <w:right w:val="none" w:sz="0" w:space="0" w:color="auto"/>
          </w:divBdr>
        </w:div>
        <w:div w:id="1485507027">
          <w:marLeft w:val="640"/>
          <w:marRight w:val="0"/>
          <w:marTop w:val="0"/>
          <w:marBottom w:val="0"/>
          <w:divBdr>
            <w:top w:val="none" w:sz="0" w:space="0" w:color="auto"/>
            <w:left w:val="none" w:sz="0" w:space="0" w:color="auto"/>
            <w:bottom w:val="none" w:sz="0" w:space="0" w:color="auto"/>
            <w:right w:val="none" w:sz="0" w:space="0" w:color="auto"/>
          </w:divBdr>
        </w:div>
        <w:div w:id="1486817833">
          <w:marLeft w:val="640"/>
          <w:marRight w:val="0"/>
          <w:marTop w:val="0"/>
          <w:marBottom w:val="0"/>
          <w:divBdr>
            <w:top w:val="none" w:sz="0" w:space="0" w:color="auto"/>
            <w:left w:val="none" w:sz="0" w:space="0" w:color="auto"/>
            <w:bottom w:val="none" w:sz="0" w:space="0" w:color="auto"/>
            <w:right w:val="none" w:sz="0" w:space="0" w:color="auto"/>
          </w:divBdr>
        </w:div>
        <w:div w:id="1487162893">
          <w:marLeft w:val="640"/>
          <w:marRight w:val="0"/>
          <w:marTop w:val="0"/>
          <w:marBottom w:val="0"/>
          <w:divBdr>
            <w:top w:val="none" w:sz="0" w:space="0" w:color="auto"/>
            <w:left w:val="none" w:sz="0" w:space="0" w:color="auto"/>
            <w:bottom w:val="none" w:sz="0" w:space="0" w:color="auto"/>
            <w:right w:val="none" w:sz="0" w:space="0" w:color="auto"/>
          </w:divBdr>
        </w:div>
        <w:div w:id="1496335822">
          <w:marLeft w:val="640"/>
          <w:marRight w:val="0"/>
          <w:marTop w:val="0"/>
          <w:marBottom w:val="0"/>
          <w:divBdr>
            <w:top w:val="none" w:sz="0" w:space="0" w:color="auto"/>
            <w:left w:val="none" w:sz="0" w:space="0" w:color="auto"/>
            <w:bottom w:val="none" w:sz="0" w:space="0" w:color="auto"/>
            <w:right w:val="none" w:sz="0" w:space="0" w:color="auto"/>
          </w:divBdr>
        </w:div>
        <w:div w:id="1496411968">
          <w:marLeft w:val="640"/>
          <w:marRight w:val="0"/>
          <w:marTop w:val="0"/>
          <w:marBottom w:val="0"/>
          <w:divBdr>
            <w:top w:val="none" w:sz="0" w:space="0" w:color="auto"/>
            <w:left w:val="none" w:sz="0" w:space="0" w:color="auto"/>
            <w:bottom w:val="none" w:sz="0" w:space="0" w:color="auto"/>
            <w:right w:val="none" w:sz="0" w:space="0" w:color="auto"/>
          </w:divBdr>
        </w:div>
        <w:div w:id="1497500058">
          <w:marLeft w:val="640"/>
          <w:marRight w:val="0"/>
          <w:marTop w:val="0"/>
          <w:marBottom w:val="0"/>
          <w:divBdr>
            <w:top w:val="none" w:sz="0" w:space="0" w:color="auto"/>
            <w:left w:val="none" w:sz="0" w:space="0" w:color="auto"/>
            <w:bottom w:val="none" w:sz="0" w:space="0" w:color="auto"/>
            <w:right w:val="none" w:sz="0" w:space="0" w:color="auto"/>
          </w:divBdr>
        </w:div>
        <w:div w:id="1502889027">
          <w:marLeft w:val="640"/>
          <w:marRight w:val="0"/>
          <w:marTop w:val="0"/>
          <w:marBottom w:val="0"/>
          <w:divBdr>
            <w:top w:val="none" w:sz="0" w:space="0" w:color="auto"/>
            <w:left w:val="none" w:sz="0" w:space="0" w:color="auto"/>
            <w:bottom w:val="none" w:sz="0" w:space="0" w:color="auto"/>
            <w:right w:val="none" w:sz="0" w:space="0" w:color="auto"/>
          </w:divBdr>
        </w:div>
        <w:div w:id="1503661481">
          <w:marLeft w:val="640"/>
          <w:marRight w:val="0"/>
          <w:marTop w:val="0"/>
          <w:marBottom w:val="0"/>
          <w:divBdr>
            <w:top w:val="none" w:sz="0" w:space="0" w:color="auto"/>
            <w:left w:val="none" w:sz="0" w:space="0" w:color="auto"/>
            <w:bottom w:val="none" w:sz="0" w:space="0" w:color="auto"/>
            <w:right w:val="none" w:sz="0" w:space="0" w:color="auto"/>
          </w:divBdr>
        </w:div>
        <w:div w:id="1504592764">
          <w:marLeft w:val="640"/>
          <w:marRight w:val="0"/>
          <w:marTop w:val="0"/>
          <w:marBottom w:val="0"/>
          <w:divBdr>
            <w:top w:val="none" w:sz="0" w:space="0" w:color="auto"/>
            <w:left w:val="none" w:sz="0" w:space="0" w:color="auto"/>
            <w:bottom w:val="none" w:sz="0" w:space="0" w:color="auto"/>
            <w:right w:val="none" w:sz="0" w:space="0" w:color="auto"/>
          </w:divBdr>
        </w:div>
        <w:div w:id="1508406530">
          <w:marLeft w:val="640"/>
          <w:marRight w:val="0"/>
          <w:marTop w:val="0"/>
          <w:marBottom w:val="0"/>
          <w:divBdr>
            <w:top w:val="none" w:sz="0" w:space="0" w:color="auto"/>
            <w:left w:val="none" w:sz="0" w:space="0" w:color="auto"/>
            <w:bottom w:val="none" w:sz="0" w:space="0" w:color="auto"/>
            <w:right w:val="none" w:sz="0" w:space="0" w:color="auto"/>
          </w:divBdr>
        </w:div>
        <w:div w:id="1508667569">
          <w:marLeft w:val="640"/>
          <w:marRight w:val="0"/>
          <w:marTop w:val="0"/>
          <w:marBottom w:val="0"/>
          <w:divBdr>
            <w:top w:val="none" w:sz="0" w:space="0" w:color="auto"/>
            <w:left w:val="none" w:sz="0" w:space="0" w:color="auto"/>
            <w:bottom w:val="none" w:sz="0" w:space="0" w:color="auto"/>
            <w:right w:val="none" w:sz="0" w:space="0" w:color="auto"/>
          </w:divBdr>
        </w:div>
        <w:div w:id="1509902505">
          <w:marLeft w:val="640"/>
          <w:marRight w:val="0"/>
          <w:marTop w:val="0"/>
          <w:marBottom w:val="0"/>
          <w:divBdr>
            <w:top w:val="none" w:sz="0" w:space="0" w:color="auto"/>
            <w:left w:val="none" w:sz="0" w:space="0" w:color="auto"/>
            <w:bottom w:val="none" w:sz="0" w:space="0" w:color="auto"/>
            <w:right w:val="none" w:sz="0" w:space="0" w:color="auto"/>
          </w:divBdr>
        </w:div>
        <w:div w:id="1518500515">
          <w:marLeft w:val="640"/>
          <w:marRight w:val="0"/>
          <w:marTop w:val="0"/>
          <w:marBottom w:val="0"/>
          <w:divBdr>
            <w:top w:val="none" w:sz="0" w:space="0" w:color="auto"/>
            <w:left w:val="none" w:sz="0" w:space="0" w:color="auto"/>
            <w:bottom w:val="none" w:sz="0" w:space="0" w:color="auto"/>
            <w:right w:val="none" w:sz="0" w:space="0" w:color="auto"/>
          </w:divBdr>
        </w:div>
        <w:div w:id="1522008930">
          <w:marLeft w:val="640"/>
          <w:marRight w:val="0"/>
          <w:marTop w:val="0"/>
          <w:marBottom w:val="0"/>
          <w:divBdr>
            <w:top w:val="none" w:sz="0" w:space="0" w:color="auto"/>
            <w:left w:val="none" w:sz="0" w:space="0" w:color="auto"/>
            <w:bottom w:val="none" w:sz="0" w:space="0" w:color="auto"/>
            <w:right w:val="none" w:sz="0" w:space="0" w:color="auto"/>
          </w:divBdr>
        </w:div>
        <w:div w:id="1525632880">
          <w:marLeft w:val="640"/>
          <w:marRight w:val="0"/>
          <w:marTop w:val="0"/>
          <w:marBottom w:val="0"/>
          <w:divBdr>
            <w:top w:val="none" w:sz="0" w:space="0" w:color="auto"/>
            <w:left w:val="none" w:sz="0" w:space="0" w:color="auto"/>
            <w:bottom w:val="none" w:sz="0" w:space="0" w:color="auto"/>
            <w:right w:val="none" w:sz="0" w:space="0" w:color="auto"/>
          </w:divBdr>
        </w:div>
        <w:div w:id="1526408125">
          <w:marLeft w:val="640"/>
          <w:marRight w:val="0"/>
          <w:marTop w:val="0"/>
          <w:marBottom w:val="0"/>
          <w:divBdr>
            <w:top w:val="none" w:sz="0" w:space="0" w:color="auto"/>
            <w:left w:val="none" w:sz="0" w:space="0" w:color="auto"/>
            <w:bottom w:val="none" w:sz="0" w:space="0" w:color="auto"/>
            <w:right w:val="none" w:sz="0" w:space="0" w:color="auto"/>
          </w:divBdr>
        </w:div>
        <w:div w:id="1529104635">
          <w:marLeft w:val="640"/>
          <w:marRight w:val="0"/>
          <w:marTop w:val="0"/>
          <w:marBottom w:val="0"/>
          <w:divBdr>
            <w:top w:val="none" w:sz="0" w:space="0" w:color="auto"/>
            <w:left w:val="none" w:sz="0" w:space="0" w:color="auto"/>
            <w:bottom w:val="none" w:sz="0" w:space="0" w:color="auto"/>
            <w:right w:val="none" w:sz="0" w:space="0" w:color="auto"/>
          </w:divBdr>
        </w:div>
        <w:div w:id="1531870383">
          <w:marLeft w:val="640"/>
          <w:marRight w:val="0"/>
          <w:marTop w:val="0"/>
          <w:marBottom w:val="0"/>
          <w:divBdr>
            <w:top w:val="none" w:sz="0" w:space="0" w:color="auto"/>
            <w:left w:val="none" w:sz="0" w:space="0" w:color="auto"/>
            <w:bottom w:val="none" w:sz="0" w:space="0" w:color="auto"/>
            <w:right w:val="none" w:sz="0" w:space="0" w:color="auto"/>
          </w:divBdr>
        </w:div>
        <w:div w:id="1532645074">
          <w:marLeft w:val="640"/>
          <w:marRight w:val="0"/>
          <w:marTop w:val="0"/>
          <w:marBottom w:val="0"/>
          <w:divBdr>
            <w:top w:val="none" w:sz="0" w:space="0" w:color="auto"/>
            <w:left w:val="none" w:sz="0" w:space="0" w:color="auto"/>
            <w:bottom w:val="none" w:sz="0" w:space="0" w:color="auto"/>
            <w:right w:val="none" w:sz="0" w:space="0" w:color="auto"/>
          </w:divBdr>
        </w:div>
        <w:div w:id="1533149747">
          <w:marLeft w:val="640"/>
          <w:marRight w:val="0"/>
          <w:marTop w:val="0"/>
          <w:marBottom w:val="0"/>
          <w:divBdr>
            <w:top w:val="none" w:sz="0" w:space="0" w:color="auto"/>
            <w:left w:val="none" w:sz="0" w:space="0" w:color="auto"/>
            <w:bottom w:val="none" w:sz="0" w:space="0" w:color="auto"/>
            <w:right w:val="none" w:sz="0" w:space="0" w:color="auto"/>
          </w:divBdr>
        </w:div>
        <w:div w:id="1538543019">
          <w:marLeft w:val="640"/>
          <w:marRight w:val="0"/>
          <w:marTop w:val="0"/>
          <w:marBottom w:val="0"/>
          <w:divBdr>
            <w:top w:val="none" w:sz="0" w:space="0" w:color="auto"/>
            <w:left w:val="none" w:sz="0" w:space="0" w:color="auto"/>
            <w:bottom w:val="none" w:sz="0" w:space="0" w:color="auto"/>
            <w:right w:val="none" w:sz="0" w:space="0" w:color="auto"/>
          </w:divBdr>
        </w:div>
        <w:div w:id="1539706798">
          <w:marLeft w:val="640"/>
          <w:marRight w:val="0"/>
          <w:marTop w:val="0"/>
          <w:marBottom w:val="0"/>
          <w:divBdr>
            <w:top w:val="none" w:sz="0" w:space="0" w:color="auto"/>
            <w:left w:val="none" w:sz="0" w:space="0" w:color="auto"/>
            <w:bottom w:val="none" w:sz="0" w:space="0" w:color="auto"/>
            <w:right w:val="none" w:sz="0" w:space="0" w:color="auto"/>
          </w:divBdr>
        </w:div>
        <w:div w:id="1541360222">
          <w:marLeft w:val="640"/>
          <w:marRight w:val="0"/>
          <w:marTop w:val="0"/>
          <w:marBottom w:val="0"/>
          <w:divBdr>
            <w:top w:val="none" w:sz="0" w:space="0" w:color="auto"/>
            <w:left w:val="none" w:sz="0" w:space="0" w:color="auto"/>
            <w:bottom w:val="none" w:sz="0" w:space="0" w:color="auto"/>
            <w:right w:val="none" w:sz="0" w:space="0" w:color="auto"/>
          </w:divBdr>
        </w:div>
        <w:div w:id="1542013121">
          <w:marLeft w:val="640"/>
          <w:marRight w:val="0"/>
          <w:marTop w:val="0"/>
          <w:marBottom w:val="0"/>
          <w:divBdr>
            <w:top w:val="none" w:sz="0" w:space="0" w:color="auto"/>
            <w:left w:val="none" w:sz="0" w:space="0" w:color="auto"/>
            <w:bottom w:val="none" w:sz="0" w:space="0" w:color="auto"/>
            <w:right w:val="none" w:sz="0" w:space="0" w:color="auto"/>
          </w:divBdr>
        </w:div>
        <w:div w:id="1546676685">
          <w:marLeft w:val="640"/>
          <w:marRight w:val="0"/>
          <w:marTop w:val="0"/>
          <w:marBottom w:val="0"/>
          <w:divBdr>
            <w:top w:val="none" w:sz="0" w:space="0" w:color="auto"/>
            <w:left w:val="none" w:sz="0" w:space="0" w:color="auto"/>
            <w:bottom w:val="none" w:sz="0" w:space="0" w:color="auto"/>
            <w:right w:val="none" w:sz="0" w:space="0" w:color="auto"/>
          </w:divBdr>
        </w:div>
        <w:div w:id="1547911230">
          <w:marLeft w:val="640"/>
          <w:marRight w:val="0"/>
          <w:marTop w:val="0"/>
          <w:marBottom w:val="0"/>
          <w:divBdr>
            <w:top w:val="none" w:sz="0" w:space="0" w:color="auto"/>
            <w:left w:val="none" w:sz="0" w:space="0" w:color="auto"/>
            <w:bottom w:val="none" w:sz="0" w:space="0" w:color="auto"/>
            <w:right w:val="none" w:sz="0" w:space="0" w:color="auto"/>
          </w:divBdr>
        </w:div>
        <w:div w:id="1550189676">
          <w:marLeft w:val="640"/>
          <w:marRight w:val="0"/>
          <w:marTop w:val="0"/>
          <w:marBottom w:val="0"/>
          <w:divBdr>
            <w:top w:val="none" w:sz="0" w:space="0" w:color="auto"/>
            <w:left w:val="none" w:sz="0" w:space="0" w:color="auto"/>
            <w:bottom w:val="none" w:sz="0" w:space="0" w:color="auto"/>
            <w:right w:val="none" w:sz="0" w:space="0" w:color="auto"/>
          </w:divBdr>
        </w:div>
        <w:div w:id="1556773796">
          <w:marLeft w:val="640"/>
          <w:marRight w:val="0"/>
          <w:marTop w:val="0"/>
          <w:marBottom w:val="0"/>
          <w:divBdr>
            <w:top w:val="none" w:sz="0" w:space="0" w:color="auto"/>
            <w:left w:val="none" w:sz="0" w:space="0" w:color="auto"/>
            <w:bottom w:val="none" w:sz="0" w:space="0" w:color="auto"/>
            <w:right w:val="none" w:sz="0" w:space="0" w:color="auto"/>
          </w:divBdr>
        </w:div>
        <w:div w:id="1557744206">
          <w:marLeft w:val="640"/>
          <w:marRight w:val="0"/>
          <w:marTop w:val="0"/>
          <w:marBottom w:val="0"/>
          <w:divBdr>
            <w:top w:val="none" w:sz="0" w:space="0" w:color="auto"/>
            <w:left w:val="none" w:sz="0" w:space="0" w:color="auto"/>
            <w:bottom w:val="none" w:sz="0" w:space="0" w:color="auto"/>
            <w:right w:val="none" w:sz="0" w:space="0" w:color="auto"/>
          </w:divBdr>
        </w:div>
        <w:div w:id="1562210018">
          <w:marLeft w:val="640"/>
          <w:marRight w:val="0"/>
          <w:marTop w:val="0"/>
          <w:marBottom w:val="0"/>
          <w:divBdr>
            <w:top w:val="none" w:sz="0" w:space="0" w:color="auto"/>
            <w:left w:val="none" w:sz="0" w:space="0" w:color="auto"/>
            <w:bottom w:val="none" w:sz="0" w:space="0" w:color="auto"/>
            <w:right w:val="none" w:sz="0" w:space="0" w:color="auto"/>
          </w:divBdr>
        </w:div>
        <w:div w:id="1563058136">
          <w:marLeft w:val="640"/>
          <w:marRight w:val="0"/>
          <w:marTop w:val="0"/>
          <w:marBottom w:val="0"/>
          <w:divBdr>
            <w:top w:val="none" w:sz="0" w:space="0" w:color="auto"/>
            <w:left w:val="none" w:sz="0" w:space="0" w:color="auto"/>
            <w:bottom w:val="none" w:sz="0" w:space="0" w:color="auto"/>
            <w:right w:val="none" w:sz="0" w:space="0" w:color="auto"/>
          </w:divBdr>
        </w:div>
        <w:div w:id="1564103601">
          <w:marLeft w:val="640"/>
          <w:marRight w:val="0"/>
          <w:marTop w:val="0"/>
          <w:marBottom w:val="0"/>
          <w:divBdr>
            <w:top w:val="none" w:sz="0" w:space="0" w:color="auto"/>
            <w:left w:val="none" w:sz="0" w:space="0" w:color="auto"/>
            <w:bottom w:val="none" w:sz="0" w:space="0" w:color="auto"/>
            <w:right w:val="none" w:sz="0" w:space="0" w:color="auto"/>
          </w:divBdr>
        </w:div>
        <w:div w:id="1567951317">
          <w:marLeft w:val="640"/>
          <w:marRight w:val="0"/>
          <w:marTop w:val="0"/>
          <w:marBottom w:val="0"/>
          <w:divBdr>
            <w:top w:val="none" w:sz="0" w:space="0" w:color="auto"/>
            <w:left w:val="none" w:sz="0" w:space="0" w:color="auto"/>
            <w:bottom w:val="none" w:sz="0" w:space="0" w:color="auto"/>
            <w:right w:val="none" w:sz="0" w:space="0" w:color="auto"/>
          </w:divBdr>
        </w:div>
        <w:div w:id="1568374282">
          <w:marLeft w:val="640"/>
          <w:marRight w:val="0"/>
          <w:marTop w:val="0"/>
          <w:marBottom w:val="0"/>
          <w:divBdr>
            <w:top w:val="none" w:sz="0" w:space="0" w:color="auto"/>
            <w:left w:val="none" w:sz="0" w:space="0" w:color="auto"/>
            <w:bottom w:val="none" w:sz="0" w:space="0" w:color="auto"/>
            <w:right w:val="none" w:sz="0" w:space="0" w:color="auto"/>
          </w:divBdr>
        </w:div>
        <w:div w:id="1573157669">
          <w:marLeft w:val="640"/>
          <w:marRight w:val="0"/>
          <w:marTop w:val="0"/>
          <w:marBottom w:val="0"/>
          <w:divBdr>
            <w:top w:val="none" w:sz="0" w:space="0" w:color="auto"/>
            <w:left w:val="none" w:sz="0" w:space="0" w:color="auto"/>
            <w:bottom w:val="none" w:sz="0" w:space="0" w:color="auto"/>
            <w:right w:val="none" w:sz="0" w:space="0" w:color="auto"/>
          </w:divBdr>
        </w:div>
        <w:div w:id="1574393107">
          <w:marLeft w:val="640"/>
          <w:marRight w:val="0"/>
          <w:marTop w:val="0"/>
          <w:marBottom w:val="0"/>
          <w:divBdr>
            <w:top w:val="none" w:sz="0" w:space="0" w:color="auto"/>
            <w:left w:val="none" w:sz="0" w:space="0" w:color="auto"/>
            <w:bottom w:val="none" w:sz="0" w:space="0" w:color="auto"/>
            <w:right w:val="none" w:sz="0" w:space="0" w:color="auto"/>
          </w:divBdr>
        </w:div>
        <w:div w:id="1574658243">
          <w:marLeft w:val="640"/>
          <w:marRight w:val="0"/>
          <w:marTop w:val="0"/>
          <w:marBottom w:val="0"/>
          <w:divBdr>
            <w:top w:val="none" w:sz="0" w:space="0" w:color="auto"/>
            <w:left w:val="none" w:sz="0" w:space="0" w:color="auto"/>
            <w:bottom w:val="none" w:sz="0" w:space="0" w:color="auto"/>
            <w:right w:val="none" w:sz="0" w:space="0" w:color="auto"/>
          </w:divBdr>
        </w:div>
        <w:div w:id="1574778797">
          <w:marLeft w:val="640"/>
          <w:marRight w:val="0"/>
          <w:marTop w:val="0"/>
          <w:marBottom w:val="0"/>
          <w:divBdr>
            <w:top w:val="none" w:sz="0" w:space="0" w:color="auto"/>
            <w:left w:val="none" w:sz="0" w:space="0" w:color="auto"/>
            <w:bottom w:val="none" w:sz="0" w:space="0" w:color="auto"/>
            <w:right w:val="none" w:sz="0" w:space="0" w:color="auto"/>
          </w:divBdr>
        </w:div>
        <w:div w:id="1577282323">
          <w:marLeft w:val="640"/>
          <w:marRight w:val="0"/>
          <w:marTop w:val="0"/>
          <w:marBottom w:val="0"/>
          <w:divBdr>
            <w:top w:val="none" w:sz="0" w:space="0" w:color="auto"/>
            <w:left w:val="none" w:sz="0" w:space="0" w:color="auto"/>
            <w:bottom w:val="none" w:sz="0" w:space="0" w:color="auto"/>
            <w:right w:val="none" w:sz="0" w:space="0" w:color="auto"/>
          </w:divBdr>
        </w:div>
        <w:div w:id="1584335033">
          <w:marLeft w:val="640"/>
          <w:marRight w:val="0"/>
          <w:marTop w:val="0"/>
          <w:marBottom w:val="0"/>
          <w:divBdr>
            <w:top w:val="none" w:sz="0" w:space="0" w:color="auto"/>
            <w:left w:val="none" w:sz="0" w:space="0" w:color="auto"/>
            <w:bottom w:val="none" w:sz="0" w:space="0" w:color="auto"/>
            <w:right w:val="none" w:sz="0" w:space="0" w:color="auto"/>
          </w:divBdr>
        </w:div>
        <w:div w:id="1585071772">
          <w:marLeft w:val="640"/>
          <w:marRight w:val="0"/>
          <w:marTop w:val="0"/>
          <w:marBottom w:val="0"/>
          <w:divBdr>
            <w:top w:val="none" w:sz="0" w:space="0" w:color="auto"/>
            <w:left w:val="none" w:sz="0" w:space="0" w:color="auto"/>
            <w:bottom w:val="none" w:sz="0" w:space="0" w:color="auto"/>
            <w:right w:val="none" w:sz="0" w:space="0" w:color="auto"/>
          </w:divBdr>
        </w:div>
        <w:div w:id="1585987441">
          <w:marLeft w:val="640"/>
          <w:marRight w:val="0"/>
          <w:marTop w:val="0"/>
          <w:marBottom w:val="0"/>
          <w:divBdr>
            <w:top w:val="none" w:sz="0" w:space="0" w:color="auto"/>
            <w:left w:val="none" w:sz="0" w:space="0" w:color="auto"/>
            <w:bottom w:val="none" w:sz="0" w:space="0" w:color="auto"/>
            <w:right w:val="none" w:sz="0" w:space="0" w:color="auto"/>
          </w:divBdr>
        </w:div>
        <w:div w:id="1588033572">
          <w:marLeft w:val="640"/>
          <w:marRight w:val="0"/>
          <w:marTop w:val="0"/>
          <w:marBottom w:val="0"/>
          <w:divBdr>
            <w:top w:val="none" w:sz="0" w:space="0" w:color="auto"/>
            <w:left w:val="none" w:sz="0" w:space="0" w:color="auto"/>
            <w:bottom w:val="none" w:sz="0" w:space="0" w:color="auto"/>
            <w:right w:val="none" w:sz="0" w:space="0" w:color="auto"/>
          </w:divBdr>
        </w:div>
        <w:div w:id="1588345368">
          <w:marLeft w:val="640"/>
          <w:marRight w:val="0"/>
          <w:marTop w:val="0"/>
          <w:marBottom w:val="0"/>
          <w:divBdr>
            <w:top w:val="none" w:sz="0" w:space="0" w:color="auto"/>
            <w:left w:val="none" w:sz="0" w:space="0" w:color="auto"/>
            <w:bottom w:val="none" w:sz="0" w:space="0" w:color="auto"/>
            <w:right w:val="none" w:sz="0" w:space="0" w:color="auto"/>
          </w:divBdr>
        </w:div>
        <w:div w:id="1588542077">
          <w:marLeft w:val="640"/>
          <w:marRight w:val="0"/>
          <w:marTop w:val="0"/>
          <w:marBottom w:val="0"/>
          <w:divBdr>
            <w:top w:val="none" w:sz="0" w:space="0" w:color="auto"/>
            <w:left w:val="none" w:sz="0" w:space="0" w:color="auto"/>
            <w:bottom w:val="none" w:sz="0" w:space="0" w:color="auto"/>
            <w:right w:val="none" w:sz="0" w:space="0" w:color="auto"/>
          </w:divBdr>
        </w:div>
        <w:div w:id="1588999655">
          <w:marLeft w:val="640"/>
          <w:marRight w:val="0"/>
          <w:marTop w:val="0"/>
          <w:marBottom w:val="0"/>
          <w:divBdr>
            <w:top w:val="none" w:sz="0" w:space="0" w:color="auto"/>
            <w:left w:val="none" w:sz="0" w:space="0" w:color="auto"/>
            <w:bottom w:val="none" w:sz="0" w:space="0" w:color="auto"/>
            <w:right w:val="none" w:sz="0" w:space="0" w:color="auto"/>
          </w:divBdr>
        </w:div>
        <w:div w:id="1593659175">
          <w:marLeft w:val="640"/>
          <w:marRight w:val="0"/>
          <w:marTop w:val="0"/>
          <w:marBottom w:val="0"/>
          <w:divBdr>
            <w:top w:val="none" w:sz="0" w:space="0" w:color="auto"/>
            <w:left w:val="none" w:sz="0" w:space="0" w:color="auto"/>
            <w:bottom w:val="none" w:sz="0" w:space="0" w:color="auto"/>
            <w:right w:val="none" w:sz="0" w:space="0" w:color="auto"/>
          </w:divBdr>
        </w:div>
        <w:div w:id="1593858753">
          <w:marLeft w:val="640"/>
          <w:marRight w:val="0"/>
          <w:marTop w:val="0"/>
          <w:marBottom w:val="0"/>
          <w:divBdr>
            <w:top w:val="none" w:sz="0" w:space="0" w:color="auto"/>
            <w:left w:val="none" w:sz="0" w:space="0" w:color="auto"/>
            <w:bottom w:val="none" w:sz="0" w:space="0" w:color="auto"/>
            <w:right w:val="none" w:sz="0" w:space="0" w:color="auto"/>
          </w:divBdr>
        </w:div>
        <w:div w:id="1594430896">
          <w:marLeft w:val="640"/>
          <w:marRight w:val="0"/>
          <w:marTop w:val="0"/>
          <w:marBottom w:val="0"/>
          <w:divBdr>
            <w:top w:val="none" w:sz="0" w:space="0" w:color="auto"/>
            <w:left w:val="none" w:sz="0" w:space="0" w:color="auto"/>
            <w:bottom w:val="none" w:sz="0" w:space="0" w:color="auto"/>
            <w:right w:val="none" w:sz="0" w:space="0" w:color="auto"/>
          </w:divBdr>
        </w:div>
        <w:div w:id="1594824449">
          <w:marLeft w:val="640"/>
          <w:marRight w:val="0"/>
          <w:marTop w:val="0"/>
          <w:marBottom w:val="0"/>
          <w:divBdr>
            <w:top w:val="none" w:sz="0" w:space="0" w:color="auto"/>
            <w:left w:val="none" w:sz="0" w:space="0" w:color="auto"/>
            <w:bottom w:val="none" w:sz="0" w:space="0" w:color="auto"/>
            <w:right w:val="none" w:sz="0" w:space="0" w:color="auto"/>
          </w:divBdr>
        </w:div>
        <w:div w:id="1595087207">
          <w:marLeft w:val="640"/>
          <w:marRight w:val="0"/>
          <w:marTop w:val="0"/>
          <w:marBottom w:val="0"/>
          <w:divBdr>
            <w:top w:val="none" w:sz="0" w:space="0" w:color="auto"/>
            <w:left w:val="none" w:sz="0" w:space="0" w:color="auto"/>
            <w:bottom w:val="none" w:sz="0" w:space="0" w:color="auto"/>
            <w:right w:val="none" w:sz="0" w:space="0" w:color="auto"/>
          </w:divBdr>
        </w:div>
        <w:div w:id="1595675164">
          <w:marLeft w:val="640"/>
          <w:marRight w:val="0"/>
          <w:marTop w:val="0"/>
          <w:marBottom w:val="0"/>
          <w:divBdr>
            <w:top w:val="none" w:sz="0" w:space="0" w:color="auto"/>
            <w:left w:val="none" w:sz="0" w:space="0" w:color="auto"/>
            <w:bottom w:val="none" w:sz="0" w:space="0" w:color="auto"/>
            <w:right w:val="none" w:sz="0" w:space="0" w:color="auto"/>
          </w:divBdr>
        </w:div>
        <w:div w:id="1595939962">
          <w:marLeft w:val="640"/>
          <w:marRight w:val="0"/>
          <w:marTop w:val="0"/>
          <w:marBottom w:val="0"/>
          <w:divBdr>
            <w:top w:val="none" w:sz="0" w:space="0" w:color="auto"/>
            <w:left w:val="none" w:sz="0" w:space="0" w:color="auto"/>
            <w:bottom w:val="none" w:sz="0" w:space="0" w:color="auto"/>
            <w:right w:val="none" w:sz="0" w:space="0" w:color="auto"/>
          </w:divBdr>
        </w:div>
        <w:div w:id="1601915260">
          <w:marLeft w:val="640"/>
          <w:marRight w:val="0"/>
          <w:marTop w:val="0"/>
          <w:marBottom w:val="0"/>
          <w:divBdr>
            <w:top w:val="none" w:sz="0" w:space="0" w:color="auto"/>
            <w:left w:val="none" w:sz="0" w:space="0" w:color="auto"/>
            <w:bottom w:val="none" w:sz="0" w:space="0" w:color="auto"/>
            <w:right w:val="none" w:sz="0" w:space="0" w:color="auto"/>
          </w:divBdr>
        </w:div>
        <w:div w:id="1605381704">
          <w:marLeft w:val="640"/>
          <w:marRight w:val="0"/>
          <w:marTop w:val="0"/>
          <w:marBottom w:val="0"/>
          <w:divBdr>
            <w:top w:val="none" w:sz="0" w:space="0" w:color="auto"/>
            <w:left w:val="none" w:sz="0" w:space="0" w:color="auto"/>
            <w:bottom w:val="none" w:sz="0" w:space="0" w:color="auto"/>
            <w:right w:val="none" w:sz="0" w:space="0" w:color="auto"/>
          </w:divBdr>
        </w:div>
        <w:div w:id="1605381726">
          <w:marLeft w:val="640"/>
          <w:marRight w:val="0"/>
          <w:marTop w:val="0"/>
          <w:marBottom w:val="0"/>
          <w:divBdr>
            <w:top w:val="none" w:sz="0" w:space="0" w:color="auto"/>
            <w:left w:val="none" w:sz="0" w:space="0" w:color="auto"/>
            <w:bottom w:val="none" w:sz="0" w:space="0" w:color="auto"/>
            <w:right w:val="none" w:sz="0" w:space="0" w:color="auto"/>
          </w:divBdr>
        </w:div>
        <w:div w:id="1608999464">
          <w:marLeft w:val="640"/>
          <w:marRight w:val="0"/>
          <w:marTop w:val="0"/>
          <w:marBottom w:val="0"/>
          <w:divBdr>
            <w:top w:val="none" w:sz="0" w:space="0" w:color="auto"/>
            <w:left w:val="none" w:sz="0" w:space="0" w:color="auto"/>
            <w:bottom w:val="none" w:sz="0" w:space="0" w:color="auto"/>
            <w:right w:val="none" w:sz="0" w:space="0" w:color="auto"/>
          </w:divBdr>
        </w:div>
        <w:div w:id="1609315746">
          <w:marLeft w:val="640"/>
          <w:marRight w:val="0"/>
          <w:marTop w:val="0"/>
          <w:marBottom w:val="0"/>
          <w:divBdr>
            <w:top w:val="none" w:sz="0" w:space="0" w:color="auto"/>
            <w:left w:val="none" w:sz="0" w:space="0" w:color="auto"/>
            <w:bottom w:val="none" w:sz="0" w:space="0" w:color="auto"/>
            <w:right w:val="none" w:sz="0" w:space="0" w:color="auto"/>
          </w:divBdr>
        </w:div>
        <w:div w:id="1609578127">
          <w:marLeft w:val="640"/>
          <w:marRight w:val="0"/>
          <w:marTop w:val="0"/>
          <w:marBottom w:val="0"/>
          <w:divBdr>
            <w:top w:val="none" w:sz="0" w:space="0" w:color="auto"/>
            <w:left w:val="none" w:sz="0" w:space="0" w:color="auto"/>
            <w:bottom w:val="none" w:sz="0" w:space="0" w:color="auto"/>
            <w:right w:val="none" w:sz="0" w:space="0" w:color="auto"/>
          </w:divBdr>
        </w:div>
        <w:div w:id="1609972181">
          <w:marLeft w:val="640"/>
          <w:marRight w:val="0"/>
          <w:marTop w:val="0"/>
          <w:marBottom w:val="0"/>
          <w:divBdr>
            <w:top w:val="none" w:sz="0" w:space="0" w:color="auto"/>
            <w:left w:val="none" w:sz="0" w:space="0" w:color="auto"/>
            <w:bottom w:val="none" w:sz="0" w:space="0" w:color="auto"/>
            <w:right w:val="none" w:sz="0" w:space="0" w:color="auto"/>
          </w:divBdr>
        </w:div>
        <w:div w:id="1614093498">
          <w:marLeft w:val="640"/>
          <w:marRight w:val="0"/>
          <w:marTop w:val="0"/>
          <w:marBottom w:val="0"/>
          <w:divBdr>
            <w:top w:val="none" w:sz="0" w:space="0" w:color="auto"/>
            <w:left w:val="none" w:sz="0" w:space="0" w:color="auto"/>
            <w:bottom w:val="none" w:sz="0" w:space="0" w:color="auto"/>
            <w:right w:val="none" w:sz="0" w:space="0" w:color="auto"/>
          </w:divBdr>
        </w:div>
        <w:div w:id="1618247345">
          <w:marLeft w:val="640"/>
          <w:marRight w:val="0"/>
          <w:marTop w:val="0"/>
          <w:marBottom w:val="0"/>
          <w:divBdr>
            <w:top w:val="none" w:sz="0" w:space="0" w:color="auto"/>
            <w:left w:val="none" w:sz="0" w:space="0" w:color="auto"/>
            <w:bottom w:val="none" w:sz="0" w:space="0" w:color="auto"/>
            <w:right w:val="none" w:sz="0" w:space="0" w:color="auto"/>
          </w:divBdr>
        </w:div>
        <w:div w:id="1621108898">
          <w:marLeft w:val="640"/>
          <w:marRight w:val="0"/>
          <w:marTop w:val="0"/>
          <w:marBottom w:val="0"/>
          <w:divBdr>
            <w:top w:val="none" w:sz="0" w:space="0" w:color="auto"/>
            <w:left w:val="none" w:sz="0" w:space="0" w:color="auto"/>
            <w:bottom w:val="none" w:sz="0" w:space="0" w:color="auto"/>
            <w:right w:val="none" w:sz="0" w:space="0" w:color="auto"/>
          </w:divBdr>
        </w:div>
        <w:div w:id="1623419532">
          <w:marLeft w:val="640"/>
          <w:marRight w:val="0"/>
          <w:marTop w:val="0"/>
          <w:marBottom w:val="0"/>
          <w:divBdr>
            <w:top w:val="none" w:sz="0" w:space="0" w:color="auto"/>
            <w:left w:val="none" w:sz="0" w:space="0" w:color="auto"/>
            <w:bottom w:val="none" w:sz="0" w:space="0" w:color="auto"/>
            <w:right w:val="none" w:sz="0" w:space="0" w:color="auto"/>
          </w:divBdr>
        </w:div>
        <w:div w:id="1624725054">
          <w:marLeft w:val="640"/>
          <w:marRight w:val="0"/>
          <w:marTop w:val="0"/>
          <w:marBottom w:val="0"/>
          <w:divBdr>
            <w:top w:val="none" w:sz="0" w:space="0" w:color="auto"/>
            <w:left w:val="none" w:sz="0" w:space="0" w:color="auto"/>
            <w:bottom w:val="none" w:sz="0" w:space="0" w:color="auto"/>
            <w:right w:val="none" w:sz="0" w:space="0" w:color="auto"/>
          </w:divBdr>
        </w:div>
        <w:div w:id="1628705853">
          <w:marLeft w:val="640"/>
          <w:marRight w:val="0"/>
          <w:marTop w:val="0"/>
          <w:marBottom w:val="0"/>
          <w:divBdr>
            <w:top w:val="none" w:sz="0" w:space="0" w:color="auto"/>
            <w:left w:val="none" w:sz="0" w:space="0" w:color="auto"/>
            <w:bottom w:val="none" w:sz="0" w:space="0" w:color="auto"/>
            <w:right w:val="none" w:sz="0" w:space="0" w:color="auto"/>
          </w:divBdr>
        </w:div>
        <w:div w:id="1630281712">
          <w:marLeft w:val="640"/>
          <w:marRight w:val="0"/>
          <w:marTop w:val="0"/>
          <w:marBottom w:val="0"/>
          <w:divBdr>
            <w:top w:val="none" w:sz="0" w:space="0" w:color="auto"/>
            <w:left w:val="none" w:sz="0" w:space="0" w:color="auto"/>
            <w:bottom w:val="none" w:sz="0" w:space="0" w:color="auto"/>
            <w:right w:val="none" w:sz="0" w:space="0" w:color="auto"/>
          </w:divBdr>
        </w:div>
        <w:div w:id="1630430530">
          <w:marLeft w:val="640"/>
          <w:marRight w:val="0"/>
          <w:marTop w:val="0"/>
          <w:marBottom w:val="0"/>
          <w:divBdr>
            <w:top w:val="none" w:sz="0" w:space="0" w:color="auto"/>
            <w:left w:val="none" w:sz="0" w:space="0" w:color="auto"/>
            <w:bottom w:val="none" w:sz="0" w:space="0" w:color="auto"/>
            <w:right w:val="none" w:sz="0" w:space="0" w:color="auto"/>
          </w:divBdr>
        </w:div>
        <w:div w:id="1635024303">
          <w:marLeft w:val="640"/>
          <w:marRight w:val="0"/>
          <w:marTop w:val="0"/>
          <w:marBottom w:val="0"/>
          <w:divBdr>
            <w:top w:val="none" w:sz="0" w:space="0" w:color="auto"/>
            <w:left w:val="none" w:sz="0" w:space="0" w:color="auto"/>
            <w:bottom w:val="none" w:sz="0" w:space="0" w:color="auto"/>
            <w:right w:val="none" w:sz="0" w:space="0" w:color="auto"/>
          </w:divBdr>
        </w:div>
        <w:div w:id="1646395540">
          <w:marLeft w:val="640"/>
          <w:marRight w:val="0"/>
          <w:marTop w:val="0"/>
          <w:marBottom w:val="0"/>
          <w:divBdr>
            <w:top w:val="none" w:sz="0" w:space="0" w:color="auto"/>
            <w:left w:val="none" w:sz="0" w:space="0" w:color="auto"/>
            <w:bottom w:val="none" w:sz="0" w:space="0" w:color="auto"/>
            <w:right w:val="none" w:sz="0" w:space="0" w:color="auto"/>
          </w:divBdr>
        </w:div>
        <w:div w:id="1647317306">
          <w:marLeft w:val="640"/>
          <w:marRight w:val="0"/>
          <w:marTop w:val="0"/>
          <w:marBottom w:val="0"/>
          <w:divBdr>
            <w:top w:val="none" w:sz="0" w:space="0" w:color="auto"/>
            <w:left w:val="none" w:sz="0" w:space="0" w:color="auto"/>
            <w:bottom w:val="none" w:sz="0" w:space="0" w:color="auto"/>
            <w:right w:val="none" w:sz="0" w:space="0" w:color="auto"/>
          </w:divBdr>
        </w:div>
        <w:div w:id="1647738289">
          <w:marLeft w:val="640"/>
          <w:marRight w:val="0"/>
          <w:marTop w:val="0"/>
          <w:marBottom w:val="0"/>
          <w:divBdr>
            <w:top w:val="none" w:sz="0" w:space="0" w:color="auto"/>
            <w:left w:val="none" w:sz="0" w:space="0" w:color="auto"/>
            <w:bottom w:val="none" w:sz="0" w:space="0" w:color="auto"/>
            <w:right w:val="none" w:sz="0" w:space="0" w:color="auto"/>
          </w:divBdr>
        </w:div>
        <w:div w:id="1649893926">
          <w:marLeft w:val="640"/>
          <w:marRight w:val="0"/>
          <w:marTop w:val="0"/>
          <w:marBottom w:val="0"/>
          <w:divBdr>
            <w:top w:val="none" w:sz="0" w:space="0" w:color="auto"/>
            <w:left w:val="none" w:sz="0" w:space="0" w:color="auto"/>
            <w:bottom w:val="none" w:sz="0" w:space="0" w:color="auto"/>
            <w:right w:val="none" w:sz="0" w:space="0" w:color="auto"/>
          </w:divBdr>
        </w:div>
        <w:div w:id="1652442964">
          <w:marLeft w:val="640"/>
          <w:marRight w:val="0"/>
          <w:marTop w:val="0"/>
          <w:marBottom w:val="0"/>
          <w:divBdr>
            <w:top w:val="none" w:sz="0" w:space="0" w:color="auto"/>
            <w:left w:val="none" w:sz="0" w:space="0" w:color="auto"/>
            <w:bottom w:val="none" w:sz="0" w:space="0" w:color="auto"/>
            <w:right w:val="none" w:sz="0" w:space="0" w:color="auto"/>
          </w:divBdr>
        </w:div>
        <w:div w:id="1652557366">
          <w:marLeft w:val="640"/>
          <w:marRight w:val="0"/>
          <w:marTop w:val="0"/>
          <w:marBottom w:val="0"/>
          <w:divBdr>
            <w:top w:val="none" w:sz="0" w:space="0" w:color="auto"/>
            <w:left w:val="none" w:sz="0" w:space="0" w:color="auto"/>
            <w:bottom w:val="none" w:sz="0" w:space="0" w:color="auto"/>
            <w:right w:val="none" w:sz="0" w:space="0" w:color="auto"/>
          </w:divBdr>
        </w:div>
        <w:div w:id="1652633523">
          <w:marLeft w:val="640"/>
          <w:marRight w:val="0"/>
          <w:marTop w:val="0"/>
          <w:marBottom w:val="0"/>
          <w:divBdr>
            <w:top w:val="none" w:sz="0" w:space="0" w:color="auto"/>
            <w:left w:val="none" w:sz="0" w:space="0" w:color="auto"/>
            <w:bottom w:val="none" w:sz="0" w:space="0" w:color="auto"/>
            <w:right w:val="none" w:sz="0" w:space="0" w:color="auto"/>
          </w:divBdr>
        </w:div>
        <w:div w:id="1658612463">
          <w:marLeft w:val="640"/>
          <w:marRight w:val="0"/>
          <w:marTop w:val="0"/>
          <w:marBottom w:val="0"/>
          <w:divBdr>
            <w:top w:val="none" w:sz="0" w:space="0" w:color="auto"/>
            <w:left w:val="none" w:sz="0" w:space="0" w:color="auto"/>
            <w:bottom w:val="none" w:sz="0" w:space="0" w:color="auto"/>
            <w:right w:val="none" w:sz="0" w:space="0" w:color="auto"/>
          </w:divBdr>
        </w:div>
        <w:div w:id="1658806146">
          <w:marLeft w:val="640"/>
          <w:marRight w:val="0"/>
          <w:marTop w:val="0"/>
          <w:marBottom w:val="0"/>
          <w:divBdr>
            <w:top w:val="none" w:sz="0" w:space="0" w:color="auto"/>
            <w:left w:val="none" w:sz="0" w:space="0" w:color="auto"/>
            <w:bottom w:val="none" w:sz="0" w:space="0" w:color="auto"/>
            <w:right w:val="none" w:sz="0" w:space="0" w:color="auto"/>
          </w:divBdr>
        </w:div>
        <w:div w:id="1658875655">
          <w:marLeft w:val="640"/>
          <w:marRight w:val="0"/>
          <w:marTop w:val="0"/>
          <w:marBottom w:val="0"/>
          <w:divBdr>
            <w:top w:val="none" w:sz="0" w:space="0" w:color="auto"/>
            <w:left w:val="none" w:sz="0" w:space="0" w:color="auto"/>
            <w:bottom w:val="none" w:sz="0" w:space="0" w:color="auto"/>
            <w:right w:val="none" w:sz="0" w:space="0" w:color="auto"/>
          </w:divBdr>
        </w:div>
        <w:div w:id="1659655756">
          <w:marLeft w:val="640"/>
          <w:marRight w:val="0"/>
          <w:marTop w:val="0"/>
          <w:marBottom w:val="0"/>
          <w:divBdr>
            <w:top w:val="none" w:sz="0" w:space="0" w:color="auto"/>
            <w:left w:val="none" w:sz="0" w:space="0" w:color="auto"/>
            <w:bottom w:val="none" w:sz="0" w:space="0" w:color="auto"/>
            <w:right w:val="none" w:sz="0" w:space="0" w:color="auto"/>
          </w:divBdr>
        </w:div>
        <w:div w:id="1660616773">
          <w:marLeft w:val="640"/>
          <w:marRight w:val="0"/>
          <w:marTop w:val="0"/>
          <w:marBottom w:val="0"/>
          <w:divBdr>
            <w:top w:val="none" w:sz="0" w:space="0" w:color="auto"/>
            <w:left w:val="none" w:sz="0" w:space="0" w:color="auto"/>
            <w:bottom w:val="none" w:sz="0" w:space="0" w:color="auto"/>
            <w:right w:val="none" w:sz="0" w:space="0" w:color="auto"/>
          </w:divBdr>
        </w:div>
        <w:div w:id="1663315246">
          <w:marLeft w:val="640"/>
          <w:marRight w:val="0"/>
          <w:marTop w:val="0"/>
          <w:marBottom w:val="0"/>
          <w:divBdr>
            <w:top w:val="none" w:sz="0" w:space="0" w:color="auto"/>
            <w:left w:val="none" w:sz="0" w:space="0" w:color="auto"/>
            <w:bottom w:val="none" w:sz="0" w:space="0" w:color="auto"/>
            <w:right w:val="none" w:sz="0" w:space="0" w:color="auto"/>
          </w:divBdr>
        </w:div>
        <w:div w:id="1666129580">
          <w:marLeft w:val="640"/>
          <w:marRight w:val="0"/>
          <w:marTop w:val="0"/>
          <w:marBottom w:val="0"/>
          <w:divBdr>
            <w:top w:val="none" w:sz="0" w:space="0" w:color="auto"/>
            <w:left w:val="none" w:sz="0" w:space="0" w:color="auto"/>
            <w:bottom w:val="none" w:sz="0" w:space="0" w:color="auto"/>
            <w:right w:val="none" w:sz="0" w:space="0" w:color="auto"/>
          </w:divBdr>
        </w:div>
        <w:div w:id="1670214431">
          <w:marLeft w:val="640"/>
          <w:marRight w:val="0"/>
          <w:marTop w:val="0"/>
          <w:marBottom w:val="0"/>
          <w:divBdr>
            <w:top w:val="none" w:sz="0" w:space="0" w:color="auto"/>
            <w:left w:val="none" w:sz="0" w:space="0" w:color="auto"/>
            <w:bottom w:val="none" w:sz="0" w:space="0" w:color="auto"/>
            <w:right w:val="none" w:sz="0" w:space="0" w:color="auto"/>
          </w:divBdr>
        </w:div>
        <w:div w:id="1671444555">
          <w:marLeft w:val="640"/>
          <w:marRight w:val="0"/>
          <w:marTop w:val="0"/>
          <w:marBottom w:val="0"/>
          <w:divBdr>
            <w:top w:val="none" w:sz="0" w:space="0" w:color="auto"/>
            <w:left w:val="none" w:sz="0" w:space="0" w:color="auto"/>
            <w:bottom w:val="none" w:sz="0" w:space="0" w:color="auto"/>
            <w:right w:val="none" w:sz="0" w:space="0" w:color="auto"/>
          </w:divBdr>
        </w:div>
        <w:div w:id="1672483030">
          <w:marLeft w:val="640"/>
          <w:marRight w:val="0"/>
          <w:marTop w:val="0"/>
          <w:marBottom w:val="0"/>
          <w:divBdr>
            <w:top w:val="none" w:sz="0" w:space="0" w:color="auto"/>
            <w:left w:val="none" w:sz="0" w:space="0" w:color="auto"/>
            <w:bottom w:val="none" w:sz="0" w:space="0" w:color="auto"/>
            <w:right w:val="none" w:sz="0" w:space="0" w:color="auto"/>
          </w:divBdr>
        </w:div>
        <w:div w:id="1674917535">
          <w:marLeft w:val="640"/>
          <w:marRight w:val="0"/>
          <w:marTop w:val="0"/>
          <w:marBottom w:val="0"/>
          <w:divBdr>
            <w:top w:val="none" w:sz="0" w:space="0" w:color="auto"/>
            <w:left w:val="none" w:sz="0" w:space="0" w:color="auto"/>
            <w:bottom w:val="none" w:sz="0" w:space="0" w:color="auto"/>
            <w:right w:val="none" w:sz="0" w:space="0" w:color="auto"/>
          </w:divBdr>
        </w:div>
        <w:div w:id="1675911062">
          <w:marLeft w:val="640"/>
          <w:marRight w:val="0"/>
          <w:marTop w:val="0"/>
          <w:marBottom w:val="0"/>
          <w:divBdr>
            <w:top w:val="none" w:sz="0" w:space="0" w:color="auto"/>
            <w:left w:val="none" w:sz="0" w:space="0" w:color="auto"/>
            <w:bottom w:val="none" w:sz="0" w:space="0" w:color="auto"/>
            <w:right w:val="none" w:sz="0" w:space="0" w:color="auto"/>
          </w:divBdr>
        </w:div>
        <w:div w:id="1678580669">
          <w:marLeft w:val="640"/>
          <w:marRight w:val="0"/>
          <w:marTop w:val="0"/>
          <w:marBottom w:val="0"/>
          <w:divBdr>
            <w:top w:val="none" w:sz="0" w:space="0" w:color="auto"/>
            <w:left w:val="none" w:sz="0" w:space="0" w:color="auto"/>
            <w:bottom w:val="none" w:sz="0" w:space="0" w:color="auto"/>
            <w:right w:val="none" w:sz="0" w:space="0" w:color="auto"/>
          </w:divBdr>
        </w:div>
        <w:div w:id="1679308211">
          <w:marLeft w:val="640"/>
          <w:marRight w:val="0"/>
          <w:marTop w:val="0"/>
          <w:marBottom w:val="0"/>
          <w:divBdr>
            <w:top w:val="none" w:sz="0" w:space="0" w:color="auto"/>
            <w:left w:val="none" w:sz="0" w:space="0" w:color="auto"/>
            <w:bottom w:val="none" w:sz="0" w:space="0" w:color="auto"/>
            <w:right w:val="none" w:sz="0" w:space="0" w:color="auto"/>
          </w:divBdr>
        </w:div>
        <w:div w:id="1680081847">
          <w:marLeft w:val="640"/>
          <w:marRight w:val="0"/>
          <w:marTop w:val="0"/>
          <w:marBottom w:val="0"/>
          <w:divBdr>
            <w:top w:val="none" w:sz="0" w:space="0" w:color="auto"/>
            <w:left w:val="none" w:sz="0" w:space="0" w:color="auto"/>
            <w:bottom w:val="none" w:sz="0" w:space="0" w:color="auto"/>
            <w:right w:val="none" w:sz="0" w:space="0" w:color="auto"/>
          </w:divBdr>
        </w:div>
        <w:div w:id="1681156320">
          <w:marLeft w:val="640"/>
          <w:marRight w:val="0"/>
          <w:marTop w:val="0"/>
          <w:marBottom w:val="0"/>
          <w:divBdr>
            <w:top w:val="none" w:sz="0" w:space="0" w:color="auto"/>
            <w:left w:val="none" w:sz="0" w:space="0" w:color="auto"/>
            <w:bottom w:val="none" w:sz="0" w:space="0" w:color="auto"/>
            <w:right w:val="none" w:sz="0" w:space="0" w:color="auto"/>
          </w:divBdr>
        </w:div>
        <w:div w:id="1684353229">
          <w:marLeft w:val="640"/>
          <w:marRight w:val="0"/>
          <w:marTop w:val="0"/>
          <w:marBottom w:val="0"/>
          <w:divBdr>
            <w:top w:val="none" w:sz="0" w:space="0" w:color="auto"/>
            <w:left w:val="none" w:sz="0" w:space="0" w:color="auto"/>
            <w:bottom w:val="none" w:sz="0" w:space="0" w:color="auto"/>
            <w:right w:val="none" w:sz="0" w:space="0" w:color="auto"/>
          </w:divBdr>
        </w:div>
        <w:div w:id="1688947973">
          <w:marLeft w:val="640"/>
          <w:marRight w:val="0"/>
          <w:marTop w:val="0"/>
          <w:marBottom w:val="0"/>
          <w:divBdr>
            <w:top w:val="none" w:sz="0" w:space="0" w:color="auto"/>
            <w:left w:val="none" w:sz="0" w:space="0" w:color="auto"/>
            <w:bottom w:val="none" w:sz="0" w:space="0" w:color="auto"/>
            <w:right w:val="none" w:sz="0" w:space="0" w:color="auto"/>
          </w:divBdr>
        </w:div>
        <w:div w:id="1690569042">
          <w:marLeft w:val="640"/>
          <w:marRight w:val="0"/>
          <w:marTop w:val="0"/>
          <w:marBottom w:val="0"/>
          <w:divBdr>
            <w:top w:val="none" w:sz="0" w:space="0" w:color="auto"/>
            <w:left w:val="none" w:sz="0" w:space="0" w:color="auto"/>
            <w:bottom w:val="none" w:sz="0" w:space="0" w:color="auto"/>
            <w:right w:val="none" w:sz="0" w:space="0" w:color="auto"/>
          </w:divBdr>
        </w:div>
        <w:div w:id="1692225116">
          <w:marLeft w:val="640"/>
          <w:marRight w:val="0"/>
          <w:marTop w:val="0"/>
          <w:marBottom w:val="0"/>
          <w:divBdr>
            <w:top w:val="none" w:sz="0" w:space="0" w:color="auto"/>
            <w:left w:val="none" w:sz="0" w:space="0" w:color="auto"/>
            <w:bottom w:val="none" w:sz="0" w:space="0" w:color="auto"/>
            <w:right w:val="none" w:sz="0" w:space="0" w:color="auto"/>
          </w:divBdr>
        </w:div>
        <w:div w:id="1698045743">
          <w:marLeft w:val="640"/>
          <w:marRight w:val="0"/>
          <w:marTop w:val="0"/>
          <w:marBottom w:val="0"/>
          <w:divBdr>
            <w:top w:val="none" w:sz="0" w:space="0" w:color="auto"/>
            <w:left w:val="none" w:sz="0" w:space="0" w:color="auto"/>
            <w:bottom w:val="none" w:sz="0" w:space="0" w:color="auto"/>
            <w:right w:val="none" w:sz="0" w:space="0" w:color="auto"/>
          </w:divBdr>
        </w:div>
        <w:div w:id="1701738821">
          <w:marLeft w:val="640"/>
          <w:marRight w:val="0"/>
          <w:marTop w:val="0"/>
          <w:marBottom w:val="0"/>
          <w:divBdr>
            <w:top w:val="none" w:sz="0" w:space="0" w:color="auto"/>
            <w:left w:val="none" w:sz="0" w:space="0" w:color="auto"/>
            <w:bottom w:val="none" w:sz="0" w:space="0" w:color="auto"/>
            <w:right w:val="none" w:sz="0" w:space="0" w:color="auto"/>
          </w:divBdr>
        </w:div>
        <w:div w:id="1703095729">
          <w:marLeft w:val="640"/>
          <w:marRight w:val="0"/>
          <w:marTop w:val="0"/>
          <w:marBottom w:val="0"/>
          <w:divBdr>
            <w:top w:val="none" w:sz="0" w:space="0" w:color="auto"/>
            <w:left w:val="none" w:sz="0" w:space="0" w:color="auto"/>
            <w:bottom w:val="none" w:sz="0" w:space="0" w:color="auto"/>
            <w:right w:val="none" w:sz="0" w:space="0" w:color="auto"/>
          </w:divBdr>
        </w:div>
        <w:div w:id="1705208100">
          <w:marLeft w:val="640"/>
          <w:marRight w:val="0"/>
          <w:marTop w:val="0"/>
          <w:marBottom w:val="0"/>
          <w:divBdr>
            <w:top w:val="none" w:sz="0" w:space="0" w:color="auto"/>
            <w:left w:val="none" w:sz="0" w:space="0" w:color="auto"/>
            <w:bottom w:val="none" w:sz="0" w:space="0" w:color="auto"/>
            <w:right w:val="none" w:sz="0" w:space="0" w:color="auto"/>
          </w:divBdr>
        </w:div>
        <w:div w:id="1705909413">
          <w:marLeft w:val="640"/>
          <w:marRight w:val="0"/>
          <w:marTop w:val="0"/>
          <w:marBottom w:val="0"/>
          <w:divBdr>
            <w:top w:val="none" w:sz="0" w:space="0" w:color="auto"/>
            <w:left w:val="none" w:sz="0" w:space="0" w:color="auto"/>
            <w:bottom w:val="none" w:sz="0" w:space="0" w:color="auto"/>
            <w:right w:val="none" w:sz="0" w:space="0" w:color="auto"/>
          </w:divBdr>
        </w:div>
        <w:div w:id="1706976589">
          <w:marLeft w:val="640"/>
          <w:marRight w:val="0"/>
          <w:marTop w:val="0"/>
          <w:marBottom w:val="0"/>
          <w:divBdr>
            <w:top w:val="none" w:sz="0" w:space="0" w:color="auto"/>
            <w:left w:val="none" w:sz="0" w:space="0" w:color="auto"/>
            <w:bottom w:val="none" w:sz="0" w:space="0" w:color="auto"/>
            <w:right w:val="none" w:sz="0" w:space="0" w:color="auto"/>
          </w:divBdr>
        </w:div>
        <w:div w:id="1719430935">
          <w:marLeft w:val="640"/>
          <w:marRight w:val="0"/>
          <w:marTop w:val="0"/>
          <w:marBottom w:val="0"/>
          <w:divBdr>
            <w:top w:val="none" w:sz="0" w:space="0" w:color="auto"/>
            <w:left w:val="none" w:sz="0" w:space="0" w:color="auto"/>
            <w:bottom w:val="none" w:sz="0" w:space="0" w:color="auto"/>
            <w:right w:val="none" w:sz="0" w:space="0" w:color="auto"/>
          </w:divBdr>
        </w:div>
        <w:div w:id="1719470444">
          <w:marLeft w:val="640"/>
          <w:marRight w:val="0"/>
          <w:marTop w:val="0"/>
          <w:marBottom w:val="0"/>
          <w:divBdr>
            <w:top w:val="none" w:sz="0" w:space="0" w:color="auto"/>
            <w:left w:val="none" w:sz="0" w:space="0" w:color="auto"/>
            <w:bottom w:val="none" w:sz="0" w:space="0" w:color="auto"/>
            <w:right w:val="none" w:sz="0" w:space="0" w:color="auto"/>
          </w:divBdr>
        </w:div>
        <w:div w:id="1721634929">
          <w:marLeft w:val="640"/>
          <w:marRight w:val="0"/>
          <w:marTop w:val="0"/>
          <w:marBottom w:val="0"/>
          <w:divBdr>
            <w:top w:val="none" w:sz="0" w:space="0" w:color="auto"/>
            <w:left w:val="none" w:sz="0" w:space="0" w:color="auto"/>
            <w:bottom w:val="none" w:sz="0" w:space="0" w:color="auto"/>
            <w:right w:val="none" w:sz="0" w:space="0" w:color="auto"/>
          </w:divBdr>
        </w:div>
        <w:div w:id="1723863226">
          <w:marLeft w:val="640"/>
          <w:marRight w:val="0"/>
          <w:marTop w:val="0"/>
          <w:marBottom w:val="0"/>
          <w:divBdr>
            <w:top w:val="none" w:sz="0" w:space="0" w:color="auto"/>
            <w:left w:val="none" w:sz="0" w:space="0" w:color="auto"/>
            <w:bottom w:val="none" w:sz="0" w:space="0" w:color="auto"/>
            <w:right w:val="none" w:sz="0" w:space="0" w:color="auto"/>
          </w:divBdr>
        </w:div>
        <w:div w:id="1730574725">
          <w:marLeft w:val="640"/>
          <w:marRight w:val="0"/>
          <w:marTop w:val="0"/>
          <w:marBottom w:val="0"/>
          <w:divBdr>
            <w:top w:val="none" w:sz="0" w:space="0" w:color="auto"/>
            <w:left w:val="none" w:sz="0" w:space="0" w:color="auto"/>
            <w:bottom w:val="none" w:sz="0" w:space="0" w:color="auto"/>
            <w:right w:val="none" w:sz="0" w:space="0" w:color="auto"/>
          </w:divBdr>
        </w:div>
        <w:div w:id="1732149137">
          <w:marLeft w:val="640"/>
          <w:marRight w:val="0"/>
          <w:marTop w:val="0"/>
          <w:marBottom w:val="0"/>
          <w:divBdr>
            <w:top w:val="none" w:sz="0" w:space="0" w:color="auto"/>
            <w:left w:val="none" w:sz="0" w:space="0" w:color="auto"/>
            <w:bottom w:val="none" w:sz="0" w:space="0" w:color="auto"/>
            <w:right w:val="none" w:sz="0" w:space="0" w:color="auto"/>
          </w:divBdr>
        </w:div>
        <w:div w:id="1732848257">
          <w:marLeft w:val="640"/>
          <w:marRight w:val="0"/>
          <w:marTop w:val="0"/>
          <w:marBottom w:val="0"/>
          <w:divBdr>
            <w:top w:val="none" w:sz="0" w:space="0" w:color="auto"/>
            <w:left w:val="none" w:sz="0" w:space="0" w:color="auto"/>
            <w:bottom w:val="none" w:sz="0" w:space="0" w:color="auto"/>
            <w:right w:val="none" w:sz="0" w:space="0" w:color="auto"/>
          </w:divBdr>
        </w:div>
        <w:div w:id="1735852162">
          <w:marLeft w:val="640"/>
          <w:marRight w:val="0"/>
          <w:marTop w:val="0"/>
          <w:marBottom w:val="0"/>
          <w:divBdr>
            <w:top w:val="none" w:sz="0" w:space="0" w:color="auto"/>
            <w:left w:val="none" w:sz="0" w:space="0" w:color="auto"/>
            <w:bottom w:val="none" w:sz="0" w:space="0" w:color="auto"/>
            <w:right w:val="none" w:sz="0" w:space="0" w:color="auto"/>
          </w:divBdr>
        </w:div>
        <w:div w:id="1736657791">
          <w:marLeft w:val="640"/>
          <w:marRight w:val="0"/>
          <w:marTop w:val="0"/>
          <w:marBottom w:val="0"/>
          <w:divBdr>
            <w:top w:val="none" w:sz="0" w:space="0" w:color="auto"/>
            <w:left w:val="none" w:sz="0" w:space="0" w:color="auto"/>
            <w:bottom w:val="none" w:sz="0" w:space="0" w:color="auto"/>
            <w:right w:val="none" w:sz="0" w:space="0" w:color="auto"/>
          </w:divBdr>
        </w:div>
        <w:div w:id="1736660689">
          <w:marLeft w:val="640"/>
          <w:marRight w:val="0"/>
          <w:marTop w:val="0"/>
          <w:marBottom w:val="0"/>
          <w:divBdr>
            <w:top w:val="none" w:sz="0" w:space="0" w:color="auto"/>
            <w:left w:val="none" w:sz="0" w:space="0" w:color="auto"/>
            <w:bottom w:val="none" w:sz="0" w:space="0" w:color="auto"/>
            <w:right w:val="none" w:sz="0" w:space="0" w:color="auto"/>
          </w:divBdr>
        </w:div>
        <w:div w:id="1737317170">
          <w:marLeft w:val="640"/>
          <w:marRight w:val="0"/>
          <w:marTop w:val="0"/>
          <w:marBottom w:val="0"/>
          <w:divBdr>
            <w:top w:val="none" w:sz="0" w:space="0" w:color="auto"/>
            <w:left w:val="none" w:sz="0" w:space="0" w:color="auto"/>
            <w:bottom w:val="none" w:sz="0" w:space="0" w:color="auto"/>
            <w:right w:val="none" w:sz="0" w:space="0" w:color="auto"/>
          </w:divBdr>
        </w:div>
        <w:div w:id="1739740723">
          <w:marLeft w:val="640"/>
          <w:marRight w:val="0"/>
          <w:marTop w:val="0"/>
          <w:marBottom w:val="0"/>
          <w:divBdr>
            <w:top w:val="none" w:sz="0" w:space="0" w:color="auto"/>
            <w:left w:val="none" w:sz="0" w:space="0" w:color="auto"/>
            <w:bottom w:val="none" w:sz="0" w:space="0" w:color="auto"/>
            <w:right w:val="none" w:sz="0" w:space="0" w:color="auto"/>
          </w:divBdr>
        </w:div>
        <w:div w:id="1740984162">
          <w:marLeft w:val="640"/>
          <w:marRight w:val="0"/>
          <w:marTop w:val="0"/>
          <w:marBottom w:val="0"/>
          <w:divBdr>
            <w:top w:val="none" w:sz="0" w:space="0" w:color="auto"/>
            <w:left w:val="none" w:sz="0" w:space="0" w:color="auto"/>
            <w:bottom w:val="none" w:sz="0" w:space="0" w:color="auto"/>
            <w:right w:val="none" w:sz="0" w:space="0" w:color="auto"/>
          </w:divBdr>
        </w:div>
        <w:div w:id="1742750752">
          <w:marLeft w:val="640"/>
          <w:marRight w:val="0"/>
          <w:marTop w:val="0"/>
          <w:marBottom w:val="0"/>
          <w:divBdr>
            <w:top w:val="none" w:sz="0" w:space="0" w:color="auto"/>
            <w:left w:val="none" w:sz="0" w:space="0" w:color="auto"/>
            <w:bottom w:val="none" w:sz="0" w:space="0" w:color="auto"/>
            <w:right w:val="none" w:sz="0" w:space="0" w:color="auto"/>
          </w:divBdr>
        </w:div>
        <w:div w:id="1743016350">
          <w:marLeft w:val="640"/>
          <w:marRight w:val="0"/>
          <w:marTop w:val="0"/>
          <w:marBottom w:val="0"/>
          <w:divBdr>
            <w:top w:val="none" w:sz="0" w:space="0" w:color="auto"/>
            <w:left w:val="none" w:sz="0" w:space="0" w:color="auto"/>
            <w:bottom w:val="none" w:sz="0" w:space="0" w:color="auto"/>
            <w:right w:val="none" w:sz="0" w:space="0" w:color="auto"/>
          </w:divBdr>
        </w:div>
        <w:div w:id="1743403328">
          <w:marLeft w:val="640"/>
          <w:marRight w:val="0"/>
          <w:marTop w:val="0"/>
          <w:marBottom w:val="0"/>
          <w:divBdr>
            <w:top w:val="none" w:sz="0" w:space="0" w:color="auto"/>
            <w:left w:val="none" w:sz="0" w:space="0" w:color="auto"/>
            <w:bottom w:val="none" w:sz="0" w:space="0" w:color="auto"/>
            <w:right w:val="none" w:sz="0" w:space="0" w:color="auto"/>
          </w:divBdr>
        </w:div>
        <w:div w:id="1752386978">
          <w:marLeft w:val="640"/>
          <w:marRight w:val="0"/>
          <w:marTop w:val="0"/>
          <w:marBottom w:val="0"/>
          <w:divBdr>
            <w:top w:val="none" w:sz="0" w:space="0" w:color="auto"/>
            <w:left w:val="none" w:sz="0" w:space="0" w:color="auto"/>
            <w:bottom w:val="none" w:sz="0" w:space="0" w:color="auto"/>
            <w:right w:val="none" w:sz="0" w:space="0" w:color="auto"/>
          </w:divBdr>
        </w:div>
        <w:div w:id="1753552283">
          <w:marLeft w:val="640"/>
          <w:marRight w:val="0"/>
          <w:marTop w:val="0"/>
          <w:marBottom w:val="0"/>
          <w:divBdr>
            <w:top w:val="none" w:sz="0" w:space="0" w:color="auto"/>
            <w:left w:val="none" w:sz="0" w:space="0" w:color="auto"/>
            <w:bottom w:val="none" w:sz="0" w:space="0" w:color="auto"/>
            <w:right w:val="none" w:sz="0" w:space="0" w:color="auto"/>
          </w:divBdr>
        </w:div>
        <w:div w:id="1758746820">
          <w:marLeft w:val="640"/>
          <w:marRight w:val="0"/>
          <w:marTop w:val="0"/>
          <w:marBottom w:val="0"/>
          <w:divBdr>
            <w:top w:val="none" w:sz="0" w:space="0" w:color="auto"/>
            <w:left w:val="none" w:sz="0" w:space="0" w:color="auto"/>
            <w:bottom w:val="none" w:sz="0" w:space="0" w:color="auto"/>
            <w:right w:val="none" w:sz="0" w:space="0" w:color="auto"/>
          </w:divBdr>
        </w:div>
        <w:div w:id="1758820204">
          <w:marLeft w:val="640"/>
          <w:marRight w:val="0"/>
          <w:marTop w:val="0"/>
          <w:marBottom w:val="0"/>
          <w:divBdr>
            <w:top w:val="none" w:sz="0" w:space="0" w:color="auto"/>
            <w:left w:val="none" w:sz="0" w:space="0" w:color="auto"/>
            <w:bottom w:val="none" w:sz="0" w:space="0" w:color="auto"/>
            <w:right w:val="none" w:sz="0" w:space="0" w:color="auto"/>
          </w:divBdr>
        </w:div>
        <w:div w:id="1759447007">
          <w:marLeft w:val="640"/>
          <w:marRight w:val="0"/>
          <w:marTop w:val="0"/>
          <w:marBottom w:val="0"/>
          <w:divBdr>
            <w:top w:val="none" w:sz="0" w:space="0" w:color="auto"/>
            <w:left w:val="none" w:sz="0" w:space="0" w:color="auto"/>
            <w:bottom w:val="none" w:sz="0" w:space="0" w:color="auto"/>
            <w:right w:val="none" w:sz="0" w:space="0" w:color="auto"/>
          </w:divBdr>
        </w:div>
        <w:div w:id="1760714584">
          <w:marLeft w:val="640"/>
          <w:marRight w:val="0"/>
          <w:marTop w:val="0"/>
          <w:marBottom w:val="0"/>
          <w:divBdr>
            <w:top w:val="none" w:sz="0" w:space="0" w:color="auto"/>
            <w:left w:val="none" w:sz="0" w:space="0" w:color="auto"/>
            <w:bottom w:val="none" w:sz="0" w:space="0" w:color="auto"/>
            <w:right w:val="none" w:sz="0" w:space="0" w:color="auto"/>
          </w:divBdr>
        </w:div>
        <w:div w:id="1764181410">
          <w:marLeft w:val="640"/>
          <w:marRight w:val="0"/>
          <w:marTop w:val="0"/>
          <w:marBottom w:val="0"/>
          <w:divBdr>
            <w:top w:val="none" w:sz="0" w:space="0" w:color="auto"/>
            <w:left w:val="none" w:sz="0" w:space="0" w:color="auto"/>
            <w:bottom w:val="none" w:sz="0" w:space="0" w:color="auto"/>
            <w:right w:val="none" w:sz="0" w:space="0" w:color="auto"/>
          </w:divBdr>
        </w:div>
        <w:div w:id="1765370943">
          <w:marLeft w:val="640"/>
          <w:marRight w:val="0"/>
          <w:marTop w:val="0"/>
          <w:marBottom w:val="0"/>
          <w:divBdr>
            <w:top w:val="none" w:sz="0" w:space="0" w:color="auto"/>
            <w:left w:val="none" w:sz="0" w:space="0" w:color="auto"/>
            <w:bottom w:val="none" w:sz="0" w:space="0" w:color="auto"/>
            <w:right w:val="none" w:sz="0" w:space="0" w:color="auto"/>
          </w:divBdr>
        </w:div>
        <w:div w:id="1766999598">
          <w:marLeft w:val="640"/>
          <w:marRight w:val="0"/>
          <w:marTop w:val="0"/>
          <w:marBottom w:val="0"/>
          <w:divBdr>
            <w:top w:val="none" w:sz="0" w:space="0" w:color="auto"/>
            <w:left w:val="none" w:sz="0" w:space="0" w:color="auto"/>
            <w:bottom w:val="none" w:sz="0" w:space="0" w:color="auto"/>
            <w:right w:val="none" w:sz="0" w:space="0" w:color="auto"/>
          </w:divBdr>
        </w:div>
        <w:div w:id="1767388201">
          <w:marLeft w:val="640"/>
          <w:marRight w:val="0"/>
          <w:marTop w:val="0"/>
          <w:marBottom w:val="0"/>
          <w:divBdr>
            <w:top w:val="none" w:sz="0" w:space="0" w:color="auto"/>
            <w:left w:val="none" w:sz="0" w:space="0" w:color="auto"/>
            <w:bottom w:val="none" w:sz="0" w:space="0" w:color="auto"/>
            <w:right w:val="none" w:sz="0" w:space="0" w:color="auto"/>
          </w:divBdr>
        </w:div>
        <w:div w:id="1768579675">
          <w:marLeft w:val="640"/>
          <w:marRight w:val="0"/>
          <w:marTop w:val="0"/>
          <w:marBottom w:val="0"/>
          <w:divBdr>
            <w:top w:val="none" w:sz="0" w:space="0" w:color="auto"/>
            <w:left w:val="none" w:sz="0" w:space="0" w:color="auto"/>
            <w:bottom w:val="none" w:sz="0" w:space="0" w:color="auto"/>
            <w:right w:val="none" w:sz="0" w:space="0" w:color="auto"/>
          </w:divBdr>
        </w:div>
        <w:div w:id="1770730761">
          <w:marLeft w:val="640"/>
          <w:marRight w:val="0"/>
          <w:marTop w:val="0"/>
          <w:marBottom w:val="0"/>
          <w:divBdr>
            <w:top w:val="none" w:sz="0" w:space="0" w:color="auto"/>
            <w:left w:val="none" w:sz="0" w:space="0" w:color="auto"/>
            <w:bottom w:val="none" w:sz="0" w:space="0" w:color="auto"/>
            <w:right w:val="none" w:sz="0" w:space="0" w:color="auto"/>
          </w:divBdr>
        </w:div>
        <w:div w:id="1773627683">
          <w:marLeft w:val="640"/>
          <w:marRight w:val="0"/>
          <w:marTop w:val="0"/>
          <w:marBottom w:val="0"/>
          <w:divBdr>
            <w:top w:val="none" w:sz="0" w:space="0" w:color="auto"/>
            <w:left w:val="none" w:sz="0" w:space="0" w:color="auto"/>
            <w:bottom w:val="none" w:sz="0" w:space="0" w:color="auto"/>
            <w:right w:val="none" w:sz="0" w:space="0" w:color="auto"/>
          </w:divBdr>
        </w:div>
        <w:div w:id="1774014399">
          <w:marLeft w:val="640"/>
          <w:marRight w:val="0"/>
          <w:marTop w:val="0"/>
          <w:marBottom w:val="0"/>
          <w:divBdr>
            <w:top w:val="none" w:sz="0" w:space="0" w:color="auto"/>
            <w:left w:val="none" w:sz="0" w:space="0" w:color="auto"/>
            <w:bottom w:val="none" w:sz="0" w:space="0" w:color="auto"/>
            <w:right w:val="none" w:sz="0" w:space="0" w:color="auto"/>
          </w:divBdr>
        </w:div>
        <w:div w:id="1775856452">
          <w:marLeft w:val="640"/>
          <w:marRight w:val="0"/>
          <w:marTop w:val="0"/>
          <w:marBottom w:val="0"/>
          <w:divBdr>
            <w:top w:val="none" w:sz="0" w:space="0" w:color="auto"/>
            <w:left w:val="none" w:sz="0" w:space="0" w:color="auto"/>
            <w:bottom w:val="none" w:sz="0" w:space="0" w:color="auto"/>
            <w:right w:val="none" w:sz="0" w:space="0" w:color="auto"/>
          </w:divBdr>
        </w:div>
        <w:div w:id="1776511675">
          <w:marLeft w:val="640"/>
          <w:marRight w:val="0"/>
          <w:marTop w:val="0"/>
          <w:marBottom w:val="0"/>
          <w:divBdr>
            <w:top w:val="none" w:sz="0" w:space="0" w:color="auto"/>
            <w:left w:val="none" w:sz="0" w:space="0" w:color="auto"/>
            <w:bottom w:val="none" w:sz="0" w:space="0" w:color="auto"/>
            <w:right w:val="none" w:sz="0" w:space="0" w:color="auto"/>
          </w:divBdr>
        </w:div>
        <w:div w:id="1777409845">
          <w:marLeft w:val="640"/>
          <w:marRight w:val="0"/>
          <w:marTop w:val="0"/>
          <w:marBottom w:val="0"/>
          <w:divBdr>
            <w:top w:val="none" w:sz="0" w:space="0" w:color="auto"/>
            <w:left w:val="none" w:sz="0" w:space="0" w:color="auto"/>
            <w:bottom w:val="none" w:sz="0" w:space="0" w:color="auto"/>
            <w:right w:val="none" w:sz="0" w:space="0" w:color="auto"/>
          </w:divBdr>
        </w:div>
        <w:div w:id="1778021754">
          <w:marLeft w:val="640"/>
          <w:marRight w:val="0"/>
          <w:marTop w:val="0"/>
          <w:marBottom w:val="0"/>
          <w:divBdr>
            <w:top w:val="none" w:sz="0" w:space="0" w:color="auto"/>
            <w:left w:val="none" w:sz="0" w:space="0" w:color="auto"/>
            <w:bottom w:val="none" w:sz="0" w:space="0" w:color="auto"/>
            <w:right w:val="none" w:sz="0" w:space="0" w:color="auto"/>
          </w:divBdr>
        </w:div>
        <w:div w:id="1778603251">
          <w:marLeft w:val="640"/>
          <w:marRight w:val="0"/>
          <w:marTop w:val="0"/>
          <w:marBottom w:val="0"/>
          <w:divBdr>
            <w:top w:val="none" w:sz="0" w:space="0" w:color="auto"/>
            <w:left w:val="none" w:sz="0" w:space="0" w:color="auto"/>
            <w:bottom w:val="none" w:sz="0" w:space="0" w:color="auto"/>
            <w:right w:val="none" w:sz="0" w:space="0" w:color="auto"/>
          </w:divBdr>
        </w:div>
        <w:div w:id="1779792814">
          <w:marLeft w:val="640"/>
          <w:marRight w:val="0"/>
          <w:marTop w:val="0"/>
          <w:marBottom w:val="0"/>
          <w:divBdr>
            <w:top w:val="none" w:sz="0" w:space="0" w:color="auto"/>
            <w:left w:val="none" w:sz="0" w:space="0" w:color="auto"/>
            <w:bottom w:val="none" w:sz="0" w:space="0" w:color="auto"/>
            <w:right w:val="none" w:sz="0" w:space="0" w:color="auto"/>
          </w:divBdr>
        </w:div>
        <w:div w:id="1781753839">
          <w:marLeft w:val="640"/>
          <w:marRight w:val="0"/>
          <w:marTop w:val="0"/>
          <w:marBottom w:val="0"/>
          <w:divBdr>
            <w:top w:val="none" w:sz="0" w:space="0" w:color="auto"/>
            <w:left w:val="none" w:sz="0" w:space="0" w:color="auto"/>
            <w:bottom w:val="none" w:sz="0" w:space="0" w:color="auto"/>
            <w:right w:val="none" w:sz="0" w:space="0" w:color="auto"/>
          </w:divBdr>
        </w:div>
        <w:div w:id="1783181223">
          <w:marLeft w:val="640"/>
          <w:marRight w:val="0"/>
          <w:marTop w:val="0"/>
          <w:marBottom w:val="0"/>
          <w:divBdr>
            <w:top w:val="none" w:sz="0" w:space="0" w:color="auto"/>
            <w:left w:val="none" w:sz="0" w:space="0" w:color="auto"/>
            <w:bottom w:val="none" w:sz="0" w:space="0" w:color="auto"/>
            <w:right w:val="none" w:sz="0" w:space="0" w:color="auto"/>
          </w:divBdr>
        </w:div>
        <w:div w:id="1783769096">
          <w:marLeft w:val="640"/>
          <w:marRight w:val="0"/>
          <w:marTop w:val="0"/>
          <w:marBottom w:val="0"/>
          <w:divBdr>
            <w:top w:val="none" w:sz="0" w:space="0" w:color="auto"/>
            <w:left w:val="none" w:sz="0" w:space="0" w:color="auto"/>
            <w:bottom w:val="none" w:sz="0" w:space="0" w:color="auto"/>
            <w:right w:val="none" w:sz="0" w:space="0" w:color="auto"/>
          </w:divBdr>
        </w:div>
        <w:div w:id="1785729604">
          <w:marLeft w:val="640"/>
          <w:marRight w:val="0"/>
          <w:marTop w:val="0"/>
          <w:marBottom w:val="0"/>
          <w:divBdr>
            <w:top w:val="none" w:sz="0" w:space="0" w:color="auto"/>
            <w:left w:val="none" w:sz="0" w:space="0" w:color="auto"/>
            <w:bottom w:val="none" w:sz="0" w:space="0" w:color="auto"/>
            <w:right w:val="none" w:sz="0" w:space="0" w:color="auto"/>
          </w:divBdr>
        </w:div>
        <w:div w:id="1790122899">
          <w:marLeft w:val="640"/>
          <w:marRight w:val="0"/>
          <w:marTop w:val="0"/>
          <w:marBottom w:val="0"/>
          <w:divBdr>
            <w:top w:val="none" w:sz="0" w:space="0" w:color="auto"/>
            <w:left w:val="none" w:sz="0" w:space="0" w:color="auto"/>
            <w:bottom w:val="none" w:sz="0" w:space="0" w:color="auto"/>
            <w:right w:val="none" w:sz="0" w:space="0" w:color="auto"/>
          </w:divBdr>
        </w:div>
        <w:div w:id="1792048505">
          <w:marLeft w:val="640"/>
          <w:marRight w:val="0"/>
          <w:marTop w:val="0"/>
          <w:marBottom w:val="0"/>
          <w:divBdr>
            <w:top w:val="none" w:sz="0" w:space="0" w:color="auto"/>
            <w:left w:val="none" w:sz="0" w:space="0" w:color="auto"/>
            <w:bottom w:val="none" w:sz="0" w:space="0" w:color="auto"/>
            <w:right w:val="none" w:sz="0" w:space="0" w:color="auto"/>
          </w:divBdr>
        </w:div>
        <w:div w:id="1793135871">
          <w:marLeft w:val="640"/>
          <w:marRight w:val="0"/>
          <w:marTop w:val="0"/>
          <w:marBottom w:val="0"/>
          <w:divBdr>
            <w:top w:val="none" w:sz="0" w:space="0" w:color="auto"/>
            <w:left w:val="none" w:sz="0" w:space="0" w:color="auto"/>
            <w:bottom w:val="none" w:sz="0" w:space="0" w:color="auto"/>
            <w:right w:val="none" w:sz="0" w:space="0" w:color="auto"/>
          </w:divBdr>
        </w:div>
        <w:div w:id="1795783536">
          <w:marLeft w:val="640"/>
          <w:marRight w:val="0"/>
          <w:marTop w:val="0"/>
          <w:marBottom w:val="0"/>
          <w:divBdr>
            <w:top w:val="none" w:sz="0" w:space="0" w:color="auto"/>
            <w:left w:val="none" w:sz="0" w:space="0" w:color="auto"/>
            <w:bottom w:val="none" w:sz="0" w:space="0" w:color="auto"/>
            <w:right w:val="none" w:sz="0" w:space="0" w:color="auto"/>
          </w:divBdr>
        </w:div>
        <w:div w:id="1796873159">
          <w:marLeft w:val="640"/>
          <w:marRight w:val="0"/>
          <w:marTop w:val="0"/>
          <w:marBottom w:val="0"/>
          <w:divBdr>
            <w:top w:val="none" w:sz="0" w:space="0" w:color="auto"/>
            <w:left w:val="none" w:sz="0" w:space="0" w:color="auto"/>
            <w:bottom w:val="none" w:sz="0" w:space="0" w:color="auto"/>
            <w:right w:val="none" w:sz="0" w:space="0" w:color="auto"/>
          </w:divBdr>
        </w:div>
        <w:div w:id="1797406496">
          <w:marLeft w:val="640"/>
          <w:marRight w:val="0"/>
          <w:marTop w:val="0"/>
          <w:marBottom w:val="0"/>
          <w:divBdr>
            <w:top w:val="none" w:sz="0" w:space="0" w:color="auto"/>
            <w:left w:val="none" w:sz="0" w:space="0" w:color="auto"/>
            <w:bottom w:val="none" w:sz="0" w:space="0" w:color="auto"/>
            <w:right w:val="none" w:sz="0" w:space="0" w:color="auto"/>
          </w:divBdr>
        </w:div>
        <w:div w:id="1799451237">
          <w:marLeft w:val="640"/>
          <w:marRight w:val="0"/>
          <w:marTop w:val="0"/>
          <w:marBottom w:val="0"/>
          <w:divBdr>
            <w:top w:val="none" w:sz="0" w:space="0" w:color="auto"/>
            <w:left w:val="none" w:sz="0" w:space="0" w:color="auto"/>
            <w:bottom w:val="none" w:sz="0" w:space="0" w:color="auto"/>
            <w:right w:val="none" w:sz="0" w:space="0" w:color="auto"/>
          </w:divBdr>
        </w:div>
        <w:div w:id="1800342262">
          <w:marLeft w:val="640"/>
          <w:marRight w:val="0"/>
          <w:marTop w:val="0"/>
          <w:marBottom w:val="0"/>
          <w:divBdr>
            <w:top w:val="none" w:sz="0" w:space="0" w:color="auto"/>
            <w:left w:val="none" w:sz="0" w:space="0" w:color="auto"/>
            <w:bottom w:val="none" w:sz="0" w:space="0" w:color="auto"/>
            <w:right w:val="none" w:sz="0" w:space="0" w:color="auto"/>
          </w:divBdr>
        </w:div>
        <w:div w:id="1803040294">
          <w:marLeft w:val="640"/>
          <w:marRight w:val="0"/>
          <w:marTop w:val="0"/>
          <w:marBottom w:val="0"/>
          <w:divBdr>
            <w:top w:val="none" w:sz="0" w:space="0" w:color="auto"/>
            <w:left w:val="none" w:sz="0" w:space="0" w:color="auto"/>
            <w:bottom w:val="none" w:sz="0" w:space="0" w:color="auto"/>
            <w:right w:val="none" w:sz="0" w:space="0" w:color="auto"/>
          </w:divBdr>
        </w:div>
        <w:div w:id="1803109218">
          <w:marLeft w:val="640"/>
          <w:marRight w:val="0"/>
          <w:marTop w:val="0"/>
          <w:marBottom w:val="0"/>
          <w:divBdr>
            <w:top w:val="none" w:sz="0" w:space="0" w:color="auto"/>
            <w:left w:val="none" w:sz="0" w:space="0" w:color="auto"/>
            <w:bottom w:val="none" w:sz="0" w:space="0" w:color="auto"/>
            <w:right w:val="none" w:sz="0" w:space="0" w:color="auto"/>
          </w:divBdr>
        </w:div>
        <w:div w:id="1806116641">
          <w:marLeft w:val="640"/>
          <w:marRight w:val="0"/>
          <w:marTop w:val="0"/>
          <w:marBottom w:val="0"/>
          <w:divBdr>
            <w:top w:val="none" w:sz="0" w:space="0" w:color="auto"/>
            <w:left w:val="none" w:sz="0" w:space="0" w:color="auto"/>
            <w:bottom w:val="none" w:sz="0" w:space="0" w:color="auto"/>
            <w:right w:val="none" w:sz="0" w:space="0" w:color="auto"/>
          </w:divBdr>
        </w:div>
        <w:div w:id="1812018008">
          <w:marLeft w:val="640"/>
          <w:marRight w:val="0"/>
          <w:marTop w:val="0"/>
          <w:marBottom w:val="0"/>
          <w:divBdr>
            <w:top w:val="none" w:sz="0" w:space="0" w:color="auto"/>
            <w:left w:val="none" w:sz="0" w:space="0" w:color="auto"/>
            <w:bottom w:val="none" w:sz="0" w:space="0" w:color="auto"/>
            <w:right w:val="none" w:sz="0" w:space="0" w:color="auto"/>
          </w:divBdr>
        </w:div>
        <w:div w:id="1814175250">
          <w:marLeft w:val="640"/>
          <w:marRight w:val="0"/>
          <w:marTop w:val="0"/>
          <w:marBottom w:val="0"/>
          <w:divBdr>
            <w:top w:val="none" w:sz="0" w:space="0" w:color="auto"/>
            <w:left w:val="none" w:sz="0" w:space="0" w:color="auto"/>
            <w:bottom w:val="none" w:sz="0" w:space="0" w:color="auto"/>
            <w:right w:val="none" w:sz="0" w:space="0" w:color="auto"/>
          </w:divBdr>
        </w:div>
        <w:div w:id="1814365605">
          <w:marLeft w:val="640"/>
          <w:marRight w:val="0"/>
          <w:marTop w:val="0"/>
          <w:marBottom w:val="0"/>
          <w:divBdr>
            <w:top w:val="none" w:sz="0" w:space="0" w:color="auto"/>
            <w:left w:val="none" w:sz="0" w:space="0" w:color="auto"/>
            <w:bottom w:val="none" w:sz="0" w:space="0" w:color="auto"/>
            <w:right w:val="none" w:sz="0" w:space="0" w:color="auto"/>
          </w:divBdr>
        </w:div>
        <w:div w:id="1821389026">
          <w:marLeft w:val="640"/>
          <w:marRight w:val="0"/>
          <w:marTop w:val="0"/>
          <w:marBottom w:val="0"/>
          <w:divBdr>
            <w:top w:val="none" w:sz="0" w:space="0" w:color="auto"/>
            <w:left w:val="none" w:sz="0" w:space="0" w:color="auto"/>
            <w:bottom w:val="none" w:sz="0" w:space="0" w:color="auto"/>
            <w:right w:val="none" w:sz="0" w:space="0" w:color="auto"/>
          </w:divBdr>
        </w:div>
        <w:div w:id="1824468852">
          <w:marLeft w:val="640"/>
          <w:marRight w:val="0"/>
          <w:marTop w:val="0"/>
          <w:marBottom w:val="0"/>
          <w:divBdr>
            <w:top w:val="none" w:sz="0" w:space="0" w:color="auto"/>
            <w:left w:val="none" w:sz="0" w:space="0" w:color="auto"/>
            <w:bottom w:val="none" w:sz="0" w:space="0" w:color="auto"/>
            <w:right w:val="none" w:sz="0" w:space="0" w:color="auto"/>
          </w:divBdr>
        </w:div>
        <w:div w:id="1824856214">
          <w:marLeft w:val="640"/>
          <w:marRight w:val="0"/>
          <w:marTop w:val="0"/>
          <w:marBottom w:val="0"/>
          <w:divBdr>
            <w:top w:val="none" w:sz="0" w:space="0" w:color="auto"/>
            <w:left w:val="none" w:sz="0" w:space="0" w:color="auto"/>
            <w:bottom w:val="none" w:sz="0" w:space="0" w:color="auto"/>
            <w:right w:val="none" w:sz="0" w:space="0" w:color="auto"/>
          </w:divBdr>
        </w:div>
        <w:div w:id="1826311701">
          <w:marLeft w:val="640"/>
          <w:marRight w:val="0"/>
          <w:marTop w:val="0"/>
          <w:marBottom w:val="0"/>
          <w:divBdr>
            <w:top w:val="none" w:sz="0" w:space="0" w:color="auto"/>
            <w:left w:val="none" w:sz="0" w:space="0" w:color="auto"/>
            <w:bottom w:val="none" w:sz="0" w:space="0" w:color="auto"/>
            <w:right w:val="none" w:sz="0" w:space="0" w:color="auto"/>
          </w:divBdr>
        </w:div>
        <w:div w:id="1826824794">
          <w:marLeft w:val="640"/>
          <w:marRight w:val="0"/>
          <w:marTop w:val="0"/>
          <w:marBottom w:val="0"/>
          <w:divBdr>
            <w:top w:val="none" w:sz="0" w:space="0" w:color="auto"/>
            <w:left w:val="none" w:sz="0" w:space="0" w:color="auto"/>
            <w:bottom w:val="none" w:sz="0" w:space="0" w:color="auto"/>
            <w:right w:val="none" w:sz="0" w:space="0" w:color="auto"/>
          </w:divBdr>
        </w:div>
        <w:div w:id="1831367642">
          <w:marLeft w:val="640"/>
          <w:marRight w:val="0"/>
          <w:marTop w:val="0"/>
          <w:marBottom w:val="0"/>
          <w:divBdr>
            <w:top w:val="none" w:sz="0" w:space="0" w:color="auto"/>
            <w:left w:val="none" w:sz="0" w:space="0" w:color="auto"/>
            <w:bottom w:val="none" w:sz="0" w:space="0" w:color="auto"/>
            <w:right w:val="none" w:sz="0" w:space="0" w:color="auto"/>
          </w:divBdr>
        </w:div>
        <w:div w:id="1833714911">
          <w:marLeft w:val="640"/>
          <w:marRight w:val="0"/>
          <w:marTop w:val="0"/>
          <w:marBottom w:val="0"/>
          <w:divBdr>
            <w:top w:val="none" w:sz="0" w:space="0" w:color="auto"/>
            <w:left w:val="none" w:sz="0" w:space="0" w:color="auto"/>
            <w:bottom w:val="none" w:sz="0" w:space="0" w:color="auto"/>
            <w:right w:val="none" w:sz="0" w:space="0" w:color="auto"/>
          </w:divBdr>
        </w:div>
        <w:div w:id="1835029220">
          <w:marLeft w:val="640"/>
          <w:marRight w:val="0"/>
          <w:marTop w:val="0"/>
          <w:marBottom w:val="0"/>
          <w:divBdr>
            <w:top w:val="none" w:sz="0" w:space="0" w:color="auto"/>
            <w:left w:val="none" w:sz="0" w:space="0" w:color="auto"/>
            <w:bottom w:val="none" w:sz="0" w:space="0" w:color="auto"/>
            <w:right w:val="none" w:sz="0" w:space="0" w:color="auto"/>
          </w:divBdr>
        </w:div>
        <w:div w:id="1836804075">
          <w:marLeft w:val="640"/>
          <w:marRight w:val="0"/>
          <w:marTop w:val="0"/>
          <w:marBottom w:val="0"/>
          <w:divBdr>
            <w:top w:val="none" w:sz="0" w:space="0" w:color="auto"/>
            <w:left w:val="none" w:sz="0" w:space="0" w:color="auto"/>
            <w:bottom w:val="none" w:sz="0" w:space="0" w:color="auto"/>
            <w:right w:val="none" w:sz="0" w:space="0" w:color="auto"/>
          </w:divBdr>
        </w:div>
        <w:div w:id="1839496867">
          <w:marLeft w:val="640"/>
          <w:marRight w:val="0"/>
          <w:marTop w:val="0"/>
          <w:marBottom w:val="0"/>
          <w:divBdr>
            <w:top w:val="none" w:sz="0" w:space="0" w:color="auto"/>
            <w:left w:val="none" w:sz="0" w:space="0" w:color="auto"/>
            <w:bottom w:val="none" w:sz="0" w:space="0" w:color="auto"/>
            <w:right w:val="none" w:sz="0" w:space="0" w:color="auto"/>
          </w:divBdr>
        </w:div>
        <w:div w:id="1839955563">
          <w:marLeft w:val="640"/>
          <w:marRight w:val="0"/>
          <w:marTop w:val="0"/>
          <w:marBottom w:val="0"/>
          <w:divBdr>
            <w:top w:val="none" w:sz="0" w:space="0" w:color="auto"/>
            <w:left w:val="none" w:sz="0" w:space="0" w:color="auto"/>
            <w:bottom w:val="none" w:sz="0" w:space="0" w:color="auto"/>
            <w:right w:val="none" w:sz="0" w:space="0" w:color="auto"/>
          </w:divBdr>
        </w:div>
        <w:div w:id="1840777248">
          <w:marLeft w:val="640"/>
          <w:marRight w:val="0"/>
          <w:marTop w:val="0"/>
          <w:marBottom w:val="0"/>
          <w:divBdr>
            <w:top w:val="none" w:sz="0" w:space="0" w:color="auto"/>
            <w:left w:val="none" w:sz="0" w:space="0" w:color="auto"/>
            <w:bottom w:val="none" w:sz="0" w:space="0" w:color="auto"/>
            <w:right w:val="none" w:sz="0" w:space="0" w:color="auto"/>
          </w:divBdr>
        </w:div>
        <w:div w:id="1841769634">
          <w:marLeft w:val="640"/>
          <w:marRight w:val="0"/>
          <w:marTop w:val="0"/>
          <w:marBottom w:val="0"/>
          <w:divBdr>
            <w:top w:val="none" w:sz="0" w:space="0" w:color="auto"/>
            <w:left w:val="none" w:sz="0" w:space="0" w:color="auto"/>
            <w:bottom w:val="none" w:sz="0" w:space="0" w:color="auto"/>
            <w:right w:val="none" w:sz="0" w:space="0" w:color="auto"/>
          </w:divBdr>
        </w:div>
        <w:div w:id="1844123124">
          <w:marLeft w:val="640"/>
          <w:marRight w:val="0"/>
          <w:marTop w:val="0"/>
          <w:marBottom w:val="0"/>
          <w:divBdr>
            <w:top w:val="none" w:sz="0" w:space="0" w:color="auto"/>
            <w:left w:val="none" w:sz="0" w:space="0" w:color="auto"/>
            <w:bottom w:val="none" w:sz="0" w:space="0" w:color="auto"/>
            <w:right w:val="none" w:sz="0" w:space="0" w:color="auto"/>
          </w:divBdr>
        </w:div>
        <w:div w:id="1845168504">
          <w:marLeft w:val="640"/>
          <w:marRight w:val="0"/>
          <w:marTop w:val="0"/>
          <w:marBottom w:val="0"/>
          <w:divBdr>
            <w:top w:val="none" w:sz="0" w:space="0" w:color="auto"/>
            <w:left w:val="none" w:sz="0" w:space="0" w:color="auto"/>
            <w:bottom w:val="none" w:sz="0" w:space="0" w:color="auto"/>
            <w:right w:val="none" w:sz="0" w:space="0" w:color="auto"/>
          </w:divBdr>
        </w:div>
        <w:div w:id="1845902421">
          <w:marLeft w:val="640"/>
          <w:marRight w:val="0"/>
          <w:marTop w:val="0"/>
          <w:marBottom w:val="0"/>
          <w:divBdr>
            <w:top w:val="none" w:sz="0" w:space="0" w:color="auto"/>
            <w:left w:val="none" w:sz="0" w:space="0" w:color="auto"/>
            <w:bottom w:val="none" w:sz="0" w:space="0" w:color="auto"/>
            <w:right w:val="none" w:sz="0" w:space="0" w:color="auto"/>
          </w:divBdr>
        </w:div>
        <w:div w:id="1846362645">
          <w:marLeft w:val="640"/>
          <w:marRight w:val="0"/>
          <w:marTop w:val="0"/>
          <w:marBottom w:val="0"/>
          <w:divBdr>
            <w:top w:val="none" w:sz="0" w:space="0" w:color="auto"/>
            <w:left w:val="none" w:sz="0" w:space="0" w:color="auto"/>
            <w:bottom w:val="none" w:sz="0" w:space="0" w:color="auto"/>
            <w:right w:val="none" w:sz="0" w:space="0" w:color="auto"/>
          </w:divBdr>
        </w:div>
        <w:div w:id="1847091474">
          <w:marLeft w:val="640"/>
          <w:marRight w:val="0"/>
          <w:marTop w:val="0"/>
          <w:marBottom w:val="0"/>
          <w:divBdr>
            <w:top w:val="none" w:sz="0" w:space="0" w:color="auto"/>
            <w:left w:val="none" w:sz="0" w:space="0" w:color="auto"/>
            <w:bottom w:val="none" w:sz="0" w:space="0" w:color="auto"/>
            <w:right w:val="none" w:sz="0" w:space="0" w:color="auto"/>
          </w:divBdr>
        </w:div>
        <w:div w:id="1847818384">
          <w:marLeft w:val="640"/>
          <w:marRight w:val="0"/>
          <w:marTop w:val="0"/>
          <w:marBottom w:val="0"/>
          <w:divBdr>
            <w:top w:val="none" w:sz="0" w:space="0" w:color="auto"/>
            <w:left w:val="none" w:sz="0" w:space="0" w:color="auto"/>
            <w:bottom w:val="none" w:sz="0" w:space="0" w:color="auto"/>
            <w:right w:val="none" w:sz="0" w:space="0" w:color="auto"/>
          </w:divBdr>
        </w:div>
        <w:div w:id="1849366546">
          <w:marLeft w:val="640"/>
          <w:marRight w:val="0"/>
          <w:marTop w:val="0"/>
          <w:marBottom w:val="0"/>
          <w:divBdr>
            <w:top w:val="none" w:sz="0" w:space="0" w:color="auto"/>
            <w:left w:val="none" w:sz="0" w:space="0" w:color="auto"/>
            <w:bottom w:val="none" w:sz="0" w:space="0" w:color="auto"/>
            <w:right w:val="none" w:sz="0" w:space="0" w:color="auto"/>
          </w:divBdr>
        </w:div>
        <w:div w:id="1853563647">
          <w:marLeft w:val="640"/>
          <w:marRight w:val="0"/>
          <w:marTop w:val="0"/>
          <w:marBottom w:val="0"/>
          <w:divBdr>
            <w:top w:val="none" w:sz="0" w:space="0" w:color="auto"/>
            <w:left w:val="none" w:sz="0" w:space="0" w:color="auto"/>
            <w:bottom w:val="none" w:sz="0" w:space="0" w:color="auto"/>
            <w:right w:val="none" w:sz="0" w:space="0" w:color="auto"/>
          </w:divBdr>
        </w:div>
        <w:div w:id="1858225346">
          <w:marLeft w:val="640"/>
          <w:marRight w:val="0"/>
          <w:marTop w:val="0"/>
          <w:marBottom w:val="0"/>
          <w:divBdr>
            <w:top w:val="none" w:sz="0" w:space="0" w:color="auto"/>
            <w:left w:val="none" w:sz="0" w:space="0" w:color="auto"/>
            <w:bottom w:val="none" w:sz="0" w:space="0" w:color="auto"/>
            <w:right w:val="none" w:sz="0" w:space="0" w:color="auto"/>
          </w:divBdr>
        </w:div>
        <w:div w:id="1858497068">
          <w:marLeft w:val="640"/>
          <w:marRight w:val="0"/>
          <w:marTop w:val="0"/>
          <w:marBottom w:val="0"/>
          <w:divBdr>
            <w:top w:val="none" w:sz="0" w:space="0" w:color="auto"/>
            <w:left w:val="none" w:sz="0" w:space="0" w:color="auto"/>
            <w:bottom w:val="none" w:sz="0" w:space="0" w:color="auto"/>
            <w:right w:val="none" w:sz="0" w:space="0" w:color="auto"/>
          </w:divBdr>
        </w:div>
        <w:div w:id="1860123525">
          <w:marLeft w:val="640"/>
          <w:marRight w:val="0"/>
          <w:marTop w:val="0"/>
          <w:marBottom w:val="0"/>
          <w:divBdr>
            <w:top w:val="none" w:sz="0" w:space="0" w:color="auto"/>
            <w:left w:val="none" w:sz="0" w:space="0" w:color="auto"/>
            <w:bottom w:val="none" w:sz="0" w:space="0" w:color="auto"/>
            <w:right w:val="none" w:sz="0" w:space="0" w:color="auto"/>
          </w:divBdr>
        </w:div>
        <w:div w:id="1863744816">
          <w:marLeft w:val="640"/>
          <w:marRight w:val="0"/>
          <w:marTop w:val="0"/>
          <w:marBottom w:val="0"/>
          <w:divBdr>
            <w:top w:val="none" w:sz="0" w:space="0" w:color="auto"/>
            <w:left w:val="none" w:sz="0" w:space="0" w:color="auto"/>
            <w:bottom w:val="none" w:sz="0" w:space="0" w:color="auto"/>
            <w:right w:val="none" w:sz="0" w:space="0" w:color="auto"/>
          </w:divBdr>
        </w:div>
        <w:div w:id="1866599401">
          <w:marLeft w:val="640"/>
          <w:marRight w:val="0"/>
          <w:marTop w:val="0"/>
          <w:marBottom w:val="0"/>
          <w:divBdr>
            <w:top w:val="none" w:sz="0" w:space="0" w:color="auto"/>
            <w:left w:val="none" w:sz="0" w:space="0" w:color="auto"/>
            <w:bottom w:val="none" w:sz="0" w:space="0" w:color="auto"/>
            <w:right w:val="none" w:sz="0" w:space="0" w:color="auto"/>
          </w:divBdr>
        </w:div>
        <w:div w:id="1867982064">
          <w:marLeft w:val="640"/>
          <w:marRight w:val="0"/>
          <w:marTop w:val="0"/>
          <w:marBottom w:val="0"/>
          <w:divBdr>
            <w:top w:val="none" w:sz="0" w:space="0" w:color="auto"/>
            <w:left w:val="none" w:sz="0" w:space="0" w:color="auto"/>
            <w:bottom w:val="none" w:sz="0" w:space="0" w:color="auto"/>
            <w:right w:val="none" w:sz="0" w:space="0" w:color="auto"/>
          </w:divBdr>
        </w:div>
        <w:div w:id="1869290622">
          <w:marLeft w:val="640"/>
          <w:marRight w:val="0"/>
          <w:marTop w:val="0"/>
          <w:marBottom w:val="0"/>
          <w:divBdr>
            <w:top w:val="none" w:sz="0" w:space="0" w:color="auto"/>
            <w:left w:val="none" w:sz="0" w:space="0" w:color="auto"/>
            <w:bottom w:val="none" w:sz="0" w:space="0" w:color="auto"/>
            <w:right w:val="none" w:sz="0" w:space="0" w:color="auto"/>
          </w:divBdr>
        </w:div>
        <w:div w:id="1875148224">
          <w:marLeft w:val="640"/>
          <w:marRight w:val="0"/>
          <w:marTop w:val="0"/>
          <w:marBottom w:val="0"/>
          <w:divBdr>
            <w:top w:val="none" w:sz="0" w:space="0" w:color="auto"/>
            <w:left w:val="none" w:sz="0" w:space="0" w:color="auto"/>
            <w:bottom w:val="none" w:sz="0" w:space="0" w:color="auto"/>
            <w:right w:val="none" w:sz="0" w:space="0" w:color="auto"/>
          </w:divBdr>
        </w:div>
        <w:div w:id="1875918347">
          <w:marLeft w:val="640"/>
          <w:marRight w:val="0"/>
          <w:marTop w:val="0"/>
          <w:marBottom w:val="0"/>
          <w:divBdr>
            <w:top w:val="none" w:sz="0" w:space="0" w:color="auto"/>
            <w:left w:val="none" w:sz="0" w:space="0" w:color="auto"/>
            <w:bottom w:val="none" w:sz="0" w:space="0" w:color="auto"/>
            <w:right w:val="none" w:sz="0" w:space="0" w:color="auto"/>
          </w:divBdr>
        </w:div>
        <w:div w:id="1877084933">
          <w:marLeft w:val="640"/>
          <w:marRight w:val="0"/>
          <w:marTop w:val="0"/>
          <w:marBottom w:val="0"/>
          <w:divBdr>
            <w:top w:val="none" w:sz="0" w:space="0" w:color="auto"/>
            <w:left w:val="none" w:sz="0" w:space="0" w:color="auto"/>
            <w:bottom w:val="none" w:sz="0" w:space="0" w:color="auto"/>
            <w:right w:val="none" w:sz="0" w:space="0" w:color="auto"/>
          </w:divBdr>
        </w:div>
        <w:div w:id="1878812197">
          <w:marLeft w:val="640"/>
          <w:marRight w:val="0"/>
          <w:marTop w:val="0"/>
          <w:marBottom w:val="0"/>
          <w:divBdr>
            <w:top w:val="none" w:sz="0" w:space="0" w:color="auto"/>
            <w:left w:val="none" w:sz="0" w:space="0" w:color="auto"/>
            <w:bottom w:val="none" w:sz="0" w:space="0" w:color="auto"/>
            <w:right w:val="none" w:sz="0" w:space="0" w:color="auto"/>
          </w:divBdr>
        </w:div>
        <w:div w:id="1879584239">
          <w:marLeft w:val="640"/>
          <w:marRight w:val="0"/>
          <w:marTop w:val="0"/>
          <w:marBottom w:val="0"/>
          <w:divBdr>
            <w:top w:val="none" w:sz="0" w:space="0" w:color="auto"/>
            <w:left w:val="none" w:sz="0" w:space="0" w:color="auto"/>
            <w:bottom w:val="none" w:sz="0" w:space="0" w:color="auto"/>
            <w:right w:val="none" w:sz="0" w:space="0" w:color="auto"/>
          </w:divBdr>
        </w:div>
        <w:div w:id="1882548061">
          <w:marLeft w:val="640"/>
          <w:marRight w:val="0"/>
          <w:marTop w:val="0"/>
          <w:marBottom w:val="0"/>
          <w:divBdr>
            <w:top w:val="none" w:sz="0" w:space="0" w:color="auto"/>
            <w:left w:val="none" w:sz="0" w:space="0" w:color="auto"/>
            <w:bottom w:val="none" w:sz="0" w:space="0" w:color="auto"/>
            <w:right w:val="none" w:sz="0" w:space="0" w:color="auto"/>
          </w:divBdr>
        </w:div>
        <w:div w:id="1883202172">
          <w:marLeft w:val="640"/>
          <w:marRight w:val="0"/>
          <w:marTop w:val="0"/>
          <w:marBottom w:val="0"/>
          <w:divBdr>
            <w:top w:val="none" w:sz="0" w:space="0" w:color="auto"/>
            <w:left w:val="none" w:sz="0" w:space="0" w:color="auto"/>
            <w:bottom w:val="none" w:sz="0" w:space="0" w:color="auto"/>
            <w:right w:val="none" w:sz="0" w:space="0" w:color="auto"/>
          </w:divBdr>
        </w:div>
        <w:div w:id="1889757786">
          <w:marLeft w:val="640"/>
          <w:marRight w:val="0"/>
          <w:marTop w:val="0"/>
          <w:marBottom w:val="0"/>
          <w:divBdr>
            <w:top w:val="none" w:sz="0" w:space="0" w:color="auto"/>
            <w:left w:val="none" w:sz="0" w:space="0" w:color="auto"/>
            <w:bottom w:val="none" w:sz="0" w:space="0" w:color="auto"/>
            <w:right w:val="none" w:sz="0" w:space="0" w:color="auto"/>
          </w:divBdr>
        </w:div>
        <w:div w:id="1890217858">
          <w:marLeft w:val="640"/>
          <w:marRight w:val="0"/>
          <w:marTop w:val="0"/>
          <w:marBottom w:val="0"/>
          <w:divBdr>
            <w:top w:val="none" w:sz="0" w:space="0" w:color="auto"/>
            <w:left w:val="none" w:sz="0" w:space="0" w:color="auto"/>
            <w:bottom w:val="none" w:sz="0" w:space="0" w:color="auto"/>
            <w:right w:val="none" w:sz="0" w:space="0" w:color="auto"/>
          </w:divBdr>
        </w:div>
        <w:div w:id="1892106158">
          <w:marLeft w:val="640"/>
          <w:marRight w:val="0"/>
          <w:marTop w:val="0"/>
          <w:marBottom w:val="0"/>
          <w:divBdr>
            <w:top w:val="none" w:sz="0" w:space="0" w:color="auto"/>
            <w:left w:val="none" w:sz="0" w:space="0" w:color="auto"/>
            <w:bottom w:val="none" w:sz="0" w:space="0" w:color="auto"/>
            <w:right w:val="none" w:sz="0" w:space="0" w:color="auto"/>
          </w:divBdr>
        </w:div>
        <w:div w:id="1894195775">
          <w:marLeft w:val="640"/>
          <w:marRight w:val="0"/>
          <w:marTop w:val="0"/>
          <w:marBottom w:val="0"/>
          <w:divBdr>
            <w:top w:val="none" w:sz="0" w:space="0" w:color="auto"/>
            <w:left w:val="none" w:sz="0" w:space="0" w:color="auto"/>
            <w:bottom w:val="none" w:sz="0" w:space="0" w:color="auto"/>
            <w:right w:val="none" w:sz="0" w:space="0" w:color="auto"/>
          </w:divBdr>
        </w:div>
        <w:div w:id="1897009176">
          <w:marLeft w:val="640"/>
          <w:marRight w:val="0"/>
          <w:marTop w:val="0"/>
          <w:marBottom w:val="0"/>
          <w:divBdr>
            <w:top w:val="none" w:sz="0" w:space="0" w:color="auto"/>
            <w:left w:val="none" w:sz="0" w:space="0" w:color="auto"/>
            <w:bottom w:val="none" w:sz="0" w:space="0" w:color="auto"/>
            <w:right w:val="none" w:sz="0" w:space="0" w:color="auto"/>
          </w:divBdr>
        </w:div>
        <w:div w:id="1901135555">
          <w:marLeft w:val="640"/>
          <w:marRight w:val="0"/>
          <w:marTop w:val="0"/>
          <w:marBottom w:val="0"/>
          <w:divBdr>
            <w:top w:val="none" w:sz="0" w:space="0" w:color="auto"/>
            <w:left w:val="none" w:sz="0" w:space="0" w:color="auto"/>
            <w:bottom w:val="none" w:sz="0" w:space="0" w:color="auto"/>
            <w:right w:val="none" w:sz="0" w:space="0" w:color="auto"/>
          </w:divBdr>
        </w:div>
        <w:div w:id="1903979392">
          <w:marLeft w:val="640"/>
          <w:marRight w:val="0"/>
          <w:marTop w:val="0"/>
          <w:marBottom w:val="0"/>
          <w:divBdr>
            <w:top w:val="none" w:sz="0" w:space="0" w:color="auto"/>
            <w:left w:val="none" w:sz="0" w:space="0" w:color="auto"/>
            <w:bottom w:val="none" w:sz="0" w:space="0" w:color="auto"/>
            <w:right w:val="none" w:sz="0" w:space="0" w:color="auto"/>
          </w:divBdr>
        </w:div>
        <w:div w:id="1906378130">
          <w:marLeft w:val="640"/>
          <w:marRight w:val="0"/>
          <w:marTop w:val="0"/>
          <w:marBottom w:val="0"/>
          <w:divBdr>
            <w:top w:val="none" w:sz="0" w:space="0" w:color="auto"/>
            <w:left w:val="none" w:sz="0" w:space="0" w:color="auto"/>
            <w:bottom w:val="none" w:sz="0" w:space="0" w:color="auto"/>
            <w:right w:val="none" w:sz="0" w:space="0" w:color="auto"/>
          </w:divBdr>
        </w:div>
        <w:div w:id="1906605642">
          <w:marLeft w:val="640"/>
          <w:marRight w:val="0"/>
          <w:marTop w:val="0"/>
          <w:marBottom w:val="0"/>
          <w:divBdr>
            <w:top w:val="none" w:sz="0" w:space="0" w:color="auto"/>
            <w:left w:val="none" w:sz="0" w:space="0" w:color="auto"/>
            <w:bottom w:val="none" w:sz="0" w:space="0" w:color="auto"/>
            <w:right w:val="none" w:sz="0" w:space="0" w:color="auto"/>
          </w:divBdr>
        </w:div>
        <w:div w:id="1908689947">
          <w:marLeft w:val="640"/>
          <w:marRight w:val="0"/>
          <w:marTop w:val="0"/>
          <w:marBottom w:val="0"/>
          <w:divBdr>
            <w:top w:val="none" w:sz="0" w:space="0" w:color="auto"/>
            <w:left w:val="none" w:sz="0" w:space="0" w:color="auto"/>
            <w:bottom w:val="none" w:sz="0" w:space="0" w:color="auto"/>
            <w:right w:val="none" w:sz="0" w:space="0" w:color="auto"/>
          </w:divBdr>
        </w:div>
        <w:div w:id="1911579573">
          <w:marLeft w:val="640"/>
          <w:marRight w:val="0"/>
          <w:marTop w:val="0"/>
          <w:marBottom w:val="0"/>
          <w:divBdr>
            <w:top w:val="none" w:sz="0" w:space="0" w:color="auto"/>
            <w:left w:val="none" w:sz="0" w:space="0" w:color="auto"/>
            <w:bottom w:val="none" w:sz="0" w:space="0" w:color="auto"/>
            <w:right w:val="none" w:sz="0" w:space="0" w:color="auto"/>
          </w:divBdr>
        </w:div>
        <w:div w:id="1911882625">
          <w:marLeft w:val="640"/>
          <w:marRight w:val="0"/>
          <w:marTop w:val="0"/>
          <w:marBottom w:val="0"/>
          <w:divBdr>
            <w:top w:val="none" w:sz="0" w:space="0" w:color="auto"/>
            <w:left w:val="none" w:sz="0" w:space="0" w:color="auto"/>
            <w:bottom w:val="none" w:sz="0" w:space="0" w:color="auto"/>
            <w:right w:val="none" w:sz="0" w:space="0" w:color="auto"/>
          </w:divBdr>
        </w:div>
        <w:div w:id="1912152168">
          <w:marLeft w:val="640"/>
          <w:marRight w:val="0"/>
          <w:marTop w:val="0"/>
          <w:marBottom w:val="0"/>
          <w:divBdr>
            <w:top w:val="none" w:sz="0" w:space="0" w:color="auto"/>
            <w:left w:val="none" w:sz="0" w:space="0" w:color="auto"/>
            <w:bottom w:val="none" w:sz="0" w:space="0" w:color="auto"/>
            <w:right w:val="none" w:sz="0" w:space="0" w:color="auto"/>
          </w:divBdr>
        </w:div>
        <w:div w:id="1912307426">
          <w:marLeft w:val="640"/>
          <w:marRight w:val="0"/>
          <w:marTop w:val="0"/>
          <w:marBottom w:val="0"/>
          <w:divBdr>
            <w:top w:val="none" w:sz="0" w:space="0" w:color="auto"/>
            <w:left w:val="none" w:sz="0" w:space="0" w:color="auto"/>
            <w:bottom w:val="none" w:sz="0" w:space="0" w:color="auto"/>
            <w:right w:val="none" w:sz="0" w:space="0" w:color="auto"/>
          </w:divBdr>
        </w:div>
        <w:div w:id="1922326955">
          <w:marLeft w:val="640"/>
          <w:marRight w:val="0"/>
          <w:marTop w:val="0"/>
          <w:marBottom w:val="0"/>
          <w:divBdr>
            <w:top w:val="none" w:sz="0" w:space="0" w:color="auto"/>
            <w:left w:val="none" w:sz="0" w:space="0" w:color="auto"/>
            <w:bottom w:val="none" w:sz="0" w:space="0" w:color="auto"/>
            <w:right w:val="none" w:sz="0" w:space="0" w:color="auto"/>
          </w:divBdr>
        </w:div>
        <w:div w:id="1925798296">
          <w:marLeft w:val="640"/>
          <w:marRight w:val="0"/>
          <w:marTop w:val="0"/>
          <w:marBottom w:val="0"/>
          <w:divBdr>
            <w:top w:val="none" w:sz="0" w:space="0" w:color="auto"/>
            <w:left w:val="none" w:sz="0" w:space="0" w:color="auto"/>
            <w:bottom w:val="none" w:sz="0" w:space="0" w:color="auto"/>
            <w:right w:val="none" w:sz="0" w:space="0" w:color="auto"/>
          </w:divBdr>
        </w:div>
        <w:div w:id="1926567503">
          <w:marLeft w:val="640"/>
          <w:marRight w:val="0"/>
          <w:marTop w:val="0"/>
          <w:marBottom w:val="0"/>
          <w:divBdr>
            <w:top w:val="none" w:sz="0" w:space="0" w:color="auto"/>
            <w:left w:val="none" w:sz="0" w:space="0" w:color="auto"/>
            <w:bottom w:val="none" w:sz="0" w:space="0" w:color="auto"/>
            <w:right w:val="none" w:sz="0" w:space="0" w:color="auto"/>
          </w:divBdr>
        </w:div>
        <w:div w:id="1927688193">
          <w:marLeft w:val="640"/>
          <w:marRight w:val="0"/>
          <w:marTop w:val="0"/>
          <w:marBottom w:val="0"/>
          <w:divBdr>
            <w:top w:val="none" w:sz="0" w:space="0" w:color="auto"/>
            <w:left w:val="none" w:sz="0" w:space="0" w:color="auto"/>
            <w:bottom w:val="none" w:sz="0" w:space="0" w:color="auto"/>
            <w:right w:val="none" w:sz="0" w:space="0" w:color="auto"/>
          </w:divBdr>
        </w:div>
        <w:div w:id="1928685849">
          <w:marLeft w:val="640"/>
          <w:marRight w:val="0"/>
          <w:marTop w:val="0"/>
          <w:marBottom w:val="0"/>
          <w:divBdr>
            <w:top w:val="none" w:sz="0" w:space="0" w:color="auto"/>
            <w:left w:val="none" w:sz="0" w:space="0" w:color="auto"/>
            <w:bottom w:val="none" w:sz="0" w:space="0" w:color="auto"/>
            <w:right w:val="none" w:sz="0" w:space="0" w:color="auto"/>
          </w:divBdr>
        </w:div>
        <w:div w:id="1928728605">
          <w:marLeft w:val="640"/>
          <w:marRight w:val="0"/>
          <w:marTop w:val="0"/>
          <w:marBottom w:val="0"/>
          <w:divBdr>
            <w:top w:val="none" w:sz="0" w:space="0" w:color="auto"/>
            <w:left w:val="none" w:sz="0" w:space="0" w:color="auto"/>
            <w:bottom w:val="none" w:sz="0" w:space="0" w:color="auto"/>
            <w:right w:val="none" w:sz="0" w:space="0" w:color="auto"/>
          </w:divBdr>
        </w:div>
        <w:div w:id="1930190328">
          <w:marLeft w:val="640"/>
          <w:marRight w:val="0"/>
          <w:marTop w:val="0"/>
          <w:marBottom w:val="0"/>
          <w:divBdr>
            <w:top w:val="none" w:sz="0" w:space="0" w:color="auto"/>
            <w:left w:val="none" w:sz="0" w:space="0" w:color="auto"/>
            <w:bottom w:val="none" w:sz="0" w:space="0" w:color="auto"/>
            <w:right w:val="none" w:sz="0" w:space="0" w:color="auto"/>
          </w:divBdr>
        </w:div>
        <w:div w:id="1931428380">
          <w:marLeft w:val="640"/>
          <w:marRight w:val="0"/>
          <w:marTop w:val="0"/>
          <w:marBottom w:val="0"/>
          <w:divBdr>
            <w:top w:val="none" w:sz="0" w:space="0" w:color="auto"/>
            <w:left w:val="none" w:sz="0" w:space="0" w:color="auto"/>
            <w:bottom w:val="none" w:sz="0" w:space="0" w:color="auto"/>
            <w:right w:val="none" w:sz="0" w:space="0" w:color="auto"/>
          </w:divBdr>
        </w:div>
        <w:div w:id="1934900844">
          <w:marLeft w:val="640"/>
          <w:marRight w:val="0"/>
          <w:marTop w:val="0"/>
          <w:marBottom w:val="0"/>
          <w:divBdr>
            <w:top w:val="none" w:sz="0" w:space="0" w:color="auto"/>
            <w:left w:val="none" w:sz="0" w:space="0" w:color="auto"/>
            <w:bottom w:val="none" w:sz="0" w:space="0" w:color="auto"/>
            <w:right w:val="none" w:sz="0" w:space="0" w:color="auto"/>
          </w:divBdr>
        </w:div>
        <w:div w:id="1936597970">
          <w:marLeft w:val="640"/>
          <w:marRight w:val="0"/>
          <w:marTop w:val="0"/>
          <w:marBottom w:val="0"/>
          <w:divBdr>
            <w:top w:val="none" w:sz="0" w:space="0" w:color="auto"/>
            <w:left w:val="none" w:sz="0" w:space="0" w:color="auto"/>
            <w:bottom w:val="none" w:sz="0" w:space="0" w:color="auto"/>
            <w:right w:val="none" w:sz="0" w:space="0" w:color="auto"/>
          </w:divBdr>
        </w:div>
        <w:div w:id="1942910167">
          <w:marLeft w:val="640"/>
          <w:marRight w:val="0"/>
          <w:marTop w:val="0"/>
          <w:marBottom w:val="0"/>
          <w:divBdr>
            <w:top w:val="none" w:sz="0" w:space="0" w:color="auto"/>
            <w:left w:val="none" w:sz="0" w:space="0" w:color="auto"/>
            <w:bottom w:val="none" w:sz="0" w:space="0" w:color="auto"/>
            <w:right w:val="none" w:sz="0" w:space="0" w:color="auto"/>
          </w:divBdr>
        </w:div>
        <w:div w:id="1943147032">
          <w:marLeft w:val="640"/>
          <w:marRight w:val="0"/>
          <w:marTop w:val="0"/>
          <w:marBottom w:val="0"/>
          <w:divBdr>
            <w:top w:val="none" w:sz="0" w:space="0" w:color="auto"/>
            <w:left w:val="none" w:sz="0" w:space="0" w:color="auto"/>
            <w:bottom w:val="none" w:sz="0" w:space="0" w:color="auto"/>
            <w:right w:val="none" w:sz="0" w:space="0" w:color="auto"/>
          </w:divBdr>
        </w:div>
        <w:div w:id="1943343519">
          <w:marLeft w:val="640"/>
          <w:marRight w:val="0"/>
          <w:marTop w:val="0"/>
          <w:marBottom w:val="0"/>
          <w:divBdr>
            <w:top w:val="none" w:sz="0" w:space="0" w:color="auto"/>
            <w:left w:val="none" w:sz="0" w:space="0" w:color="auto"/>
            <w:bottom w:val="none" w:sz="0" w:space="0" w:color="auto"/>
            <w:right w:val="none" w:sz="0" w:space="0" w:color="auto"/>
          </w:divBdr>
        </w:div>
        <w:div w:id="1944338024">
          <w:marLeft w:val="640"/>
          <w:marRight w:val="0"/>
          <w:marTop w:val="0"/>
          <w:marBottom w:val="0"/>
          <w:divBdr>
            <w:top w:val="none" w:sz="0" w:space="0" w:color="auto"/>
            <w:left w:val="none" w:sz="0" w:space="0" w:color="auto"/>
            <w:bottom w:val="none" w:sz="0" w:space="0" w:color="auto"/>
            <w:right w:val="none" w:sz="0" w:space="0" w:color="auto"/>
          </w:divBdr>
        </w:div>
        <w:div w:id="1945335344">
          <w:marLeft w:val="640"/>
          <w:marRight w:val="0"/>
          <w:marTop w:val="0"/>
          <w:marBottom w:val="0"/>
          <w:divBdr>
            <w:top w:val="none" w:sz="0" w:space="0" w:color="auto"/>
            <w:left w:val="none" w:sz="0" w:space="0" w:color="auto"/>
            <w:bottom w:val="none" w:sz="0" w:space="0" w:color="auto"/>
            <w:right w:val="none" w:sz="0" w:space="0" w:color="auto"/>
          </w:divBdr>
        </w:div>
        <w:div w:id="1945527550">
          <w:marLeft w:val="640"/>
          <w:marRight w:val="0"/>
          <w:marTop w:val="0"/>
          <w:marBottom w:val="0"/>
          <w:divBdr>
            <w:top w:val="none" w:sz="0" w:space="0" w:color="auto"/>
            <w:left w:val="none" w:sz="0" w:space="0" w:color="auto"/>
            <w:bottom w:val="none" w:sz="0" w:space="0" w:color="auto"/>
            <w:right w:val="none" w:sz="0" w:space="0" w:color="auto"/>
          </w:divBdr>
        </w:div>
        <w:div w:id="1946770600">
          <w:marLeft w:val="640"/>
          <w:marRight w:val="0"/>
          <w:marTop w:val="0"/>
          <w:marBottom w:val="0"/>
          <w:divBdr>
            <w:top w:val="none" w:sz="0" w:space="0" w:color="auto"/>
            <w:left w:val="none" w:sz="0" w:space="0" w:color="auto"/>
            <w:bottom w:val="none" w:sz="0" w:space="0" w:color="auto"/>
            <w:right w:val="none" w:sz="0" w:space="0" w:color="auto"/>
          </w:divBdr>
        </w:div>
        <w:div w:id="1947076250">
          <w:marLeft w:val="640"/>
          <w:marRight w:val="0"/>
          <w:marTop w:val="0"/>
          <w:marBottom w:val="0"/>
          <w:divBdr>
            <w:top w:val="none" w:sz="0" w:space="0" w:color="auto"/>
            <w:left w:val="none" w:sz="0" w:space="0" w:color="auto"/>
            <w:bottom w:val="none" w:sz="0" w:space="0" w:color="auto"/>
            <w:right w:val="none" w:sz="0" w:space="0" w:color="auto"/>
          </w:divBdr>
        </w:div>
        <w:div w:id="1947998196">
          <w:marLeft w:val="640"/>
          <w:marRight w:val="0"/>
          <w:marTop w:val="0"/>
          <w:marBottom w:val="0"/>
          <w:divBdr>
            <w:top w:val="none" w:sz="0" w:space="0" w:color="auto"/>
            <w:left w:val="none" w:sz="0" w:space="0" w:color="auto"/>
            <w:bottom w:val="none" w:sz="0" w:space="0" w:color="auto"/>
            <w:right w:val="none" w:sz="0" w:space="0" w:color="auto"/>
          </w:divBdr>
        </w:div>
        <w:div w:id="1948851010">
          <w:marLeft w:val="640"/>
          <w:marRight w:val="0"/>
          <w:marTop w:val="0"/>
          <w:marBottom w:val="0"/>
          <w:divBdr>
            <w:top w:val="none" w:sz="0" w:space="0" w:color="auto"/>
            <w:left w:val="none" w:sz="0" w:space="0" w:color="auto"/>
            <w:bottom w:val="none" w:sz="0" w:space="0" w:color="auto"/>
            <w:right w:val="none" w:sz="0" w:space="0" w:color="auto"/>
          </w:divBdr>
        </w:div>
        <w:div w:id="1949001171">
          <w:marLeft w:val="640"/>
          <w:marRight w:val="0"/>
          <w:marTop w:val="0"/>
          <w:marBottom w:val="0"/>
          <w:divBdr>
            <w:top w:val="none" w:sz="0" w:space="0" w:color="auto"/>
            <w:left w:val="none" w:sz="0" w:space="0" w:color="auto"/>
            <w:bottom w:val="none" w:sz="0" w:space="0" w:color="auto"/>
            <w:right w:val="none" w:sz="0" w:space="0" w:color="auto"/>
          </w:divBdr>
        </w:div>
        <w:div w:id="1954286740">
          <w:marLeft w:val="640"/>
          <w:marRight w:val="0"/>
          <w:marTop w:val="0"/>
          <w:marBottom w:val="0"/>
          <w:divBdr>
            <w:top w:val="none" w:sz="0" w:space="0" w:color="auto"/>
            <w:left w:val="none" w:sz="0" w:space="0" w:color="auto"/>
            <w:bottom w:val="none" w:sz="0" w:space="0" w:color="auto"/>
            <w:right w:val="none" w:sz="0" w:space="0" w:color="auto"/>
          </w:divBdr>
        </w:div>
        <w:div w:id="1956668171">
          <w:marLeft w:val="640"/>
          <w:marRight w:val="0"/>
          <w:marTop w:val="0"/>
          <w:marBottom w:val="0"/>
          <w:divBdr>
            <w:top w:val="none" w:sz="0" w:space="0" w:color="auto"/>
            <w:left w:val="none" w:sz="0" w:space="0" w:color="auto"/>
            <w:bottom w:val="none" w:sz="0" w:space="0" w:color="auto"/>
            <w:right w:val="none" w:sz="0" w:space="0" w:color="auto"/>
          </w:divBdr>
        </w:div>
        <w:div w:id="1957103142">
          <w:marLeft w:val="640"/>
          <w:marRight w:val="0"/>
          <w:marTop w:val="0"/>
          <w:marBottom w:val="0"/>
          <w:divBdr>
            <w:top w:val="none" w:sz="0" w:space="0" w:color="auto"/>
            <w:left w:val="none" w:sz="0" w:space="0" w:color="auto"/>
            <w:bottom w:val="none" w:sz="0" w:space="0" w:color="auto"/>
            <w:right w:val="none" w:sz="0" w:space="0" w:color="auto"/>
          </w:divBdr>
        </w:div>
        <w:div w:id="1957174073">
          <w:marLeft w:val="640"/>
          <w:marRight w:val="0"/>
          <w:marTop w:val="0"/>
          <w:marBottom w:val="0"/>
          <w:divBdr>
            <w:top w:val="none" w:sz="0" w:space="0" w:color="auto"/>
            <w:left w:val="none" w:sz="0" w:space="0" w:color="auto"/>
            <w:bottom w:val="none" w:sz="0" w:space="0" w:color="auto"/>
            <w:right w:val="none" w:sz="0" w:space="0" w:color="auto"/>
          </w:divBdr>
        </w:div>
        <w:div w:id="1957590799">
          <w:marLeft w:val="640"/>
          <w:marRight w:val="0"/>
          <w:marTop w:val="0"/>
          <w:marBottom w:val="0"/>
          <w:divBdr>
            <w:top w:val="none" w:sz="0" w:space="0" w:color="auto"/>
            <w:left w:val="none" w:sz="0" w:space="0" w:color="auto"/>
            <w:bottom w:val="none" w:sz="0" w:space="0" w:color="auto"/>
            <w:right w:val="none" w:sz="0" w:space="0" w:color="auto"/>
          </w:divBdr>
        </w:div>
        <w:div w:id="1962035200">
          <w:marLeft w:val="640"/>
          <w:marRight w:val="0"/>
          <w:marTop w:val="0"/>
          <w:marBottom w:val="0"/>
          <w:divBdr>
            <w:top w:val="none" w:sz="0" w:space="0" w:color="auto"/>
            <w:left w:val="none" w:sz="0" w:space="0" w:color="auto"/>
            <w:bottom w:val="none" w:sz="0" w:space="0" w:color="auto"/>
            <w:right w:val="none" w:sz="0" w:space="0" w:color="auto"/>
          </w:divBdr>
        </w:div>
        <w:div w:id="1963459487">
          <w:marLeft w:val="640"/>
          <w:marRight w:val="0"/>
          <w:marTop w:val="0"/>
          <w:marBottom w:val="0"/>
          <w:divBdr>
            <w:top w:val="none" w:sz="0" w:space="0" w:color="auto"/>
            <w:left w:val="none" w:sz="0" w:space="0" w:color="auto"/>
            <w:bottom w:val="none" w:sz="0" w:space="0" w:color="auto"/>
            <w:right w:val="none" w:sz="0" w:space="0" w:color="auto"/>
          </w:divBdr>
        </w:div>
        <w:div w:id="1968968556">
          <w:marLeft w:val="640"/>
          <w:marRight w:val="0"/>
          <w:marTop w:val="0"/>
          <w:marBottom w:val="0"/>
          <w:divBdr>
            <w:top w:val="none" w:sz="0" w:space="0" w:color="auto"/>
            <w:left w:val="none" w:sz="0" w:space="0" w:color="auto"/>
            <w:bottom w:val="none" w:sz="0" w:space="0" w:color="auto"/>
            <w:right w:val="none" w:sz="0" w:space="0" w:color="auto"/>
          </w:divBdr>
        </w:div>
        <w:div w:id="1969048957">
          <w:marLeft w:val="640"/>
          <w:marRight w:val="0"/>
          <w:marTop w:val="0"/>
          <w:marBottom w:val="0"/>
          <w:divBdr>
            <w:top w:val="none" w:sz="0" w:space="0" w:color="auto"/>
            <w:left w:val="none" w:sz="0" w:space="0" w:color="auto"/>
            <w:bottom w:val="none" w:sz="0" w:space="0" w:color="auto"/>
            <w:right w:val="none" w:sz="0" w:space="0" w:color="auto"/>
          </w:divBdr>
        </w:div>
        <w:div w:id="1969510487">
          <w:marLeft w:val="640"/>
          <w:marRight w:val="0"/>
          <w:marTop w:val="0"/>
          <w:marBottom w:val="0"/>
          <w:divBdr>
            <w:top w:val="none" w:sz="0" w:space="0" w:color="auto"/>
            <w:left w:val="none" w:sz="0" w:space="0" w:color="auto"/>
            <w:bottom w:val="none" w:sz="0" w:space="0" w:color="auto"/>
            <w:right w:val="none" w:sz="0" w:space="0" w:color="auto"/>
          </w:divBdr>
        </w:div>
        <w:div w:id="1969965657">
          <w:marLeft w:val="640"/>
          <w:marRight w:val="0"/>
          <w:marTop w:val="0"/>
          <w:marBottom w:val="0"/>
          <w:divBdr>
            <w:top w:val="none" w:sz="0" w:space="0" w:color="auto"/>
            <w:left w:val="none" w:sz="0" w:space="0" w:color="auto"/>
            <w:bottom w:val="none" w:sz="0" w:space="0" w:color="auto"/>
            <w:right w:val="none" w:sz="0" w:space="0" w:color="auto"/>
          </w:divBdr>
        </w:div>
        <w:div w:id="1972710526">
          <w:marLeft w:val="640"/>
          <w:marRight w:val="0"/>
          <w:marTop w:val="0"/>
          <w:marBottom w:val="0"/>
          <w:divBdr>
            <w:top w:val="none" w:sz="0" w:space="0" w:color="auto"/>
            <w:left w:val="none" w:sz="0" w:space="0" w:color="auto"/>
            <w:bottom w:val="none" w:sz="0" w:space="0" w:color="auto"/>
            <w:right w:val="none" w:sz="0" w:space="0" w:color="auto"/>
          </w:divBdr>
        </w:div>
        <w:div w:id="1975519225">
          <w:marLeft w:val="640"/>
          <w:marRight w:val="0"/>
          <w:marTop w:val="0"/>
          <w:marBottom w:val="0"/>
          <w:divBdr>
            <w:top w:val="none" w:sz="0" w:space="0" w:color="auto"/>
            <w:left w:val="none" w:sz="0" w:space="0" w:color="auto"/>
            <w:bottom w:val="none" w:sz="0" w:space="0" w:color="auto"/>
            <w:right w:val="none" w:sz="0" w:space="0" w:color="auto"/>
          </w:divBdr>
        </w:div>
        <w:div w:id="1977908117">
          <w:marLeft w:val="640"/>
          <w:marRight w:val="0"/>
          <w:marTop w:val="0"/>
          <w:marBottom w:val="0"/>
          <w:divBdr>
            <w:top w:val="none" w:sz="0" w:space="0" w:color="auto"/>
            <w:left w:val="none" w:sz="0" w:space="0" w:color="auto"/>
            <w:bottom w:val="none" w:sz="0" w:space="0" w:color="auto"/>
            <w:right w:val="none" w:sz="0" w:space="0" w:color="auto"/>
          </w:divBdr>
        </w:div>
        <w:div w:id="1981499191">
          <w:marLeft w:val="640"/>
          <w:marRight w:val="0"/>
          <w:marTop w:val="0"/>
          <w:marBottom w:val="0"/>
          <w:divBdr>
            <w:top w:val="none" w:sz="0" w:space="0" w:color="auto"/>
            <w:left w:val="none" w:sz="0" w:space="0" w:color="auto"/>
            <w:bottom w:val="none" w:sz="0" w:space="0" w:color="auto"/>
            <w:right w:val="none" w:sz="0" w:space="0" w:color="auto"/>
          </w:divBdr>
        </w:div>
        <w:div w:id="1985505517">
          <w:marLeft w:val="640"/>
          <w:marRight w:val="0"/>
          <w:marTop w:val="0"/>
          <w:marBottom w:val="0"/>
          <w:divBdr>
            <w:top w:val="none" w:sz="0" w:space="0" w:color="auto"/>
            <w:left w:val="none" w:sz="0" w:space="0" w:color="auto"/>
            <w:bottom w:val="none" w:sz="0" w:space="0" w:color="auto"/>
            <w:right w:val="none" w:sz="0" w:space="0" w:color="auto"/>
          </w:divBdr>
        </w:div>
        <w:div w:id="1993560583">
          <w:marLeft w:val="640"/>
          <w:marRight w:val="0"/>
          <w:marTop w:val="0"/>
          <w:marBottom w:val="0"/>
          <w:divBdr>
            <w:top w:val="none" w:sz="0" w:space="0" w:color="auto"/>
            <w:left w:val="none" w:sz="0" w:space="0" w:color="auto"/>
            <w:bottom w:val="none" w:sz="0" w:space="0" w:color="auto"/>
            <w:right w:val="none" w:sz="0" w:space="0" w:color="auto"/>
          </w:divBdr>
        </w:div>
        <w:div w:id="1993630211">
          <w:marLeft w:val="640"/>
          <w:marRight w:val="0"/>
          <w:marTop w:val="0"/>
          <w:marBottom w:val="0"/>
          <w:divBdr>
            <w:top w:val="none" w:sz="0" w:space="0" w:color="auto"/>
            <w:left w:val="none" w:sz="0" w:space="0" w:color="auto"/>
            <w:bottom w:val="none" w:sz="0" w:space="0" w:color="auto"/>
            <w:right w:val="none" w:sz="0" w:space="0" w:color="auto"/>
          </w:divBdr>
        </w:div>
        <w:div w:id="1998799561">
          <w:marLeft w:val="640"/>
          <w:marRight w:val="0"/>
          <w:marTop w:val="0"/>
          <w:marBottom w:val="0"/>
          <w:divBdr>
            <w:top w:val="none" w:sz="0" w:space="0" w:color="auto"/>
            <w:left w:val="none" w:sz="0" w:space="0" w:color="auto"/>
            <w:bottom w:val="none" w:sz="0" w:space="0" w:color="auto"/>
            <w:right w:val="none" w:sz="0" w:space="0" w:color="auto"/>
          </w:divBdr>
        </w:div>
        <w:div w:id="2001928227">
          <w:marLeft w:val="640"/>
          <w:marRight w:val="0"/>
          <w:marTop w:val="0"/>
          <w:marBottom w:val="0"/>
          <w:divBdr>
            <w:top w:val="none" w:sz="0" w:space="0" w:color="auto"/>
            <w:left w:val="none" w:sz="0" w:space="0" w:color="auto"/>
            <w:bottom w:val="none" w:sz="0" w:space="0" w:color="auto"/>
            <w:right w:val="none" w:sz="0" w:space="0" w:color="auto"/>
          </w:divBdr>
        </w:div>
        <w:div w:id="2003728212">
          <w:marLeft w:val="640"/>
          <w:marRight w:val="0"/>
          <w:marTop w:val="0"/>
          <w:marBottom w:val="0"/>
          <w:divBdr>
            <w:top w:val="none" w:sz="0" w:space="0" w:color="auto"/>
            <w:left w:val="none" w:sz="0" w:space="0" w:color="auto"/>
            <w:bottom w:val="none" w:sz="0" w:space="0" w:color="auto"/>
            <w:right w:val="none" w:sz="0" w:space="0" w:color="auto"/>
          </w:divBdr>
        </w:div>
        <w:div w:id="2005666186">
          <w:marLeft w:val="640"/>
          <w:marRight w:val="0"/>
          <w:marTop w:val="0"/>
          <w:marBottom w:val="0"/>
          <w:divBdr>
            <w:top w:val="none" w:sz="0" w:space="0" w:color="auto"/>
            <w:left w:val="none" w:sz="0" w:space="0" w:color="auto"/>
            <w:bottom w:val="none" w:sz="0" w:space="0" w:color="auto"/>
            <w:right w:val="none" w:sz="0" w:space="0" w:color="auto"/>
          </w:divBdr>
        </w:div>
        <w:div w:id="2012949815">
          <w:marLeft w:val="640"/>
          <w:marRight w:val="0"/>
          <w:marTop w:val="0"/>
          <w:marBottom w:val="0"/>
          <w:divBdr>
            <w:top w:val="none" w:sz="0" w:space="0" w:color="auto"/>
            <w:left w:val="none" w:sz="0" w:space="0" w:color="auto"/>
            <w:bottom w:val="none" w:sz="0" w:space="0" w:color="auto"/>
            <w:right w:val="none" w:sz="0" w:space="0" w:color="auto"/>
          </w:divBdr>
        </w:div>
        <w:div w:id="2015107763">
          <w:marLeft w:val="640"/>
          <w:marRight w:val="0"/>
          <w:marTop w:val="0"/>
          <w:marBottom w:val="0"/>
          <w:divBdr>
            <w:top w:val="none" w:sz="0" w:space="0" w:color="auto"/>
            <w:left w:val="none" w:sz="0" w:space="0" w:color="auto"/>
            <w:bottom w:val="none" w:sz="0" w:space="0" w:color="auto"/>
            <w:right w:val="none" w:sz="0" w:space="0" w:color="auto"/>
          </w:divBdr>
        </w:div>
        <w:div w:id="2017533705">
          <w:marLeft w:val="640"/>
          <w:marRight w:val="0"/>
          <w:marTop w:val="0"/>
          <w:marBottom w:val="0"/>
          <w:divBdr>
            <w:top w:val="none" w:sz="0" w:space="0" w:color="auto"/>
            <w:left w:val="none" w:sz="0" w:space="0" w:color="auto"/>
            <w:bottom w:val="none" w:sz="0" w:space="0" w:color="auto"/>
            <w:right w:val="none" w:sz="0" w:space="0" w:color="auto"/>
          </w:divBdr>
        </w:div>
        <w:div w:id="2018922615">
          <w:marLeft w:val="640"/>
          <w:marRight w:val="0"/>
          <w:marTop w:val="0"/>
          <w:marBottom w:val="0"/>
          <w:divBdr>
            <w:top w:val="none" w:sz="0" w:space="0" w:color="auto"/>
            <w:left w:val="none" w:sz="0" w:space="0" w:color="auto"/>
            <w:bottom w:val="none" w:sz="0" w:space="0" w:color="auto"/>
            <w:right w:val="none" w:sz="0" w:space="0" w:color="auto"/>
          </w:divBdr>
        </w:div>
        <w:div w:id="2030058775">
          <w:marLeft w:val="640"/>
          <w:marRight w:val="0"/>
          <w:marTop w:val="0"/>
          <w:marBottom w:val="0"/>
          <w:divBdr>
            <w:top w:val="none" w:sz="0" w:space="0" w:color="auto"/>
            <w:left w:val="none" w:sz="0" w:space="0" w:color="auto"/>
            <w:bottom w:val="none" w:sz="0" w:space="0" w:color="auto"/>
            <w:right w:val="none" w:sz="0" w:space="0" w:color="auto"/>
          </w:divBdr>
        </w:div>
        <w:div w:id="2031568869">
          <w:marLeft w:val="640"/>
          <w:marRight w:val="0"/>
          <w:marTop w:val="0"/>
          <w:marBottom w:val="0"/>
          <w:divBdr>
            <w:top w:val="none" w:sz="0" w:space="0" w:color="auto"/>
            <w:left w:val="none" w:sz="0" w:space="0" w:color="auto"/>
            <w:bottom w:val="none" w:sz="0" w:space="0" w:color="auto"/>
            <w:right w:val="none" w:sz="0" w:space="0" w:color="auto"/>
          </w:divBdr>
        </w:div>
        <w:div w:id="2035030584">
          <w:marLeft w:val="640"/>
          <w:marRight w:val="0"/>
          <w:marTop w:val="0"/>
          <w:marBottom w:val="0"/>
          <w:divBdr>
            <w:top w:val="none" w:sz="0" w:space="0" w:color="auto"/>
            <w:left w:val="none" w:sz="0" w:space="0" w:color="auto"/>
            <w:bottom w:val="none" w:sz="0" w:space="0" w:color="auto"/>
            <w:right w:val="none" w:sz="0" w:space="0" w:color="auto"/>
          </w:divBdr>
        </w:div>
        <w:div w:id="2035031687">
          <w:marLeft w:val="640"/>
          <w:marRight w:val="0"/>
          <w:marTop w:val="0"/>
          <w:marBottom w:val="0"/>
          <w:divBdr>
            <w:top w:val="none" w:sz="0" w:space="0" w:color="auto"/>
            <w:left w:val="none" w:sz="0" w:space="0" w:color="auto"/>
            <w:bottom w:val="none" w:sz="0" w:space="0" w:color="auto"/>
            <w:right w:val="none" w:sz="0" w:space="0" w:color="auto"/>
          </w:divBdr>
        </w:div>
        <w:div w:id="2036223486">
          <w:marLeft w:val="640"/>
          <w:marRight w:val="0"/>
          <w:marTop w:val="0"/>
          <w:marBottom w:val="0"/>
          <w:divBdr>
            <w:top w:val="none" w:sz="0" w:space="0" w:color="auto"/>
            <w:left w:val="none" w:sz="0" w:space="0" w:color="auto"/>
            <w:bottom w:val="none" w:sz="0" w:space="0" w:color="auto"/>
            <w:right w:val="none" w:sz="0" w:space="0" w:color="auto"/>
          </w:divBdr>
        </w:div>
        <w:div w:id="2036689414">
          <w:marLeft w:val="640"/>
          <w:marRight w:val="0"/>
          <w:marTop w:val="0"/>
          <w:marBottom w:val="0"/>
          <w:divBdr>
            <w:top w:val="none" w:sz="0" w:space="0" w:color="auto"/>
            <w:left w:val="none" w:sz="0" w:space="0" w:color="auto"/>
            <w:bottom w:val="none" w:sz="0" w:space="0" w:color="auto"/>
            <w:right w:val="none" w:sz="0" w:space="0" w:color="auto"/>
          </w:divBdr>
        </w:div>
        <w:div w:id="2037609165">
          <w:marLeft w:val="640"/>
          <w:marRight w:val="0"/>
          <w:marTop w:val="0"/>
          <w:marBottom w:val="0"/>
          <w:divBdr>
            <w:top w:val="none" w:sz="0" w:space="0" w:color="auto"/>
            <w:left w:val="none" w:sz="0" w:space="0" w:color="auto"/>
            <w:bottom w:val="none" w:sz="0" w:space="0" w:color="auto"/>
            <w:right w:val="none" w:sz="0" w:space="0" w:color="auto"/>
          </w:divBdr>
        </w:div>
        <w:div w:id="2038114707">
          <w:marLeft w:val="640"/>
          <w:marRight w:val="0"/>
          <w:marTop w:val="0"/>
          <w:marBottom w:val="0"/>
          <w:divBdr>
            <w:top w:val="none" w:sz="0" w:space="0" w:color="auto"/>
            <w:left w:val="none" w:sz="0" w:space="0" w:color="auto"/>
            <w:bottom w:val="none" w:sz="0" w:space="0" w:color="auto"/>
            <w:right w:val="none" w:sz="0" w:space="0" w:color="auto"/>
          </w:divBdr>
        </w:div>
        <w:div w:id="2038575695">
          <w:marLeft w:val="640"/>
          <w:marRight w:val="0"/>
          <w:marTop w:val="0"/>
          <w:marBottom w:val="0"/>
          <w:divBdr>
            <w:top w:val="none" w:sz="0" w:space="0" w:color="auto"/>
            <w:left w:val="none" w:sz="0" w:space="0" w:color="auto"/>
            <w:bottom w:val="none" w:sz="0" w:space="0" w:color="auto"/>
            <w:right w:val="none" w:sz="0" w:space="0" w:color="auto"/>
          </w:divBdr>
        </w:div>
        <w:div w:id="2040083910">
          <w:marLeft w:val="640"/>
          <w:marRight w:val="0"/>
          <w:marTop w:val="0"/>
          <w:marBottom w:val="0"/>
          <w:divBdr>
            <w:top w:val="none" w:sz="0" w:space="0" w:color="auto"/>
            <w:left w:val="none" w:sz="0" w:space="0" w:color="auto"/>
            <w:bottom w:val="none" w:sz="0" w:space="0" w:color="auto"/>
            <w:right w:val="none" w:sz="0" w:space="0" w:color="auto"/>
          </w:divBdr>
        </w:div>
        <w:div w:id="2040230193">
          <w:marLeft w:val="640"/>
          <w:marRight w:val="0"/>
          <w:marTop w:val="0"/>
          <w:marBottom w:val="0"/>
          <w:divBdr>
            <w:top w:val="none" w:sz="0" w:space="0" w:color="auto"/>
            <w:left w:val="none" w:sz="0" w:space="0" w:color="auto"/>
            <w:bottom w:val="none" w:sz="0" w:space="0" w:color="auto"/>
            <w:right w:val="none" w:sz="0" w:space="0" w:color="auto"/>
          </w:divBdr>
        </w:div>
        <w:div w:id="2041784498">
          <w:marLeft w:val="640"/>
          <w:marRight w:val="0"/>
          <w:marTop w:val="0"/>
          <w:marBottom w:val="0"/>
          <w:divBdr>
            <w:top w:val="none" w:sz="0" w:space="0" w:color="auto"/>
            <w:left w:val="none" w:sz="0" w:space="0" w:color="auto"/>
            <w:bottom w:val="none" w:sz="0" w:space="0" w:color="auto"/>
            <w:right w:val="none" w:sz="0" w:space="0" w:color="auto"/>
          </w:divBdr>
        </w:div>
        <w:div w:id="2047875837">
          <w:marLeft w:val="640"/>
          <w:marRight w:val="0"/>
          <w:marTop w:val="0"/>
          <w:marBottom w:val="0"/>
          <w:divBdr>
            <w:top w:val="none" w:sz="0" w:space="0" w:color="auto"/>
            <w:left w:val="none" w:sz="0" w:space="0" w:color="auto"/>
            <w:bottom w:val="none" w:sz="0" w:space="0" w:color="auto"/>
            <w:right w:val="none" w:sz="0" w:space="0" w:color="auto"/>
          </w:divBdr>
        </w:div>
        <w:div w:id="2047951373">
          <w:marLeft w:val="640"/>
          <w:marRight w:val="0"/>
          <w:marTop w:val="0"/>
          <w:marBottom w:val="0"/>
          <w:divBdr>
            <w:top w:val="none" w:sz="0" w:space="0" w:color="auto"/>
            <w:left w:val="none" w:sz="0" w:space="0" w:color="auto"/>
            <w:bottom w:val="none" w:sz="0" w:space="0" w:color="auto"/>
            <w:right w:val="none" w:sz="0" w:space="0" w:color="auto"/>
          </w:divBdr>
        </w:div>
        <w:div w:id="2048210762">
          <w:marLeft w:val="640"/>
          <w:marRight w:val="0"/>
          <w:marTop w:val="0"/>
          <w:marBottom w:val="0"/>
          <w:divBdr>
            <w:top w:val="none" w:sz="0" w:space="0" w:color="auto"/>
            <w:left w:val="none" w:sz="0" w:space="0" w:color="auto"/>
            <w:bottom w:val="none" w:sz="0" w:space="0" w:color="auto"/>
            <w:right w:val="none" w:sz="0" w:space="0" w:color="auto"/>
          </w:divBdr>
        </w:div>
        <w:div w:id="2048529674">
          <w:marLeft w:val="640"/>
          <w:marRight w:val="0"/>
          <w:marTop w:val="0"/>
          <w:marBottom w:val="0"/>
          <w:divBdr>
            <w:top w:val="none" w:sz="0" w:space="0" w:color="auto"/>
            <w:left w:val="none" w:sz="0" w:space="0" w:color="auto"/>
            <w:bottom w:val="none" w:sz="0" w:space="0" w:color="auto"/>
            <w:right w:val="none" w:sz="0" w:space="0" w:color="auto"/>
          </w:divBdr>
        </w:div>
        <w:div w:id="2055815022">
          <w:marLeft w:val="640"/>
          <w:marRight w:val="0"/>
          <w:marTop w:val="0"/>
          <w:marBottom w:val="0"/>
          <w:divBdr>
            <w:top w:val="none" w:sz="0" w:space="0" w:color="auto"/>
            <w:left w:val="none" w:sz="0" w:space="0" w:color="auto"/>
            <w:bottom w:val="none" w:sz="0" w:space="0" w:color="auto"/>
            <w:right w:val="none" w:sz="0" w:space="0" w:color="auto"/>
          </w:divBdr>
        </w:div>
        <w:div w:id="2056271313">
          <w:marLeft w:val="640"/>
          <w:marRight w:val="0"/>
          <w:marTop w:val="0"/>
          <w:marBottom w:val="0"/>
          <w:divBdr>
            <w:top w:val="none" w:sz="0" w:space="0" w:color="auto"/>
            <w:left w:val="none" w:sz="0" w:space="0" w:color="auto"/>
            <w:bottom w:val="none" w:sz="0" w:space="0" w:color="auto"/>
            <w:right w:val="none" w:sz="0" w:space="0" w:color="auto"/>
          </w:divBdr>
        </w:div>
        <w:div w:id="2057116916">
          <w:marLeft w:val="640"/>
          <w:marRight w:val="0"/>
          <w:marTop w:val="0"/>
          <w:marBottom w:val="0"/>
          <w:divBdr>
            <w:top w:val="none" w:sz="0" w:space="0" w:color="auto"/>
            <w:left w:val="none" w:sz="0" w:space="0" w:color="auto"/>
            <w:bottom w:val="none" w:sz="0" w:space="0" w:color="auto"/>
            <w:right w:val="none" w:sz="0" w:space="0" w:color="auto"/>
          </w:divBdr>
        </w:div>
        <w:div w:id="2057314108">
          <w:marLeft w:val="640"/>
          <w:marRight w:val="0"/>
          <w:marTop w:val="0"/>
          <w:marBottom w:val="0"/>
          <w:divBdr>
            <w:top w:val="none" w:sz="0" w:space="0" w:color="auto"/>
            <w:left w:val="none" w:sz="0" w:space="0" w:color="auto"/>
            <w:bottom w:val="none" w:sz="0" w:space="0" w:color="auto"/>
            <w:right w:val="none" w:sz="0" w:space="0" w:color="auto"/>
          </w:divBdr>
        </w:div>
        <w:div w:id="2058813993">
          <w:marLeft w:val="640"/>
          <w:marRight w:val="0"/>
          <w:marTop w:val="0"/>
          <w:marBottom w:val="0"/>
          <w:divBdr>
            <w:top w:val="none" w:sz="0" w:space="0" w:color="auto"/>
            <w:left w:val="none" w:sz="0" w:space="0" w:color="auto"/>
            <w:bottom w:val="none" w:sz="0" w:space="0" w:color="auto"/>
            <w:right w:val="none" w:sz="0" w:space="0" w:color="auto"/>
          </w:divBdr>
        </w:div>
        <w:div w:id="2059085853">
          <w:marLeft w:val="640"/>
          <w:marRight w:val="0"/>
          <w:marTop w:val="0"/>
          <w:marBottom w:val="0"/>
          <w:divBdr>
            <w:top w:val="none" w:sz="0" w:space="0" w:color="auto"/>
            <w:left w:val="none" w:sz="0" w:space="0" w:color="auto"/>
            <w:bottom w:val="none" w:sz="0" w:space="0" w:color="auto"/>
            <w:right w:val="none" w:sz="0" w:space="0" w:color="auto"/>
          </w:divBdr>
        </w:div>
        <w:div w:id="2059279645">
          <w:marLeft w:val="640"/>
          <w:marRight w:val="0"/>
          <w:marTop w:val="0"/>
          <w:marBottom w:val="0"/>
          <w:divBdr>
            <w:top w:val="none" w:sz="0" w:space="0" w:color="auto"/>
            <w:left w:val="none" w:sz="0" w:space="0" w:color="auto"/>
            <w:bottom w:val="none" w:sz="0" w:space="0" w:color="auto"/>
            <w:right w:val="none" w:sz="0" w:space="0" w:color="auto"/>
          </w:divBdr>
        </w:div>
        <w:div w:id="2060326088">
          <w:marLeft w:val="640"/>
          <w:marRight w:val="0"/>
          <w:marTop w:val="0"/>
          <w:marBottom w:val="0"/>
          <w:divBdr>
            <w:top w:val="none" w:sz="0" w:space="0" w:color="auto"/>
            <w:left w:val="none" w:sz="0" w:space="0" w:color="auto"/>
            <w:bottom w:val="none" w:sz="0" w:space="0" w:color="auto"/>
            <w:right w:val="none" w:sz="0" w:space="0" w:color="auto"/>
          </w:divBdr>
        </w:div>
        <w:div w:id="2064674522">
          <w:marLeft w:val="640"/>
          <w:marRight w:val="0"/>
          <w:marTop w:val="0"/>
          <w:marBottom w:val="0"/>
          <w:divBdr>
            <w:top w:val="none" w:sz="0" w:space="0" w:color="auto"/>
            <w:left w:val="none" w:sz="0" w:space="0" w:color="auto"/>
            <w:bottom w:val="none" w:sz="0" w:space="0" w:color="auto"/>
            <w:right w:val="none" w:sz="0" w:space="0" w:color="auto"/>
          </w:divBdr>
        </w:div>
        <w:div w:id="2067339742">
          <w:marLeft w:val="640"/>
          <w:marRight w:val="0"/>
          <w:marTop w:val="0"/>
          <w:marBottom w:val="0"/>
          <w:divBdr>
            <w:top w:val="none" w:sz="0" w:space="0" w:color="auto"/>
            <w:left w:val="none" w:sz="0" w:space="0" w:color="auto"/>
            <w:bottom w:val="none" w:sz="0" w:space="0" w:color="auto"/>
            <w:right w:val="none" w:sz="0" w:space="0" w:color="auto"/>
          </w:divBdr>
        </w:div>
        <w:div w:id="2070107900">
          <w:marLeft w:val="640"/>
          <w:marRight w:val="0"/>
          <w:marTop w:val="0"/>
          <w:marBottom w:val="0"/>
          <w:divBdr>
            <w:top w:val="none" w:sz="0" w:space="0" w:color="auto"/>
            <w:left w:val="none" w:sz="0" w:space="0" w:color="auto"/>
            <w:bottom w:val="none" w:sz="0" w:space="0" w:color="auto"/>
            <w:right w:val="none" w:sz="0" w:space="0" w:color="auto"/>
          </w:divBdr>
        </w:div>
        <w:div w:id="2074354611">
          <w:marLeft w:val="640"/>
          <w:marRight w:val="0"/>
          <w:marTop w:val="0"/>
          <w:marBottom w:val="0"/>
          <w:divBdr>
            <w:top w:val="none" w:sz="0" w:space="0" w:color="auto"/>
            <w:left w:val="none" w:sz="0" w:space="0" w:color="auto"/>
            <w:bottom w:val="none" w:sz="0" w:space="0" w:color="auto"/>
            <w:right w:val="none" w:sz="0" w:space="0" w:color="auto"/>
          </w:divBdr>
        </w:div>
        <w:div w:id="2074767475">
          <w:marLeft w:val="640"/>
          <w:marRight w:val="0"/>
          <w:marTop w:val="0"/>
          <w:marBottom w:val="0"/>
          <w:divBdr>
            <w:top w:val="none" w:sz="0" w:space="0" w:color="auto"/>
            <w:left w:val="none" w:sz="0" w:space="0" w:color="auto"/>
            <w:bottom w:val="none" w:sz="0" w:space="0" w:color="auto"/>
            <w:right w:val="none" w:sz="0" w:space="0" w:color="auto"/>
          </w:divBdr>
        </w:div>
        <w:div w:id="2085835706">
          <w:marLeft w:val="640"/>
          <w:marRight w:val="0"/>
          <w:marTop w:val="0"/>
          <w:marBottom w:val="0"/>
          <w:divBdr>
            <w:top w:val="none" w:sz="0" w:space="0" w:color="auto"/>
            <w:left w:val="none" w:sz="0" w:space="0" w:color="auto"/>
            <w:bottom w:val="none" w:sz="0" w:space="0" w:color="auto"/>
            <w:right w:val="none" w:sz="0" w:space="0" w:color="auto"/>
          </w:divBdr>
        </w:div>
        <w:div w:id="2085908684">
          <w:marLeft w:val="640"/>
          <w:marRight w:val="0"/>
          <w:marTop w:val="0"/>
          <w:marBottom w:val="0"/>
          <w:divBdr>
            <w:top w:val="none" w:sz="0" w:space="0" w:color="auto"/>
            <w:left w:val="none" w:sz="0" w:space="0" w:color="auto"/>
            <w:bottom w:val="none" w:sz="0" w:space="0" w:color="auto"/>
            <w:right w:val="none" w:sz="0" w:space="0" w:color="auto"/>
          </w:divBdr>
        </w:div>
        <w:div w:id="2086339268">
          <w:marLeft w:val="640"/>
          <w:marRight w:val="0"/>
          <w:marTop w:val="0"/>
          <w:marBottom w:val="0"/>
          <w:divBdr>
            <w:top w:val="none" w:sz="0" w:space="0" w:color="auto"/>
            <w:left w:val="none" w:sz="0" w:space="0" w:color="auto"/>
            <w:bottom w:val="none" w:sz="0" w:space="0" w:color="auto"/>
            <w:right w:val="none" w:sz="0" w:space="0" w:color="auto"/>
          </w:divBdr>
        </w:div>
        <w:div w:id="2089036781">
          <w:marLeft w:val="640"/>
          <w:marRight w:val="0"/>
          <w:marTop w:val="0"/>
          <w:marBottom w:val="0"/>
          <w:divBdr>
            <w:top w:val="none" w:sz="0" w:space="0" w:color="auto"/>
            <w:left w:val="none" w:sz="0" w:space="0" w:color="auto"/>
            <w:bottom w:val="none" w:sz="0" w:space="0" w:color="auto"/>
            <w:right w:val="none" w:sz="0" w:space="0" w:color="auto"/>
          </w:divBdr>
        </w:div>
        <w:div w:id="2091154255">
          <w:marLeft w:val="640"/>
          <w:marRight w:val="0"/>
          <w:marTop w:val="0"/>
          <w:marBottom w:val="0"/>
          <w:divBdr>
            <w:top w:val="none" w:sz="0" w:space="0" w:color="auto"/>
            <w:left w:val="none" w:sz="0" w:space="0" w:color="auto"/>
            <w:bottom w:val="none" w:sz="0" w:space="0" w:color="auto"/>
            <w:right w:val="none" w:sz="0" w:space="0" w:color="auto"/>
          </w:divBdr>
        </w:div>
        <w:div w:id="2091729116">
          <w:marLeft w:val="640"/>
          <w:marRight w:val="0"/>
          <w:marTop w:val="0"/>
          <w:marBottom w:val="0"/>
          <w:divBdr>
            <w:top w:val="none" w:sz="0" w:space="0" w:color="auto"/>
            <w:left w:val="none" w:sz="0" w:space="0" w:color="auto"/>
            <w:bottom w:val="none" w:sz="0" w:space="0" w:color="auto"/>
            <w:right w:val="none" w:sz="0" w:space="0" w:color="auto"/>
          </w:divBdr>
        </w:div>
        <w:div w:id="2093892254">
          <w:marLeft w:val="640"/>
          <w:marRight w:val="0"/>
          <w:marTop w:val="0"/>
          <w:marBottom w:val="0"/>
          <w:divBdr>
            <w:top w:val="none" w:sz="0" w:space="0" w:color="auto"/>
            <w:left w:val="none" w:sz="0" w:space="0" w:color="auto"/>
            <w:bottom w:val="none" w:sz="0" w:space="0" w:color="auto"/>
            <w:right w:val="none" w:sz="0" w:space="0" w:color="auto"/>
          </w:divBdr>
        </w:div>
        <w:div w:id="2095936350">
          <w:marLeft w:val="640"/>
          <w:marRight w:val="0"/>
          <w:marTop w:val="0"/>
          <w:marBottom w:val="0"/>
          <w:divBdr>
            <w:top w:val="none" w:sz="0" w:space="0" w:color="auto"/>
            <w:left w:val="none" w:sz="0" w:space="0" w:color="auto"/>
            <w:bottom w:val="none" w:sz="0" w:space="0" w:color="auto"/>
            <w:right w:val="none" w:sz="0" w:space="0" w:color="auto"/>
          </w:divBdr>
        </w:div>
        <w:div w:id="2095972824">
          <w:marLeft w:val="640"/>
          <w:marRight w:val="0"/>
          <w:marTop w:val="0"/>
          <w:marBottom w:val="0"/>
          <w:divBdr>
            <w:top w:val="none" w:sz="0" w:space="0" w:color="auto"/>
            <w:left w:val="none" w:sz="0" w:space="0" w:color="auto"/>
            <w:bottom w:val="none" w:sz="0" w:space="0" w:color="auto"/>
            <w:right w:val="none" w:sz="0" w:space="0" w:color="auto"/>
          </w:divBdr>
        </w:div>
        <w:div w:id="2099055308">
          <w:marLeft w:val="640"/>
          <w:marRight w:val="0"/>
          <w:marTop w:val="0"/>
          <w:marBottom w:val="0"/>
          <w:divBdr>
            <w:top w:val="none" w:sz="0" w:space="0" w:color="auto"/>
            <w:left w:val="none" w:sz="0" w:space="0" w:color="auto"/>
            <w:bottom w:val="none" w:sz="0" w:space="0" w:color="auto"/>
            <w:right w:val="none" w:sz="0" w:space="0" w:color="auto"/>
          </w:divBdr>
        </w:div>
        <w:div w:id="2102098779">
          <w:marLeft w:val="640"/>
          <w:marRight w:val="0"/>
          <w:marTop w:val="0"/>
          <w:marBottom w:val="0"/>
          <w:divBdr>
            <w:top w:val="none" w:sz="0" w:space="0" w:color="auto"/>
            <w:left w:val="none" w:sz="0" w:space="0" w:color="auto"/>
            <w:bottom w:val="none" w:sz="0" w:space="0" w:color="auto"/>
            <w:right w:val="none" w:sz="0" w:space="0" w:color="auto"/>
          </w:divBdr>
        </w:div>
        <w:div w:id="2103261055">
          <w:marLeft w:val="640"/>
          <w:marRight w:val="0"/>
          <w:marTop w:val="0"/>
          <w:marBottom w:val="0"/>
          <w:divBdr>
            <w:top w:val="none" w:sz="0" w:space="0" w:color="auto"/>
            <w:left w:val="none" w:sz="0" w:space="0" w:color="auto"/>
            <w:bottom w:val="none" w:sz="0" w:space="0" w:color="auto"/>
            <w:right w:val="none" w:sz="0" w:space="0" w:color="auto"/>
          </w:divBdr>
        </w:div>
        <w:div w:id="2105958465">
          <w:marLeft w:val="640"/>
          <w:marRight w:val="0"/>
          <w:marTop w:val="0"/>
          <w:marBottom w:val="0"/>
          <w:divBdr>
            <w:top w:val="none" w:sz="0" w:space="0" w:color="auto"/>
            <w:left w:val="none" w:sz="0" w:space="0" w:color="auto"/>
            <w:bottom w:val="none" w:sz="0" w:space="0" w:color="auto"/>
            <w:right w:val="none" w:sz="0" w:space="0" w:color="auto"/>
          </w:divBdr>
        </w:div>
        <w:div w:id="2109539542">
          <w:marLeft w:val="640"/>
          <w:marRight w:val="0"/>
          <w:marTop w:val="0"/>
          <w:marBottom w:val="0"/>
          <w:divBdr>
            <w:top w:val="none" w:sz="0" w:space="0" w:color="auto"/>
            <w:left w:val="none" w:sz="0" w:space="0" w:color="auto"/>
            <w:bottom w:val="none" w:sz="0" w:space="0" w:color="auto"/>
            <w:right w:val="none" w:sz="0" w:space="0" w:color="auto"/>
          </w:divBdr>
        </w:div>
        <w:div w:id="2113011990">
          <w:marLeft w:val="640"/>
          <w:marRight w:val="0"/>
          <w:marTop w:val="0"/>
          <w:marBottom w:val="0"/>
          <w:divBdr>
            <w:top w:val="none" w:sz="0" w:space="0" w:color="auto"/>
            <w:left w:val="none" w:sz="0" w:space="0" w:color="auto"/>
            <w:bottom w:val="none" w:sz="0" w:space="0" w:color="auto"/>
            <w:right w:val="none" w:sz="0" w:space="0" w:color="auto"/>
          </w:divBdr>
        </w:div>
        <w:div w:id="2115323511">
          <w:marLeft w:val="640"/>
          <w:marRight w:val="0"/>
          <w:marTop w:val="0"/>
          <w:marBottom w:val="0"/>
          <w:divBdr>
            <w:top w:val="none" w:sz="0" w:space="0" w:color="auto"/>
            <w:left w:val="none" w:sz="0" w:space="0" w:color="auto"/>
            <w:bottom w:val="none" w:sz="0" w:space="0" w:color="auto"/>
            <w:right w:val="none" w:sz="0" w:space="0" w:color="auto"/>
          </w:divBdr>
        </w:div>
        <w:div w:id="2117821219">
          <w:marLeft w:val="640"/>
          <w:marRight w:val="0"/>
          <w:marTop w:val="0"/>
          <w:marBottom w:val="0"/>
          <w:divBdr>
            <w:top w:val="none" w:sz="0" w:space="0" w:color="auto"/>
            <w:left w:val="none" w:sz="0" w:space="0" w:color="auto"/>
            <w:bottom w:val="none" w:sz="0" w:space="0" w:color="auto"/>
            <w:right w:val="none" w:sz="0" w:space="0" w:color="auto"/>
          </w:divBdr>
        </w:div>
        <w:div w:id="2118674603">
          <w:marLeft w:val="640"/>
          <w:marRight w:val="0"/>
          <w:marTop w:val="0"/>
          <w:marBottom w:val="0"/>
          <w:divBdr>
            <w:top w:val="none" w:sz="0" w:space="0" w:color="auto"/>
            <w:left w:val="none" w:sz="0" w:space="0" w:color="auto"/>
            <w:bottom w:val="none" w:sz="0" w:space="0" w:color="auto"/>
            <w:right w:val="none" w:sz="0" w:space="0" w:color="auto"/>
          </w:divBdr>
        </w:div>
        <w:div w:id="2119450285">
          <w:marLeft w:val="640"/>
          <w:marRight w:val="0"/>
          <w:marTop w:val="0"/>
          <w:marBottom w:val="0"/>
          <w:divBdr>
            <w:top w:val="none" w:sz="0" w:space="0" w:color="auto"/>
            <w:left w:val="none" w:sz="0" w:space="0" w:color="auto"/>
            <w:bottom w:val="none" w:sz="0" w:space="0" w:color="auto"/>
            <w:right w:val="none" w:sz="0" w:space="0" w:color="auto"/>
          </w:divBdr>
        </w:div>
        <w:div w:id="2119593478">
          <w:marLeft w:val="640"/>
          <w:marRight w:val="0"/>
          <w:marTop w:val="0"/>
          <w:marBottom w:val="0"/>
          <w:divBdr>
            <w:top w:val="none" w:sz="0" w:space="0" w:color="auto"/>
            <w:left w:val="none" w:sz="0" w:space="0" w:color="auto"/>
            <w:bottom w:val="none" w:sz="0" w:space="0" w:color="auto"/>
            <w:right w:val="none" w:sz="0" w:space="0" w:color="auto"/>
          </w:divBdr>
        </w:div>
        <w:div w:id="2126925981">
          <w:marLeft w:val="640"/>
          <w:marRight w:val="0"/>
          <w:marTop w:val="0"/>
          <w:marBottom w:val="0"/>
          <w:divBdr>
            <w:top w:val="none" w:sz="0" w:space="0" w:color="auto"/>
            <w:left w:val="none" w:sz="0" w:space="0" w:color="auto"/>
            <w:bottom w:val="none" w:sz="0" w:space="0" w:color="auto"/>
            <w:right w:val="none" w:sz="0" w:space="0" w:color="auto"/>
          </w:divBdr>
        </w:div>
        <w:div w:id="2128154737">
          <w:marLeft w:val="640"/>
          <w:marRight w:val="0"/>
          <w:marTop w:val="0"/>
          <w:marBottom w:val="0"/>
          <w:divBdr>
            <w:top w:val="none" w:sz="0" w:space="0" w:color="auto"/>
            <w:left w:val="none" w:sz="0" w:space="0" w:color="auto"/>
            <w:bottom w:val="none" w:sz="0" w:space="0" w:color="auto"/>
            <w:right w:val="none" w:sz="0" w:space="0" w:color="auto"/>
          </w:divBdr>
        </w:div>
        <w:div w:id="2129159848">
          <w:marLeft w:val="640"/>
          <w:marRight w:val="0"/>
          <w:marTop w:val="0"/>
          <w:marBottom w:val="0"/>
          <w:divBdr>
            <w:top w:val="none" w:sz="0" w:space="0" w:color="auto"/>
            <w:left w:val="none" w:sz="0" w:space="0" w:color="auto"/>
            <w:bottom w:val="none" w:sz="0" w:space="0" w:color="auto"/>
            <w:right w:val="none" w:sz="0" w:space="0" w:color="auto"/>
          </w:divBdr>
        </w:div>
        <w:div w:id="2132549318">
          <w:marLeft w:val="640"/>
          <w:marRight w:val="0"/>
          <w:marTop w:val="0"/>
          <w:marBottom w:val="0"/>
          <w:divBdr>
            <w:top w:val="none" w:sz="0" w:space="0" w:color="auto"/>
            <w:left w:val="none" w:sz="0" w:space="0" w:color="auto"/>
            <w:bottom w:val="none" w:sz="0" w:space="0" w:color="auto"/>
            <w:right w:val="none" w:sz="0" w:space="0" w:color="auto"/>
          </w:divBdr>
        </w:div>
        <w:div w:id="2133858003">
          <w:marLeft w:val="640"/>
          <w:marRight w:val="0"/>
          <w:marTop w:val="0"/>
          <w:marBottom w:val="0"/>
          <w:divBdr>
            <w:top w:val="none" w:sz="0" w:space="0" w:color="auto"/>
            <w:left w:val="none" w:sz="0" w:space="0" w:color="auto"/>
            <w:bottom w:val="none" w:sz="0" w:space="0" w:color="auto"/>
            <w:right w:val="none" w:sz="0" w:space="0" w:color="auto"/>
          </w:divBdr>
        </w:div>
        <w:div w:id="2137522349">
          <w:marLeft w:val="640"/>
          <w:marRight w:val="0"/>
          <w:marTop w:val="0"/>
          <w:marBottom w:val="0"/>
          <w:divBdr>
            <w:top w:val="none" w:sz="0" w:space="0" w:color="auto"/>
            <w:left w:val="none" w:sz="0" w:space="0" w:color="auto"/>
            <w:bottom w:val="none" w:sz="0" w:space="0" w:color="auto"/>
            <w:right w:val="none" w:sz="0" w:space="0" w:color="auto"/>
          </w:divBdr>
        </w:div>
        <w:div w:id="2143114840">
          <w:marLeft w:val="640"/>
          <w:marRight w:val="0"/>
          <w:marTop w:val="0"/>
          <w:marBottom w:val="0"/>
          <w:divBdr>
            <w:top w:val="none" w:sz="0" w:space="0" w:color="auto"/>
            <w:left w:val="none" w:sz="0" w:space="0" w:color="auto"/>
            <w:bottom w:val="none" w:sz="0" w:space="0" w:color="auto"/>
            <w:right w:val="none" w:sz="0" w:space="0" w:color="auto"/>
          </w:divBdr>
        </w:div>
        <w:div w:id="2143957594">
          <w:marLeft w:val="640"/>
          <w:marRight w:val="0"/>
          <w:marTop w:val="0"/>
          <w:marBottom w:val="0"/>
          <w:divBdr>
            <w:top w:val="none" w:sz="0" w:space="0" w:color="auto"/>
            <w:left w:val="none" w:sz="0" w:space="0" w:color="auto"/>
            <w:bottom w:val="none" w:sz="0" w:space="0" w:color="auto"/>
            <w:right w:val="none" w:sz="0" w:space="0" w:color="auto"/>
          </w:divBdr>
        </w:div>
        <w:div w:id="2146462414">
          <w:marLeft w:val="640"/>
          <w:marRight w:val="0"/>
          <w:marTop w:val="0"/>
          <w:marBottom w:val="0"/>
          <w:divBdr>
            <w:top w:val="none" w:sz="0" w:space="0" w:color="auto"/>
            <w:left w:val="none" w:sz="0" w:space="0" w:color="auto"/>
            <w:bottom w:val="none" w:sz="0" w:space="0" w:color="auto"/>
            <w:right w:val="none" w:sz="0" w:space="0" w:color="auto"/>
          </w:divBdr>
        </w:div>
      </w:divsChild>
    </w:div>
    <w:div w:id="2016572505">
      <w:marLeft w:val="640"/>
      <w:marRight w:val="0"/>
      <w:marTop w:val="0"/>
      <w:marBottom w:val="0"/>
      <w:divBdr>
        <w:top w:val="none" w:sz="0" w:space="0" w:color="auto"/>
        <w:left w:val="none" w:sz="0" w:space="0" w:color="auto"/>
        <w:bottom w:val="none" w:sz="0" w:space="0" w:color="auto"/>
        <w:right w:val="none" w:sz="0" w:space="0" w:color="auto"/>
      </w:divBdr>
    </w:div>
    <w:div w:id="2018388953">
      <w:marLeft w:val="640"/>
      <w:marRight w:val="0"/>
      <w:marTop w:val="0"/>
      <w:marBottom w:val="0"/>
      <w:divBdr>
        <w:top w:val="none" w:sz="0" w:space="0" w:color="auto"/>
        <w:left w:val="none" w:sz="0" w:space="0" w:color="auto"/>
        <w:bottom w:val="none" w:sz="0" w:space="0" w:color="auto"/>
        <w:right w:val="none" w:sz="0" w:space="0" w:color="auto"/>
      </w:divBdr>
    </w:div>
    <w:div w:id="2032534915">
      <w:marLeft w:val="640"/>
      <w:marRight w:val="0"/>
      <w:marTop w:val="0"/>
      <w:marBottom w:val="0"/>
      <w:divBdr>
        <w:top w:val="none" w:sz="0" w:space="0" w:color="auto"/>
        <w:left w:val="none" w:sz="0" w:space="0" w:color="auto"/>
        <w:bottom w:val="none" w:sz="0" w:space="0" w:color="auto"/>
        <w:right w:val="none" w:sz="0" w:space="0" w:color="auto"/>
      </w:divBdr>
    </w:div>
    <w:div w:id="2054622077">
      <w:marLeft w:val="640"/>
      <w:marRight w:val="0"/>
      <w:marTop w:val="0"/>
      <w:marBottom w:val="0"/>
      <w:divBdr>
        <w:top w:val="none" w:sz="0" w:space="0" w:color="auto"/>
        <w:left w:val="none" w:sz="0" w:space="0" w:color="auto"/>
        <w:bottom w:val="none" w:sz="0" w:space="0" w:color="auto"/>
        <w:right w:val="none" w:sz="0" w:space="0" w:color="auto"/>
      </w:divBdr>
    </w:div>
    <w:div w:id="2071538785">
      <w:marLeft w:val="640"/>
      <w:marRight w:val="0"/>
      <w:marTop w:val="0"/>
      <w:marBottom w:val="0"/>
      <w:divBdr>
        <w:top w:val="none" w:sz="0" w:space="0" w:color="auto"/>
        <w:left w:val="none" w:sz="0" w:space="0" w:color="auto"/>
        <w:bottom w:val="none" w:sz="0" w:space="0" w:color="auto"/>
        <w:right w:val="none" w:sz="0" w:space="0" w:color="auto"/>
      </w:divBdr>
    </w:div>
    <w:div w:id="2093428159">
      <w:marLeft w:val="640"/>
      <w:marRight w:val="0"/>
      <w:marTop w:val="0"/>
      <w:marBottom w:val="0"/>
      <w:divBdr>
        <w:top w:val="none" w:sz="0" w:space="0" w:color="auto"/>
        <w:left w:val="none" w:sz="0" w:space="0" w:color="auto"/>
        <w:bottom w:val="none" w:sz="0" w:space="0" w:color="auto"/>
        <w:right w:val="none" w:sz="0" w:space="0" w:color="auto"/>
      </w:divBdr>
    </w:div>
    <w:div w:id="2100127784">
      <w:marLeft w:val="640"/>
      <w:marRight w:val="0"/>
      <w:marTop w:val="0"/>
      <w:marBottom w:val="0"/>
      <w:divBdr>
        <w:top w:val="none" w:sz="0" w:space="0" w:color="auto"/>
        <w:left w:val="none" w:sz="0" w:space="0" w:color="auto"/>
        <w:bottom w:val="none" w:sz="0" w:space="0" w:color="auto"/>
        <w:right w:val="none" w:sz="0" w:space="0" w:color="auto"/>
      </w:divBdr>
    </w:div>
    <w:div w:id="2110805904">
      <w:marLeft w:val="640"/>
      <w:marRight w:val="0"/>
      <w:marTop w:val="0"/>
      <w:marBottom w:val="0"/>
      <w:divBdr>
        <w:top w:val="none" w:sz="0" w:space="0" w:color="auto"/>
        <w:left w:val="none" w:sz="0" w:space="0" w:color="auto"/>
        <w:bottom w:val="none" w:sz="0" w:space="0" w:color="auto"/>
        <w:right w:val="none" w:sz="0" w:space="0" w:color="auto"/>
      </w:divBdr>
    </w:div>
    <w:div w:id="2113671021">
      <w:marLeft w:val="640"/>
      <w:marRight w:val="0"/>
      <w:marTop w:val="0"/>
      <w:marBottom w:val="0"/>
      <w:divBdr>
        <w:top w:val="none" w:sz="0" w:space="0" w:color="auto"/>
        <w:left w:val="none" w:sz="0" w:space="0" w:color="auto"/>
        <w:bottom w:val="none" w:sz="0" w:space="0" w:color="auto"/>
        <w:right w:val="none" w:sz="0" w:space="0" w:color="auto"/>
      </w:divBdr>
    </w:div>
    <w:div w:id="2114355000">
      <w:marLeft w:val="640"/>
      <w:marRight w:val="0"/>
      <w:marTop w:val="0"/>
      <w:marBottom w:val="0"/>
      <w:divBdr>
        <w:top w:val="none" w:sz="0" w:space="0" w:color="auto"/>
        <w:left w:val="none" w:sz="0" w:space="0" w:color="auto"/>
        <w:bottom w:val="none" w:sz="0" w:space="0" w:color="auto"/>
        <w:right w:val="none" w:sz="0" w:space="0" w:color="auto"/>
      </w:divBdr>
    </w:div>
    <w:div w:id="2130273438">
      <w:marLeft w:val="640"/>
      <w:marRight w:val="0"/>
      <w:marTop w:val="0"/>
      <w:marBottom w:val="0"/>
      <w:divBdr>
        <w:top w:val="none" w:sz="0" w:space="0" w:color="auto"/>
        <w:left w:val="none" w:sz="0" w:space="0" w:color="auto"/>
        <w:bottom w:val="none" w:sz="0" w:space="0" w:color="auto"/>
        <w:right w:val="none" w:sz="0" w:space="0" w:color="auto"/>
      </w:divBdr>
    </w:div>
    <w:div w:id="2135633179">
      <w:marLeft w:val="64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10.17605/OSF.IO/SHBT4" TargetMode="External"/><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0F0ED-45DF-934D-A5B8-07123D2E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102</Pages>
  <Words>21792</Words>
  <Characters>124221</Characters>
  <Application>Microsoft Office Word</Application>
  <DocSecurity>4</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145722</CharactersWithSpaces>
  <SharedDoc>false</SharedDoc>
  <HLinks>
    <vt:vector size="288" baseType="variant">
      <vt:variant>
        <vt:i4>6029393</vt:i4>
      </vt:variant>
      <vt:variant>
        <vt:i4>285</vt:i4>
      </vt:variant>
      <vt:variant>
        <vt:i4>0</vt:i4>
      </vt:variant>
      <vt:variant>
        <vt:i4>5</vt:i4>
      </vt:variant>
      <vt:variant>
        <vt:lpwstr>https://doi.org/10.17605/OSF.IO/SHBT4</vt:lpwstr>
      </vt:variant>
      <vt:variant>
        <vt:lpwstr/>
      </vt:variant>
      <vt:variant>
        <vt:i4>1441841</vt:i4>
      </vt:variant>
      <vt:variant>
        <vt:i4>278</vt:i4>
      </vt:variant>
      <vt:variant>
        <vt:i4>0</vt:i4>
      </vt:variant>
      <vt:variant>
        <vt:i4>5</vt:i4>
      </vt:variant>
      <vt:variant>
        <vt:lpwstr/>
      </vt:variant>
      <vt:variant>
        <vt:lpwstr>_Toc214026565</vt:lpwstr>
      </vt:variant>
      <vt:variant>
        <vt:i4>1441841</vt:i4>
      </vt:variant>
      <vt:variant>
        <vt:i4>272</vt:i4>
      </vt:variant>
      <vt:variant>
        <vt:i4>0</vt:i4>
      </vt:variant>
      <vt:variant>
        <vt:i4>5</vt:i4>
      </vt:variant>
      <vt:variant>
        <vt:lpwstr/>
      </vt:variant>
      <vt:variant>
        <vt:lpwstr>_Toc214026564</vt:lpwstr>
      </vt:variant>
      <vt:variant>
        <vt:i4>1441841</vt:i4>
      </vt:variant>
      <vt:variant>
        <vt:i4>266</vt:i4>
      </vt:variant>
      <vt:variant>
        <vt:i4>0</vt:i4>
      </vt:variant>
      <vt:variant>
        <vt:i4>5</vt:i4>
      </vt:variant>
      <vt:variant>
        <vt:lpwstr/>
      </vt:variant>
      <vt:variant>
        <vt:lpwstr>_Toc214026563</vt:lpwstr>
      </vt:variant>
      <vt:variant>
        <vt:i4>1441841</vt:i4>
      </vt:variant>
      <vt:variant>
        <vt:i4>260</vt:i4>
      </vt:variant>
      <vt:variant>
        <vt:i4>0</vt:i4>
      </vt:variant>
      <vt:variant>
        <vt:i4>5</vt:i4>
      </vt:variant>
      <vt:variant>
        <vt:lpwstr/>
      </vt:variant>
      <vt:variant>
        <vt:lpwstr>_Toc214026562</vt:lpwstr>
      </vt:variant>
      <vt:variant>
        <vt:i4>1441841</vt:i4>
      </vt:variant>
      <vt:variant>
        <vt:i4>254</vt:i4>
      </vt:variant>
      <vt:variant>
        <vt:i4>0</vt:i4>
      </vt:variant>
      <vt:variant>
        <vt:i4>5</vt:i4>
      </vt:variant>
      <vt:variant>
        <vt:lpwstr/>
      </vt:variant>
      <vt:variant>
        <vt:lpwstr>_Toc214026561</vt:lpwstr>
      </vt:variant>
      <vt:variant>
        <vt:i4>1441841</vt:i4>
      </vt:variant>
      <vt:variant>
        <vt:i4>248</vt:i4>
      </vt:variant>
      <vt:variant>
        <vt:i4>0</vt:i4>
      </vt:variant>
      <vt:variant>
        <vt:i4>5</vt:i4>
      </vt:variant>
      <vt:variant>
        <vt:lpwstr/>
      </vt:variant>
      <vt:variant>
        <vt:lpwstr>_Toc214026560</vt:lpwstr>
      </vt:variant>
      <vt:variant>
        <vt:i4>1376305</vt:i4>
      </vt:variant>
      <vt:variant>
        <vt:i4>242</vt:i4>
      </vt:variant>
      <vt:variant>
        <vt:i4>0</vt:i4>
      </vt:variant>
      <vt:variant>
        <vt:i4>5</vt:i4>
      </vt:variant>
      <vt:variant>
        <vt:lpwstr/>
      </vt:variant>
      <vt:variant>
        <vt:lpwstr>_Toc214026559</vt:lpwstr>
      </vt:variant>
      <vt:variant>
        <vt:i4>1376305</vt:i4>
      </vt:variant>
      <vt:variant>
        <vt:i4>236</vt:i4>
      </vt:variant>
      <vt:variant>
        <vt:i4>0</vt:i4>
      </vt:variant>
      <vt:variant>
        <vt:i4>5</vt:i4>
      </vt:variant>
      <vt:variant>
        <vt:lpwstr/>
      </vt:variant>
      <vt:variant>
        <vt:lpwstr>_Toc214026558</vt:lpwstr>
      </vt:variant>
      <vt:variant>
        <vt:i4>1376305</vt:i4>
      </vt:variant>
      <vt:variant>
        <vt:i4>230</vt:i4>
      </vt:variant>
      <vt:variant>
        <vt:i4>0</vt:i4>
      </vt:variant>
      <vt:variant>
        <vt:i4>5</vt:i4>
      </vt:variant>
      <vt:variant>
        <vt:lpwstr/>
      </vt:variant>
      <vt:variant>
        <vt:lpwstr>_Toc214026557</vt:lpwstr>
      </vt:variant>
      <vt:variant>
        <vt:i4>1376305</vt:i4>
      </vt:variant>
      <vt:variant>
        <vt:i4>224</vt:i4>
      </vt:variant>
      <vt:variant>
        <vt:i4>0</vt:i4>
      </vt:variant>
      <vt:variant>
        <vt:i4>5</vt:i4>
      </vt:variant>
      <vt:variant>
        <vt:lpwstr/>
      </vt:variant>
      <vt:variant>
        <vt:lpwstr>_Toc214026556</vt:lpwstr>
      </vt:variant>
      <vt:variant>
        <vt:i4>1376305</vt:i4>
      </vt:variant>
      <vt:variant>
        <vt:i4>218</vt:i4>
      </vt:variant>
      <vt:variant>
        <vt:i4>0</vt:i4>
      </vt:variant>
      <vt:variant>
        <vt:i4>5</vt:i4>
      </vt:variant>
      <vt:variant>
        <vt:lpwstr/>
      </vt:variant>
      <vt:variant>
        <vt:lpwstr>_Toc214026555</vt:lpwstr>
      </vt:variant>
      <vt:variant>
        <vt:i4>1376305</vt:i4>
      </vt:variant>
      <vt:variant>
        <vt:i4>212</vt:i4>
      </vt:variant>
      <vt:variant>
        <vt:i4>0</vt:i4>
      </vt:variant>
      <vt:variant>
        <vt:i4>5</vt:i4>
      </vt:variant>
      <vt:variant>
        <vt:lpwstr/>
      </vt:variant>
      <vt:variant>
        <vt:lpwstr>_Toc214026554</vt:lpwstr>
      </vt:variant>
      <vt:variant>
        <vt:i4>1376305</vt:i4>
      </vt:variant>
      <vt:variant>
        <vt:i4>206</vt:i4>
      </vt:variant>
      <vt:variant>
        <vt:i4>0</vt:i4>
      </vt:variant>
      <vt:variant>
        <vt:i4>5</vt:i4>
      </vt:variant>
      <vt:variant>
        <vt:lpwstr/>
      </vt:variant>
      <vt:variant>
        <vt:lpwstr>_Toc214026553</vt:lpwstr>
      </vt:variant>
      <vt:variant>
        <vt:i4>1376305</vt:i4>
      </vt:variant>
      <vt:variant>
        <vt:i4>200</vt:i4>
      </vt:variant>
      <vt:variant>
        <vt:i4>0</vt:i4>
      </vt:variant>
      <vt:variant>
        <vt:i4>5</vt:i4>
      </vt:variant>
      <vt:variant>
        <vt:lpwstr/>
      </vt:variant>
      <vt:variant>
        <vt:lpwstr>_Toc214026552</vt:lpwstr>
      </vt:variant>
      <vt:variant>
        <vt:i4>1376305</vt:i4>
      </vt:variant>
      <vt:variant>
        <vt:i4>194</vt:i4>
      </vt:variant>
      <vt:variant>
        <vt:i4>0</vt:i4>
      </vt:variant>
      <vt:variant>
        <vt:i4>5</vt:i4>
      </vt:variant>
      <vt:variant>
        <vt:lpwstr/>
      </vt:variant>
      <vt:variant>
        <vt:lpwstr>_Toc214026551</vt:lpwstr>
      </vt:variant>
      <vt:variant>
        <vt:i4>1376305</vt:i4>
      </vt:variant>
      <vt:variant>
        <vt:i4>188</vt:i4>
      </vt:variant>
      <vt:variant>
        <vt:i4>0</vt:i4>
      </vt:variant>
      <vt:variant>
        <vt:i4>5</vt:i4>
      </vt:variant>
      <vt:variant>
        <vt:lpwstr/>
      </vt:variant>
      <vt:variant>
        <vt:lpwstr>_Toc214026550</vt:lpwstr>
      </vt:variant>
      <vt:variant>
        <vt:i4>1310769</vt:i4>
      </vt:variant>
      <vt:variant>
        <vt:i4>182</vt:i4>
      </vt:variant>
      <vt:variant>
        <vt:i4>0</vt:i4>
      </vt:variant>
      <vt:variant>
        <vt:i4>5</vt:i4>
      </vt:variant>
      <vt:variant>
        <vt:lpwstr/>
      </vt:variant>
      <vt:variant>
        <vt:lpwstr>_Toc214026549</vt:lpwstr>
      </vt:variant>
      <vt:variant>
        <vt:i4>1310769</vt:i4>
      </vt:variant>
      <vt:variant>
        <vt:i4>176</vt:i4>
      </vt:variant>
      <vt:variant>
        <vt:i4>0</vt:i4>
      </vt:variant>
      <vt:variant>
        <vt:i4>5</vt:i4>
      </vt:variant>
      <vt:variant>
        <vt:lpwstr/>
      </vt:variant>
      <vt:variant>
        <vt:lpwstr>_Toc214026548</vt:lpwstr>
      </vt:variant>
      <vt:variant>
        <vt:i4>1310769</vt:i4>
      </vt:variant>
      <vt:variant>
        <vt:i4>170</vt:i4>
      </vt:variant>
      <vt:variant>
        <vt:i4>0</vt:i4>
      </vt:variant>
      <vt:variant>
        <vt:i4>5</vt:i4>
      </vt:variant>
      <vt:variant>
        <vt:lpwstr/>
      </vt:variant>
      <vt:variant>
        <vt:lpwstr>_Toc214026547</vt:lpwstr>
      </vt:variant>
      <vt:variant>
        <vt:i4>1310769</vt:i4>
      </vt:variant>
      <vt:variant>
        <vt:i4>164</vt:i4>
      </vt:variant>
      <vt:variant>
        <vt:i4>0</vt:i4>
      </vt:variant>
      <vt:variant>
        <vt:i4>5</vt:i4>
      </vt:variant>
      <vt:variant>
        <vt:lpwstr/>
      </vt:variant>
      <vt:variant>
        <vt:lpwstr>_Toc214026546</vt:lpwstr>
      </vt:variant>
      <vt:variant>
        <vt:i4>1310769</vt:i4>
      </vt:variant>
      <vt:variant>
        <vt:i4>158</vt:i4>
      </vt:variant>
      <vt:variant>
        <vt:i4>0</vt:i4>
      </vt:variant>
      <vt:variant>
        <vt:i4>5</vt:i4>
      </vt:variant>
      <vt:variant>
        <vt:lpwstr/>
      </vt:variant>
      <vt:variant>
        <vt:lpwstr>_Toc214026545</vt:lpwstr>
      </vt:variant>
      <vt:variant>
        <vt:i4>1310769</vt:i4>
      </vt:variant>
      <vt:variant>
        <vt:i4>152</vt:i4>
      </vt:variant>
      <vt:variant>
        <vt:i4>0</vt:i4>
      </vt:variant>
      <vt:variant>
        <vt:i4>5</vt:i4>
      </vt:variant>
      <vt:variant>
        <vt:lpwstr/>
      </vt:variant>
      <vt:variant>
        <vt:lpwstr>_Toc214026544</vt:lpwstr>
      </vt:variant>
      <vt:variant>
        <vt:i4>1310769</vt:i4>
      </vt:variant>
      <vt:variant>
        <vt:i4>146</vt:i4>
      </vt:variant>
      <vt:variant>
        <vt:i4>0</vt:i4>
      </vt:variant>
      <vt:variant>
        <vt:i4>5</vt:i4>
      </vt:variant>
      <vt:variant>
        <vt:lpwstr/>
      </vt:variant>
      <vt:variant>
        <vt:lpwstr>_Toc214026543</vt:lpwstr>
      </vt:variant>
      <vt:variant>
        <vt:i4>1310769</vt:i4>
      </vt:variant>
      <vt:variant>
        <vt:i4>140</vt:i4>
      </vt:variant>
      <vt:variant>
        <vt:i4>0</vt:i4>
      </vt:variant>
      <vt:variant>
        <vt:i4>5</vt:i4>
      </vt:variant>
      <vt:variant>
        <vt:lpwstr/>
      </vt:variant>
      <vt:variant>
        <vt:lpwstr>_Toc214026542</vt:lpwstr>
      </vt:variant>
      <vt:variant>
        <vt:i4>1310769</vt:i4>
      </vt:variant>
      <vt:variant>
        <vt:i4>134</vt:i4>
      </vt:variant>
      <vt:variant>
        <vt:i4>0</vt:i4>
      </vt:variant>
      <vt:variant>
        <vt:i4>5</vt:i4>
      </vt:variant>
      <vt:variant>
        <vt:lpwstr/>
      </vt:variant>
      <vt:variant>
        <vt:lpwstr>_Toc214026541</vt:lpwstr>
      </vt:variant>
      <vt:variant>
        <vt:i4>1310769</vt:i4>
      </vt:variant>
      <vt:variant>
        <vt:i4>128</vt:i4>
      </vt:variant>
      <vt:variant>
        <vt:i4>0</vt:i4>
      </vt:variant>
      <vt:variant>
        <vt:i4>5</vt:i4>
      </vt:variant>
      <vt:variant>
        <vt:lpwstr/>
      </vt:variant>
      <vt:variant>
        <vt:lpwstr>_Toc214026540</vt:lpwstr>
      </vt:variant>
      <vt:variant>
        <vt:i4>1245233</vt:i4>
      </vt:variant>
      <vt:variant>
        <vt:i4>122</vt:i4>
      </vt:variant>
      <vt:variant>
        <vt:i4>0</vt:i4>
      </vt:variant>
      <vt:variant>
        <vt:i4>5</vt:i4>
      </vt:variant>
      <vt:variant>
        <vt:lpwstr/>
      </vt:variant>
      <vt:variant>
        <vt:lpwstr>_Toc214026539</vt:lpwstr>
      </vt:variant>
      <vt:variant>
        <vt:i4>1245233</vt:i4>
      </vt:variant>
      <vt:variant>
        <vt:i4>116</vt:i4>
      </vt:variant>
      <vt:variant>
        <vt:i4>0</vt:i4>
      </vt:variant>
      <vt:variant>
        <vt:i4>5</vt:i4>
      </vt:variant>
      <vt:variant>
        <vt:lpwstr/>
      </vt:variant>
      <vt:variant>
        <vt:lpwstr>_Toc214026538</vt:lpwstr>
      </vt:variant>
      <vt:variant>
        <vt:i4>1245233</vt:i4>
      </vt:variant>
      <vt:variant>
        <vt:i4>110</vt:i4>
      </vt:variant>
      <vt:variant>
        <vt:i4>0</vt:i4>
      </vt:variant>
      <vt:variant>
        <vt:i4>5</vt:i4>
      </vt:variant>
      <vt:variant>
        <vt:lpwstr/>
      </vt:variant>
      <vt:variant>
        <vt:lpwstr>_Toc214026537</vt:lpwstr>
      </vt:variant>
      <vt:variant>
        <vt:i4>1245233</vt:i4>
      </vt:variant>
      <vt:variant>
        <vt:i4>104</vt:i4>
      </vt:variant>
      <vt:variant>
        <vt:i4>0</vt:i4>
      </vt:variant>
      <vt:variant>
        <vt:i4>5</vt:i4>
      </vt:variant>
      <vt:variant>
        <vt:lpwstr/>
      </vt:variant>
      <vt:variant>
        <vt:lpwstr>_Toc214026536</vt:lpwstr>
      </vt:variant>
      <vt:variant>
        <vt:i4>1245233</vt:i4>
      </vt:variant>
      <vt:variant>
        <vt:i4>98</vt:i4>
      </vt:variant>
      <vt:variant>
        <vt:i4>0</vt:i4>
      </vt:variant>
      <vt:variant>
        <vt:i4>5</vt:i4>
      </vt:variant>
      <vt:variant>
        <vt:lpwstr/>
      </vt:variant>
      <vt:variant>
        <vt:lpwstr>_Toc214026535</vt:lpwstr>
      </vt:variant>
      <vt:variant>
        <vt:i4>1245233</vt:i4>
      </vt:variant>
      <vt:variant>
        <vt:i4>92</vt:i4>
      </vt:variant>
      <vt:variant>
        <vt:i4>0</vt:i4>
      </vt:variant>
      <vt:variant>
        <vt:i4>5</vt:i4>
      </vt:variant>
      <vt:variant>
        <vt:lpwstr/>
      </vt:variant>
      <vt:variant>
        <vt:lpwstr>_Toc214026534</vt:lpwstr>
      </vt:variant>
      <vt:variant>
        <vt:i4>1245233</vt:i4>
      </vt:variant>
      <vt:variant>
        <vt:i4>86</vt:i4>
      </vt:variant>
      <vt:variant>
        <vt:i4>0</vt:i4>
      </vt:variant>
      <vt:variant>
        <vt:i4>5</vt:i4>
      </vt:variant>
      <vt:variant>
        <vt:lpwstr/>
      </vt:variant>
      <vt:variant>
        <vt:lpwstr>_Toc214026533</vt:lpwstr>
      </vt:variant>
      <vt:variant>
        <vt:i4>1245233</vt:i4>
      </vt:variant>
      <vt:variant>
        <vt:i4>80</vt:i4>
      </vt:variant>
      <vt:variant>
        <vt:i4>0</vt:i4>
      </vt:variant>
      <vt:variant>
        <vt:i4>5</vt:i4>
      </vt:variant>
      <vt:variant>
        <vt:lpwstr/>
      </vt:variant>
      <vt:variant>
        <vt:lpwstr>_Toc214026532</vt:lpwstr>
      </vt:variant>
      <vt:variant>
        <vt:i4>1245233</vt:i4>
      </vt:variant>
      <vt:variant>
        <vt:i4>74</vt:i4>
      </vt:variant>
      <vt:variant>
        <vt:i4>0</vt:i4>
      </vt:variant>
      <vt:variant>
        <vt:i4>5</vt:i4>
      </vt:variant>
      <vt:variant>
        <vt:lpwstr/>
      </vt:variant>
      <vt:variant>
        <vt:lpwstr>_Toc214026531</vt:lpwstr>
      </vt:variant>
      <vt:variant>
        <vt:i4>1245233</vt:i4>
      </vt:variant>
      <vt:variant>
        <vt:i4>68</vt:i4>
      </vt:variant>
      <vt:variant>
        <vt:i4>0</vt:i4>
      </vt:variant>
      <vt:variant>
        <vt:i4>5</vt:i4>
      </vt:variant>
      <vt:variant>
        <vt:lpwstr/>
      </vt:variant>
      <vt:variant>
        <vt:lpwstr>_Toc214026530</vt:lpwstr>
      </vt:variant>
      <vt:variant>
        <vt:i4>1179697</vt:i4>
      </vt:variant>
      <vt:variant>
        <vt:i4>62</vt:i4>
      </vt:variant>
      <vt:variant>
        <vt:i4>0</vt:i4>
      </vt:variant>
      <vt:variant>
        <vt:i4>5</vt:i4>
      </vt:variant>
      <vt:variant>
        <vt:lpwstr/>
      </vt:variant>
      <vt:variant>
        <vt:lpwstr>_Toc214026529</vt:lpwstr>
      </vt:variant>
      <vt:variant>
        <vt:i4>1179697</vt:i4>
      </vt:variant>
      <vt:variant>
        <vt:i4>56</vt:i4>
      </vt:variant>
      <vt:variant>
        <vt:i4>0</vt:i4>
      </vt:variant>
      <vt:variant>
        <vt:i4>5</vt:i4>
      </vt:variant>
      <vt:variant>
        <vt:lpwstr/>
      </vt:variant>
      <vt:variant>
        <vt:lpwstr>_Toc214026528</vt:lpwstr>
      </vt:variant>
      <vt:variant>
        <vt:i4>1179697</vt:i4>
      </vt:variant>
      <vt:variant>
        <vt:i4>50</vt:i4>
      </vt:variant>
      <vt:variant>
        <vt:i4>0</vt:i4>
      </vt:variant>
      <vt:variant>
        <vt:i4>5</vt:i4>
      </vt:variant>
      <vt:variant>
        <vt:lpwstr/>
      </vt:variant>
      <vt:variant>
        <vt:lpwstr>_Toc214026527</vt:lpwstr>
      </vt:variant>
      <vt:variant>
        <vt:i4>1179697</vt:i4>
      </vt:variant>
      <vt:variant>
        <vt:i4>44</vt:i4>
      </vt:variant>
      <vt:variant>
        <vt:i4>0</vt:i4>
      </vt:variant>
      <vt:variant>
        <vt:i4>5</vt:i4>
      </vt:variant>
      <vt:variant>
        <vt:lpwstr/>
      </vt:variant>
      <vt:variant>
        <vt:lpwstr>_Toc214026526</vt:lpwstr>
      </vt:variant>
      <vt:variant>
        <vt:i4>1179697</vt:i4>
      </vt:variant>
      <vt:variant>
        <vt:i4>38</vt:i4>
      </vt:variant>
      <vt:variant>
        <vt:i4>0</vt:i4>
      </vt:variant>
      <vt:variant>
        <vt:i4>5</vt:i4>
      </vt:variant>
      <vt:variant>
        <vt:lpwstr/>
      </vt:variant>
      <vt:variant>
        <vt:lpwstr>_Toc214026525</vt:lpwstr>
      </vt:variant>
      <vt:variant>
        <vt:i4>1179697</vt:i4>
      </vt:variant>
      <vt:variant>
        <vt:i4>32</vt:i4>
      </vt:variant>
      <vt:variant>
        <vt:i4>0</vt:i4>
      </vt:variant>
      <vt:variant>
        <vt:i4>5</vt:i4>
      </vt:variant>
      <vt:variant>
        <vt:lpwstr/>
      </vt:variant>
      <vt:variant>
        <vt:lpwstr>_Toc214026524</vt:lpwstr>
      </vt:variant>
      <vt:variant>
        <vt:i4>1179697</vt:i4>
      </vt:variant>
      <vt:variant>
        <vt:i4>26</vt:i4>
      </vt:variant>
      <vt:variant>
        <vt:i4>0</vt:i4>
      </vt:variant>
      <vt:variant>
        <vt:i4>5</vt:i4>
      </vt:variant>
      <vt:variant>
        <vt:lpwstr/>
      </vt:variant>
      <vt:variant>
        <vt:lpwstr>_Toc214026523</vt:lpwstr>
      </vt:variant>
      <vt:variant>
        <vt:i4>1179697</vt:i4>
      </vt:variant>
      <vt:variant>
        <vt:i4>20</vt:i4>
      </vt:variant>
      <vt:variant>
        <vt:i4>0</vt:i4>
      </vt:variant>
      <vt:variant>
        <vt:i4>5</vt:i4>
      </vt:variant>
      <vt:variant>
        <vt:lpwstr/>
      </vt:variant>
      <vt:variant>
        <vt:lpwstr>_Toc214026522</vt:lpwstr>
      </vt:variant>
      <vt:variant>
        <vt:i4>1179697</vt:i4>
      </vt:variant>
      <vt:variant>
        <vt:i4>14</vt:i4>
      </vt:variant>
      <vt:variant>
        <vt:i4>0</vt:i4>
      </vt:variant>
      <vt:variant>
        <vt:i4>5</vt:i4>
      </vt:variant>
      <vt:variant>
        <vt:lpwstr/>
      </vt:variant>
      <vt:variant>
        <vt:lpwstr>_Toc214026521</vt:lpwstr>
      </vt:variant>
      <vt:variant>
        <vt:i4>1179697</vt:i4>
      </vt:variant>
      <vt:variant>
        <vt:i4>8</vt:i4>
      </vt:variant>
      <vt:variant>
        <vt:i4>0</vt:i4>
      </vt:variant>
      <vt:variant>
        <vt:i4>5</vt:i4>
      </vt:variant>
      <vt:variant>
        <vt:lpwstr/>
      </vt:variant>
      <vt:variant>
        <vt:lpwstr>_Toc214026520</vt:lpwstr>
      </vt:variant>
      <vt:variant>
        <vt:i4>1114161</vt:i4>
      </vt:variant>
      <vt:variant>
        <vt:i4>2</vt:i4>
      </vt:variant>
      <vt:variant>
        <vt:i4>0</vt:i4>
      </vt:variant>
      <vt:variant>
        <vt:i4>5</vt:i4>
      </vt:variant>
      <vt:variant>
        <vt:lpwstr/>
      </vt:variant>
      <vt:variant>
        <vt:lpwstr>_Toc214026519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Haslett (NDA)</dc:creator>
  <cp:keywords/>
  <cp:lastModifiedBy>Bevin Murphy (NDA)</cp:lastModifiedBy>
  <cp:revision>2</cp:revision>
  <dcterms:created xsi:type="dcterms:W3CDTF">2026-04-10T09:41:00Z</dcterms:created>
  <dcterms:modified xsi:type="dcterms:W3CDTF">2026-04-10T09:41:00Z</dcterms:modified>
</cp:coreProperties>
</file>