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1614" w14:textId="77777777" w:rsidR="00C1487D" w:rsidRDefault="00C1487D" w:rsidP="00C1487D">
      <w:bookmarkStart w:id="0" w:name="_Hlk178935182"/>
      <w:bookmarkEnd w:id="0"/>
    </w:p>
    <w:p w14:paraId="59C5897D" w14:textId="1F18A599" w:rsidR="00C1487D" w:rsidRPr="00296EA3" w:rsidRDefault="00C1487D" w:rsidP="00C1487D">
      <w:pPr>
        <w:spacing w:after="0"/>
        <w:contextualSpacing/>
        <w:rPr>
          <w:rFonts w:ascii="Gill Sans MT" w:eastAsiaTheme="majorEastAsia" w:hAnsi="Gill Sans MT" w:cstheme="majorBidi"/>
          <w:spacing w:val="-10"/>
          <w:kern w:val="28"/>
          <w:sz w:val="56"/>
          <w:szCs w:val="56"/>
        </w:rPr>
      </w:pPr>
    </w:p>
    <w:p w14:paraId="0A386E69" w14:textId="77777777" w:rsidR="00C1487D" w:rsidRPr="00296EA3" w:rsidRDefault="00C1487D" w:rsidP="00C1487D"/>
    <w:p w14:paraId="6C71EDB6" w14:textId="77777777" w:rsidR="00C1487D" w:rsidRPr="00296EA3" w:rsidRDefault="00C1487D" w:rsidP="00C1487D">
      <w:pPr>
        <w:rPr>
          <w:b/>
        </w:rPr>
      </w:pPr>
    </w:p>
    <w:p w14:paraId="7B88290D" w14:textId="051EE2AF" w:rsidR="00C1487D" w:rsidRPr="001407FB" w:rsidRDefault="00B85AA7" w:rsidP="001407FB">
      <w:pPr>
        <w:pStyle w:val="TitleStyleNDA"/>
        <w:rPr>
          <w:b/>
          <w:bCs/>
        </w:rPr>
      </w:pPr>
      <w:bookmarkStart w:id="1" w:name="_Hlk181096068"/>
      <w:r w:rsidRPr="00B85AA7">
        <w:rPr>
          <w:b/>
          <w:bCs/>
        </w:rPr>
        <w:t xml:space="preserve">Literature review on </w:t>
      </w:r>
      <w:r>
        <w:rPr>
          <w:b/>
          <w:bCs/>
        </w:rPr>
        <w:t>d</w:t>
      </w:r>
      <w:r w:rsidR="00C1487D" w:rsidRPr="001407FB">
        <w:rPr>
          <w:b/>
          <w:bCs/>
        </w:rPr>
        <w:t xml:space="preserve">etermining appropriate caseloads and workloads for Children’s Disability Network Teams </w:t>
      </w:r>
    </w:p>
    <w:bookmarkEnd w:id="1"/>
    <w:p w14:paraId="7B9E810D" w14:textId="77777777" w:rsidR="00701ECE" w:rsidRDefault="00701ECE" w:rsidP="00701ECE"/>
    <w:p w14:paraId="7B6886C6" w14:textId="77777777" w:rsidR="00701ECE" w:rsidRDefault="00701ECE" w:rsidP="00701ECE"/>
    <w:p w14:paraId="6EFC84E9" w14:textId="77777777" w:rsidR="00701ECE" w:rsidRDefault="00701ECE" w:rsidP="00701ECE"/>
    <w:p w14:paraId="1BE61C72" w14:textId="77777777" w:rsidR="00701ECE" w:rsidRDefault="00701ECE" w:rsidP="00701ECE"/>
    <w:p w14:paraId="3192A4BF" w14:textId="77777777" w:rsidR="001407FB" w:rsidRDefault="001407FB" w:rsidP="00701ECE"/>
    <w:p w14:paraId="2AD4ECF2" w14:textId="77777777" w:rsidR="001407FB" w:rsidRDefault="001407FB" w:rsidP="00356E2F">
      <w:pPr>
        <w:pStyle w:val="TitleStyleNDA"/>
        <w:jc w:val="left"/>
        <w:rPr>
          <w:b/>
          <w:bCs/>
          <w:sz w:val="32"/>
          <w:szCs w:val="32"/>
        </w:rPr>
      </w:pPr>
    </w:p>
    <w:p w14:paraId="2C461DEC" w14:textId="61C70342" w:rsidR="00701ECE" w:rsidRPr="001407FB" w:rsidRDefault="00182E49" w:rsidP="00356E2F">
      <w:pPr>
        <w:pStyle w:val="TitleStyleNDA"/>
        <w:jc w:val="left"/>
        <w:rPr>
          <w:b/>
          <w:bCs/>
          <w:sz w:val="32"/>
          <w:szCs w:val="32"/>
        </w:rPr>
      </w:pPr>
      <w:r w:rsidRPr="001407FB">
        <w:rPr>
          <w:b/>
          <w:bCs/>
          <w:sz w:val="32"/>
          <w:szCs w:val="32"/>
        </w:rPr>
        <w:t xml:space="preserve">November </w:t>
      </w:r>
      <w:r w:rsidR="00701ECE" w:rsidRPr="001407FB">
        <w:rPr>
          <w:b/>
          <w:bCs/>
          <w:sz w:val="32"/>
          <w:szCs w:val="32"/>
        </w:rPr>
        <w:t>2024</w:t>
      </w:r>
    </w:p>
    <w:p w14:paraId="7966CF05" w14:textId="77777777" w:rsidR="00701ECE" w:rsidRPr="00701ECE" w:rsidRDefault="00701ECE" w:rsidP="00701ECE"/>
    <w:p w14:paraId="7E02A5DA" w14:textId="77777777" w:rsidR="00182E49" w:rsidRDefault="00701ECE">
      <w:pPr>
        <w:sectPr w:rsidR="00182E49" w:rsidSect="00182E49">
          <w:headerReference w:type="default" r:id="rId8"/>
          <w:footerReference w:type="default" r:id="rId9"/>
          <w:pgSz w:w="11906" w:h="16838"/>
          <w:pgMar w:top="1440" w:right="1440" w:bottom="1440" w:left="1440" w:header="708" w:footer="708" w:gutter="0"/>
          <w:cols w:space="708"/>
          <w:titlePg/>
          <w:docGrid w:linePitch="360"/>
        </w:sectPr>
      </w:pPr>
      <w:bookmarkStart w:id="2" w:name="_Toc143247813"/>
      <w:bookmarkStart w:id="3" w:name="_Toc143248531"/>
      <w:bookmarkStart w:id="4" w:name="_Toc143248972"/>
      <w:bookmarkStart w:id="5" w:name="_Toc153391097"/>
      <w:r w:rsidRPr="00296EA3">
        <w:rPr>
          <w:rFonts w:asciiTheme="majorHAnsi" w:eastAsiaTheme="majorEastAsia" w:hAnsiTheme="majorHAnsi" w:cstheme="majorBidi"/>
          <w:noProof/>
          <w:spacing w:val="-10"/>
          <w:kern w:val="28"/>
          <w:sz w:val="56"/>
          <w:szCs w:val="56"/>
          <w:lang w:eastAsia="en-IE"/>
        </w:rPr>
        <w:drawing>
          <wp:inline distT="0" distB="0" distL="0" distR="0" wp14:anchorId="6117A24D" wp14:editId="62BA4FB8">
            <wp:extent cx="2522220" cy="1798320"/>
            <wp:effectExtent l="0" t="0" r="0" b="0"/>
            <wp:docPr id="728794923" name="Picture 72879492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2"/>
      <w:bookmarkEnd w:id="3"/>
      <w:bookmarkEnd w:id="4"/>
      <w:bookmarkEnd w:id="5"/>
    </w:p>
    <w:p w14:paraId="4986E9A9" w14:textId="19FD7807" w:rsidR="00182E49" w:rsidRDefault="00182E49" w:rsidP="00DD3B48">
      <w:pPr>
        <w:pStyle w:val="Heading1"/>
      </w:pPr>
      <w:r>
        <w:lastRenderedPageBreak/>
        <w:t>Table of Contents</w:t>
      </w:r>
    </w:p>
    <w:p w14:paraId="2C64D669" w14:textId="019A939D" w:rsidR="00182E49" w:rsidRDefault="00182E49">
      <w:pPr>
        <w:pStyle w:val="TOC1"/>
        <w:tabs>
          <w:tab w:val="right" w:leader="dot" w:pos="9016"/>
        </w:tabs>
        <w:rPr>
          <w:rFonts w:asciiTheme="minorHAnsi" w:eastAsiaTheme="minorEastAsia" w:hAnsiTheme="minorHAnsi"/>
          <w:noProof/>
          <w:sz w:val="22"/>
          <w:lang w:eastAsia="en-IE"/>
        </w:rPr>
      </w:pPr>
      <w:r>
        <w:fldChar w:fldCharType="begin"/>
      </w:r>
      <w:r>
        <w:instrText xml:space="preserve"> TOC \o "1-2" \h \z \u </w:instrText>
      </w:r>
      <w:r>
        <w:fldChar w:fldCharType="separate"/>
      </w:r>
      <w:hyperlink w:anchor="_Toc182557331" w:history="1">
        <w:r w:rsidRPr="00844E55">
          <w:rPr>
            <w:rStyle w:val="Hyperlink"/>
            <w:noProof/>
          </w:rPr>
          <w:t>Statement on Language</w:t>
        </w:r>
        <w:r>
          <w:rPr>
            <w:noProof/>
            <w:webHidden/>
          </w:rPr>
          <w:tab/>
        </w:r>
        <w:r>
          <w:rPr>
            <w:noProof/>
            <w:webHidden/>
          </w:rPr>
          <w:fldChar w:fldCharType="begin"/>
        </w:r>
        <w:r>
          <w:rPr>
            <w:noProof/>
            <w:webHidden/>
          </w:rPr>
          <w:instrText xml:space="preserve"> PAGEREF _Toc182557331 \h </w:instrText>
        </w:r>
        <w:r>
          <w:rPr>
            <w:noProof/>
            <w:webHidden/>
          </w:rPr>
        </w:r>
        <w:r>
          <w:rPr>
            <w:noProof/>
            <w:webHidden/>
          </w:rPr>
          <w:fldChar w:fldCharType="separate"/>
        </w:r>
        <w:r w:rsidR="004A5DA9">
          <w:rPr>
            <w:noProof/>
            <w:webHidden/>
          </w:rPr>
          <w:t>2</w:t>
        </w:r>
        <w:r>
          <w:rPr>
            <w:noProof/>
            <w:webHidden/>
          </w:rPr>
          <w:fldChar w:fldCharType="end"/>
        </w:r>
      </w:hyperlink>
    </w:p>
    <w:p w14:paraId="338253D6" w14:textId="058F79A7" w:rsidR="00182E49" w:rsidRDefault="007D3833">
      <w:pPr>
        <w:pStyle w:val="TOC1"/>
        <w:tabs>
          <w:tab w:val="right" w:leader="dot" w:pos="9016"/>
        </w:tabs>
        <w:rPr>
          <w:rFonts w:asciiTheme="minorHAnsi" w:eastAsiaTheme="minorEastAsia" w:hAnsiTheme="minorHAnsi"/>
          <w:noProof/>
          <w:sz w:val="22"/>
          <w:lang w:eastAsia="en-IE"/>
        </w:rPr>
      </w:pPr>
      <w:hyperlink w:anchor="_Toc182557332" w:history="1">
        <w:r w:rsidR="00182E49" w:rsidRPr="00844E55">
          <w:rPr>
            <w:rStyle w:val="Hyperlink"/>
            <w:noProof/>
          </w:rPr>
          <w:t>Abbreviations</w:t>
        </w:r>
        <w:r w:rsidR="00182E49">
          <w:rPr>
            <w:noProof/>
            <w:webHidden/>
          </w:rPr>
          <w:tab/>
        </w:r>
        <w:r w:rsidR="00182E49">
          <w:rPr>
            <w:noProof/>
            <w:webHidden/>
          </w:rPr>
          <w:fldChar w:fldCharType="begin"/>
        </w:r>
        <w:r w:rsidR="00182E49">
          <w:rPr>
            <w:noProof/>
            <w:webHidden/>
          </w:rPr>
          <w:instrText xml:space="preserve"> PAGEREF _Toc182557332 \h </w:instrText>
        </w:r>
        <w:r w:rsidR="00182E49">
          <w:rPr>
            <w:noProof/>
            <w:webHidden/>
          </w:rPr>
        </w:r>
        <w:r w:rsidR="00182E49">
          <w:rPr>
            <w:noProof/>
            <w:webHidden/>
          </w:rPr>
          <w:fldChar w:fldCharType="separate"/>
        </w:r>
        <w:r w:rsidR="004A5DA9">
          <w:rPr>
            <w:noProof/>
            <w:webHidden/>
          </w:rPr>
          <w:t>3</w:t>
        </w:r>
        <w:r w:rsidR="00182E49">
          <w:rPr>
            <w:noProof/>
            <w:webHidden/>
          </w:rPr>
          <w:fldChar w:fldCharType="end"/>
        </w:r>
      </w:hyperlink>
    </w:p>
    <w:p w14:paraId="29D6FC7B" w14:textId="74EF90E8" w:rsidR="00182E49" w:rsidRDefault="007D3833">
      <w:pPr>
        <w:pStyle w:val="TOC1"/>
        <w:tabs>
          <w:tab w:val="right" w:leader="dot" w:pos="9016"/>
        </w:tabs>
        <w:rPr>
          <w:rFonts w:asciiTheme="minorHAnsi" w:eastAsiaTheme="minorEastAsia" w:hAnsiTheme="minorHAnsi"/>
          <w:noProof/>
          <w:sz w:val="22"/>
          <w:lang w:eastAsia="en-IE"/>
        </w:rPr>
      </w:pPr>
      <w:hyperlink w:anchor="_Toc182557333" w:history="1">
        <w:r w:rsidR="00182E49" w:rsidRPr="00844E55">
          <w:rPr>
            <w:rStyle w:val="Hyperlink"/>
            <w:noProof/>
          </w:rPr>
          <w:t>Executive Summary</w:t>
        </w:r>
        <w:r w:rsidR="00182E49">
          <w:rPr>
            <w:noProof/>
            <w:webHidden/>
          </w:rPr>
          <w:tab/>
        </w:r>
        <w:r w:rsidR="00182E49">
          <w:rPr>
            <w:noProof/>
            <w:webHidden/>
          </w:rPr>
          <w:fldChar w:fldCharType="begin"/>
        </w:r>
        <w:r w:rsidR="00182E49">
          <w:rPr>
            <w:noProof/>
            <w:webHidden/>
          </w:rPr>
          <w:instrText xml:space="preserve"> PAGEREF _Toc182557333 \h </w:instrText>
        </w:r>
        <w:r w:rsidR="00182E49">
          <w:rPr>
            <w:noProof/>
            <w:webHidden/>
          </w:rPr>
        </w:r>
        <w:r w:rsidR="00182E49">
          <w:rPr>
            <w:noProof/>
            <w:webHidden/>
          </w:rPr>
          <w:fldChar w:fldCharType="separate"/>
        </w:r>
        <w:r w:rsidR="004A5DA9">
          <w:rPr>
            <w:noProof/>
            <w:webHidden/>
          </w:rPr>
          <w:t>4</w:t>
        </w:r>
        <w:r w:rsidR="00182E49">
          <w:rPr>
            <w:noProof/>
            <w:webHidden/>
          </w:rPr>
          <w:fldChar w:fldCharType="end"/>
        </w:r>
      </w:hyperlink>
    </w:p>
    <w:p w14:paraId="4FC06A50" w14:textId="4FFCAE45" w:rsidR="00182E49" w:rsidRDefault="007D3833">
      <w:pPr>
        <w:pStyle w:val="TOC1"/>
        <w:tabs>
          <w:tab w:val="right" w:leader="dot" w:pos="9016"/>
        </w:tabs>
        <w:rPr>
          <w:rFonts w:asciiTheme="minorHAnsi" w:eastAsiaTheme="minorEastAsia" w:hAnsiTheme="minorHAnsi"/>
          <w:noProof/>
          <w:sz w:val="22"/>
          <w:lang w:eastAsia="en-IE"/>
        </w:rPr>
      </w:pPr>
      <w:hyperlink w:anchor="_Toc182557340" w:history="1">
        <w:r w:rsidR="00182E49" w:rsidRPr="00844E55">
          <w:rPr>
            <w:rStyle w:val="Hyperlink"/>
            <w:noProof/>
          </w:rPr>
          <w:t>Introduction</w:t>
        </w:r>
        <w:r w:rsidR="00182E49">
          <w:rPr>
            <w:noProof/>
            <w:webHidden/>
          </w:rPr>
          <w:tab/>
        </w:r>
        <w:r w:rsidR="00182E49">
          <w:rPr>
            <w:noProof/>
            <w:webHidden/>
          </w:rPr>
          <w:fldChar w:fldCharType="begin"/>
        </w:r>
        <w:r w:rsidR="00182E49">
          <w:rPr>
            <w:noProof/>
            <w:webHidden/>
          </w:rPr>
          <w:instrText xml:space="preserve"> PAGEREF _Toc182557340 \h </w:instrText>
        </w:r>
        <w:r w:rsidR="00182E49">
          <w:rPr>
            <w:noProof/>
            <w:webHidden/>
          </w:rPr>
        </w:r>
        <w:r w:rsidR="00182E49">
          <w:rPr>
            <w:noProof/>
            <w:webHidden/>
          </w:rPr>
          <w:fldChar w:fldCharType="separate"/>
        </w:r>
        <w:r w:rsidR="004A5DA9">
          <w:rPr>
            <w:noProof/>
            <w:webHidden/>
          </w:rPr>
          <w:t>7</w:t>
        </w:r>
        <w:r w:rsidR="00182E49">
          <w:rPr>
            <w:noProof/>
            <w:webHidden/>
          </w:rPr>
          <w:fldChar w:fldCharType="end"/>
        </w:r>
      </w:hyperlink>
    </w:p>
    <w:p w14:paraId="23BB5DC6" w14:textId="011E871D" w:rsidR="00182E49" w:rsidRDefault="007D3833">
      <w:pPr>
        <w:pStyle w:val="TOC2"/>
        <w:tabs>
          <w:tab w:val="right" w:leader="dot" w:pos="9016"/>
        </w:tabs>
        <w:rPr>
          <w:rFonts w:asciiTheme="minorHAnsi" w:eastAsiaTheme="minorEastAsia" w:hAnsiTheme="minorHAnsi"/>
          <w:noProof/>
          <w:sz w:val="22"/>
          <w:lang w:eastAsia="en-IE"/>
        </w:rPr>
      </w:pPr>
      <w:hyperlink w:anchor="_Toc182557341" w:history="1">
        <w:r w:rsidR="00182E49" w:rsidRPr="00844E55">
          <w:rPr>
            <w:rStyle w:val="Hyperlink"/>
            <w:noProof/>
          </w:rPr>
          <w:t>Team working</w:t>
        </w:r>
        <w:r w:rsidR="00182E49">
          <w:rPr>
            <w:noProof/>
            <w:webHidden/>
          </w:rPr>
          <w:tab/>
        </w:r>
        <w:r w:rsidR="00182E49">
          <w:rPr>
            <w:noProof/>
            <w:webHidden/>
          </w:rPr>
          <w:fldChar w:fldCharType="begin"/>
        </w:r>
        <w:r w:rsidR="00182E49">
          <w:rPr>
            <w:noProof/>
            <w:webHidden/>
          </w:rPr>
          <w:instrText xml:space="preserve"> PAGEREF _Toc182557341 \h </w:instrText>
        </w:r>
        <w:r w:rsidR="00182E49">
          <w:rPr>
            <w:noProof/>
            <w:webHidden/>
          </w:rPr>
        </w:r>
        <w:r w:rsidR="00182E49">
          <w:rPr>
            <w:noProof/>
            <w:webHidden/>
          </w:rPr>
          <w:fldChar w:fldCharType="separate"/>
        </w:r>
        <w:r w:rsidR="004A5DA9">
          <w:rPr>
            <w:noProof/>
            <w:webHidden/>
          </w:rPr>
          <w:t>8</w:t>
        </w:r>
        <w:r w:rsidR="00182E49">
          <w:rPr>
            <w:noProof/>
            <w:webHidden/>
          </w:rPr>
          <w:fldChar w:fldCharType="end"/>
        </w:r>
      </w:hyperlink>
    </w:p>
    <w:p w14:paraId="66093F2E" w14:textId="3B9641FA" w:rsidR="00182E49" w:rsidRDefault="007D3833">
      <w:pPr>
        <w:pStyle w:val="TOC2"/>
        <w:tabs>
          <w:tab w:val="right" w:leader="dot" w:pos="9016"/>
        </w:tabs>
        <w:rPr>
          <w:rFonts w:asciiTheme="minorHAnsi" w:eastAsiaTheme="minorEastAsia" w:hAnsiTheme="minorHAnsi"/>
          <w:noProof/>
          <w:sz w:val="22"/>
          <w:lang w:eastAsia="en-IE"/>
        </w:rPr>
      </w:pPr>
      <w:hyperlink w:anchor="_Toc182557342" w:history="1">
        <w:r w:rsidR="00182E49" w:rsidRPr="00844E55">
          <w:rPr>
            <w:rStyle w:val="Hyperlink"/>
            <w:noProof/>
          </w:rPr>
          <w:t>Aim of the review</w:t>
        </w:r>
        <w:r w:rsidR="00182E49">
          <w:rPr>
            <w:noProof/>
            <w:webHidden/>
          </w:rPr>
          <w:tab/>
        </w:r>
        <w:r w:rsidR="00182E49">
          <w:rPr>
            <w:noProof/>
            <w:webHidden/>
          </w:rPr>
          <w:fldChar w:fldCharType="begin"/>
        </w:r>
        <w:r w:rsidR="00182E49">
          <w:rPr>
            <w:noProof/>
            <w:webHidden/>
          </w:rPr>
          <w:instrText xml:space="preserve"> PAGEREF _Toc182557342 \h </w:instrText>
        </w:r>
        <w:r w:rsidR="00182E49">
          <w:rPr>
            <w:noProof/>
            <w:webHidden/>
          </w:rPr>
        </w:r>
        <w:r w:rsidR="00182E49">
          <w:rPr>
            <w:noProof/>
            <w:webHidden/>
          </w:rPr>
          <w:fldChar w:fldCharType="separate"/>
        </w:r>
        <w:r w:rsidR="004A5DA9">
          <w:rPr>
            <w:noProof/>
            <w:webHidden/>
          </w:rPr>
          <w:t>8</w:t>
        </w:r>
        <w:r w:rsidR="00182E49">
          <w:rPr>
            <w:noProof/>
            <w:webHidden/>
          </w:rPr>
          <w:fldChar w:fldCharType="end"/>
        </w:r>
      </w:hyperlink>
    </w:p>
    <w:p w14:paraId="0BC9C824" w14:textId="12BED63B" w:rsidR="00182E49" w:rsidRDefault="007D3833">
      <w:pPr>
        <w:pStyle w:val="TOC1"/>
        <w:tabs>
          <w:tab w:val="right" w:leader="dot" w:pos="9016"/>
        </w:tabs>
        <w:rPr>
          <w:rFonts w:asciiTheme="minorHAnsi" w:eastAsiaTheme="minorEastAsia" w:hAnsiTheme="minorHAnsi"/>
          <w:noProof/>
          <w:sz w:val="22"/>
          <w:lang w:eastAsia="en-IE"/>
        </w:rPr>
      </w:pPr>
      <w:hyperlink w:anchor="_Toc182557343" w:history="1">
        <w:r w:rsidR="00182E49" w:rsidRPr="00844E55">
          <w:rPr>
            <w:rStyle w:val="Hyperlink"/>
            <w:noProof/>
          </w:rPr>
          <w:t>Methods</w:t>
        </w:r>
        <w:r w:rsidR="00182E49">
          <w:rPr>
            <w:noProof/>
            <w:webHidden/>
          </w:rPr>
          <w:tab/>
        </w:r>
        <w:r w:rsidR="00182E49">
          <w:rPr>
            <w:noProof/>
            <w:webHidden/>
          </w:rPr>
          <w:fldChar w:fldCharType="begin"/>
        </w:r>
        <w:r w:rsidR="00182E49">
          <w:rPr>
            <w:noProof/>
            <w:webHidden/>
          </w:rPr>
          <w:instrText xml:space="preserve"> PAGEREF _Toc182557343 \h </w:instrText>
        </w:r>
        <w:r w:rsidR="00182E49">
          <w:rPr>
            <w:noProof/>
            <w:webHidden/>
          </w:rPr>
        </w:r>
        <w:r w:rsidR="00182E49">
          <w:rPr>
            <w:noProof/>
            <w:webHidden/>
          </w:rPr>
          <w:fldChar w:fldCharType="separate"/>
        </w:r>
        <w:r w:rsidR="004A5DA9">
          <w:rPr>
            <w:noProof/>
            <w:webHidden/>
          </w:rPr>
          <w:t>9</w:t>
        </w:r>
        <w:r w:rsidR="00182E49">
          <w:rPr>
            <w:noProof/>
            <w:webHidden/>
          </w:rPr>
          <w:fldChar w:fldCharType="end"/>
        </w:r>
      </w:hyperlink>
    </w:p>
    <w:p w14:paraId="570FCD4A" w14:textId="4CFDCD6C" w:rsidR="00182E49" w:rsidRDefault="007D3833">
      <w:pPr>
        <w:pStyle w:val="TOC2"/>
        <w:tabs>
          <w:tab w:val="right" w:leader="dot" w:pos="9016"/>
        </w:tabs>
        <w:rPr>
          <w:rFonts w:asciiTheme="minorHAnsi" w:eastAsiaTheme="minorEastAsia" w:hAnsiTheme="minorHAnsi"/>
          <w:noProof/>
          <w:sz w:val="22"/>
          <w:lang w:eastAsia="en-IE"/>
        </w:rPr>
      </w:pPr>
      <w:hyperlink w:anchor="_Toc182557344" w:history="1">
        <w:r w:rsidR="00182E49" w:rsidRPr="00844E55">
          <w:rPr>
            <w:rStyle w:val="Hyperlink"/>
            <w:noProof/>
          </w:rPr>
          <w:t>Search Strategy</w:t>
        </w:r>
        <w:r w:rsidR="00182E49">
          <w:rPr>
            <w:noProof/>
            <w:webHidden/>
          </w:rPr>
          <w:tab/>
        </w:r>
        <w:r w:rsidR="00182E49">
          <w:rPr>
            <w:noProof/>
            <w:webHidden/>
          </w:rPr>
          <w:fldChar w:fldCharType="begin"/>
        </w:r>
        <w:r w:rsidR="00182E49">
          <w:rPr>
            <w:noProof/>
            <w:webHidden/>
          </w:rPr>
          <w:instrText xml:space="preserve"> PAGEREF _Toc182557344 \h </w:instrText>
        </w:r>
        <w:r w:rsidR="00182E49">
          <w:rPr>
            <w:noProof/>
            <w:webHidden/>
          </w:rPr>
        </w:r>
        <w:r w:rsidR="00182E49">
          <w:rPr>
            <w:noProof/>
            <w:webHidden/>
          </w:rPr>
          <w:fldChar w:fldCharType="separate"/>
        </w:r>
        <w:r w:rsidR="004A5DA9">
          <w:rPr>
            <w:noProof/>
            <w:webHidden/>
          </w:rPr>
          <w:t>9</w:t>
        </w:r>
        <w:r w:rsidR="00182E49">
          <w:rPr>
            <w:noProof/>
            <w:webHidden/>
          </w:rPr>
          <w:fldChar w:fldCharType="end"/>
        </w:r>
      </w:hyperlink>
    </w:p>
    <w:p w14:paraId="14438346" w14:textId="72192BD0" w:rsidR="00182E49" w:rsidRDefault="007D3833">
      <w:pPr>
        <w:pStyle w:val="TOC2"/>
        <w:tabs>
          <w:tab w:val="right" w:leader="dot" w:pos="9016"/>
        </w:tabs>
        <w:rPr>
          <w:rFonts w:asciiTheme="minorHAnsi" w:eastAsiaTheme="minorEastAsia" w:hAnsiTheme="minorHAnsi"/>
          <w:noProof/>
          <w:sz w:val="22"/>
          <w:lang w:eastAsia="en-IE"/>
        </w:rPr>
      </w:pPr>
      <w:hyperlink w:anchor="_Toc182557345" w:history="1">
        <w:r w:rsidR="00182E49" w:rsidRPr="00844E55">
          <w:rPr>
            <w:rStyle w:val="Hyperlink"/>
            <w:noProof/>
          </w:rPr>
          <w:t>Inclusion criteria</w:t>
        </w:r>
        <w:r w:rsidR="00182E49">
          <w:rPr>
            <w:noProof/>
            <w:webHidden/>
          </w:rPr>
          <w:tab/>
        </w:r>
        <w:r w:rsidR="00182E49">
          <w:rPr>
            <w:noProof/>
            <w:webHidden/>
          </w:rPr>
          <w:fldChar w:fldCharType="begin"/>
        </w:r>
        <w:r w:rsidR="00182E49">
          <w:rPr>
            <w:noProof/>
            <w:webHidden/>
          </w:rPr>
          <w:instrText xml:space="preserve"> PAGEREF _Toc182557345 \h </w:instrText>
        </w:r>
        <w:r w:rsidR="00182E49">
          <w:rPr>
            <w:noProof/>
            <w:webHidden/>
          </w:rPr>
        </w:r>
        <w:r w:rsidR="00182E49">
          <w:rPr>
            <w:noProof/>
            <w:webHidden/>
          </w:rPr>
          <w:fldChar w:fldCharType="separate"/>
        </w:r>
        <w:r w:rsidR="004A5DA9">
          <w:rPr>
            <w:noProof/>
            <w:webHidden/>
          </w:rPr>
          <w:t>9</w:t>
        </w:r>
        <w:r w:rsidR="00182E49">
          <w:rPr>
            <w:noProof/>
            <w:webHidden/>
          </w:rPr>
          <w:fldChar w:fldCharType="end"/>
        </w:r>
      </w:hyperlink>
    </w:p>
    <w:p w14:paraId="7D0FE3C6" w14:textId="60E1BB82" w:rsidR="00182E49" w:rsidRDefault="007D3833">
      <w:pPr>
        <w:pStyle w:val="TOC2"/>
        <w:tabs>
          <w:tab w:val="right" w:leader="dot" w:pos="9016"/>
        </w:tabs>
        <w:rPr>
          <w:rFonts w:asciiTheme="minorHAnsi" w:eastAsiaTheme="minorEastAsia" w:hAnsiTheme="minorHAnsi"/>
          <w:noProof/>
          <w:sz w:val="22"/>
          <w:lang w:eastAsia="en-IE"/>
        </w:rPr>
      </w:pPr>
      <w:hyperlink w:anchor="_Toc182557346" w:history="1">
        <w:r w:rsidR="00182E49" w:rsidRPr="00844E55">
          <w:rPr>
            <w:rStyle w:val="Hyperlink"/>
            <w:noProof/>
          </w:rPr>
          <w:t>Data extraction</w:t>
        </w:r>
        <w:r w:rsidR="00182E49">
          <w:rPr>
            <w:noProof/>
            <w:webHidden/>
          </w:rPr>
          <w:tab/>
        </w:r>
        <w:r w:rsidR="00182E49">
          <w:rPr>
            <w:noProof/>
            <w:webHidden/>
          </w:rPr>
          <w:fldChar w:fldCharType="begin"/>
        </w:r>
        <w:r w:rsidR="00182E49">
          <w:rPr>
            <w:noProof/>
            <w:webHidden/>
          </w:rPr>
          <w:instrText xml:space="preserve"> PAGEREF _Toc182557346 \h </w:instrText>
        </w:r>
        <w:r w:rsidR="00182E49">
          <w:rPr>
            <w:noProof/>
            <w:webHidden/>
          </w:rPr>
        </w:r>
        <w:r w:rsidR="00182E49">
          <w:rPr>
            <w:noProof/>
            <w:webHidden/>
          </w:rPr>
          <w:fldChar w:fldCharType="separate"/>
        </w:r>
        <w:r w:rsidR="004A5DA9">
          <w:rPr>
            <w:noProof/>
            <w:webHidden/>
          </w:rPr>
          <w:t>9</w:t>
        </w:r>
        <w:r w:rsidR="00182E49">
          <w:rPr>
            <w:noProof/>
            <w:webHidden/>
          </w:rPr>
          <w:fldChar w:fldCharType="end"/>
        </w:r>
      </w:hyperlink>
    </w:p>
    <w:p w14:paraId="65A230D8" w14:textId="18B9FADE" w:rsidR="00182E49" w:rsidRDefault="007D3833">
      <w:pPr>
        <w:pStyle w:val="TOC2"/>
        <w:tabs>
          <w:tab w:val="right" w:leader="dot" w:pos="9016"/>
        </w:tabs>
        <w:rPr>
          <w:rFonts w:asciiTheme="minorHAnsi" w:eastAsiaTheme="minorEastAsia" w:hAnsiTheme="minorHAnsi"/>
          <w:noProof/>
          <w:sz w:val="22"/>
          <w:lang w:eastAsia="en-IE"/>
        </w:rPr>
      </w:pPr>
      <w:hyperlink w:anchor="_Toc182557347" w:history="1">
        <w:r w:rsidR="00182E49" w:rsidRPr="00844E55">
          <w:rPr>
            <w:rStyle w:val="Hyperlink"/>
            <w:noProof/>
          </w:rPr>
          <w:t>Synthesis</w:t>
        </w:r>
        <w:r w:rsidR="00182E49">
          <w:rPr>
            <w:noProof/>
            <w:webHidden/>
          </w:rPr>
          <w:tab/>
        </w:r>
        <w:r w:rsidR="00182E49">
          <w:rPr>
            <w:noProof/>
            <w:webHidden/>
          </w:rPr>
          <w:fldChar w:fldCharType="begin"/>
        </w:r>
        <w:r w:rsidR="00182E49">
          <w:rPr>
            <w:noProof/>
            <w:webHidden/>
          </w:rPr>
          <w:instrText xml:space="preserve"> PAGEREF _Toc182557347 \h </w:instrText>
        </w:r>
        <w:r w:rsidR="00182E49">
          <w:rPr>
            <w:noProof/>
            <w:webHidden/>
          </w:rPr>
        </w:r>
        <w:r w:rsidR="00182E49">
          <w:rPr>
            <w:noProof/>
            <w:webHidden/>
          </w:rPr>
          <w:fldChar w:fldCharType="separate"/>
        </w:r>
        <w:r w:rsidR="004A5DA9">
          <w:rPr>
            <w:noProof/>
            <w:webHidden/>
          </w:rPr>
          <w:t>9</w:t>
        </w:r>
        <w:r w:rsidR="00182E49">
          <w:rPr>
            <w:noProof/>
            <w:webHidden/>
          </w:rPr>
          <w:fldChar w:fldCharType="end"/>
        </w:r>
      </w:hyperlink>
    </w:p>
    <w:p w14:paraId="1A38A982" w14:textId="2221475A" w:rsidR="00182E49" w:rsidRDefault="007D3833">
      <w:pPr>
        <w:pStyle w:val="TOC1"/>
        <w:tabs>
          <w:tab w:val="right" w:leader="dot" w:pos="9016"/>
        </w:tabs>
        <w:rPr>
          <w:rFonts w:asciiTheme="minorHAnsi" w:eastAsiaTheme="minorEastAsia" w:hAnsiTheme="minorHAnsi"/>
          <w:noProof/>
          <w:sz w:val="22"/>
          <w:lang w:eastAsia="en-IE"/>
        </w:rPr>
      </w:pPr>
      <w:hyperlink w:anchor="_Toc182557348" w:history="1">
        <w:r w:rsidR="00182E49" w:rsidRPr="00844E55">
          <w:rPr>
            <w:rStyle w:val="Hyperlink"/>
            <w:noProof/>
          </w:rPr>
          <w:t>Findings</w:t>
        </w:r>
        <w:r w:rsidR="00182E49">
          <w:rPr>
            <w:noProof/>
            <w:webHidden/>
          </w:rPr>
          <w:tab/>
        </w:r>
        <w:r w:rsidR="00182E49">
          <w:rPr>
            <w:noProof/>
            <w:webHidden/>
          </w:rPr>
          <w:fldChar w:fldCharType="begin"/>
        </w:r>
        <w:r w:rsidR="00182E49">
          <w:rPr>
            <w:noProof/>
            <w:webHidden/>
          </w:rPr>
          <w:instrText xml:space="preserve"> PAGEREF _Toc182557348 \h </w:instrText>
        </w:r>
        <w:r w:rsidR="00182E49">
          <w:rPr>
            <w:noProof/>
            <w:webHidden/>
          </w:rPr>
        </w:r>
        <w:r w:rsidR="00182E49">
          <w:rPr>
            <w:noProof/>
            <w:webHidden/>
          </w:rPr>
          <w:fldChar w:fldCharType="separate"/>
        </w:r>
        <w:r w:rsidR="004A5DA9">
          <w:rPr>
            <w:noProof/>
            <w:webHidden/>
          </w:rPr>
          <w:t>10</w:t>
        </w:r>
        <w:r w:rsidR="00182E49">
          <w:rPr>
            <w:noProof/>
            <w:webHidden/>
          </w:rPr>
          <w:fldChar w:fldCharType="end"/>
        </w:r>
      </w:hyperlink>
    </w:p>
    <w:p w14:paraId="0ACBAE4E" w14:textId="07F1E772" w:rsidR="00182E49" w:rsidRDefault="007D3833">
      <w:pPr>
        <w:pStyle w:val="TOC2"/>
        <w:tabs>
          <w:tab w:val="right" w:leader="dot" w:pos="9016"/>
        </w:tabs>
        <w:rPr>
          <w:rFonts w:asciiTheme="minorHAnsi" w:eastAsiaTheme="minorEastAsia" w:hAnsiTheme="minorHAnsi"/>
          <w:noProof/>
          <w:sz w:val="22"/>
          <w:lang w:eastAsia="en-IE"/>
        </w:rPr>
      </w:pPr>
      <w:hyperlink w:anchor="_Toc182557349" w:history="1">
        <w:r w:rsidR="00182E49" w:rsidRPr="00844E55">
          <w:rPr>
            <w:rStyle w:val="Hyperlink"/>
            <w:noProof/>
          </w:rPr>
          <w:t>Shift towards workload approaches</w:t>
        </w:r>
        <w:r w:rsidR="00182E49">
          <w:rPr>
            <w:noProof/>
            <w:webHidden/>
          </w:rPr>
          <w:tab/>
        </w:r>
        <w:r w:rsidR="00182E49">
          <w:rPr>
            <w:noProof/>
            <w:webHidden/>
          </w:rPr>
          <w:fldChar w:fldCharType="begin"/>
        </w:r>
        <w:r w:rsidR="00182E49">
          <w:rPr>
            <w:noProof/>
            <w:webHidden/>
          </w:rPr>
          <w:instrText xml:space="preserve"> PAGEREF _Toc182557349 \h </w:instrText>
        </w:r>
        <w:r w:rsidR="00182E49">
          <w:rPr>
            <w:noProof/>
            <w:webHidden/>
          </w:rPr>
        </w:r>
        <w:r w:rsidR="00182E49">
          <w:rPr>
            <w:noProof/>
            <w:webHidden/>
          </w:rPr>
          <w:fldChar w:fldCharType="separate"/>
        </w:r>
        <w:r w:rsidR="004A5DA9">
          <w:rPr>
            <w:noProof/>
            <w:webHidden/>
          </w:rPr>
          <w:t>10</w:t>
        </w:r>
        <w:r w:rsidR="00182E49">
          <w:rPr>
            <w:noProof/>
            <w:webHidden/>
          </w:rPr>
          <w:fldChar w:fldCharType="end"/>
        </w:r>
      </w:hyperlink>
    </w:p>
    <w:p w14:paraId="42EAA427" w14:textId="26EC3829" w:rsidR="00182E49" w:rsidRDefault="007D3833">
      <w:pPr>
        <w:pStyle w:val="TOC2"/>
        <w:tabs>
          <w:tab w:val="right" w:leader="dot" w:pos="9016"/>
        </w:tabs>
        <w:rPr>
          <w:rFonts w:asciiTheme="minorHAnsi" w:eastAsiaTheme="minorEastAsia" w:hAnsiTheme="minorHAnsi"/>
          <w:noProof/>
          <w:sz w:val="22"/>
          <w:lang w:eastAsia="en-IE"/>
        </w:rPr>
      </w:pPr>
      <w:hyperlink w:anchor="_Toc182557350" w:history="1">
        <w:r w:rsidR="00182E49" w:rsidRPr="00844E55">
          <w:rPr>
            <w:rStyle w:val="Hyperlink"/>
            <w:noProof/>
          </w:rPr>
          <w:t>Factors that influence caseloads and workload</w:t>
        </w:r>
        <w:r w:rsidR="00182E49">
          <w:rPr>
            <w:noProof/>
            <w:webHidden/>
          </w:rPr>
          <w:tab/>
        </w:r>
        <w:r w:rsidR="00182E49">
          <w:rPr>
            <w:noProof/>
            <w:webHidden/>
          </w:rPr>
          <w:fldChar w:fldCharType="begin"/>
        </w:r>
        <w:r w:rsidR="00182E49">
          <w:rPr>
            <w:noProof/>
            <w:webHidden/>
          </w:rPr>
          <w:instrText xml:space="preserve"> PAGEREF _Toc182557350 \h </w:instrText>
        </w:r>
        <w:r w:rsidR="00182E49">
          <w:rPr>
            <w:noProof/>
            <w:webHidden/>
          </w:rPr>
        </w:r>
        <w:r w:rsidR="00182E49">
          <w:rPr>
            <w:noProof/>
            <w:webHidden/>
          </w:rPr>
          <w:fldChar w:fldCharType="separate"/>
        </w:r>
        <w:r w:rsidR="004A5DA9">
          <w:rPr>
            <w:noProof/>
            <w:webHidden/>
          </w:rPr>
          <w:t>11</w:t>
        </w:r>
        <w:r w:rsidR="00182E49">
          <w:rPr>
            <w:noProof/>
            <w:webHidden/>
          </w:rPr>
          <w:fldChar w:fldCharType="end"/>
        </w:r>
      </w:hyperlink>
    </w:p>
    <w:p w14:paraId="3EA84063" w14:textId="2B5553CD" w:rsidR="00182E49" w:rsidRDefault="007D3833">
      <w:pPr>
        <w:pStyle w:val="TOC2"/>
        <w:tabs>
          <w:tab w:val="right" w:leader="dot" w:pos="9016"/>
        </w:tabs>
        <w:rPr>
          <w:rFonts w:asciiTheme="minorHAnsi" w:eastAsiaTheme="minorEastAsia" w:hAnsiTheme="minorHAnsi"/>
          <w:noProof/>
          <w:sz w:val="22"/>
          <w:lang w:eastAsia="en-IE"/>
        </w:rPr>
      </w:pPr>
      <w:hyperlink w:anchor="_Toc182557351" w:history="1">
        <w:r w:rsidR="00182E49" w:rsidRPr="00844E55">
          <w:rPr>
            <w:rStyle w:val="Hyperlink"/>
            <w:noProof/>
          </w:rPr>
          <w:t>Guidelines and tools for determining and managing caseloads/workloads</w:t>
        </w:r>
        <w:r w:rsidR="00182E49">
          <w:rPr>
            <w:noProof/>
            <w:webHidden/>
          </w:rPr>
          <w:tab/>
        </w:r>
        <w:r w:rsidR="00182E49">
          <w:rPr>
            <w:noProof/>
            <w:webHidden/>
          </w:rPr>
          <w:fldChar w:fldCharType="begin"/>
        </w:r>
        <w:r w:rsidR="00182E49">
          <w:rPr>
            <w:noProof/>
            <w:webHidden/>
          </w:rPr>
          <w:instrText xml:space="preserve"> PAGEREF _Toc182557351 \h </w:instrText>
        </w:r>
        <w:r w:rsidR="00182E49">
          <w:rPr>
            <w:noProof/>
            <w:webHidden/>
          </w:rPr>
        </w:r>
        <w:r w:rsidR="00182E49">
          <w:rPr>
            <w:noProof/>
            <w:webHidden/>
          </w:rPr>
          <w:fldChar w:fldCharType="separate"/>
        </w:r>
        <w:r w:rsidR="004A5DA9">
          <w:rPr>
            <w:noProof/>
            <w:webHidden/>
          </w:rPr>
          <w:t>12</w:t>
        </w:r>
        <w:r w:rsidR="00182E49">
          <w:rPr>
            <w:noProof/>
            <w:webHidden/>
          </w:rPr>
          <w:fldChar w:fldCharType="end"/>
        </w:r>
      </w:hyperlink>
    </w:p>
    <w:p w14:paraId="57BAF619" w14:textId="3FD409E3" w:rsidR="00182E49" w:rsidRDefault="007D3833">
      <w:pPr>
        <w:pStyle w:val="TOC2"/>
        <w:tabs>
          <w:tab w:val="right" w:leader="dot" w:pos="9016"/>
        </w:tabs>
        <w:rPr>
          <w:rFonts w:asciiTheme="minorHAnsi" w:eastAsiaTheme="minorEastAsia" w:hAnsiTheme="minorHAnsi"/>
          <w:noProof/>
          <w:sz w:val="22"/>
          <w:lang w:eastAsia="en-IE"/>
        </w:rPr>
      </w:pPr>
      <w:hyperlink w:anchor="_Toc182557352" w:history="1">
        <w:r w:rsidR="00182E49" w:rsidRPr="00844E55">
          <w:rPr>
            <w:rStyle w:val="Hyperlink"/>
            <w:noProof/>
          </w:rPr>
          <w:t>Canada</w:t>
        </w:r>
        <w:r w:rsidR="00182E49">
          <w:rPr>
            <w:noProof/>
            <w:webHidden/>
          </w:rPr>
          <w:tab/>
        </w:r>
        <w:r w:rsidR="00182E49">
          <w:rPr>
            <w:noProof/>
            <w:webHidden/>
          </w:rPr>
          <w:fldChar w:fldCharType="begin"/>
        </w:r>
        <w:r w:rsidR="00182E49">
          <w:rPr>
            <w:noProof/>
            <w:webHidden/>
          </w:rPr>
          <w:instrText xml:space="preserve"> PAGEREF _Toc182557352 \h </w:instrText>
        </w:r>
        <w:r w:rsidR="00182E49">
          <w:rPr>
            <w:noProof/>
            <w:webHidden/>
          </w:rPr>
        </w:r>
        <w:r w:rsidR="00182E49">
          <w:rPr>
            <w:noProof/>
            <w:webHidden/>
          </w:rPr>
          <w:fldChar w:fldCharType="separate"/>
        </w:r>
        <w:r w:rsidR="004A5DA9">
          <w:rPr>
            <w:noProof/>
            <w:webHidden/>
          </w:rPr>
          <w:t>12</w:t>
        </w:r>
        <w:r w:rsidR="00182E49">
          <w:rPr>
            <w:noProof/>
            <w:webHidden/>
          </w:rPr>
          <w:fldChar w:fldCharType="end"/>
        </w:r>
      </w:hyperlink>
    </w:p>
    <w:p w14:paraId="3A7FF8A5" w14:textId="293E408D" w:rsidR="00182E49" w:rsidRDefault="007D3833">
      <w:pPr>
        <w:pStyle w:val="TOC2"/>
        <w:tabs>
          <w:tab w:val="right" w:leader="dot" w:pos="9016"/>
        </w:tabs>
        <w:rPr>
          <w:rFonts w:asciiTheme="minorHAnsi" w:eastAsiaTheme="minorEastAsia" w:hAnsiTheme="minorHAnsi"/>
          <w:noProof/>
          <w:sz w:val="22"/>
          <w:lang w:eastAsia="en-IE"/>
        </w:rPr>
      </w:pPr>
      <w:hyperlink w:anchor="_Toc182557353" w:history="1">
        <w:r w:rsidR="00182E49" w:rsidRPr="00844E55">
          <w:rPr>
            <w:rStyle w:val="Hyperlink"/>
            <w:noProof/>
          </w:rPr>
          <w:t>USA</w:t>
        </w:r>
        <w:r w:rsidR="00182E49">
          <w:rPr>
            <w:noProof/>
            <w:webHidden/>
          </w:rPr>
          <w:tab/>
        </w:r>
        <w:r w:rsidR="00182E49">
          <w:rPr>
            <w:noProof/>
            <w:webHidden/>
          </w:rPr>
          <w:fldChar w:fldCharType="begin"/>
        </w:r>
        <w:r w:rsidR="00182E49">
          <w:rPr>
            <w:noProof/>
            <w:webHidden/>
          </w:rPr>
          <w:instrText xml:space="preserve"> PAGEREF _Toc182557353 \h </w:instrText>
        </w:r>
        <w:r w:rsidR="00182E49">
          <w:rPr>
            <w:noProof/>
            <w:webHidden/>
          </w:rPr>
        </w:r>
        <w:r w:rsidR="00182E49">
          <w:rPr>
            <w:noProof/>
            <w:webHidden/>
          </w:rPr>
          <w:fldChar w:fldCharType="separate"/>
        </w:r>
        <w:r w:rsidR="004A5DA9">
          <w:rPr>
            <w:noProof/>
            <w:webHidden/>
          </w:rPr>
          <w:t>14</w:t>
        </w:r>
        <w:r w:rsidR="00182E49">
          <w:rPr>
            <w:noProof/>
            <w:webHidden/>
          </w:rPr>
          <w:fldChar w:fldCharType="end"/>
        </w:r>
      </w:hyperlink>
    </w:p>
    <w:p w14:paraId="5A72AA6E" w14:textId="7D004742" w:rsidR="00182E49" w:rsidRDefault="007D3833">
      <w:pPr>
        <w:pStyle w:val="TOC2"/>
        <w:tabs>
          <w:tab w:val="right" w:leader="dot" w:pos="9016"/>
        </w:tabs>
        <w:rPr>
          <w:rFonts w:asciiTheme="minorHAnsi" w:eastAsiaTheme="minorEastAsia" w:hAnsiTheme="minorHAnsi"/>
          <w:noProof/>
          <w:sz w:val="22"/>
          <w:lang w:eastAsia="en-IE"/>
        </w:rPr>
      </w:pPr>
      <w:hyperlink w:anchor="_Toc182557354" w:history="1">
        <w:r w:rsidR="00182E49" w:rsidRPr="00844E55">
          <w:rPr>
            <w:rStyle w:val="Hyperlink"/>
            <w:noProof/>
          </w:rPr>
          <w:t>UK</w:t>
        </w:r>
        <w:r w:rsidR="00182E49">
          <w:rPr>
            <w:noProof/>
            <w:webHidden/>
          </w:rPr>
          <w:tab/>
        </w:r>
        <w:r w:rsidR="00182E49">
          <w:rPr>
            <w:noProof/>
            <w:webHidden/>
          </w:rPr>
          <w:fldChar w:fldCharType="begin"/>
        </w:r>
        <w:r w:rsidR="00182E49">
          <w:rPr>
            <w:noProof/>
            <w:webHidden/>
          </w:rPr>
          <w:instrText xml:space="preserve"> PAGEREF _Toc182557354 \h </w:instrText>
        </w:r>
        <w:r w:rsidR="00182E49">
          <w:rPr>
            <w:noProof/>
            <w:webHidden/>
          </w:rPr>
        </w:r>
        <w:r w:rsidR="00182E49">
          <w:rPr>
            <w:noProof/>
            <w:webHidden/>
          </w:rPr>
          <w:fldChar w:fldCharType="separate"/>
        </w:r>
        <w:r w:rsidR="004A5DA9">
          <w:rPr>
            <w:noProof/>
            <w:webHidden/>
          </w:rPr>
          <w:t>16</w:t>
        </w:r>
        <w:r w:rsidR="00182E49">
          <w:rPr>
            <w:noProof/>
            <w:webHidden/>
          </w:rPr>
          <w:fldChar w:fldCharType="end"/>
        </w:r>
      </w:hyperlink>
    </w:p>
    <w:p w14:paraId="7C012BA7" w14:textId="44F30E5E" w:rsidR="00182E49" w:rsidRDefault="007D3833">
      <w:pPr>
        <w:pStyle w:val="TOC2"/>
        <w:tabs>
          <w:tab w:val="right" w:leader="dot" w:pos="9016"/>
        </w:tabs>
        <w:rPr>
          <w:rFonts w:asciiTheme="minorHAnsi" w:eastAsiaTheme="minorEastAsia" w:hAnsiTheme="minorHAnsi"/>
          <w:noProof/>
          <w:sz w:val="22"/>
          <w:lang w:eastAsia="en-IE"/>
        </w:rPr>
      </w:pPr>
      <w:hyperlink w:anchor="_Toc182557355" w:history="1">
        <w:r w:rsidR="00182E49" w:rsidRPr="00844E55">
          <w:rPr>
            <w:rStyle w:val="Hyperlink"/>
            <w:noProof/>
          </w:rPr>
          <w:t>Consequences of unmanageable caseloads and workloads</w:t>
        </w:r>
        <w:r w:rsidR="00182E49">
          <w:rPr>
            <w:noProof/>
            <w:webHidden/>
          </w:rPr>
          <w:tab/>
        </w:r>
        <w:r w:rsidR="00182E49">
          <w:rPr>
            <w:noProof/>
            <w:webHidden/>
          </w:rPr>
          <w:fldChar w:fldCharType="begin"/>
        </w:r>
        <w:r w:rsidR="00182E49">
          <w:rPr>
            <w:noProof/>
            <w:webHidden/>
          </w:rPr>
          <w:instrText xml:space="preserve"> PAGEREF _Toc182557355 \h </w:instrText>
        </w:r>
        <w:r w:rsidR="00182E49">
          <w:rPr>
            <w:noProof/>
            <w:webHidden/>
          </w:rPr>
        </w:r>
        <w:r w:rsidR="00182E49">
          <w:rPr>
            <w:noProof/>
            <w:webHidden/>
          </w:rPr>
          <w:fldChar w:fldCharType="separate"/>
        </w:r>
        <w:r w:rsidR="004A5DA9">
          <w:rPr>
            <w:noProof/>
            <w:webHidden/>
          </w:rPr>
          <w:t>17</w:t>
        </w:r>
        <w:r w:rsidR="00182E49">
          <w:rPr>
            <w:noProof/>
            <w:webHidden/>
          </w:rPr>
          <w:fldChar w:fldCharType="end"/>
        </w:r>
      </w:hyperlink>
    </w:p>
    <w:p w14:paraId="53F4A2DF" w14:textId="5F4FB990" w:rsidR="00182E49" w:rsidRDefault="007D3833">
      <w:pPr>
        <w:pStyle w:val="TOC2"/>
        <w:tabs>
          <w:tab w:val="right" w:leader="dot" w:pos="9016"/>
        </w:tabs>
        <w:rPr>
          <w:rFonts w:asciiTheme="minorHAnsi" w:eastAsiaTheme="minorEastAsia" w:hAnsiTheme="minorHAnsi"/>
          <w:noProof/>
          <w:sz w:val="22"/>
          <w:lang w:eastAsia="en-IE"/>
        </w:rPr>
      </w:pPr>
      <w:hyperlink w:anchor="_Toc182557356" w:history="1">
        <w:r w:rsidR="00182E49" w:rsidRPr="00844E55">
          <w:rPr>
            <w:rStyle w:val="Hyperlink"/>
            <w:noProof/>
          </w:rPr>
          <w:t>Limitations</w:t>
        </w:r>
        <w:r w:rsidR="00182E49">
          <w:rPr>
            <w:noProof/>
            <w:webHidden/>
          </w:rPr>
          <w:tab/>
        </w:r>
        <w:r w:rsidR="00182E49">
          <w:rPr>
            <w:noProof/>
            <w:webHidden/>
          </w:rPr>
          <w:fldChar w:fldCharType="begin"/>
        </w:r>
        <w:r w:rsidR="00182E49">
          <w:rPr>
            <w:noProof/>
            <w:webHidden/>
          </w:rPr>
          <w:instrText xml:space="preserve"> PAGEREF _Toc182557356 \h </w:instrText>
        </w:r>
        <w:r w:rsidR="00182E49">
          <w:rPr>
            <w:noProof/>
            <w:webHidden/>
          </w:rPr>
        </w:r>
        <w:r w:rsidR="00182E49">
          <w:rPr>
            <w:noProof/>
            <w:webHidden/>
          </w:rPr>
          <w:fldChar w:fldCharType="separate"/>
        </w:r>
        <w:r w:rsidR="004A5DA9">
          <w:rPr>
            <w:noProof/>
            <w:webHidden/>
          </w:rPr>
          <w:t>17</w:t>
        </w:r>
        <w:r w:rsidR="00182E49">
          <w:rPr>
            <w:noProof/>
            <w:webHidden/>
          </w:rPr>
          <w:fldChar w:fldCharType="end"/>
        </w:r>
      </w:hyperlink>
    </w:p>
    <w:p w14:paraId="6B1932EE" w14:textId="1CCA077C" w:rsidR="00182E49" w:rsidRDefault="007D3833">
      <w:pPr>
        <w:pStyle w:val="TOC1"/>
        <w:tabs>
          <w:tab w:val="right" w:leader="dot" w:pos="9016"/>
        </w:tabs>
        <w:rPr>
          <w:rFonts w:asciiTheme="minorHAnsi" w:eastAsiaTheme="minorEastAsia" w:hAnsiTheme="minorHAnsi"/>
          <w:noProof/>
          <w:sz w:val="22"/>
          <w:lang w:eastAsia="en-IE"/>
        </w:rPr>
      </w:pPr>
      <w:hyperlink w:anchor="_Toc182557357" w:history="1">
        <w:r w:rsidR="00182E49" w:rsidRPr="00844E55">
          <w:rPr>
            <w:rStyle w:val="Hyperlink"/>
            <w:noProof/>
          </w:rPr>
          <w:t>Conclusion</w:t>
        </w:r>
        <w:r w:rsidR="00182E49">
          <w:rPr>
            <w:noProof/>
            <w:webHidden/>
          </w:rPr>
          <w:tab/>
        </w:r>
        <w:r w:rsidR="00182E49">
          <w:rPr>
            <w:noProof/>
            <w:webHidden/>
          </w:rPr>
          <w:fldChar w:fldCharType="begin"/>
        </w:r>
        <w:r w:rsidR="00182E49">
          <w:rPr>
            <w:noProof/>
            <w:webHidden/>
          </w:rPr>
          <w:instrText xml:space="preserve"> PAGEREF _Toc182557357 \h </w:instrText>
        </w:r>
        <w:r w:rsidR="00182E49">
          <w:rPr>
            <w:noProof/>
            <w:webHidden/>
          </w:rPr>
        </w:r>
        <w:r w:rsidR="00182E49">
          <w:rPr>
            <w:noProof/>
            <w:webHidden/>
          </w:rPr>
          <w:fldChar w:fldCharType="separate"/>
        </w:r>
        <w:r w:rsidR="004A5DA9">
          <w:rPr>
            <w:noProof/>
            <w:webHidden/>
          </w:rPr>
          <w:t>18</w:t>
        </w:r>
        <w:r w:rsidR="00182E49">
          <w:rPr>
            <w:noProof/>
            <w:webHidden/>
          </w:rPr>
          <w:fldChar w:fldCharType="end"/>
        </w:r>
      </w:hyperlink>
    </w:p>
    <w:p w14:paraId="40C3C035" w14:textId="2774F695" w:rsidR="00182E49" w:rsidRDefault="007D3833">
      <w:pPr>
        <w:pStyle w:val="TOC1"/>
        <w:tabs>
          <w:tab w:val="right" w:leader="dot" w:pos="9016"/>
        </w:tabs>
        <w:rPr>
          <w:rFonts w:asciiTheme="minorHAnsi" w:eastAsiaTheme="minorEastAsia" w:hAnsiTheme="minorHAnsi"/>
          <w:noProof/>
          <w:sz w:val="22"/>
          <w:lang w:eastAsia="en-IE"/>
        </w:rPr>
      </w:pPr>
      <w:hyperlink w:anchor="_Toc182557358" w:history="1">
        <w:r w:rsidR="00182E49" w:rsidRPr="00844E55">
          <w:rPr>
            <w:rStyle w:val="Hyperlink"/>
            <w:noProof/>
          </w:rPr>
          <w:t>References</w:t>
        </w:r>
        <w:r w:rsidR="00182E49">
          <w:rPr>
            <w:noProof/>
            <w:webHidden/>
          </w:rPr>
          <w:tab/>
        </w:r>
        <w:r w:rsidR="00182E49">
          <w:rPr>
            <w:noProof/>
            <w:webHidden/>
          </w:rPr>
          <w:fldChar w:fldCharType="begin"/>
        </w:r>
        <w:r w:rsidR="00182E49">
          <w:rPr>
            <w:noProof/>
            <w:webHidden/>
          </w:rPr>
          <w:instrText xml:space="preserve"> PAGEREF _Toc182557358 \h </w:instrText>
        </w:r>
        <w:r w:rsidR="00182E49">
          <w:rPr>
            <w:noProof/>
            <w:webHidden/>
          </w:rPr>
        </w:r>
        <w:r w:rsidR="00182E49">
          <w:rPr>
            <w:noProof/>
            <w:webHidden/>
          </w:rPr>
          <w:fldChar w:fldCharType="separate"/>
        </w:r>
        <w:r w:rsidR="004A5DA9">
          <w:rPr>
            <w:noProof/>
            <w:webHidden/>
          </w:rPr>
          <w:t>19</w:t>
        </w:r>
        <w:r w:rsidR="00182E49">
          <w:rPr>
            <w:noProof/>
            <w:webHidden/>
          </w:rPr>
          <w:fldChar w:fldCharType="end"/>
        </w:r>
      </w:hyperlink>
    </w:p>
    <w:p w14:paraId="290BEBFC" w14:textId="30B192E3" w:rsidR="00124C1D" w:rsidRDefault="00182E49">
      <w:r>
        <w:fldChar w:fldCharType="end"/>
      </w:r>
      <w:r w:rsidR="00124C1D">
        <w:br w:type="page"/>
      </w:r>
    </w:p>
    <w:p w14:paraId="49D124B3" w14:textId="05F82D13" w:rsidR="00124C1D" w:rsidRDefault="00124C1D" w:rsidP="00DD3B48">
      <w:pPr>
        <w:pStyle w:val="Heading1"/>
      </w:pPr>
      <w:bookmarkStart w:id="6" w:name="_Toc179376006"/>
      <w:bookmarkStart w:id="7" w:name="_Toc182557331"/>
      <w:r>
        <w:lastRenderedPageBreak/>
        <w:t>Statement on Language</w:t>
      </w:r>
      <w:bookmarkEnd w:id="6"/>
      <w:bookmarkEnd w:id="7"/>
    </w:p>
    <w:p w14:paraId="620781DF" w14:textId="77777777" w:rsidR="003F6936" w:rsidRDefault="003F6936" w:rsidP="003F6936">
      <w:r>
        <w:t xml:space="preserve">In this report, we use the term “children with disabilities” which reflects person first language. This is in line with what is commonly used in disability services and reflects the language used in the UNCRPD (persons with disabilities). We recognise that the term ‘disabled persons/people’ which </w:t>
      </w:r>
      <w:proofErr w:type="gramStart"/>
      <w:r>
        <w:t>is considered to be</w:t>
      </w:r>
      <w:proofErr w:type="gramEnd"/>
      <w:r>
        <w:t xml:space="preserve"> identity first or social model language 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5905AE2F" w14:textId="7BED1AE8" w:rsidR="00F52763" w:rsidRDefault="003F6936" w:rsidP="003F6936">
      <w:pPr>
        <w:rPr>
          <w:rFonts w:eastAsiaTheme="majorEastAsia" w:cstheme="majorBidi"/>
          <w:b/>
          <w:sz w:val="32"/>
          <w:szCs w:val="32"/>
        </w:rPr>
      </w:pPr>
      <w:r>
        <w:t>For further information on disability-related language and terminology, please refer to the NDA’s Advice Paper on Disability Language and Terminology</w:t>
      </w:r>
      <w:r w:rsidR="00124C1D">
        <w:rPr>
          <w:rStyle w:val="FootnoteReference"/>
        </w:rPr>
        <w:footnoteReference w:id="1"/>
      </w:r>
      <w:r w:rsidR="00F52763">
        <w:br w:type="page"/>
      </w:r>
    </w:p>
    <w:p w14:paraId="2F737A63" w14:textId="77777777" w:rsidR="00F52763" w:rsidRDefault="00F52763" w:rsidP="00C1487D">
      <w:pPr>
        <w:pStyle w:val="H1Heading1NDA"/>
      </w:pPr>
      <w:bookmarkStart w:id="8" w:name="_Toc179376007"/>
      <w:bookmarkStart w:id="9" w:name="_Toc182557332"/>
      <w:r>
        <w:lastRenderedPageBreak/>
        <w:t>Abbreviations</w:t>
      </w:r>
      <w:bookmarkEnd w:id="8"/>
      <w:bookmarkEnd w:id="9"/>
    </w:p>
    <w:tbl>
      <w:tblPr>
        <w:tblStyle w:val="TableGrid"/>
        <w:tblpPr w:leftFromText="180" w:rightFromText="180" w:horzAnchor="margin" w:tblpY="771"/>
        <w:tblW w:w="0" w:type="auto"/>
        <w:tblLook w:val="04A0" w:firstRow="1" w:lastRow="0" w:firstColumn="1" w:lastColumn="0" w:noHBand="0" w:noVBand="1"/>
      </w:tblPr>
      <w:tblGrid>
        <w:gridCol w:w="1806"/>
        <w:gridCol w:w="7050"/>
      </w:tblGrid>
      <w:tr w:rsidR="00F52763" w:rsidRPr="00F52763" w14:paraId="3E4598AD" w14:textId="77777777" w:rsidTr="00325680">
        <w:trPr>
          <w:tblHeader/>
        </w:trPr>
        <w:tc>
          <w:tcPr>
            <w:tcW w:w="1806" w:type="dxa"/>
          </w:tcPr>
          <w:p w14:paraId="0ABDA2A1" w14:textId="77777777" w:rsidR="00F52763" w:rsidRPr="00F52763" w:rsidRDefault="00F52763" w:rsidP="00F52763">
            <w:pPr>
              <w:pStyle w:val="TableCellLeftTextNDA"/>
            </w:pPr>
            <w:r w:rsidRPr="00F52763">
              <w:t>Abbreviation</w:t>
            </w:r>
          </w:p>
        </w:tc>
        <w:tc>
          <w:tcPr>
            <w:tcW w:w="7050" w:type="dxa"/>
          </w:tcPr>
          <w:p w14:paraId="2814BA8E" w14:textId="77777777" w:rsidR="00F52763" w:rsidRPr="00F52763" w:rsidRDefault="00F52763" w:rsidP="00F52763">
            <w:pPr>
              <w:pStyle w:val="TableCellLeftTextNDA"/>
            </w:pPr>
            <w:r w:rsidRPr="00F52763">
              <w:t xml:space="preserve">Definition </w:t>
            </w:r>
          </w:p>
        </w:tc>
      </w:tr>
      <w:tr w:rsidR="00F52763" w:rsidRPr="00F52763" w14:paraId="67220C57" w14:textId="77777777" w:rsidTr="00325680">
        <w:tc>
          <w:tcPr>
            <w:tcW w:w="1806" w:type="dxa"/>
          </w:tcPr>
          <w:p w14:paraId="0EFEFC71" w14:textId="77777777" w:rsidR="00F52763" w:rsidRPr="00F52763" w:rsidRDefault="00F52763" w:rsidP="00F52763">
            <w:pPr>
              <w:pStyle w:val="TableCellLeftTextNDA"/>
              <w:rPr>
                <w:b/>
                <w:bCs/>
              </w:rPr>
            </w:pPr>
            <w:r w:rsidRPr="00F52763">
              <w:t>AOTA</w:t>
            </w:r>
          </w:p>
        </w:tc>
        <w:tc>
          <w:tcPr>
            <w:tcW w:w="7050" w:type="dxa"/>
          </w:tcPr>
          <w:p w14:paraId="67273B7D" w14:textId="77777777" w:rsidR="00F52763" w:rsidRPr="00F52763" w:rsidRDefault="00F52763" w:rsidP="00F52763">
            <w:pPr>
              <w:pStyle w:val="TableCellLeftTextNDA"/>
              <w:rPr>
                <w:b/>
                <w:bCs/>
              </w:rPr>
            </w:pPr>
            <w:r w:rsidRPr="00F52763">
              <w:t xml:space="preserve">American Occupational Therapist’s Association </w:t>
            </w:r>
          </w:p>
        </w:tc>
      </w:tr>
      <w:tr w:rsidR="00F52763" w:rsidRPr="00F52763" w14:paraId="521B26C0" w14:textId="77777777" w:rsidTr="00325680">
        <w:tc>
          <w:tcPr>
            <w:tcW w:w="1806" w:type="dxa"/>
          </w:tcPr>
          <w:p w14:paraId="20404EF5" w14:textId="77777777" w:rsidR="00F52763" w:rsidRPr="00F52763" w:rsidRDefault="00F52763" w:rsidP="00F52763">
            <w:pPr>
              <w:pStyle w:val="TableCellLeftTextNDA"/>
              <w:rPr>
                <w:b/>
                <w:bCs/>
              </w:rPr>
            </w:pPr>
            <w:r w:rsidRPr="00F52763">
              <w:t>AOTI</w:t>
            </w:r>
          </w:p>
        </w:tc>
        <w:tc>
          <w:tcPr>
            <w:tcW w:w="7050" w:type="dxa"/>
          </w:tcPr>
          <w:p w14:paraId="5E21CF50" w14:textId="77777777" w:rsidR="00F52763" w:rsidRPr="00F52763" w:rsidRDefault="00F52763" w:rsidP="00F52763">
            <w:pPr>
              <w:pStyle w:val="TableCellLeftTextNDA"/>
              <w:rPr>
                <w:b/>
                <w:bCs/>
              </w:rPr>
            </w:pPr>
            <w:r w:rsidRPr="00F52763">
              <w:t xml:space="preserve">Association of Occupational Therapists Ireland </w:t>
            </w:r>
          </w:p>
        </w:tc>
      </w:tr>
      <w:tr w:rsidR="00F52763" w:rsidRPr="00F52763" w14:paraId="039A8355" w14:textId="77777777" w:rsidTr="00325680">
        <w:tc>
          <w:tcPr>
            <w:tcW w:w="1806" w:type="dxa"/>
          </w:tcPr>
          <w:p w14:paraId="76AA62CC" w14:textId="77777777" w:rsidR="00F52763" w:rsidRPr="00F52763" w:rsidRDefault="00F52763" w:rsidP="00F52763">
            <w:pPr>
              <w:pStyle w:val="TableCellLeftTextNDA"/>
              <w:rPr>
                <w:b/>
                <w:bCs/>
              </w:rPr>
            </w:pPr>
            <w:r w:rsidRPr="00F52763">
              <w:t>ASHA</w:t>
            </w:r>
          </w:p>
        </w:tc>
        <w:tc>
          <w:tcPr>
            <w:tcW w:w="7050" w:type="dxa"/>
          </w:tcPr>
          <w:p w14:paraId="019D1E28" w14:textId="77777777" w:rsidR="00F52763" w:rsidRPr="00F52763" w:rsidRDefault="00F52763" w:rsidP="00F52763">
            <w:pPr>
              <w:pStyle w:val="TableCellLeftTextNDA"/>
              <w:rPr>
                <w:b/>
                <w:bCs/>
              </w:rPr>
            </w:pPr>
            <w:r w:rsidRPr="00F52763">
              <w:t xml:space="preserve">American Speech-Language-Hearing Association </w:t>
            </w:r>
          </w:p>
        </w:tc>
      </w:tr>
      <w:tr w:rsidR="00F52763" w:rsidRPr="00F52763" w14:paraId="040C59DC" w14:textId="77777777" w:rsidTr="00325680">
        <w:tc>
          <w:tcPr>
            <w:tcW w:w="1806" w:type="dxa"/>
          </w:tcPr>
          <w:p w14:paraId="59ACFA18" w14:textId="77777777" w:rsidR="00F52763" w:rsidRPr="00F52763" w:rsidRDefault="00F52763" w:rsidP="00F52763">
            <w:pPr>
              <w:pStyle w:val="TableCellLeftTextNDA"/>
              <w:rPr>
                <w:b/>
                <w:bCs/>
              </w:rPr>
            </w:pPr>
            <w:r w:rsidRPr="00F52763">
              <w:t>BC</w:t>
            </w:r>
          </w:p>
        </w:tc>
        <w:tc>
          <w:tcPr>
            <w:tcW w:w="7050" w:type="dxa"/>
          </w:tcPr>
          <w:p w14:paraId="5C03421E" w14:textId="77777777" w:rsidR="00F52763" w:rsidRPr="00F52763" w:rsidRDefault="00F52763" w:rsidP="00F52763">
            <w:pPr>
              <w:pStyle w:val="TableCellLeftTextNDA"/>
              <w:rPr>
                <w:b/>
                <w:bCs/>
              </w:rPr>
            </w:pPr>
            <w:r w:rsidRPr="00F52763">
              <w:t>British Colombia</w:t>
            </w:r>
          </w:p>
        </w:tc>
      </w:tr>
      <w:tr w:rsidR="00F52763" w:rsidRPr="00F52763" w14:paraId="476B6544" w14:textId="77777777" w:rsidTr="00325680">
        <w:tc>
          <w:tcPr>
            <w:tcW w:w="1806" w:type="dxa"/>
          </w:tcPr>
          <w:p w14:paraId="477DD221" w14:textId="77777777" w:rsidR="00F52763" w:rsidRPr="00F52763" w:rsidRDefault="00F52763" w:rsidP="00F52763">
            <w:pPr>
              <w:pStyle w:val="TableCellLeftTextNDA"/>
              <w:rPr>
                <w:b/>
                <w:bCs/>
              </w:rPr>
            </w:pPr>
            <w:r w:rsidRPr="00F52763">
              <w:t>CDNT</w:t>
            </w:r>
          </w:p>
        </w:tc>
        <w:tc>
          <w:tcPr>
            <w:tcW w:w="7050" w:type="dxa"/>
          </w:tcPr>
          <w:p w14:paraId="40F30DF6" w14:textId="77777777" w:rsidR="00F52763" w:rsidRPr="00F52763" w:rsidRDefault="00F52763" w:rsidP="00F52763">
            <w:pPr>
              <w:pStyle w:val="TableCellLeftTextNDA"/>
              <w:rPr>
                <w:b/>
                <w:bCs/>
              </w:rPr>
            </w:pPr>
            <w:r w:rsidRPr="00F52763">
              <w:t>Children’s Disability Network Teams</w:t>
            </w:r>
          </w:p>
        </w:tc>
      </w:tr>
      <w:tr w:rsidR="00F52763" w:rsidRPr="00F52763" w14:paraId="2A410981" w14:textId="77777777" w:rsidTr="00325680">
        <w:tc>
          <w:tcPr>
            <w:tcW w:w="1806" w:type="dxa"/>
          </w:tcPr>
          <w:p w14:paraId="2C93D539" w14:textId="77777777" w:rsidR="00F52763" w:rsidRPr="00F52763" w:rsidRDefault="00F52763" w:rsidP="00F52763">
            <w:pPr>
              <w:pStyle w:val="TableCellLeftTextNDA"/>
              <w:rPr>
                <w:b/>
                <w:bCs/>
              </w:rPr>
            </w:pPr>
            <w:proofErr w:type="spellStart"/>
            <w:r w:rsidRPr="00F52763">
              <w:t>CMPt</w:t>
            </w:r>
            <w:proofErr w:type="spellEnd"/>
          </w:p>
        </w:tc>
        <w:tc>
          <w:tcPr>
            <w:tcW w:w="7050" w:type="dxa"/>
          </w:tcPr>
          <w:p w14:paraId="3E67AC12" w14:textId="77777777" w:rsidR="00F52763" w:rsidRPr="00F52763" w:rsidRDefault="00F52763" w:rsidP="00F52763">
            <w:pPr>
              <w:pStyle w:val="TableCellLeftTextNDA"/>
              <w:rPr>
                <w:b/>
                <w:bCs/>
              </w:rPr>
            </w:pPr>
            <w:r w:rsidRPr="00F52763">
              <w:t>Caseload Management Planning Tool</w:t>
            </w:r>
          </w:p>
        </w:tc>
      </w:tr>
      <w:tr w:rsidR="00F52763" w:rsidRPr="00F52763" w14:paraId="1D69E08A" w14:textId="77777777" w:rsidTr="00325680">
        <w:tc>
          <w:tcPr>
            <w:tcW w:w="1806" w:type="dxa"/>
          </w:tcPr>
          <w:p w14:paraId="1C1660F9" w14:textId="77777777" w:rsidR="00F52763" w:rsidRPr="00F52763" w:rsidRDefault="00F52763" w:rsidP="00F52763">
            <w:pPr>
              <w:pStyle w:val="TableCellLeftTextNDA"/>
              <w:rPr>
                <w:b/>
                <w:bCs/>
              </w:rPr>
            </w:pPr>
            <w:r w:rsidRPr="00F52763">
              <w:t>EIT</w:t>
            </w:r>
          </w:p>
        </w:tc>
        <w:tc>
          <w:tcPr>
            <w:tcW w:w="7050" w:type="dxa"/>
          </w:tcPr>
          <w:p w14:paraId="2192F265" w14:textId="77777777" w:rsidR="00F52763" w:rsidRPr="00F52763" w:rsidRDefault="00F52763" w:rsidP="00F52763">
            <w:pPr>
              <w:pStyle w:val="TableCellLeftTextNDA"/>
              <w:rPr>
                <w:b/>
                <w:bCs/>
              </w:rPr>
            </w:pPr>
            <w:r w:rsidRPr="00F52763">
              <w:t>Early Intervention Team</w:t>
            </w:r>
          </w:p>
        </w:tc>
      </w:tr>
      <w:tr w:rsidR="00BC4ECA" w:rsidRPr="00F52763" w14:paraId="078A3203" w14:textId="77777777" w:rsidTr="00325680">
        <w:tc>
          <w:tcPr>
            <w:tcW w:w="1806" w:type="dxa"/>
          </w:tcPr>
          <w:p w14:paraId="2CEDD729" w14:textId="35D71E82" w:rsidR="00BC4ECA" w:rsidRPr="00F52763" w:rsidRDefault="00BC4ECA" w:rsidP="00F52763">
            <w:pPr>
              <w:pStyle w:val="TableCellLeftTextNDA"/>
            </w:pPr>
            <w:r>
              <w:t>HIQA</w:t>
            </w:r>
          </w:p>
        </w:tc>
        <w:tc>
          <w:tcPr>
            <w:tcW w:w="7050" w:type="dxa"/>
          </w:tcPr>
          <w:p w14:paraId="3B6407C0" w14:textId="42B1B9B0" w:rsidR="00BC4ECA" w:rsidRPr="00F52763" w:rsidRDefault="00BC4ECA" w:rsidP="00F52763">
            <w:pPr>
              <w:pStyle w:val="TableCellLeftTextNDA"/>
            </w:pPr>
            <w:r>
              <w:t>Health Information Quality Authority</w:t>
            </w:r>
          </w:p>
        </w:tc>
      </w:tr>
      <w:tr w:rsidR="00F52763" w:rsidRPr="00F52763" w14:paraId="7F97EC09" w14:textId="77777777" w:rsidTr="00325680">
        <w:tc>
          <w:tcPr>
            <w:tcW w:w="1806" w:type="dxa"/>
          </w:tcPr>
          <w:p w14:paraId="01D7CB6E" w14:textId="77777777" w:rsidR="00F52763" w:rsidRPr="00F52763" w:rsidRDefault="00F52763" w:rsidP="00F52763">
            <w:pPr>
              <w:pStyle w:val="TableCellLeftTextNDA"/>
              <w:rPr>
                <w:b/>
                <w:bCs/>
              </w:rPr>
            </w:pPr>
            <w:r w:rsidRPr="00F52763">
              <w:t>HSE</w:t>
            </w:r>
          </w:p>
        </w:tc>
        <w:tc>
          <w:tcPr>
            <w:tcW w:w="7050" w:type="dxa"/>
          </w:tcPr>
          <w:p w14:paraId="4EA3DE67" w14:textId="77777777" w:rsidR="00F52763" w:rsidRPr="00F52763" w:rsidRDefault="00F52763" w:rsidP="00F52763">
            <w:pPr>
              <w:pStyle w:val="TableCellLeftTextNDA"/>
              <w:rPr>
                <w:b/>
                <w:bCs/>
              </w:rPr>
            </w:pPr>
            <w:r w:rsidRPr="00F52763">
              <w:t>Health Service Executive</w:t>
            </w:r>
          </w:p>
        </w:tc>
      </w:tr>
      <w:tr w:rsidR="00BC4ECA" w:rsidRPr="00F52763" w14:paraId="0628D587" w14:textId="77777777" w:rsidTr="00325680">
        <w:tc>
          <w:tcPr>
            <w:tcW w:w="1806" w:type="dxa"/>
          </w:tcPr>
          <w:p w14:paraId="41AA4CBB" w14:textId="24EDEAC4" w:rsidR="00BC4ECA" w:rsidRPr="00F52763" w:rsidRDefault="00BC4ECA" w:rsidP="00F52763">
            <w:pPr>
              <w:pStyle w:val="TableCellLeftTextNDA"/>
            </w:pPr>
            <w:r>
              <w:t>IDEA</w:t>
            </w:r>
          </w:p>
        </w:tc>
        <w:tc>
          <w:tcPr>
            <w:tcW w:w="7050" w:type="dxa"/>
          </w:tcPr>
          <w:p w14:paraId="3D4E769A" w14:textId="565433EC" w:rsidR="00BC4ECA" w:rsidRPr="00F52763" w:rsidRDefault="00BC4ECA" w:rsidP="00F52763">
            <w:pPr>
              <w:pStyle w:val="TableCellLeftTextNDA"/>
            </w:pPr>
            <w:r w:rsidRPr="00114BDF">
              <w:t>Individuals with Disabilities Education Improvement Act</w:t>
            </w:r>
          </w:p>
        </w:tc>
      </w:tr>
      <w:tr w:rsidR="00F52763" w:rsidRPr="00F52763" w14:paraId="031BBB5A" w14:textId="77777777" w:rsidTr="00325680">
        <w:tc>
          <w:tcPr>
            <w:tcW w:w="1806" w:type="dxa"/>
          </w:tcPr>
          <w:p w14:paraId="02470537" w14:textId="77777777" w:rsidR="00F52763" w:rsidRPr="00F52763" w:rsidRDefault="00F52763" w:rsidP="00F52763">
            <w:pPr>
              <w:pStyle w:val="TableCellLeftTextNDA"/>
              <w:rPr>
                <w:b/>
                <w:bCs/>
              </w:rPr>
            </w:pPr>
            <w:proofErr w:type="spellStart"/>
            <w:r w:rsidRPr="00F52763">
              <w:t>MaST</w:t>
            </w:r>
            <w:proofErr w:type="spellEnd"/>
          </w:p>
        </w:tc>
        <w:tc>
          <w:tcPr>
            <w:tcW w:w="7050" w:type="dxa"/>
          </w:tcPr>
          <w:p w14:paraId="799FD0D7" w14:textId="77777777" w:rsidR="00F52763" w:rsidRPr="00F52763" w:rsidRDefault="00F52763" w:rsidP="00F52763">
            <w:pPr>
              <w:pStyle w:val="TableCellLeftTextNDA"/>
              <w:rPr>
                <w:b/>
                <w:bCs/>
              </w:rPr>
            </w:pPr>
            <w:r w:rsidRPr="00F52763">
              <w:t>The Management and Supervision Tool</w:t>
            </w:r>
          </w:p>
        </w:tc>
      </w:tr>
      <w:tr w:rsidR="00F52763" w:rsidRPr="00F52763" w14:paraId="59782764" w14:textId="77777777" w:rsidTr="00325680">
        <w:tc>
          <w:tcPr>
            <w:tcW w:w="1806" w:type="dxa"/>
          </w:tcPr>
          <w:p w14:paraId="59EF1DD2" w14:textId="77777777" w:rsidR="00F52763" w:rsidRPr="00F52763" w:rsidRDefault="00F52763" w:rsidP="00F52763">
            <w:pPr>
              <w:pStyle w:val="TableCellLeftTextNDA"/>
              <w:rPr>
                <w:b/>
                <w:bCs/>
              </w:rPr>
            </w:pPr>
            <w:r w:rsidRPr="00F52763">
              <w:t>NDA</w:t>
            </w:r>
          </w:p>
        </w:tc>
        <w:tc>
          <w:tcPr>
            <w:tcW w:w="7050" w:type="dxa"/>
          </w:tcPr>
          <w:p w14:paraId="4557EEFD" w14:textId="77777777" w:rsidR="00F52763" w:rsidRPr="00F52763" w:rsidRDefault="00F52763" w:rsidP="00F52763">
            <w:pPr>
              <w:pStyle w:val="TableCellLeftTextNDA"/>
              <w:rPr>
                <w:b/>
                <w:bCs/>
              </w:rPr>
            </w:pPr>
            <w:r w:rsidRPr="00F52763">
              <w:t>National Disability Authority</w:t>
            </w:r>
          </w:p>
        </w:tc>
      </w:tr>
      <w:tr w:rsidR="00F52763" w:rsidRPr="00F52763" w14:paraId="73DB9AAB" w14:textId="77777777" w:rsidTr="00325680">
        <w:tc>
          <w:tcPr>
            <w:tcW w:w="1806" w:type="dxa"/>
          </w:tcPr>
          <w:p w14:paraId="718C0C1B" w14:textId="77777777" w:rsidR="00F52763" w:rsidRPr="00F52763" w:rsidRDefault="00F52763" w:rsidP="00F52763">
            <w:pPr>
              <w:pStyle w:val="TableCellLeftTextNDA"/>
              <w:rPr>
                <w:b/>
                <w:bCs/>
              </w:rPr>
            </w:pPr>
            <w:r w:rsidRPr="00F52763">
              <w:t>NHS</w:t>
            </w:r>
          </w:p>
        </w:tc>
        <w:tc>
          <w:tcPr>
            <w:tcW w:w="7050" w:type="dxa"/>
          </w:tcPr>
          <w:p w14:paraId="24B94D6A" w14:textId="77777777" w:rsidR="00F52763" w:rsidRPr="00F52763" w:rsidRDefault="00F52763" w:rsidP="00F52763">
            <w:pPr>
              <w:pStyle w:val="TableCellLeftTextNDA"/>
              <w:rPr>
                <w:b/>
                <w:bCs/>
              </w:rPr>
            </w:pPr>
            <w:r w:rsidRPr="00F52763">
              <w:t>National Health Service</w:t>
            </w:r>
          </w:p>
        </w:tc>
      </w:tr>
      <w:tr w:rsidR="00BC4ECA" w:rsidRPr="00F52763" w14:paraId="24A5ECB1" w14:textId="77777777" w:rsidTr="00325680">
        <w:tc>
          <w:tcPr>
            <w:tcW w:w="1806" w:type="dxa"/>
          </w:tcPr>
          <w:p w14:paraId="5F4C0305" w14:textId="3D56995D" w:rsidR="00BC4ECA" w:rsidRPr="00F52763" w:rsidRDefault="00BC4ECA" w:rsidP="00F52763">
            <w:pPr>
              <w:pStyle w:val="TableCellLeftTextNDA"/>
            </w:pPr>
            <w:r>
              <w:t>NICE</w:t>
            </w:r>
          </w:p>
        </w:tc>
        <w:tc>
          <w:tcPr>
            <w:tcW w:w="7050" w:type="dxa"/>
          </w:tcPr>
          <w:p w14:paraId="021CC45E" w14:textId="3E465F86" w:rsidR="00BC4ECA" w:rsidRPr="00F52763" w:rsidRDefault="00BC4ECA" w:rsidP="00F52763">
            <w:pPr>
              <w:pStyle w:val="TableCellLeftTextNDA"/>
            </w:pPr>
            <w:r>
              <w:t>National Institute for Health and Social Care Excellence</w:t>
            </w:r>
          </w:p>
        </w:tc>
      </w:tr>
      <w:tr w:rsidR="00F52763" w:rsidRPr="00F52763" w14:paraId="4D6685E5" w14:textId="77777777" w:rsidTr="00325680">
        <w:tc>
          <w:tcPr>
            <w:tcW w:w="1806" w:type="dxa"/>
          </w:tcPr>
          <w:p w14:paraId="4AC9970B" w14:textId="77777777" w:rsidR="00F52763" w:rsidRPr="00F52763" w:rsidRDefault="00F52763" w:rsidP="00F52763">
            <w:pPr>
              <w:pStyle w:val="TableCellLeftTextNDA"/>
              <w:rPr>
                <w:b/>
                <w:bCs/>
              </w:rPr>
            </w:pPr>
            <w:r w:rsidRPr="00F52763">
              <w:t>ODE</w:t>
            </w:r>
          </w:p>
        </w:tc>
        <w:tc>
          <w:tcPr>
            <w:tcW w:w="7050" w:type="dxa"/>
          </w:tcPr>
          <w:p w14:paraId="32B463D4" w14:textId="77777777" w:rsidR="00F52763" w:rsidRPr="00F52763" w:rsidRDefault="00F52763" w:rsidP="00F52763">
            <w:pPr>
              <w:pStyle w:val="TableCellLeftTextNDA"/>
              <w:rPr>
                <w:b/>
                <w:bCs/>
              </w:rPr>
            </w:pPr>
            <w:r w:rsidRPr="00F52763">
              <w:t>Oregon Department of Education</w:t>
            </w:r>
          </w:p>
        </w:tc>
      </w:tr>
      <w:tr w:rsidR="00F52763" w:rsidRPr="00F52763" w14:paraId="074385B1" w14:textId="77777777" w:rsidTr="00325680">
        <w:tc>
          <w:tcPr>
            <w:tcW w:w="1806" w:type="dxa"/>
          </w:tcPr>
          <w:p w14:paraId="712B7FC6" w14:textId="77777777" w:rsidR="00F52763" w:rsidRPr="00F52763" w:rsidRDefault="00F52763" w:rsidP="00F52763">
            <w:pPr>
              <w:pStyle w:val="TableCellLeftTextNDA"/>
              <w:rPr>
                <w:b/>
                <w:bCs/>
              </w:rPr>
            </w:pPr>
            <w:r w:rsidRPr="00F52763">
              <w:t>OT</w:t>
            </w:r>
          </w:p>
        </w:tc>
        <w:tc>
          <w:tcPr>
            <w:tcW w:w="7050" w:type="dxa"/>
          </w:tcPr>
          <w:p w14:paraId="2CD1CA1D" w14:textId="77777777" w:rsidR="00F52763" w:rsidRPr="00F52763" w:rsidRDefault="00F52763" w:rsidP="00F52763">
            <w:pPr>
              <w:pStyle w:val="TableCellLeftTextNDA"/>
              <w:rPr>
                <w:b/>
                <w:bCs/>
              </w:rPr>
            </w:pPr>
            <w:r w:rsidRPr="00F52763">
              <w:t>Occupational Therapist</w:t>
            </w:r>
          </w:p>
        </w:tc>
      </w:tr>
      <w:tr w:rsidR="00F52763" w:rsidRPr="00F52763" w14:paraId="0B1CB9BD" w14:textId="77777777" w:rsidTr="00325680">
        <w:tc>
          <w:tcPr>
            <w:tcW w:w="1806" w:type="dxa"/>
          </w:tcPr>
          <w:p w14:paraId="446C91E5" w14:textId="77777777" w:rsidR="00F52763" w:rsidRPr="00F52763" w:rsidRDefault="00F52763" w:rsidP="00F52763">
            <w:pPr>
              <w:pStyle w:val="TableCellLeftTextNDA"/>
              <w:rPr>
                <w:b/>
                <w:bCs/>
              </w:rPr>
            </w:pPr>
            <w:r w:rsidRPr="00F52763">
              <w:t>PDS</w:t>
            </w:r>
          </w:p>
        </w:tc>
        <w:tc>
          <w:tcPr>
            <w:tcW w:w="7050" w:type="dxa"/>
          </w:tcPr>
          <w:p w14:paraId="1425D9AF" w14:textId="77777777" w:rsidR="00F52763" w:rsidRPr="00F52763" w:rsidRDefault="00F52763" w:rsidP="00F52763">
            <w:pPr>
              <w:pStyle w:val="TableCellLeftTextNDA"/>
              <w:rPr>
                <w:b/>
                <w:bCs/>
              </w:rPr>
            </w:pPr>
            <w:r w:rsidRPr="00F52763">
              <w:t>Progressing Disability Services</w:t>
            </w:r>
          </w:p>
        </w:tc>
      </w:tr>
      <w:tr w:rsidR="00F52763" w:rsidRPr="00F52763" w14:paraId="23F76759" w14:textId="77777777" w:rsidTr="00325680">
        <w:tc>
          <w:tcPr>
            <w:tcW w:w="1806" w:type="dxa"/>
          </w:tcPr>
          <w:p w14:paraId="680E2CBF" w14:textId="77777777" w:rsidR="00F52763" w:rsidRPr="00F52763" w:rsidRDefault="00F52763" w:rsidP="00F52763">
            <w:pPr>
              <w:pStyle w:val="TableCellLeftTextNDA"/>
              <w:rPr>
                <w:b/>
                <w:bCs/>
              </w:rPr>
            </w:pPr>
            <w:r w:rsidRPr="00F52763">
              <w:t>PT</w:t>
            </w:r>
          </w:p>
        </w:tc>
        <w:tc>
          <w:tcPr>
            <w:tcW w:w="7050" w:type="dxa"/>
          </w:tcPr>
          <w:p w14:paraId="02D79839" w14:textId="77777777" w:rsidR="00F52763" w:rsidRPr="00F52763" w:rsidRDefault="00F52763" w:rsidP="00F52763">
            <w:pPr>
              <w:pStyle w:val="TableCellLeftTextNDA"/>
              <w:rPr>
                <w:b/>
                <w:bCs/>
              </w:rPr>
            </w:pPr>
            <w:r w:rsidRPr="00F52763">
              <w:t>Physical Therapist</w:t>
            </w:r>
          </w:p>
        </w:tc>
      </w:tr>
      <w:tr w:rsidR="00F52763" w:rsidRPr="00F52763" w14:paraId="7180B2AA" w14:textId="77777777" w:rsidTr="00325680">
        <w:tc>
          <w:tcPr>
            <w:tcW w:w="1806" w:type="dxa"/>
          </w:tcPr>
          <w:p w14:paraId="6544945A" w14:textId="77777777" w:rsidR="00F52763" w:rsidRPr="00F52763" w:rsidRDefault="00F52763" w:rsidP="00F52763">
            <w:pPr>
              <w:pStyle w:val="TableCellLeftTextNDA"/>
              <w:rPr>
                <w:b/>
                <w:bCs/>
              </w:rPr>
            </w:pPr>
            <w:r w:rsidRPr="00F52763">
              <w:t>SAT</w:t>
            </w:r>
          </w:p>
        </w:tc>
        <w:tc>
          <w:tcPr>
            <w:tcW w:w="7050" w:type="dxa"/>
          </w:tcPr>
          <w:p w14:paraId="12FC3B6E" w14:textId="77777777" w:rsidR="00F52763" w:rsidRPr="00F52763" w:rsidRDefault="00F52763" w:rsidP="00F52763">
            <w:pPr>
              <w:pStyle w:val="TableCellLeftTextNDA"/>
              <w:rPr>
                <w:b/>
                <w:bCs/>
              </w:rPr>
            </w:pPr>
            <w:r w:rsidRPr="00F52763">
              <w:t>School Age Team</w:t>
            </w:r>
          </w:p>
        </w:tc>
      </w:tr>
      <w:tr w:rsidR="00BC4ECA" w:rsidRPr="00F52763" w14:paraId="0AE0487B" w14:textId="77777777" w:rsidTr="00325680">
        <w:tc>
          <w:tcPr>
            <w:tcW w:w="1806" w:type="dxa"/>
          </w:tcPr>
          <w:p w14:paraId="652F72FC" w14:textId="2D91B33C" w:rsidR="00BC4ECA" w:rsidRPr="00F52763" w:rsidRDefault="00BC4ECA" w:rsidP="00F52763">
            <w:pPr>
              <w:pStyle w:val="TableCellLeftTextNDA"/>
            </w:pPr>
            <w:r>
              <w:t>SCIE</w:t>
            </w:r>
          </w:p>
        </w:tc>
        <w:tc>
          <w:tcPr>
            <w:tcW w:w="7050" w:type="dxa"/>
          </w:tcPr>
          <w:p w14:paraId="685B1FCF" w14:textId="6646985F" w:rsidR="00BC4ECA" w:rsidRPr="00F52763" w:rsidRDefault="00BC4ECA" w:rsidP="00F52763">
            <w:pPr>
              <w:pStyle w:val="TableCellLeftTextNDA"/>
            </w:pPr>
            <w:r>
              <w:t>Social Care Institute for Excellence</w:t>
            </w:r>
          </w:p>
        </w:tc>
      </w:tr>
      <w:tr w:rsidR="00F52763" w:rsidRPr="00F52763" w14:paraId="5A446A9C" w14:textId="77777777" w:rsidTr="00325680">
        <w:tc>
          <w:tcPr>
            <w:tcW w:w="1806" w:type="dxa"/>
          </w:tcPr>
          <w:p w14:paraId="71531D70" w14:textId="77777777" w:rsidR="00F52763" w:rsidRPr="00F52763" w:rsidRDefault="00F52763" w:rsidP="00F52763">
            <w:pPr>
              <w:pStyle w:val="TableCellLeftTextNDA"/>
              <w:rPr>
                <w:b/>
                <w:bCs/>
              </w:rPr>
            </w:pPr>
            <w:r w:rsidRPr="00F52763">
              <w:t>SLP</w:t>
            </w:r>
          </w:p>
        </w:tc>
        <w:tc>
          <w:tcPr>
            <w:tcW w:w="7050" w:type="dxa"/>
          </w:tcPr>
          <w:p w14:paraId="1C9D514B" w14:textId="77777777" w:rsidR="00F52763" w:rsidRPr="00F52763" w:rsidRDefault="00F52763" w:rsidP="00F52763">
            <w:pPr>
              <w:pStyle w:val="TableCellLeftTextNDA"/>
              <w:rPr>
                <w:b/>
                <w:bCs/>
              </w:rPr>
            </w:pPr>
            <w:r w:rsidRPr="00F52763">
              <w:t>Speech Language Pathologist</w:t>
            </w:r>
          </w:p>
        </w:tc>
      </w:tr>
      <w:tr w:rsidR="00BC4ECA" w:rsidRPr="00F52763" w14:paraId="0FC6B1DC" w14:textId="77777777" w:rsidTr="00325680">
        <w:tc>
          <w:tcPr>
            <w:tcW w:w="1806" w:type="dxa"/>
          </w:tcPr>
          <w:p w14:paraId="48B237B4" w14:textId="1B41D741" w:rsidR="00BC4ECA" w:rsidRPr="00F52763" w:rsidRDefault="00BC4ECA" w:rsidP="00F52763">
            <w:pPr>
              <w:pStyle w:val="TableCellLeftTextNDA"/>
            </w:pPr>
            <w:r>
              <w:t>SLT</w:t>
            </w:r>
          </w:p>
        </w:tc>
        <w:tc>
          <w:tcPr>
            <w:tcW w:w="7050" w:type="dxa"/>
          </w:tcPr>
          <w:p w14:paraId="780FC35D" w14:textId="09AAF9B7" w:rsidR="00BC4ECA" w:rsidRPr="00F52763" w:rsidRDefault="00BC4ECA" w:rsidP="00F52763">
            <w:pPr>
              <w:pStyle w:val="TableCellLeftTextNDA"/>
            </w:pPr>
            <w:r>
              <w:t>Speech and Language Therapist</w:t>
            </w:r>
          </w:p>
        </w:tc>
      </w:tr>
      <w:tr w:rsidR="00F52763" w:rsidRPr="00F52763" w14:paraId="257C7B17" w14:textId="77777777" w:rsidTr="00325680">
        <w:tc>
          <w:tcPr>
            <w:tcW w:w="1806" w:type="dxa"/>
          </w:tcPr>
          <w:p w14:paraId="0DBABDA3" w14:textId="77777777" w:rsidR="00F52763" w:rsidRPr="00F52763" w:rsidRDefault="00F52763" w:rsidP="00F52763">
            <w:pPr>
              <w:pStyle w:val="TableCellLeftTextNDA"/>
              <w:rPr>
                <w:b/>
                <w:bCs/>
              </w:rPr>
            </w:pPr>
            <w:r w:rsidRPr="00F52763">
              <w:t>WAT-T</w:t>
            </w:r>
          </w:p>
        </w:tc>
        <w:tc>
          <w:tcPr>
            <w:tcW w:w="7050" w:type="dxa"/>
          </w:tcPr>
          <w:p w14:paraId="5009DD52" w14:textId="77777777" w:rsidR="00F52763" w:rsidRPr="00F52763" w:rsidRDefault="00F52763" w:rsidP="00F52763">
            <w:pPr>
              <w:pStyle w:val="TableCellLeftTextNDA"/>
              <w:rPr>
                <w:b/>
                <w:bCs/>
              </w:rPr>
            </w:pPr>
            <w:r w:rsidRPr="00F52763">
              <w:t>Workload Assessment Tool for Therapists</w:t>
            </w:r>
          </w:p>
        </w:tc>
      </w:tr>
      <w:tr w:rsidR="00F52763" w:rsidRPr="00F52763" w14:paraId="57B499E1" w14:textId="77777777" w:rsidTr="00325680">
        <w:tc>
          <w:tcPr>
            <w:tcW w:w="1806" w:type="dxa"/>
          </w:tcPr>
          <w:p w14:paraId="338AF534" w14:textId="77777777" w:rsidR="00F52763" w:rsidRPr="00F52763" w:rsidRDefault="00F52763" w:rsidP="00F52763">
            <w:pPr>
              <w:pStyle w:val="TableCellLeftTextNDA"/>
              <w:rPr>
                <w:b/>
                <w:bCs/>
              </w:rPr>
            </w:pPr>
            <w:r w:rsidRPr="00F52763">
              <w:t>UK</w:t>
            </w:r>
          </w:p>
        </w:tc>
        <w:tc>
          <w:tcPr>
            <w:tcW w:w="7050" w:type="dxa"/>
          </w:tcPr>
          <w:p w14:paraId="74ED892E" w14:textId="77777777" w:rsidR="00F52763" w:rsidRPr="00F52763" w:rsidRDefault="00F52763" w:rsidP="00F52763">
            <w:pPr>
              <w:pStyle w:val="TableCellLeftTextNDA"/>
              <w:rPr>
                <w:b/>
                <w:bCs/>
              </w:rPr>
            </w:pPr>
            <w:r w:rsidRPr="00F52763">
              <w:t>United Kingdom</w:t>
            </w:r>
          </w:p>
        </w:tc>
      </w:tr>
      <w:tr w:rsidR="00F52763" w:rsidRPr="00F52763" w14:paraId="61CCBBAB" w14:textId="77777777" w:rsidTr="00325680">
        <w:tc>
          <w:tcPr>
            <w:tcW w:w="1806" w:type="dxa"/>
          </w:tcPr>
          <w:p w14:paraId="4680236E" w14:textId="77777777" w:rsidR="00F52763" w:rsidRPr="00F52763" w:rsidRDefault="00F52763" w:rsidP="00F52763">
            <w:pPr>
              <w:pStyle w:val="TableCellLeftTextNDA"/>
              <w:rPr>
                <w:b/>
                <w:bCs/>
              </w:rPr>
            </w:pPr>
            <w:r w:rsidRPr="00F52763">
              <w:t>USA</w:t>
            </w:r>
          </w:p>
        </w:tc>
        <w:tc>
          <w:tcPr>
            <w:tcW w:w="7050" w:type="dxa"/>
          </w:tcPr>
          <w:p w14:paraId="3CDC12DF" w14:textId="77777777" w:rsidR="00F52763" w:rsidRPr="00F52763" w:rsidRDefault="00F52763" w:rsidP="00F52763">
            <w:pPr>
              <w:pStyle w:val="TableCellLeftTextNDA"/>
              <w:rPr>
                <w:b/>
                <w:bCs/>
              </w:rPr>
            </w:pPr>
            <w:r w:rsidRPr="00F52763">
              <w:t>United States of America</w:t>
            </w:r>
          </w:p>
        </w:tc>
      </w:tr>
    </w:tbl>
    <w:p w14:paraId="3E1D0F76" w14:textId="01A84534" w:rsidR="00C1487D" w:rsidRDefault="00C1487D" w:rsidP="00C1487D">
      <w:pPr>
        <w:pStyle w:val="H1Heading1NDA"/>
      </w:pPr>
      <w:r>
        <w:br w:type="page"/>
      </w:r>
    </w:p>
    <w:p w14:paraId="775B6B93" w14:textId="615E0E0F" w:rsidR="00C1487D" w:rsidRDefault="00C1487D" w:rsidP="00DD3B48">
      <w:pPr>
        <w:pStyle w:val="Heading1"/>
      </w:pPr>
      <w:bookmarkStart w:id="10" w:name="_Toc179376008"/>
      <w:bookmarkStart w:id="11" w:name="_Toc182557333"/>
      <w:r>
        <w:lastRenderedPageBreak/>
        <w:t>Executive Summary</w:t>
      </w:r>
      <w:bookmarkEnd w:id="10"/>
      <w:bookmarkEnd w:id="11"/>
    </w:p>
    <w:p w14:paraId="319BCBF0" w14:textId="236E3DB4" w:rsidR="00C1487D" w:rsidRPr="00C1487D" w:rsidRDefault="00C1487D" w:rsidP="00DD3B48">
      <w:pPr>
        <w:pStyle w:val="Heading2"/>
      </w:pPr>
      <w:bookmarkStart w:id="12" w:name="_Toc179376009"/>
      <w:bookmarkStart w:id="13" w:name="_Toc182557334"/>
      <w:bookmarkStart w:id="14" w:name="_Hlk181096023"/>
      <w:r w:rsidRPr="00C1487D">
        <w:t>Introduction</w:t>
      </w:r>
      <w:bookmarkEnd w:id="12"/>
      <w:bookmarkEnd w:id="13"/>
    </w:p>
    <w:p w14:paraId="7E83C916" w14:textId="1914405A" w:rsidR="00742A19" w:rsidRDefault="00742A19" w:rsidP="00742A19">
      <w:r>
        <w:t xml:space="preserve">The HSE requested </w:t>
      </w:r>
      <w:r w:rsidR="00F32D29">
        <w:t xml:space="preserve">that </w:t>
      </w:r>
      <w:r>
        <w:t>the National Disability Authority (NDA) conduct a review of Children’s Disability Services and in particular the functioning of Children’s Disability Network Teams (CDNTs). This is an action in the Roadmap for Service Improvement 2023-2026 of Disability services for children and young people</w:t>
      </w:r>
      <w:r w:rsidR="00C86E09">
        <w:t xml:space="preserve">. </w:t>
      </w:r>
    </w:p>
    <w:p w14:paraId="40EB8589" w14:textId="272F44C0" w:rsidR="00C1487D" w:rsidRDefault="00742A19" w:rsidP="00742A19">
      <w:r>
        <w:t>Part of the project plan included an in-depth review of all the literature available about workload and caseload optimisation in children’s disability services and other similar services.</w:t>
      </w:r>
      <w:r w:rsidR="000572FE" w:rsidRPr="000572FE">
        <w:t xml:space="preserve"> </w:t>
      </w:r>
    </w:p>
    <w:p w14:paraId="15DC67C4" w14:textId="0A233265" w:rsidR="00701ECE" w:rsidRDefault="00701ECE" w:rsidP="00742A19">
      <w:r>
        <w:t xml:space="preserve">Determining the correct caseload and workload for a therapist is critical </w:t>
      </w:r>
      <w:r w:rsidR="001407FB">
        <w:t>in-service</w:t>
      </w:r>
      <w:r>
        <w:t xml:space="preserve"> planning and development. </w:t>
      </w:r>
      <w:r w:rsidR="00A13821">
        <w:t>The Association of Occupational Therapists in Ireland was critical of the caseload size carried by some occupational therapists working within CDNTs.</w:t>
      </w:r>
    </w:p>
    <w:p w14:paraId="703A2408" w14:textId="3D031836" w:rsidR="00742A19" w:rsidRDefault="00742A19" w:rsidP="00335125">
      <w:r w:rsidRPr="00742A19">
        <w:t xml:space="preserve">In general, caseload </w:t>
      </w:r>
      <w:r w:rsidR="000572FE">
        <w:t>is</w:t>
      </w:r>
      <w:r w:rsidRPr="00742A19">
        <w:t xml:space="preserve"> the number of children that </w:t>
      </w:r>
      <w:r w:rsidRPr="00335125">
        <w:rPr>
          <w:bCs/>
        </w:rPr>
        <w:t xml:space="preserve">are seen by the therapist over a specified </w:t>
      </w:r>
      <w:proofErr w:type="gramStart"/>
      <w:r w:rsidRPr="00335125">
        <w:rPr>
          <w:bCs/>
        </w:rPr>
        <w:t>time</w:t>
      </w:r>
      <w:r w:rsidR="00587A70" w:rsidRPr="00335125">
        <w:rPr>
          <w:bCs/>
        </w:rPr>
        <w:t xml:space="preserve"> period</w:t>
      </w:r>
      <w:proofErr w:type="gramEnd"/>
      <w:r w:rsidR="00A13821">
        <w:rPr>
          <w:b/>
        </w:rPr>
        <w:t xml:space="preserve"> </w:t>
      </w:r>
      <w:r w:rsidR="00A13821">
        <w:rPr>
          <w:bCs/>
        </w:rPr>
        <w:t>and</w:t>
      </w:r>
      <w:r w:rsidR="00587A70">
        <w:rPr>
          <w:b/>
        </w:rPr>
        <w:t xml:space="preserve"> </w:t>
      </w:r>
      <w:r w:rsidR="00F32D29">
        <w:rPr>
          <w:b/>
        </w:rPr>
        <w:t>‘</w:t>
      </w:r>
      <w:r w:rsidR="00A13821">
        <w:rPr>
          <w:bCs/>
        </w:rPr>
        <w:t>w</w:t>
      </w:r>
      <w:r w:rsidRPr="00742A19">
        <w:t xml:space="preserve">orkload’ refers to all the activities required to effectively manage a caseload. </w:t>
      </w:r>
    </w:p>
    <w:p w14:paraId="24342F3B" w14:textId="61F6FEC4" w:rsidR="00A13821" w:rsidRDefault="00EC55EF" w:rsidP="00335125">
      <w:pPr>
        <w:rPr>
          <w:b/>
        </w:rPr>
      </w:pPr>
      <w:r>
        <w:t>With the development of the Progressing Disability Services (PDS)</w:t>
      </w:r>
      <w:r w:rsidR="000572FE">
        <w:t xml:space="preserve"> for children and young people</w:t>
      </w:r>
      <w:r>
        <w:t xml:space="preserve"> model</w:t>
      </w:r>
      <w:r w:rsidR="000572FE">
        <w:t>,</w:t>
      </w:r>
      <w:r>
        <w:t xml:space="preserve"> staff were brought from specialist </w:t>
      </w:r>
      <w:r w:rsidR="000572FE">
        <w:t xml:space="preserve">disability </w:t>
      </w:r>
      <w:r w:rsidR="00A13821">
        <w:t>services</w:t>
      </w:r>
      <w:r w:rsidR="000572FE">
        <w:t xml:space="preserve"> (i.e. services that may have focused on a particular disability type)</w:t>
      </w:r>
      <w:r>
        <w:t xml:space="preserve"> into CDNTs</w:t>
      </w:r>
      <w:r w:rsidR="000572FE">
        <w:t>. CDNTs use an interdisciplinary approach and the teams</w:t>
      </w:r>
      <w:r>
        <w:t xml:space="preserve"> </w:t>
      </w:r>
      <w:r w:rsidR="00A13821">
        <w:t>consist of staff from multiple disciplines that may not have worked in an interdisciplinary manner.</w:t>
      </w:r>
      <w:r w:rsidR="001407FB">
        <w:t xml:space="preserve"> </w:t>
      </w:r>
      <w:r>
        <w:t>W</w:t>
      </w:r>
      <w:r w:rsidR="00B65D92">
        <w:t>hilst caseloads</w:t>
      </w:r>
      <w:r w:rsidR="000572FE">
        <w:t xml:space="preserve"> were</w:t>
      </w:r>
      <w:r w:rsidR="00B65D92">
        <w:t xml:space="preserve"> </w:t>
      </w:r>
      <w:r w:rsidR="000572FE">
        <w:t>developed based on a</w:t>
      </w:r>
      <w:r w:rsidR="00B65D92">
        <w:t xml:space="preserve"> </w:t>
      </w:r>
      <w:proofErr w:type="spellStart"/>
      <w:r w:rsidR="00B65D92">
        <w:t>un</w:t>
      </w:r>
      <w:r w:rsidR="00C55DB1">
        <w:t>i</w:t>
      </w:r>
      <w:proofErr w:type="spellEnd"/>
      <w:r w:rsidR="001407FB">
        <w:t>-</w:t>
      </w:r>
      <w:r w:rsidR="00B65D92">
        <w:t>discipline basis</w:t>
      </w:r>
      <w:r w:rsidR="00C55DB1">
        <w:t xml:space="preserve"> within specialist services,</w:t>
      </w:r>
      <w:r w:rsidR="00B65D92">
        <w:t xml:space="preserve"> </w:t>
      </w:r>
      <w:r w:rsidR="00C55DB1">
        <w:t xml:space="preserve">CDNTs operate </w:t>
      </w:r>
      <w:r w:rsidR="00B65D92">
        <w:t>interdisciplinary team</w:t>
      </w:r>
      <w:r w:rsidR="00C55DB1">
        <w:t xml:space="preserve">s </w:t>
      </w:r>
      <w:r w:rsidR="00B65D92">
        <w:t xml:space="preserve">in a </w:t>
      </w:r>
      <w:r>
        <w:t xml:space="preserve">non-specialist </w:t>
      </w:r>
      <w:r w:rsidR="000572FE">
        <w:t xml:space="preserve">disability </w:t>
      </w:r>
      <w:r>
        <w:t>service</w:t>
      </w:r>
      <w:r w:rsidR="000572FE">
        <w:t xml:space="preserve"> cater</w:t>
      </w:r>
      <w:r w:rsidR="00D34EE6">
        <w:t>ing</w:t>
      </w:r>
      <w:r w:rsidR="000572FE">
        <w:t xml:space="preserve"> for children with complex disabilities</w:t>
      </w:r>
      <w:r w:rsidR="00C55DB1">
        <w:t xml:space="preserve">. This service therefore </w:t>
      </w:r>
      <w:r w:rsidR="000572FE">
        <w:t>requir</w:t>
      </w:r>
      <w:r w:rsidR="00C55DB1">
        <w:t>es</w:t>
      </w:r>
      <w:r w:rsidR="000572FE">
        <w:t xml:space="preserve"> a different approach</w:t>
      </w:r>
      <w:r w:rsidR="00EB3FB9">
        <w:t xml:space="preserve"> to calculating caseload and workload</w:t>
      </w:r>
      <w:r w:rsidR="00D34EE6">
        <w:t>.</w:t>
      </w:r>
      <w:r w:rsidR="00A13821">
        <w:t xml:space="preserve"> </w:t>
      </w:r>
    </w:p>
    <w:p w14:paraId="266EC053" w14:textId="01853308" w:rsidR="00C1487D" w:rsidRPr="00C1487D" w:rsidRDefault="00C1487D" w:rsidP="00DD3B48">
      <w:pPr>
        <w:pStyle w:val="Heading2"/>
      </w:pPr>
      <w:bookmarkStart w:id="15" w:name="_Toc179376010"/>
      <w:bookmarkStart w:id="16" w:name="_Toc182557335"/>
      <w:r w:rsidRPr="00C1487D">
        <w:t>Aim</w:t>
      </w:r>
      <w:bookmarkEnd w:id="15"/>
      <w:bookmarkEnd w:id="16"/>
    </w:p>
    <w:p w14:paraId="01D4E4AE" w14:textId="4CBBA0CC" w:rsidR="00C1487D" w:rsidRDefault="00C1487D" w:rsidP="00C1487D">
      <w:r w:rsidRPr="00C1487D">
        <w:t xml:space="preserve">The aim of this literature review was to examine the international literature to determine whether there are any existing guidelines or best practice recommendations for </w:t>
      </w:r>
      <w:r w:rsidR="00EB3FB9">
        <w:t xml:space="preserve">determining </w:t>
      </w:r>
      <w:r w:rsidRPr="00C1487D">
        <w:t>appropriate caseloads or workloads for teams that deliver children’s disability services</w:t>
      </w:r>
      <w:r w:rsidR="00B65D92">
        <w:t xml:space="preserve"> in interdisciplinary teams</w:t>
      </w:r>
      <w:r w:rsidRPr="00C1487D">
        <w:t>.</w:t>
      </w:r>
    </w:p>
    <w:p w14:paraId="7ACC45DA" w14:textId="3972DBD4" w:rsidR="00457472" w:rsidRDefault="00457472" w:rsidP="00DD3B48">
      <w:pPr>
        <w:pStyle w:val="Heading2"/>
      </w:pPr>
      <w:bookmarkStart w:id="17" w:name="_Toc179376011"/>
      <w:bookmarkStart w:id="18" w:name="_Toc182557336"/>
      <w:r>
        <w:t>Research Questions</w:t>
      </w:r>
      <w:bookmarkEnd w:id="17"/>
      <w:bookmarkEnd w:id="18"/>
    </w:p>
    <w:p w14:paraId="6336D506" w14:textId="2869D599" w:rsidR="00457472" w:rsidRDefault="00457472" w:rsidP="00457472">
      <w:pPr>
        <w:pStyle w:val="ListParagraph"/>
        <w:numPr>
          <w:ilvl w:val="0"/>
          <w:numId w:val="12"/>
        </w:numPr>
      </w:pPr>
      <w:r w:rsidRPr="00457472">
        <w:t>Is there a best practice model for</w:t>
      </w:r>
      <w:r w:rsidR="00EB3FB9">
        <w:t xml:space="preserve"> determining</w:t>
      </w:r>
      <w:r w:rsidRPr="00457472">
        <w:t xml:space="preserve"> caseload/workload allocations? </w:t>
      </w:r>
    </w:p>
    <w:p w14:paraId="47A71757" w14:textId="7493F3C0" w:rsidR="00457472" w:rsidRDefault="00457472" w:rsidP="00457472">
      <w:pPr>
        <w:pStyle w:val="ListParagraph"/>
        <w:numPr>
          <w:ilvl w:val="0"/>
          <w:numId w:val="12"/>
        </w:numPr>
      </w:pPr>
      <w:r>
        <w:t>How do other jurisdictions operate caseload and workload?</w:t>
      </w:r>
    </w:p>
    <w:p w14:paraId="3A49D41D" w14:textId="3648D03E" w:rsidR="00457472" w:rsidRDefault="00457472" w:rsidP="00457472">
      <w:pPr>
        <w:pStyle w:val="ListParagraph"/>
        <w:numPr>
          <w:ilvl w:val="0"/>
          <w:numId w:val="12"/>
        </w:numPr>
      </w:pPr>
      <w:r>
        <w:t>What factors influence caseload and workloads?</w:t>
      </w:r>
    </w:p>
    <w:p w14:paraId="4B504FEF" w14:textId="4652A47A" w:rsidR="00457472" w:rsidRPr="00457472" w:rsidRDefault="00701ECE" w:rsidP="00457472">
      <w:pPr>
        <w:pStyle w:val="ListParagraph"/>
        <w:numPr>
          <w:ilvl w:val="0"/>
          <w:numId w:val="12"/>
        </w:numPr>
      </w:pPr>
      <w:r>
        <w:lastRenderedPageBreak/>
        <w:t xml:space="preserve">What are the consequences of </w:t>
      </w:r>
      <w:r w:rsidR="006C351B">
        <w:t>unmanageable</w:t>
      </w:r>
      <w:r>
        <w:t xml:space="preserve"> caseloads and workloads?</w:t>
      </w:r>
    </w:p>
    <w:p w14:paraId="286F9A72" w14:textId="77777777" w:rsidR="00C1487D" w:rsidRDefault="00C1487D" w:rsidP="00DD3B48">
      <w:pPr>
        <w:pStyle w:val="Heading2"/>
      </w:pPr>
      <w:bookmarkStart w:id="19" w:name="_Toc179376012"/>
      <w:bookmarkStart w:id="20" w:name="_Toc182557337"/>
      <w:r>
        <w:t>Methods</w:t>
      </w:r>
      <w:bookmarkEnd w:id="19"/>
      <w:bookmarkEnd w:id="20"/>
    </w:p>
    <w:p w14:paraId="1BB4A8D2" w14:textId="16E9C2EA" w:rsidR="00C1487D" w:rsidRDefault="00C1487D" w:rsidP="00C1487D">
      <w:r>
        <w:t xml:space="preserve">A systematic search was performed across </w:t>
      </w:r>
      <w:proofErr w:type="gramStart"/>
      <w:r>
        <w:t>a number of</w:t>
      </w:r>
      <w:proofErr w:type="gramEnd"/>
      <w:r>
        <w:t xml:space="preserve"> electronic academic databases </w:t>
      </w:r>
      <w:r w:rsidR="006770E8">
        <w:t xml:space="preserve">and </w:t>
      </w:r>
      <w:r>
        <w:t>grey literature sources</w:t>
      </w:r>
      <w:r w:rsidR="00F32D29">
        <w:t>.</w:t>
      </w:r>
      <w:r w:rsidR="00AE41BA">
        <w:t xml:space="preserve"> </w:t>
      </w:r>
      <w:r w:rsidR="00F32D29">
        <w:t>A</w:t>
      </w:r>
      <w:r w:rsidR="006770E8">
        <w:t>dditionally,</w:t>
      </w:r>
      <w:r w:rsidR="00AE41BA">
        <w:t xml:space="preserve"> </w:t>
      </w:r>
      <w:r w:rsidR="00D34EE6">
        <w:t xml:space="preserve">the </w:t>
      </w:r>
      <w:r w:rsidR="00AE41BA">
        <w:t xml:space="preserve">professional bodies </w:t>
      </w:r>
      <w:r w:rsidR="00D34EE6">
        <w:t xml:space="preserve">representing therapists </w:t>
      </w:r>
      <w:r w:rsidR="00AE41BA">
        <w:t xml:space="preserve">in </w:t>
      </w:r>
      <w:proofErr w:type="gramStart"/>
      <w:r w:rsidR="00AE41BA">
        <w:t>a number of</w:t>
      </w:r>
      <w:proofErr w:type="gramEnd"/>
      <w:r w:rsidR="00AE41BA">
        <w:t xml:space="preserve"> countries were contacted.</w:t>
      </w:r>
    </w:p>
    <w:p w14:paraId="6FF11A89" w14:textId="5C8C30F7" w:rsidR="00C1487D" w:rsidRPr="00C1487D" w:rsidRDefault="00C1487D" w:rsidP="00C1487D">
      <w:r w:rsidRPr="00C1487D">
        <w:t xml:space="preserve">Studies were included if they met the following criteria: 1) focused on caseload or workload management; 2) </w:t>
      </w:r>
      <w:r w:rsidR="00D34EE6">
        <w:t xml:space="preserve">were </w:t>
      </w:r>
      <w:r w:rsidRPr="00C1487D">
        <w:t>available in English; 3) were in the domain of children’s disability services</w:t>
      </w:r>
      <w:r w:rsidR="00637A55">
        <w:t>.</w:t>
      </w:r>
    </w:p>
    <w:p w14:paraId="59096934" w14:textId="77777777" w:rsidR="00C1487D" w:rsidRDefault="00C1487D" w:rsidP="00C1487D">
      <w:r>
        <w:t xml:space="preserve">After screening against eligibility criteria, data extraction was performed to capture key information, including the type of article, jurisdiction, and associated profession. </w:t>
      </w:r>
    </w:p>
    <w:p w14:paraId="759F99E8" w14:textId="332290FE" w:rsidR="00C1487D" w:rsidRDefault="00C1487D" w:rsidP="00C1487D">
      <w:r>
        <w:t>A narrative synthesis approach was employed to summarize and integrate findings across the included studies.</w:t>
      </w:r>
    </w:p>
    <w:p w14:paraId="090AEF97" w14:textId="0252C954" w:rsidR="00C1487D" w:rsidRPr="00C1487D" w:rsidRDefault="00C1487D" w:rsidP="00DD3B48">
      <w:pPr>
        <w:pStyle w:val="Heading2"/>
      </w:pPr>
      <w:bookmarkStart w:id="21" w:name="_Toc179376013"/>
      <w:bookmarkStart w:id="22" w:name="_Toc182557338"/>
      <w:r>
        <w:t>Findings</w:t>
      </w:r>
      <w:bookmarkEnd w:id="21"/>
      <w:bookmarkEnd w:id="22"/>
    </w:p>
    <w:p w14:paraId="03962BAE" w14:textId="27F15726" w:rsidR="00C1487D" w:rsidRPr="00C1487D" w:rsidRDefault="00D34EE6" w:rsidP="00C1487D">
      <w:r>
        <w:t>In keeping with the previous NDA report on children’s disability services in Ireland t</w:t>
      </w:r>
      <w:r w:rsidR="00C1487D" w:rsidRPr="00C1487D">
        <w:t xml:space="preserve">he literature indicated that there is a lack of evidence and guidance around determining appropriate caseloads and workloads for therapists delivering services to children with disabilities.  </w:t>
      </w:r>
    </w:p>
    <w:p w14:paraId="3316720D" w14:textId="77777777" w:rsidR="00C1487D" w:rsidRPr="00C1487D" w:rsidRDefault="00C1487D" w:rsidP="00DD3B48">
      <w:pPr>
        <w:pStyle w:val="Heading3"/>
      </w:pPr>
      <w:bookmarkStart w:id="23" w:name="_Toc179376014"/>
      <w:r w:rsidRPr="00C1487D">
        <w:t>Caseload Vs workload approach</w:t>
      </w:r>
      <w:bookmarkEnd w:id="23"/>
    </w:p>
    <w:p w14:paraId="5D2F9405" w14:textId="5D09A0BC" w:rsidR="00C1487D" w:rsidRPr="00C1487D" w:rsidRDefault="00C1487D" w:rsidP="00C1487D">
      <w:r w:rsidRPr="00C1487D">
        <w:t xml:space="preserve">The literature identified a clear shift towards adopting a </w:t>
      </w:r>
      <w:r w:rsidR="00D34EE6">
        <w:t>w</w:t>
      </w:r>
      <w:r w:rsidRPr="00C1487D">
        <w:t xml:space="preserve">orkload rather than a </w:t>
      </w:r>
      <w:r w:rsidR="00D34EE6">
        <w:t>c</w:t>
      </w:r>
      <w:r w:rsidRPr="00C1487D">
        <w:t>aseload approach to service planning. Caseload approaches are generally not accepted as accurate or effective measures of therapists’ productivity as they do not recognise the complexity of therapy roles in current best practice</w:t>
      </w:r>
      <w:r w:rsidR="00587A70">
        <w:t xml:space="preserve">. </w:t>
      </w:r>
      <w:r w:rsidRPr="00C1487D">
        <w:t>The Workload approach, on the other hand, has been promoted as a means of enabling more efficient and effective service delivery that aligns with best practice. This was particularly evident among Speech and Language, Occupational and Physical Therapists.</w:t>
      </w:r>
    </w:p>
    <w:p w14:paraId="054E69A6" w14:textId="77777777" w:rsidR="00C1487D" w:rsidRPr="00C1487D" w:rsidRDefault="00C1487D" w:rsidP="00DD3B48">
      <w:pPr>
        <w:pStyle w:val="Heading3"/>
      </w:pPr>
      <w:bookmarkStart w:id="24" w:name="_Toc179376015"/>
      <w:r w:rsidRPr="00C1487D">
        <w:t>Factors that influence caseloads and workloads</w:t>
      </w:r>
      <w:bookmarkEnd w:id="24"/>
    </w:p>
    <w:p w14:paraId="2C37B303" w14:textId="65DA30C1" w:rsidR="00C1487D" w:rsidRPr="00C1487D" w:rsidRDefault="00C1487D" w:rsidP="00C1487D">
      <w:r w:rsidRPr="00C1487D">
        <w:t xml:space="preserve">The literature indicates that it is difficult to designate an appropriate workload or caseload for therapists as there are so many influencing factors that must be considered. These include child-related factors such as the range and complexity of their needs; family-related factors such as the complexity of the family’s needs the family </w:t>
      </w:r>
      <w:r w:rsidR="002F4618">
        <w:t xml:space="preserve">and community </w:t>
      </w:r>
      <w:r w:rsidRPr="00C1487D">
        <w:t xml:space="preserve">environment; Service-related factors such as the service delivery model adopted by the agency; and team related factors such as the number of vacancies on the team and the level of experience of the team members. </w:t>
      </w:r>
    </w:p>
    <w:p w14:paraId="6FDB4C49" w14:textId="77777777" w:rsidR="00C1487D" w:rsidRPr="00C1487D" w:rsidRDefault="00C1487D" w:rsidP="00083F19">
      <w:pPr>
        <w:pStyle w:val="Heading3"/>
      </w:pPr>
      <w:bookmarkStart w:id="25" w:name="_Toc179376016"/>
      <w:r w:rsidRPr="00C1487D">
        <w:lastRenderedPageBreak/>
        <w:t xml:space="preserve">Guidelines and tools for determining and managing caseloads and </w:t>
      </w:r>
      <w:proofErr w:type="gramStart"/>
      <w:r w:rsidRPr="00C1487D">
        <w:t>workloads</w:t>
      </w:r>
      <w:bookmarkEnd w:id="25"/>
      <w:proofErr w:type="gramEnd"/>
    </w:p>
    <w:p w14:paraId="4B0A7053" w14:textId="6AFB0B05" w:rsidR="00C1487D" w:rsidRPr="00C1487D" w:rsidRDefault="00C1487D" w:rsidP="00C1487D">
      <w:r w:rsidRPr="00C1487D">
        <w:t>A small number of tools and guidelines that various professions use to calculate or determine caseloads and workloads were identified by the review. These included practice guidelines, legislative guidelines for various US States</w:t>
      </w:r>
      <w:r w:rsidR="00587A70">
        <w:t xml:space="preserve">, </w:t>
      </w:r>
      <w:r w:rsidRPr="00C1487D">
        <w:t>workload calculators, workload assessment tools</w:t>
      </w:r>
      <w:r w:rsidR="00587A70">
        <w:t>,</w:t>
      </w:r>
      <w:r w:rsidRPr="00C1487D">
        <w:t xml:space="preserve"> and caseload planning management tools.</w:t>
      </w:r>
    </w:p>
    <w:p w14:paraId="6A83F7E4" w14:textId="77777777" w:rsidR="00C1487D" w:rsidRPr="00C1487D" w:rsidRDefault="00C1487D" w:rsidP="00083F19">
      <w:pPr>
        <w:pStyle w:val="Heading3"/>
      </w:pPr>
      <w:bookmarkStart w:id="26" w:name="_Toc179376017"/>
      <w:r w:rsidRPr="00C1487D">
        <w:t>Consequences of unmanageable caseloads and workloads</w:t>
      </w:r>
      <w:bookmarkEnd w:id="26"/>
    </w:p>
    <w:p w14:paraId="63C9DA91" w14:textId="035642F8" w:rsidR="00C1487D" w:rsidRPr="00C1487D" w:rsidRDefault="00C1487D" w:rsidP="00C1487D">
      <w:r w:rsidRPr="00C1487D">
        <w:t>The literature highlighted the numerous consequences of unmanageable caseloads and workloads. These</w:t>
      </w:r>
      <w:r w:rsidR="00587A70">
        <w:t xml:space="preserve"> </w:t>
      </w:r>
      <w:r w:rsidR="006770E8">
        <w:t>include</w:t>
      </w:r>
      <w:r w:rsidRPr="00C1487D">
        <w:t xml:space="preserve"> high levels of stress and burnout among staff leading to poor job satisfaction, high staff turnover and role vacancies. It is unsurprising then, that unmanageable caseloads and workloads were also consistently noted as having a detrimental impact on the quality of care and services delivered, client outcomes and waiting lists</w:t>
      </w:r>
      <w:r w:rsidR="00587A70">
        <w:t>.</w:t>
      </w:r>
      <w:r w:rsidRPr="00C1487D">
        <w:t xml:space="preserve"> </w:t>
      </w:r>
    </w:p>
    <w:p w14:paraId="51D2C65D" w14:textId="77777777" w:rsidR="00C1487D" w:rsidRPr="00C1487D" w:rsidRDefault="00C1487D" w:rsidP="00083F19">
      <w:pPr>
        <w:pStyle w:val="Heading2"/>
      </w:pPr>
      <w:bookmarkStart w:id="27" w:name="_Toc179376018"/>
      <w:bookmarkStart w:id="28" w:name="_Toc182557339"/>
      <w:r w:rsidRPr="00C1487D">
        <w:t>Conclusion</w:t>
      </w:r>
      <w:bookmarkEnd w:id="27"/>
      <w:bookmarkEnd w:id="28"/>
    </w:p>
    <w:p w14:paraId="1E10C7E3" w14:textId="43D529FC" w:rsidR="00C1487D" w:rsidRPr="00C1487D" w:rsidRDefault="00C1487D" w:rsidP="00C1487D">
      <w:r w:rsidRPr="00C1487D">
        <w:t xml:space="preserve">This </w:t>
      </w:r>
      <w:r w:rsidR="00D34EE6" w:rsidRPr="00C1487D">
        <w:t xml:space="preserve">literature </w:t>
      </w:r>
      <w:r w:rsidRPr="00C1487D">
        <w:t>review has added to previous findings by the NDA that there is no conclusive evidence as to what constitutes an appropriate caseload for therapists providing children’s disability services. Most of the existing literature or guidance comes from the professions of Occupational Therapists, Speech and Language Therapists and Physical Therapists and relates to caseloads and workloads for individual therapists rather than multi-, inter-, or trans-disciplinary teams.</w:t>
      </w:r>
    </w:p>
    <w:p w14:paraId="04D10ABD" w14:textId="6F64E37E" w:rsidR="00C1487D" w:rsidRPr="00C1487D" w:rsidRDefault="00C1487D" w:rsidP="00C1487D">
      <w:r w:rsidRPr="00C1487D">
        <w:t xml:space="preserve">The literature highlighted the inefficiency of traditional ‘counting methods’, such as relying on a Caseload approach for service planning, as this method does not consider the complexity of individual cases and other influencing factors. A Workload approach, on the other hand, ensures all influencing factors are considered and therefore, is the most effective method for planning and delivering impactful disability services for children. </w:t>
      </w:r>
    </w:p>
    <w:p w14:paraId="33D02FB8" w14:textId="7D1D4178" w:rsidR="003265A4" w:rsidRDefault="00C1487D" w:rsidP="00C1487D">
      <w:r w:rsidRPr="00C1487D">
        <w:t xml:space="preserve">When service planning, it is recommended that a workload analysis is conducted first, and this information is then used to determine appropriate caseloads. Therefore, work needs to be conducted with CDNTs on the ground to establish current workloads, </w:t>
      </w:r>
      <w:proofErr w:type="gramStart"/>
      <w:r w:rsidRPr="00C1487D">
        <w:t>caseloads</w:t>
      </w:r>
      <w:proofErr w:type="gramEnd"/>
      <w:r w:rsidRPr="00C1487D">
        <w:t xml:space="preserve"> and current workload/caseload management practices. These data can then be used to develop and implement appropriate improvement strategies.</w:t>
      </w:r>
    </w:p>
    <w:bookmarkEnd w:id="14"/>
    <w:p w14:paraId="1D217200" w14:textId="271F3647" w:rsidR="00C1487D" w:rsidRDefault="00C1487D">
      <w:r>
        <w:br w:type="page"/>
      </w:r>
    </w:p>
    <w:p w14:paraId="79D9012D" w14:textId="77777777" w:rsidR="00C1487D" w:rsidRDefault="00C1487D" w:rsidP="00083F19">
      <w:pPr>
        <w:pStyle w:val="Heading1"/>
      </w:pPr>
      <w:bookmarkStart w:id="29" w:name="_Toc179376019"/>
      <w:bookmarkStart w:id="30" w:name="_Toc182557340"/>
      <w:r>
        <w:lastRenderedPageBreak/>
        <w:t>Introduction</w:t>
      </w:r>
      <w:bookmarkEnd w:id="29"/>
      <w:bookmarkEnd w:id="30"/>
    </w:p>
    <w:p w14:paraId="598BBD38" w14:textId="2C55A821" w:rsidR="007352BF" w:rsidRDefault="00980F6E" w:rsidP="00C1487D">
      <w:r>
        <w:t>A</w:t>
      </w:r>
      <w:r w:rsidRPr="00980F6E">
        <w:t>dequate staff are needed to manage</w:t>
      </w:r>
      <w:r>
        <w:t xml:space="preserve"> caseloads and</w:t>
      </w:r>
      <w:r w:rsidRPr="00980F6E">
        <w:t xml:space="preserve"> workload</w:t>
      </w:r>
      <w:r>
        <w:t>s</w:t>
      </w:r>
      <w:r w:rsidRPr="00980F6E">
        <w:t xml:space="preserve"> in an efficient and effective manner. Knowing how many staff are needed </w:t>
      </w:r>
      <w:r>
        <w:t>f</w:t>
      </w:r>
      <w:r w:rsidRPr="00980F6E">
        <w:t xml:space="preserve">or a particular </w:t>
      </w:r>
      <w:r>
        <w:t xml:space="preserve">caseload or </w:t>
      </w:r>
      <w:r w:rsidRPr="00980F6E">
        <w:t>workload is an intractable problem.</w:t>
      </w:r>
    </w:p>
    <w:p w14:paraId="29B5BA92" w14:textId="6CD64C1A" w:rsidR="00AE41BA" w:rsidRDefault="00AE41BA" w:rsidP="00C1487D">
      <w:r>
        <w:t>A previous report by the National Disability Authority (NDA)</w:t>
      </w:r>
      <w:r w:rsidR="009B272F">
        <w:t xml:space="preserve"> on children’s disability services in Ireland </w:t>
      </w:r>
      <w:r w:rsidR="00966690" w:rsidRPr="00966690">
        <w:t>(1)</w:t>
      </w:r>
      <w:r w:rsidR="009B272F">
        <w:t xml:space="preserve"> had looked at the research supporting workload or caseloads and found the</w:t>
      </w:r>
      <w:r w:rsidR="00942CC4">
        <w:t>re</w:t>
      </w:r>
      <w:r w:rsidR="009B272F">
        <w:t xml:space="preserve"> was no hard evidence that could be used to guide workloads and caseloads in therapy services. The report did say that a caseload approach may not reflect best practice and may restrict service provision as it devalues indirect and consultative work that maybe carried out.</w:t>
      </w:r>
    </w:p>
    <w:p w14:paraId="6CE7BEAF" w14:textId="69BF03F8" w:rsidR="007352BF" w:rsidRDefault="007352BF" w:rsidP="007352BF">
      <w:r>
        <w:t xml:space="preserve">In general, caseload sizes are determined by the number of children that </w:t>
      </w:r>
      <w:r w:rsidR="00B34D2C">
        <w:t xml:space="preserve">a therapist provides services to over a given time </w:t>
      </w:r>
      <w:proofErr w:type="gramStart"/>
      <w:r w:rsidR="00B34D2C">
        <w:t>period</w:t>
      </w:r>
      <w:r>
        <w:t>,</w:t>
      </w:r>
      <w:r w:rsidR="00B34D2C">
        <w:t xml:space="preserve"> and</w:t>
      </w:r>
      <w:proofErr w:type="gramEnd"/>
      <w:r w:rsidR="00B34D2C">
        <w:t xml:space="preserve"> takes into account the number of intervention sessions</w:t>
      </w:r>
      <w:r w:rsidR="003D11C7">
        <w:t>.</w:t>
      </w:r>
      <w:r w:rsidR="00C86E09">
        <w:t xml:space="preserve"> </w:t>
      </w:r>
      <w:r w:rsidR="00966690" w:rsidRPr="00966690">
        <w:rPr>
          <w:rFonts w:cs="Times New Roman"/>
          <w:kern w:val="0"/>
          <w:szCs w:val="24"/>
        </w:rPr>
        <w:t>(2–5)</w:t>
      </w:r>
      <w:r>
        <w:t xml:space="preserve"> However, not all children and families create the same workload for a therapist</w:t>
      </w:r>
      <w:r w:rsidR="003D11C7">
        <w:t>.</w:t>
      </w:r>
      <w:r w:rsidR="00C86E09">
        <w:t xml:space="preserve"> </w:t>
      </w:r>
      <w:r w:rsidR="00966690" w:rsidRPr="00966690">
        <w:t>(6)</w:t>
      </w:r>
      <w:r>
        <w:t xml:space="preserve"> Therefore, it is important to distinguish between ‘Caseload’ and ‘Workload’. Although definitions can vary slightly, the </w:t>
      </w:r>
      <w:proofErr w:type="gramStart"/>
      <w:r>
        <w:t>general consensus</w:t>
      </w:r>
      <w:proofErr w:type="gramEnd"/>
      <w:r>
        <w:t xml:space="preserve"> is that ‘Workload’ refers to all the activities required to effectively manage a caseload</w:t>
      </w:r>
      <w:r w:rsidR="003D11C7">
        <w:t>.</w:t>
      </w:r>
      <w:r>
        <w:t xml:space="preserve"> </w:t>
      </w:r>
      <w:r w:rsidR="00966690" w:rsidRPr="00966690">
        <w:rPr>
          <w:rFonts w:cs="Times New Roman"/>
          <w:kern w:val="0"/>
          <w:szCs w:val="24"/>
        </w:rPr>
        <w:t>(3,3,7–10)</w:t>
      </w:r>
      <w:r>
        <w:t xml:space="preserve"> In other words, ‘Workload’ encompasses all the direct and indirect activities a therapist performs as part of their day-to-day role. Direct services refer to direct interactions with the client, such as delivering interventions; indirect services refer to administrative activities, attending meetings, travel times and so on. When thinking about workload, it is also important to consider the ‘workload ratio’ which represents the percentage of time spent on client related tasks such as assessment, intervention, and consultation activities, including documentation, and travel specific to a client, compared to non-client related tasks such as continuing professional education, or mentoring other staff</w:t>
      </w:r>
      <w:r w:rsidR="003D11C7">
        <w:t>.</w:t>
      </w:r>
      <w:r w:rsidR="00C86E09">
        <w:t xml:space="preserve"> </w:t>
      </w:r>
      <w:r w:rsidR="00966690" w:rsidRPr="00966690">
        <w:t>(3,10)</w:t>
      </w:r>
      <w:r w:rsidRPr="007352BF">
        <w:t xml:space="preserve"> </w:t>
      </w:r>
    </w:p>
    <w:p w14:paraId="47DE29C9" w14:textId="0530B241" w:rsidR="007352BF" w:rsidRDefault="006F7D3F" w:rsidP="007352BF">
      <w:proofErr w:type="gramStart"/>
      <w:r>
        <w:t>A number of</w:t>
      </w:r>
      <w:proofErr w:type="gramEnd"/>
      <w:r>
        <w:t xml:space="preserve"> issues with implementation of the Progressing Disability Services (PDS) for children and young people model have been reported. Issues include, but are not limited to, difficulties providing continuity of service because of high staff turnover and an inability to fill vacancies quickly; long waiting times for services; delays in access to services once the child is accepted into a CD</w:t>
      </w:r>
      <w:r w:rsidR="00523469">
        <w:t>N</w:t>
      </w:r>
      <w:r>
        <w:t>T service due to vacancies and waiting lists; a shortfall in administration resources; and difficulties for teams working with other specialist services, such as mental health services</w:t>
      </w:r>
      <w:r w:rsidR="003D11C7">
        <w:t>.</w:t>
      </w:r>
      <w:r>
        <w:t xml:space="preserve"> </w:t>
      </w:r>
      <w:r w:rsidRPr="00C86E09">
        <w:rPr>
          <w:rFonts w:cs="Times New Roman"/>
          <w:kern w:val="0"/>
          <w:szCs w:val="24"/>
        </w:rPr>
        <w:t>(11–13)</w:t>
      </w:r>
      <w:r>
        <w:t xml:space="preserve"> Additionally, a</w:t>
      </w:r>
      <w:r w:rsidR="007352BF">
        <w:t xml:space="preserve"> survey conducted by AOTI in 2023 highlighted that caseloads are increasing and this, in conjunction with a shortfall of staff, is contributing to significant stress and burnout among CDNT staff, which is negatively impacting staff retention</w:t>
      </w:r>
      <w:r w:rsidR="003D11C7">
        <w:t>.</w:t>
      </w:r>
      <w:r w:rsidR="007352BF">
        <w:t xml:space="preserve"> </w:t>
      </w:r>
      <w:r w:rsidR="00C86E09" w:rsidRPr="00C86E09">
        <w:t>(11)</w:t>
      </w:r>
      <w:r w:rsidR="007352BF">
        <w:t xml:space="preserve">  </w:t>
      </w:r>
    </w:p>
    <w:p w14:paraId="51B3FF03" w14:textId="30AF357E" w:rsidR="00C1487D" w:rsidRDefault="00C1487D" w:rsidP="007D5BF6">
      <w:pPr>
        <w:pStyle w:val="Heading2"/>
      </w:pPr>
      <w:bookmarkStart w:id="31" w:name="_Toc179376020"/>
      <w:bookmarkStart w:id="32" w:name="_Toc182557341"/>
      <w:r>
        <w:lastRenderedPageBreak/>
        <w:t>Team working</w:t>
      </w:r>
      <w:bookmarkEnd w:id="31"/>
      <w:bookmarkEnd w:id="32"/>
    </w:p>
    <w:p w14:paraId="014AF9F9" w14:textId="1BE5300E" w:rsidR="00C1487D" w:rsidRDefault="00C1487D" w:rsidP="00C1487D">
      <w:r>
        <w:t xml:space="preserve">The nature of the CDNTs is that team-working is a key component of service delivery. Teams in health and social care are generally considered as multi-, </w:t>
      </w:r>
      <w:proofErr w:type="gramStart"/>
      <w:r>
        <w:t>inter-</w:t>
      </w:r>
      <w:proofErr w:type="gramEnd"/>
      <w:r>
        <w:t xml:space="preserve"> or trans-disciplinary teams. The distinction between these terms is important and refers to the ways in which the team members from various disciplines work and interact with each other</w:t>
      </w:r>
      <w:r w:rsidR="003D11C7">
        <w:t>.</w:t>
      </w:r>
      <w:r>
        <w:t xml:space="preserve"> </w:t>
      </w:r>
      <w:r w:rsidR="00AF7701" w:rsidRPr="00AF7701">
        <w:t>(14,15)</w:t>
      </w:r>
      <w:r>
        <w:t xml:space="preserve"> They can be thought of as existing on a continuum of interaction between the various professions</w:t>
      </w:r>
      <w:r w:rsidR="007A5CA7">
        <w:t xml:space="preserve"> with each being used based on what is perceived to suit the style of service delivery</w:t>
      </w:r>
      <w:r>
        <w:t xml:space="preserve">. </w:t>
      </w:r>
    </w:p>
    <w:p w14:paraId="34647DCE" w14:textId="77777777" w:rsidR="00C1487D" w:rsidRDefault="00C1487D" w:rsidP="007D5BF6">
      <w:pPr>
        <w:pStyle w:val="Heading3"/>
      </w:pPr>
      <w:bookmarkStart w:id="33" w:name="_Toc179376021"/>
      <w:r>
        <w:t>Multidisciplinary teams</w:t>
      </w:r>
      <w:bookmarkEnd w:id="33"/>
      <w:r>
        <w:t xml:space="preserve"> </w:t>
      </w:r>
    </w:p>
    <w:p w14:paraId="0E3B1218" w14:textId="1026EFB7" w:rsidR="00C1487D" w:rsidRDefault="00C1487D" w:rsidP="00C1487D">
      <w:r>
        <w:t xml:space="preserve">The </w:t>
      </w:r>
      <w:r w:rsidR="007033C0">
        <w:t>Health Service Executive (</w:t>
      </w:r>
      <w:r>
        <w:t>HSE</w:t>
      </w:r>
      <w:r w:rsidR="007033C0">
        <w:t>)</w:t>
      </w:r>
      <w:r>
        <w:t xml:space="preserve"> defines a multidisciplinary team as a group of health care workers who are members of different disciplines </w:t>
      </w:r>
      <w:r w:rsidR="00942CC4">
        <w:t xml:space="preserve">with </w:t>
      </w:r>
      <w:r>
        <w:t>each providing specific services to the patient. The team members independently treat various issues a patient may have, focusing on the issues in which they specialise</w:t>
      </w:r>
      <w:r w:rsidR="003D11C7">
        <w:t>.</w:t>
      </w:r>
      <w:r w:rsidR="00523469">
        <w:t xml:space="preserve"> </w:t>
      </w:r>
      <w:r w:rsidR="00523469" w:rsidRPr="00523469">
        <w:t>(14)</w:t>
      </w:r>
      <w:r>
        <w:t xml:space="preserve"> </w:t>
      </w:r>
    </w:p>
    <w:p w14:paraId="0B31E1ED" w14:textId="77777777" w:rsidR="00C1487D" w:rsidRDefault="00C1487D" w:rsidP="007D5BF6">
      <w:pPr>
        <w:pStyle w:val="Heading3"/>
      </w:pPr>
      <w:bookmarkStart w:id="34" w:name="_Toc179376022"/>
      <w:r>
        <w:t>Interdisciplinary teams</w:t>
      </w:r>
      <w:bookmarkEnd w:id="34"/>
    </w:p>
    <w:p w14:paraId="13B4E999" w14:textId="4E8C1B2F" w:rsidR="00C1487D" w:rsidRDefault="008A7B5D" w:rsidP="00C1487D">
      <w:r w:rsidRPr="008A7B5D">
        <w:t xml:space="preserve">An interdisciplinary team is a number of professionals from different disciplines who work with the child and family, sharing information, decision-making and </w:t>
      </w:r>
      <w:proofErr w:type="gramStart"/>
      <w:r w:rsidRPr="008A7B5D">
        <w:t>goal-setting</w:t>
      </w:r>
      <w:proofErr w:type="gramEnd"/>
      <w:r w:rsidRPr="008A7B5D">
        <w:t>. They have common procedures and policies and frequent opportunities for communication. They work collaboratively to meet the identified needs of the child with a joint service plan and see the child separately or together as appropriate. The interdisciplinary team approach is supported by national and international best practice. This model of practice aims to enable each child and family to experience and access a holistic, unified continuum of service delivery where a family centred planning approach is central to the process</w:t>
      </w:r>
      <w:r w:rsidR="004A25F7">
        <w:t>.</w:t>
      </w:r>
      <w:r w:rsidR="00EA00EE">
        <w:t xml:space="preserve"> </w:t>
      </w:r>
      <w:r w:rsidR="00AF7701" w:rsidRPr="00AF7701">
        <w:t>(16)</w:t>
      </w:r>
    </w:p>
    <w:p w14:paraId="1E726006" w14:textId="77777777" w:rsidR="00C1487D" w:rsidRDefault="00C1487D" w:rsidP="007D5BF6">
      <w:pPr>
        <w:pStyle w:val="Heading3"/>
      </w:pPr>
      <w:bookmarkStart w:id="35" w:name="_Toc179376023"/>
      <w:r>
        <w:t>Transdisciplinary</w:t>
      </w:r>
      <w:bookmarkEnd w:id="35"/>
    </w:p>
    <w:p w14:paraId="24DA8250" w14:textId="4C014C42" w:rsidR="00C1487D" w:rsidRDefault="00C1487D" w:rsidP="00C1487D">
      <w:r>
        <w:t>Transdisciplinary is explained as ‘across; beyond; through’ and constitutes a greater blurring of professional boundaries than in inter-disciplinary teams</w:t>
      </w:r>
      <w:r w:rsidR="00EA00EE" w:rsidRPr="00EA00EE">
        <w:t xml:space="preserve"> </w:t>
      </w:r>
      <w:r w:rsidR="00EA00EE">
        <w:t>and patient/client participation</w:t>
      </w:r>
      <w:r w:rsidR="004A25F7">
        <w:t>.</w:t>
      </w:r>
      <w:r w:rsidR="00EA00EE">
        <w:t xml:space="preserve"> </w:t>
      </w:r>
      <w:r w:rsidR="00AF7701" w:rsidRPr="00AF7701">
        <w:t>(14)</w:t>
      </w:r>
      <w:r>
        <w:t xml:space="preserve"> In a trans-disciplinary model, common goals are </w:t>
      </w:r>
      <w:r w:rsidR="00A94098">
        <w:t>shared,</w:t>
      </w:r>
      <w:r>
        <w:t xml:space="preserve"> and disciplines plan together using systematic processes. Fundamental to trans-disciplinary working is the sharing of roles, working across disciplin</w:t>
      </w:r>
      <w:r w:rsidR="00697B8C">
        <w:t>e</w:t>
      </w:r>
      <w:r>
        <w:t xml:space="preserve"> boundaries, sharing of </w:t>
      </w:r>
      <w:proofErr w:type="gramStart"/>
      <w:r>
        <w:t>expertise</w:t>
      </w:r>
      <w:proofErr w:type="gramEnd"/>
      <w:r>
        <w:t xml:space="preserve"> and building capacity among colleagues of other disciplines, referred to as role release</w:t>
      </w:r>
      <w:r w:rsidR="004A25F7">
        <w:t>.</w:t>
      </w:r>
      <w:r w:rsidR="00AF7701">
        <w:t xml:space="preserve"> </w:t>
      </w:r>
      <w:r w:rsidR="00966690" w:rsidRPr="00966690">
        <w:t>(2,14)</w:t>
      </w:r>
      <w:r>
        <w:t xml:space="preserve"> </w:t>
      </w:r>
    </w:p>
    <w:p w14:paraId="64C84D08" w14:textId="50290A5C" w:rsidR="008A7B5D" w:rsidRDefault="008A7B5D" w:rsidP="00C1487D">
      <w:r w:rsidRPr="008A7B5D">
        <w:t>The Report of the National Reference Group on Multidisciplinary Disability Services for Children aged 5-18 endorsed interdisciplinary team working as the most effective way to provide services for children with disabilities and their families</w:t>
      </w:r>
      <w:r w:rsidR="004A25F7">
        <w:t>.</w:t>
      </w:r>
      <w:r w:rsidR="00EA00EE">
        <w:t xml:space="preserve"> </w:t>
      </w:r>
      <w:r w:rsidR="00AF7701" w:rsidRPr="00AF7701">
        <w:t>(17)</w:t>
      </w:r>
    </w:p>
    <w:p w14:paraId="6DC5F4C3" w14:textId="77777777" w:rsidR="00C1487D" w:rsidRDefault="00C1487D" w:rsidP="00B41006">
      <w:pPr>
        <w:pStyle w:val="Heading2"/>
      </w:pPr>
      <w:bookmarkStart w:id="36" w:name="_Toc179376024"/>
      <w:bookmarkStart w:id="37" w:name="_Toc182557342"/>
      <w:r>
        <w:t>Aim of the review</w:t>
      </w:r>
      <w:bookmarkEnd w:id="36"/>
      <w:bookmarkEnd w:id="37"/>
    </w:p>
    <w:p w14:paraId="5E4BE026" w14:textId="77777777" w:rsidR="00C1487D" w:rsidRDefault="00C1487D" w:rsidP="00C1487D">
      <w:r>
        <w:t xml:space="preserve">The aim of this literature review was to examine the international literature to determine whether there are any existing guidelines or best </w:t>
      </w:r>
      <w:r>
        <w:lastRenderedPageBreak/>
        <w:t>practice recommendations for appropriate caseloads or workloads for multi-, inter or trans-disciplinary teams that deliver children’s disability services.</w:t>
      </w:r>
    </w:p>
    <w:p w14:paraId="6439B3C7" w14:textId="77777777" w:rsidR="00C1487D" w:rsidRDefault="00C1487D" w:rsidP="00B41006">
      <w:pPr>
        <w:pStyle w:val="Heading1"/>
      </w:pPr>
      <w:bookmarkStart w:id="38" w:name="_Toc179376025"/>
      <w:bookmarkStart w:id="39" w:name="_Toc182557343"/>
      <w:r>
        <w:t>Methods</w:t>
      </w:r>
      <w:bookmarkEnd w:id="38"/>
      <w:bookmarkEnd w:id="39"/>
    </w:p>
    <w:p w14:paraId="14B2C412" w14:textId="77777777" w:rsidR="00C1487D" w:rsidRDefault="00C1487D" w:rsidP="00B41006">
      <w:pPr>
        <w:pStyle w:val="Heading2"/>
      </w:pPr>
      <w:bookmarkStart w:id="40" w:name="_Toc179376026"/>
      <w:bookmarkStart w:id="41" w:name="_Toc182557344"/>
      <w:r>
        <w:t>Search Strategy</w:t>
      </w:r>
      <w:bookmarkEnd w:id="40"/>
      <w:bookmarkEnd w:id="41"/>
    </w:p>
    <w:p w14:paraId="58AB2317" w14:textId="04517E60" w:rsidR="00EA00EE" w:rsidRDefault="00EA00EE" w:rsidP="00EA00EE">
      <w:r>
        <w:t xml:space="preserve">A search was performed using the following electronic databases; </w:t>
      </w:r>
      <w:r w:rsidR="00055AC8">
        <w:t xml:space="preserve">EBSCO, ProQuest, </w:t>
      </w:r>
      <w:r>
        <w:t xml:space="preserve">Medline, </w:t>
      </w:r>
      <w:proofErr w:type="spellStart"/>
      <w:r>
        <w:t>SocIndex</w:t>
      </w:r>
      <w:proofErr w:type="spellEnd"/>
      <w:r>
        <w:t>, and Google Scholar</w:t>
      </w:r>
      <w:r w:rsidR="00055AC8">
        <w:t>, and the following grey literature sources</w:t>
      </w:r>
      <w:r w:rsidR="00055AC8" w:rsidRPr="00055AC8">
        <w:t xml:space="preserve"> </w:t>
      </w:r>
      <w:r w:rsidR="00055AC8">
        <w:t xml:space="preserve">Cochrane Library, Social Care Institute for Excellence (SCIE) Trip Database, Global Index </w:t>
      </w:r>
      <w:proofErr w:type="spellStart"/>
      <w:r w:rsidR="00055AC8">
        <w:t>Medicus</w:t>
      </w:r>
      <w:proofErr w:type="spellEnd"/>
      <w:r w:rsidR="00055AC8">
        <w:t>, National Institute for Health and Social Care Excellence (NICE)</w:t>
      </w:r>
      <w:r w:rsidR="004D2783">
        <w:t>,</w:t>
      </w:r>
      <w:r w:rsidR="00055AC8">
        <w:t xml:space="preserve"> World Health Organisation, Agency for Healthcare Research and Quality, National Quality Forum, </w:t>
      </w:r>
      <w:proofErr w:type="spellStart"/>
      <w:r w:rsidR="00055AC8">
        <w:t>Lenus</w:t>
      </w:r>
      <w:proofErr w:type="spellEnd"/>
      <w:r w:rsidR="00055AC8">
        <w:t xml:space="preserve">, Health Information and Quality Authority (HIQA), </w:t>
      </w:r>
      <w:proofErr w:type="spellStart"/>
      <w:r w:rsidR="00055AC8">
        <w:t>WorldCat</w:t>
      </w:r>
      <w:proofErr w:type="spellEnd"/>
      <w:r w:rsidR="00055AC8">
        <w:t xml:space="preserve"> and Scopus. </w:t>
      </w:r>
      <w:r>
        <w:t>The search strategy utilised a combination of relevant keywords, such as ‘caseload’, ‘workload’, ‘staff ratios’, ‘therapists’, ‘children’s disability services’, and variations thereof. Boolean operators (</w:t>
      </w:r>
      <w:r w:rsidR="00B142D4">
        <w:t>for example</w:t>
      </w:r>
      <w:r>
        <w:t xml:space="preserve">, AND, OR) were employed to refine the search and maximize the retrieval of pertinent literature. </w:t>
      </w:r>
    </w:p>
    <w:p w14:paraId="7082FB11" w14:textId="40B57B43" w:rsidR="00EA00EE" w:rsidRDefault="00EA00EE" w:rsidP="00EA00EE">
      <w:r>
        <w:t xml:space="preserve">The research team also contacted member organisations for physiotherapists, occupational therapists, speech and language therapists, social workers and psychologists in Ireland, UK, USA, Canada, Australia, and New Zealand to seek out relevant materials. </w:t>
      </w:r>
    </w:p>
    <w:p w14:paraId="291893CC" w14:textId="7748BE9A" w:rsidR="00C1487D" w:rsidRDefault="00055AC8" w:rsidP="00EA00EE">
      <w:r>
        <w:t>The r</w:t>
      </w:r>
      <w:r w:rsidR="00EA00EE">
        <w:t>eference lists</w:t>
      </w:r>
      <w:r>
        <w:t xml:space="preserve"> of key documents were searched </w:t>
      </w:r>
      <w:r w:rsidR="00EA00EE">
        <w:t xml:space="preserve">and </w:t>
      </w:r>
      <w:r>
        <w:t xml:space="preserve">the </w:t>
      </w:r>
      <w:r w:rsidR="00EA00EE">
        <w:t xml:space="preserve">lists of those citing key documents were also </w:t>
      </w:r>
      <w:r>
        <w:t xml:space="preserve">searched for additional </w:t>
      </w:r>
      <w:r w:rsidR="006848FB">
        <w:t>material</w:t>
      </w:r>
      <w:r w:rsidR="00EA00EE">
        <w:t>.</w:t>
      </w:r>
      <w:r w:rsidR="00C1487D">
        <w:t xml:space="preserve"> </w:t>
      </w:r>
    </w:p>
    <w:p w14:paraId="2EEAC7DC" w14:textId="309A1F30" w:rsidR="00C1487D" w:rsidRDefault="00C1487D" w:rsidP="00C32BD4">
      <w:pPr>
        <w:pStyle w:val="Heading2"/>
      </w:pPr>
      <w:bookmarkStart w:id="42" w:name="_Toc179376027"/>
      <w:bookmarkStart w:id="43" w:name="_Toc182557345"/>
      <w:r>
        <w:t>Inclusion criteria</w:t>
      </w:r>
      <w:bookmarkEnd w:id="42"/>
      <w:bookmarkEnd w:id="43"/>
    </w:p>
    <w:p w14:paraId="00021918" w14:textId="58C0E2F3" w:rsidR="00C1487D" w:rsidRDefault="00C1487D" w:rsidP="00C1487D">
      <w:r>
        <w:t>Studies were included if they met the following criteria: 1) focused on caseload or workload management; 2) available in English; 3) were in the domain of children’s disability services</w:t>
      </w:r>
      <w:r w:rsidR="00637A55">
        <w:t>.</w:t>
      </w:r>
    </w:p>
    <w:p w14:paraId="6B895CD9" w14:textId="77777777" w:rsidR="00C1487D" w:rsidRDefault="00C1487D" w:rsidP="00C32BD4">
      <w:pPr>
        <w:pStyle w:val="Heading2"/>
      </w:pPr>
      <w:bookmarkStart w:id="44" w:name="_Toc179376028"/>
      <w:bookmarkStart w:id="45" w:name="_Toc182557346"/>
      <w:r>
        <w:t>Data extraction</w:t>
      </w:r>
      <w:bookmarkEnd w:id="44"/>
      <w:bookmarkEnd w:id="45"/>
      <w:r>
        <w:t xml:space="preserve"> </w:t>
      </w:r>
    </w:p>
    <w:p w14:paraId="0FBBD457" w14:textId="00C6FFE0" w:rsidR="00C1487D" w:rsidRDefault="00C1487D" w:rsidP="00C1487D">
      <w:r>
        <w:t>Data extraction was performed to capture key information, including the type of article, jurisdiction, associated profession (</w:t>
      </w:r>
      <w:r w:rsidR="00114BDF">
        <w:t>for example</w:t>
      </w:r>
      <w:r>
        <w:t xml:space="preserve"> Occupational Therapists, </w:t>
      </w:r>
      <w:proofErr w:type="gramStart"/>
      <w:r>
        <w:t>Speech</w:t>
      </w:r>
      <w:proofErr w:type="gramEnd"/>
      <w:r>
        <w:t xml:space="preserve"> and Language Therapists), caseload and workload guidance. </w:t>
      </w:r>
    </w:p>
    <w:p w14:paraId="313CF430" w14:textId="77777777" w:rsidR="00F01A08" w:rsidRDefault="00F01A08" w:rsidP="00C32BD4">
      <w:pPr>
        <w:pStyle w:val="Heading2"/>
      </w:pPr>
      <w:bookmarkStart w:id="46" w:name="_Toc179376029"/>
      <w:bookmarkStart w:id="47" w:name="_Toc182557347"/>
      <w:r>
        <w:t>Synthesis</w:t>
      </w:r>
      <w:bookmarkEnd w:id="46"/>
      <w:bookmarkEnd w:id="47"/>
    </w:p>
    <w:p w14:paraId="6B7D0D57" w14:textId="2735269A" w:rsidR="00F01A08" w:rsidRDefault="00F01A08" w:rsidP="00F01A08">
      <w:r>
        <w:t xml:space="preserve">A narrative synthesis approach was employed to summarize and integrate findings across the included studies. Themes, patterns, and commonalities were identified to highlight the current knowledge in the literature regarding </w:t>
      </w:r>
      <w:r w:rsidR="004D2783">
        <w:t>caseloads and workloads for teams in children’s disability services</w:t>
      </w:r>
      <w:r>
        <w:t>.</w:t>
      </w:r>
    </w:p>
    <w:p w14:paraId="33CDD769" w14:textId="77777777" w:rsidR="00C1487D" w:rsidRDefault="00C1487D" w:rsidP="00080A35">
      <w:pPr>
        <w:pStyle w:val="Heading1"/>
      </w:pPr>
      <w:bookmarkStart w:id="48" w:name="_Toc179376030"/>
      <w:bookmarkStart w:id="49" w:name="_Toc182557348"/>
      <w:r>
        <w:lastRenderedPageBreak/>
        <w:t>Findings</w:t>
      </w:r>
      <w:bookmarkEnd w:id="48"/>
      <w:bookmarkEnd w:id="49"/>
    </w:p>
    <w:p w14:paraId="7ACDADC2" w14:textId="7F88F465" w:rsidR="00C1487D" w:rsidRDefault="00C1487D" w:rsidP="00C1487D">
      <w:r>
        <w:t xml:space="preserve">The literature indicated that there is a lack of evidence and guidance around determining appropriate caseloads and workloads for therapists delivering services to children with disabilities. This is </w:t>
      </w:r>
      <w:proofErr w:type="gramStart"/>
      <w:r>
        <w:t>similar to</w:t>
      </w:r>
      <w:proofErr w:type="gramEnd"/>
      <w:r>
        <w:t xml:space="preserve"> previous findings by the NDA</w:t>
      </w:r>
      <w:r w:rsidR="004A25F7">
        <w:t>,</w:t>
      </w:r>
      <w:r>
        <w:t xml:space="preserve"> </w:t>
      </w:r>
      <w:r w:rsidR="00966690" w:rsidRPr="00966690">
        <w:t>(3)</w:t>
      </w:r>
      <w:r>
        <w:t xml:space="preserve"> and other authors</w:t>
      </w:r>
      <w:r w:rsidR="004A25F7">
        <w:t>.</w:t>
      </w:r>
      <w:r w:rsidR="00AF7701">
        <w:t xml:space="preserve"> </w:t>
      </w:r>
      <w:r w:rsidR="00966690" w:rsidRPr="00966690">
        <w:t>(8)</w:t>
      </w:r>
      <w:r>
        <w:t xml:space="preserve"> </w:t>
      </w:r>
      <w:r w:rsidR="004D2783">
        <w:t>S</w:t>
      </w:r>
      <w:r>
        <w:t xml:space="preserve">ome professional bodies, such as the American Occupational Therapy Association (AOTA) and the American Speech-Language-Hearing Association (ASHA), actively recommend not defining specific caseload numbers. ASHA, for example, currently state the following reasons for not recommending a specific caseload for therapists delivering services to children in school settings: </w:t>
      </w:r>
    </w:p>
    <w:p w14:paraId="3F8FEAC8" w14:textId="1F135A24" w:rsidR="00C1487D" w:rsidRDefault="00C1487D" w:rsidP="006F16E7">
      <w:pPr>
        <w:pStyle w:val="ListParagraph"/>
        <w:numPr>
          <w:ilvl w:val="0"/>
          <w:numId w:val="6"/>
        </w:numPr>
      </w:pPr>
      <w:r>
        <w:t>There is no research to support a specific caseload size</w:t>
      </w:r>
      <w:r w:rsidR="00987C10">
        <w:t>,</w:t>
      </w:r>
    </w:p>
    <w:p w14:paraId="0F2EC583" w14:textId="78669E8B" w:rsidR="00C1487D" w:rsidRDefault="00C1487D" w:rsidP="006F16E7">
      <w:pPr>
        <w:pStyle w:val="ListParagraph"/>
        <w:numPr>
          <w:ilvl w:val="0"/>
          <w:numId w:val="6"/>
        </w:numPr>
      </w:pPr>
      <w:r>
        <w:t xml:space="preserve">The needs of </w:t>
      </w:r>
      <w:r w:rsidR="00987C10">
        <w:t>children</w:t>
      </w:r>
      <w:r>
        <w:t xml:space="preserve"> receiving speech-language services vary greatly, and a specific caseload number does not </w:t>
      </w:r>
      <w:proofErr w:type="gramStart"/>
      <w:r>
        <w:t>take into account</w:t>
      </w:r>
      <w:proofErr w:type="gramEnd"/>
      <w:r>
        <w:t xml:space="preserve"> this variation</w:t>
      </w:r>
      <w:r w:rsidR="00987C10">
        <w:t>,</w:t>
      </w:r>
      <w:r>
        <w:t xml:space="preserve"> </w:t>
      </w:r>
    </w:p>
    <w:p w14:paraId="105BF7AD" w14:textId="0E7A7E30" w:rsidR="00C1487D" w:rsidRDefault="00C1487D" w:rsidP="006F16E7">
      <w:pPr>
        <w:pStyle w:val="ListParagraph"/>
        <w:numPr>
          <w:ilvl w:val="0"/>
          <w:numId w:val="6"/>
        </w:numPr>
      </w:pPr>
      <w:r>
        <w:t>A specific caseload number could be interpreted as a ‘minimum’ number and, if the SLP’s caseload is below that number, then the SLP could be assigned additional duties.</w:t>
      </w:r>
    </w:p>
    <w:p w14:paraId="66C6A195" w14:textId="77777777" w:rsidR="00C1487D" w:rsidRDefault="00C1487D" w:rsidP="00152168">
      <w:pPr>
        <w:pStyle w:val="Heading2"/>
      </w:pPr>
      <w:bookmarkStart w:id="50" w:name="_Toc179376031"/>
      <w:bookmarkStart w:id="51" w:name="_Toc182557349"/>
      <w:r>
        <w:t xml:space="preserve">Shift towards workload </w:t>
      </w:r>
      <w:proofErr w:type="gramStart"/>
      <w:r>
        <w:t>approaches</w:t>
      </w:r>
      <w:bookmarkEnd w:id="50"/>
      <w:bookmarkEnd w:id="51"/>
      <w:proofErr w:type="gramEnd"/>
    </w:p>
    <w:p w14:paraId="6D31AD4A" w14:textId="7C7C9054" w:rsidR="00C1487D" w:rsidRDefault="00C1487D" w:rsidP="00C1487D">
      <w:r>
        <w:t>The literature identified a clear shift towards adopting a ‘Workload’ rather than a ‘Caseload’ approach to service planning. Caseload approaches are generally not accepted as accurate or effective measures of therapists’ productivity as they do not recognise the complexity of therapy roles in current best practice and are perceived to be reflective of the medical model</w:t>
      </w:r>
      <w:r w:rsidR="004A25F7">
        <w:t>.</w:t>
      </w:r>
      <w:r>
        <w:t xml:space="preserve"> </w:t>
      </w:r>
      <w:r w:rsidR="00966690" w:rsidRPr="00966690">
        <w:rPr>
          <w:rFonts w:cs="Times New Roman"/>
          <w:kern w:val="0"/>
          <w:szCs w:val="24"/>
        </w:rPr>
        <w:t>(3,18–21)</w:t>
      </w:r>
      <w:r>
        <w:t xml:space="preserve"> The Workload approac</w:t>
      </w:r>
      <w:r w:rsidR="001977A7">
        <w:t xml:space="preserve">h </w:t>
      </w:r>
      <w:r>
        <w:t>has been promoted as a means of enabling more efficient and effective service delivery that aligns with best practice</w:t>
      </w:r>
      <w:r w:rsidR="004A25F7">
        <w:t>.</w:t>
      </w:r>
      <w:r>
        <w:t xml:space="preserve"> </w:t>
      </w:r>
      <w:r w:rsidR="00966690" w:rsidRPr="00966690">
        <w:rPr>
          <w:rFonts w:cs="Times New Roman"/>
          <w:kern w:val="0"/>
          <w:szCs w:val="24"/>
        </w:rPr>
        <w:t>(5,22–24)</w:t>
      </w:r>
      <w:r>
        <w:t xml:space="preserve"> This was particularly evident among Speech and Language, Occupational and Physical Therapists. The </w:t>
      </w:r>
      <w:r w:rsidR="00114BDF">
        <w:t>AOTA</w:t>
      </w:r>
      <w:r>
        <w:t>, American Physical Therapy Association</w:t>
      </w:r>
      <w:r w:rsidR="00114BDF">
        <w:t xml:space="preserve"> (APTA)</w:t>
      </w:r>
      <w:r>
        <w:t xml:space="preserve">, and the </w:t>
      </w:r>
      <w:r w:rsidR="00114BDF">
        <w:t>ASHA</w:t>
      </w:r>
      <w:r>
        <w:t xml:space="preserve"> state that:</w:t>
      </w:r>
    </w:p>
    <w:p w14:paraId="25D1D9C2" w14:textId="639E54F9" w:rsidR="00C1487D" w:rsidRDefault="00C1487D" w:rsidP="00473726">
      <w:pPr>
        <w:ind w:left="720"/>
      </w:pPr>
      <w:r>
        <w:t xml:space="preserve">Given the increasing roles, responsibilities, and demands on Occupational Therapists (OTs), Physical Therapists (PTs), and Speech and Language Pathologists (SLPs) in school-based practice settings, a workload approach seems most likely to ensure compliance with </w:t>
      </w:r>
      <w:r w:rsidR="00114BDF" w:rsidRPr="00114BDF">
        <w:t>Individuals with Disabilities Education Improvement Act</w:t>
      </w:r>
      <w:r w:rsidR="00BC4ECA">
        <w:t xml:space="preserve"> </w:t>
      </w:r>
      <w:r w:rsidR="00114BDF">
        <w:t>(</w:t>
      </w:r>
      <w:r>
        <w:t>IDEA 2004</w:t>
      </w:r>
      <w:r w:rsidR="00114BDF">
        <w:t>)</w:t>
      </w:r>
      <w:r>
        <w:t xml:space="preserve"> requirements and state and local mandates</w:t>
      </w:r>
      <w:r w:rsidR="004A25F7">
        <w:t>.</w:t>
      </w:r>
      <w:r w:rsidR="001C66E6">
        <w:t xml:space="preserve"> </w:t>
      </w:r>
      <w:r w:rsidR="001C66E6" w:rsidRPr="001C66E6">
        <w:t>(25)</w:t>
      </w:r>
      <w:r>
        <w:t xml:space="preserve"> </w:t>
      </w:r>
    </w:p>
    <w:p w14:paraId="7E9BB446" w14:textId="360C8958" w:rsidR="00C1487D" w:rsidRDefault="00C1487D" w:rsidP="00C1487D">
      <w:r>
        <w:t>Further, in a recent mixed methods study conducted by Oregon State’s Department of Education (ODE), which included surveys, interviews, and literature reviews to determine the appropriate number of students in a caseload for OTs, PTs, and SLPs, the ODE recommended that the State adopt and make available a workload approach</w:t>
      </w:r>
      <w:r w:rsidR="004A25F7">
        <w:t>.</w:t>
      </w:r>
      <w:r>
        <w:t xml:space="preserve"> (26)</w:t>
      </w:r>
    </w:p>
    <w:p w14:paraId="365FE89A" w14:textId="11853356" w:rsidR="00C1487D" w:rsidRDefault="00C1487D" w:rsidP="00C1487D">
      <w:r>
        <w:lastRenderedPageBreak/>
        <w:t xml:space="preserve">A recent study conducted by </w:t>
      </w:r>
      <w:proofErr w:type="spellStart"/>
      <w:r>
        <w:t>Seruya</w:t>
      </w:r>
      <w:proofErr w:type="spellEnd"/>
      <w:r>
        <w:t xml:space="preserve"> and Garfinkle </w:t>
      </w:r>
      <w:r w:rsidR="00590D07" w:rsidRPr="00590D07">
        <w:t>(22)</w:t>
      </w:r>
      <w:r>
        <w:t xml:space="preserve"> found that 45% of school-based OTs in the USA used a blend of a caseload and workload approach</w:t>
      </w:r>
      <w:r w:rsidR="00987C10">
        <w:t>es</w:t>
      </w:r>
      <w:r>
        <w:t xml:space="preserve">, 34% used a caseload approach only, and 21% used a workload approach only. The study also found that the majority (75.7%) of respondents reported a desire to implement a workload approach but faced barriers in doing so. </w:t>
      </w:r>
      <w:r w:rsidR="00987C10">
        <w:t>The b</w:t>
      </w:r>
      <w:r>
        <w:t xml:space="preserve">arriers included a lack of administrative support (51.5%), high caseload numbers (48.5%), lack of time (39.0%), and uncertainty over how to make the transition (35.8%). </w:t>
      </w:r>
    </w:p>
    <w:p w14:paraId="186B2980" w14:textId="77777777" w:rsidR="00C1487D" w:rsidRDefault="00C1487D" w:rsidP="00152168">
      <w:pPr>
        <w:pStyle w:val="Heading2"/>
      </w:pPr>
      <w:bookmarkStart w:id="52" w:name="_Toc179376032"/>
      <w:bookmarkStart w:id="53" w:name="_Toc182557350"/>
      <w:r>
        <w:t>Factors that influence caseloads and workload</w:t>
      </w:r>
      <w:bookmarkEnd w:id="52"/>
      <w:bookmarkEnd w:id="53"/>
    </w:p>
    <w:p w14:paraId="6223C6E6" w14:textId="6A950163" w:rsidR="00C1487D" w:rsidRDefault="00C1487D" w:rsidP="00C1487D">
      <w:r>
        <w:t xml:space="preserve">The majority consensus from the literature appears to be that it is not possible to designate an appropriate workload or caseload for therapists as there are too many influencing factors that must be considered. This has been outlined in various professional body and State guidelines. For example, the Guidelines for Provision of </w:t>
      </w:r>
      <w:r w:rsidR="003D13F4">
        <w:t>OT</w:t>
      </w:r>
      <w:r>
        <w:t xml:space="preserve"> Services in Massachusetts Public Schools states: </w:t>
      </w:r>
    </w:p>
    <w:p w14:paraId="119256A0" w14:textId="3A8D3E79" w:rsidR="00C1487D" w:rsidRDefault="000D71F7" w:rsidP="005E4E60">
      <w:pPr>
        <w:pStyle w:val="BlockQuoteNDA"/>
      </w:pPr>
      <w:r>
        <w:t>“</w:t>
      </w:r>
      <w:r w:rsidR="00C1487D">
        <w:t xml:space="preserve">It is not possible to provide a definitive range or number of students that constitute an appropriate OT workload. Many factors contribute to determining a reasonable and appropriate workload, and these factors vary between districts and </w:t>
      </w:r>
      <w:proofErr w:type="gramStart"/>
      <w:r w:rsidR="00C1487D">
        <w:t>schools</w:t>
      </w:r>
      <w:r>
        <w:t>”</w:t>
      </w:r>
      <w:r w:rsidR="00B10FDE" w:rsidRPr="00B10FDE">
        <w:t>(</w:t>
      </w:r>
      <w:proofErr w:type="gramEnd"/>
      <w:r w:rsidR="00B10FDE" w:rsidRPr="00B10FDE">
        <w:t>pg. 40</w:t>
      </w:r>
      <w:r w:rsidR="00B10FDE">
        <w:t>,</w:t>
      </w:r>
      <w:r w:rsidR="00B10FDE" w:rsidRPr="00B10FDE">
        <w:t xml:space="preserve"> 25)</w:t>
      </w:r>
      <w:r w:rsidR="00C1487D">
        <w:t>.</w:t>
      </w:r>
    </w:p>
    <w:p w14:paraId="3611EF46" w14:textId="1C62440B" w:rsidR="00C1487D" w:rsidRDefault="00C1487D" w:rsidP="00C1487D">
      <w:r>
        <w:t xml:space="preserve">The factors that need to be considered when establishing a </w:t>
      </w:r>
      <w:r w:rsidR="001C66E6">
        <w:t xml:space="preserve">workload or </w:t>
      </w:r>
      <w:r>
        <w:t xml:space="preserve">caseload include, but are not limited to: </w:t>
      </w:r>
    </w:p>
    <w:p w14:paraId="69151E47" w14:textId="355EB621" w:rsidR="00C1487D" w:rsidRDefault="00C1487D" w:rsidP="006F16E7">
      <w:pPr>
        <w:pStyle w:val="ListParagraph"/>
        <w:numPr>
          <w:ilvl w:val="0"/>
          <w:numId w:val="6"/>
        </w:numPr>
      </w:pPr>
      <w:r>
        <w:t>the range and complexity of needs of the individual children</w:t>
      </w:r>
      <w:r w:rsidR="004A25F7">
        <w:t>,</w:t>
      </w:r>
      <w:r>
        <w:t xml:space="preserve"> </w:t>
      </w:r>
      <w:r w:rsidR="00966690" w:rsidRPr="00966690">
        <w:t>(2,6,10)</w:t>
      </w:r>
      <w:r>
        <w:t xml:space="preserve"> </w:t>
      </w:r>
    </w:p>
    <w:p w14:paraId="6A377F6E" w14:textId="2E390CF6" w:rsidR="00C1487D" w:rsidRDefault="00C1487D" w:rsidP="006F16E7">
      <w:pPr>
        <w:pStyle w:val="ListParagraph"/>
        <w:numPr>
          <w:ilvl w:val="0"/>
          <w:numId w:val="6"/>
        </w:numPr>
      </w:pPr>
      <w:r>
        <w:t>the equipment needs of the child</w:t>
      </w:r>
      <w:r w:rsidR="004A25F7">
        <w:t>,</w:t>
      </w:r>
      <w:r>
        <w:t xml:space="preserve"> </w:t>
      </w:r>
      <w:r w:rsidR="00966690" w:rsidRPr="00966690">
        <w:t>(6,9)</w:t>
      </w:r>
    </w:p>
    <w:p w14:paraId="6E207F8A" w14:textId="39790F7D" w:rsidR="00C1487D" w:rsidRDefault="00C1487D" w:rsidP="006F16E7">
      <w:pPr>
        <w:pStyle w:val="ListParagraph"/>
        <w:numPr>
          <w:ilvl w:val="0"/>
          <w:numId w:val="6"/>
        </w:numPr>
      </w:pPr>
      <w:r>
        <w:t>the complexity and needs of the family</w:t>
      </w:r>
      <w:r w:rsidR="004A25F7">
        <w:t>,</w:t>
      </w:r>
      <w:r>
        <w:t xml:space="preserve"> </w:t>
      </w:r>
      <w:r w:rsidR="00966690" w:rsidRPr="00966690">
        <w:t>(6)</w:t>
      </w:r>
      <w:r>
        <w:t xml:space="preserve">  </w:t>
      </w:r>
    </w:p>
    <w:p w14:paraId="6FC9D681" w14:textId="781B4BF6" w:rsidR="00C1487D" w:rsidRDefault="00C1487D" w:rsidP="006F16E7">
      <w:pPr>
        <w:pStyle w:val="ListParagraph"/>
        <w:numPr>
          <w:ilvl w:val="0"/>
          <w:numId w:val="6"/>
        </w:numPr>
      </w:pPr>
      <w:r>
        <w:t>the type and amount of assessment and intervention required</w:t>
      </w:r>
      <w:r w:rsidR="004A25F7">
        <w:t>,</w:t>
      </w:r>
      <w:r>
        <w:t xml:space="preserve"> </w:t>
      </w:r>
      <w:r w:rsidR="00966690" w:rsidRPr="00966690">
        <w:t>(6,9)</w:t>
      </w:r>
    </w:p>
    <w:p w14:paraId="2D36F8FE" w14:textId="4BB86056" w:rsidR="00C1487D" w:rsidRDefault="00C1487D" w:rsidP="006F16E7">
      <w:pPr>
        <w:pStyle w:val="ListParagraph"/>
        <w:numPr>
          <w:ilvl w:val="0"/>
          <w:numId w:val="6"/>
        </w:numPr>
      </w:pPr>
      <w:r>
        <w:t>client maturity (</w:t>
      </w:r>
      <w:r w:rsidR="001E0329">
        <w:t>that is</w:t>
      </w:r>
      <w:r>
        <w:t xml:space="preserve"> how long the child has been on the caseload)</w:t>
      </w:r>
      <w:r w:rsidR="004A25F7">
        <w:t>,</w:t>
      </w:r>
      <w:r>
        <w:t xml:space="preserve"> </w:t>
      </w:r>
      <w:r w:rsidR="00966690" w:rsidRPr="00966690">
        <w:t>(6)</w:t>
      </w:r>
      <w:r>
        <w:t xml:space="preserve"> </w:t>
      </w:r>
    </w:p>
    <w:p w14:paraId="30FAF1EE" w14:textId="54EC349B" w:rsidR="00C1487D" w:rsidRDefault="00C1487D" w:rsidP="006F16E7">
      <w:pPr>
        <w:pStyle w:val="ListParagraph"/>
        <w:numPr>
          <w:ilvl w:val="0"/>
          <w:numId w:val="6"/>
        </w:numPr>
      </w:pPr>
      <w:r>
        <w:t>the service delivery model adopted by the agency (</w:t>
      </w:r>
      <w:r w:rsidR="001E0329">
        <w:t>for example</w:t>
      </w:r>
      <w:r>
        <w:t xml:space="preserve"> emphasis on prevention services would increase the percentage of time spent on non-client related activities)</w:t>
      </w:r>
      <w:r w:rsidR="004A25F7">
        <w:t>,</w:t>
      </w:r>
      <w:r>
        <w:t xml:space="preserve"> </w:t>
      </w:r>
      <w:r w:rsidR="00966690" w:rsidRPr="00966690">
        <w:t>(10)</w:t>
      </w:r>
    </w:p>
    <w:p w14:paraId="26200025" w14:textId="2EC7D26D" w:rsidR="00C1487D" w:rsidRDefault="00C1487D" w:rsidP="006F16E7">
      <w:pPr>
        <w:pStyle w:val="ListParagraph"/>
        <w:numPr>
          <w:ilvl w:val="0"/>
          <w:numId w:val="6"/>
        </w:numPr>
      </w:pPr>
      <w:r>
        <w:t>the number and distance between the various community settings where therapy services are to be provided</w:t>
      </w:r>
      <w:r w:rsidR="004A25F7">
        <w:t>,</w:t>
      </w:r>
      <w:r>
        <w:t xml:space="preserve"> </w:t>
      </w:r>
      <w:r w:rsidR="00966690" w:rsidRPr="00966690">
        <w:t>(9,10)</w:t>
      </w:r>
    </w:p>
    <w:p w14:paraId="34B24643" w14:textId="3591B289" w:rsidR="00C1487D" w:rsidRDefault="00C1487D" w:rsidP="006F16E7">
      <w:pPr>
        <w:pStyle w:val="ListParagraph"/>
        <w:numPr>
          <w:ilvl w:val="0"/>
          <w:numId w:val="6"/>
        </w:numPr>
      </w:pPr>
      <w:r>
        <w:t>documentation requirements and methods</w:t>
      </w:r>
      <w:r w:rsidR="004A25F7">
        <w:t>,</w:t>
      </w:r>
      <w:r w:rsidR="00590D07">
        <w:t xml:space="preserve"> </w:t>
      </w:r>
      <w:r w:rsidR="00966690" w:rsidRPr="00966690">
        <w:t>(10)</w:t>
      </w:r>
      <w:r>
        <w:t xml:space="preserve"> </w:t>
      </w:r>
    </w:p>
    <w:p w14:paraId="363E425F" w14:textId="59A9E3A2" w:rsidR="00C1487D" w:rsidRDefault="00C1487D" w:rsidP="006F16E7">
      <w:pPr>
        <w:pStyle w:val="ListParagraph"/>
        <w:numPr>
          <w:ilvl w:val="0"/>
          <w:numId w:val="6"/>
        </w:numPr>
      </w:pPr>
      <w:r>
        <w:t>the experience and expertise of the therapist</w:t>
      </w:r>
      <w:r w:rsidR="004A25F7">
        <w:t>,</w:t>
      </w:r>
      <w:r>
        <w:t xml:space="preserve"> </w:t>
      </w:r>
      <w:r w:rsidR="00966690" w:rsidRPr="00966690">
        <w:t>(10)</w:t>
      </w:r>
    </w:p>
    <w:p w14:paraId="0D84FBAD" w14:textId="7A1E3E4D" w:rsidR="00C1487D" w:rsidRDefault="00C1487D" w:rsidP="006F16E7">
      <w:pPr>
        <w:pStyle w:val="ListParagraph"/>
        <w:numPr>
          <w:ilvl w:val="0"/>
          <w:numId w:val="6"/>
        </w:numPr>
      </w:pPr>
      <w:r>
        <w:lastRenderedPageBreak/>
        <w:t>the number of vacancies in the team/service</w:t>
      </w:r>
      <w:r w:rsidR="003D11C7">
        <w:t>,</w:t>
      </w:r>
      <w:r>
        <w:t xml:space="preserve"> </w:t>
      </w:r>
      <w:r w:rsidR="001C66E6" w:rsidRPr="001C66E6">
        <w:t>(27)</w:t>
      </w:r>
    </w:p>
    <w:p w14:paraId="41B7C210" w14:textId="298423AD" w:rsidR="00C1487D" w:rsidRDefault="00C1487D" w:rsidP="006F16E7">
      <w:pPr>
        <w:pStyle w:val="ListParagraph"/>
        <w:numPr>
          <w:ilvl w:val="0"/>
          <w:numId w:val="6"/>
        </w:numPr>
      </w:pPr>
      <w:r>
        <w:t>Professional development activities</w:t>
      </w:r>
      <w:r w:rsidR="003D11C7">
        <w:t>.</w:t>
      </w:r>
      <w:r w:rsidR="00CF4B66">
        <w:t xml:space="preserve"> </w:t>
      </w:r>
      <w:r w:rsidR="001C66E6" w:rsidRPr="001C66E6">
        <w:t>(28)</w:t>
      </w:r>
    </w:p>
    <w:p w14:paraId="419CABB7" w14:textId="77777777" w:rsidR="00C1487D" w:rsidRDefault="00C1487D" w:rsidP="00152168">
      <w:pPr>
        <w:pStyle w:val="Heading2"/>
      </w:pPr>
      <w:bookmarkStart w:id="54" w:name="_Toc179376033"/>
      <w:bookmarkStart w:id="55" w:name="_Toc182557351"/>
      <w:r>
        <w:t>Guidelines and tools for determining and managing caseloads/</w:t>
      </w:r>
      <w:proofErr w:type="gramStart"/>
      <w:r>
        <w:t>workloads</w:t>
      </w:r>
      <w:bookmarkEnd w:id="54"/>
      <w:bookmarkEnd w:id="55"/>
      <w:proofErr w:type="gramEnd"/>
    </w:p>
    <w:p w14:paraId="32746565" w14:textId="77777777" w:rsidR="00C1487D" w:rsidRDefault="00C1487D" w:rsidP="00C1487D">
      <w:r>
        <w:t xml:space="preserve">Although no conclusive evidence was found to determine ideal caseloads and workloads, the searches revealed a small number of tools and guidelines that various professions use to calculate or determine caseloads and workloads. </w:t>
      </w:r>
    </w:p>
    <w:p w14:paraId="3662AC55" w14:textId="77777777" w:rsidR="00C1487D" w:rsidRDefault="00C1487D" w:rsidP="00152168">
      <w:pPr>
        <w:pStyle w:val="Heading2"/>
      </w:pPr>
      <w:bookmarkStart w:id="56" w:name="_Toc179376034"/>
      <w:bookmarkStart w:id="57" w:name="_Toc182557352"/>
      <w:r w:rsidRPr="00152168">
        <w:t>Canada</w:t>
      </w:r>
      <w:bookmarkEnd w:id="56"/>
      <w:bookmarkEnd w:id="57"/>
    </w:p>
    <w:p w14:paraId="027A0E27" w14:textId="77777777" w:rsidR="00C1487D" w:rsidRDefault="00C1487D" w:rsidP="00152168">
      <w:pPr>
        <w:pStyle w:val="Heading3"/>
      </w:pPr>
      <w:bookmarkStart w:id="58" w:name="_Toc179376035"/>
      <w:r>
        <w:t>BC Therapy Preferred Practice Guidelines</w:t>
      </w:r>
      <w:bookmarkEnd w:id="58"/>
    </w:p>
    <w:p w14:paraId="1F7D9668" w14:textId="2DD38B24" w:rsidR="00C1487D" w:rsidRDefault="00C1487D" w:rsidP="00C1487D">
      <w:r>
        <w:t>In response to a recruitment and retention crisis in paediatric therapy settings, in 2008, Therapy B</w:t>
      </w:r>
      <w:r w:rsidR="001E0329">
        <w:t xml:space="preserve">ritish </w:t>
      </w:r>
      <w:r>
        <w:t>C</w:t>
      </w:r>
      <w:r w:rsidR="001E0329">
        <w:t>olumbia (BC)</w:t>
      </w:r>
      <w:r>
        <w:t xml:space="preserve"> published a Preferred Practice Guidelines document</w:t>
      </w:r>
      <w:r w:rsidR="004A25F7">
        <w:t>.</w:t>
      </w:r>
      <w:r>
        <w:t xml:space="preserve"> </w:t>
      </w:r>
      <w:r w:rsidR="00966690" w:rsidRPr="00966690">
        <w:t>(10)</w:t>
      </w:r>
      <w:r>
        <w:t xml:space="preserve"> The aim of the guidelines was to assist therapists, administrators, </w:t>
      </w:r>
      <w:proofErr w:type="gramStart"/>
      <w:r>
        <w:t>managers</w:t>
      </w:r>
      <w:proofErr w:type="gramEnd"/>
      <w:r>
        <w:t xml:space="preserve"> and funders involved in the delivery of paediatric therapy services to work towards manageable workloads. The guidelines were based on the literature regarding therapy workload and were informed by the paediatric therapy community in </w:t>
      </w:r>
      <w:r w:rsidR="001E0329">
        <w:t>BC</w:t>
      </w:r>
      <w:r>
        <w:t xml:space="preserve">. </w:t>
      </w:r>
    </w:p>
    <w:p w14:paraId="2FFFDC04" w14:textId="77777777" w:rsidR="00C1487D" w:rsidRDefault="00C1487D" w:rsidP="00C1487D">
      <w:r>
        <w:t>The guidance document outlined the following recommendations for Early Intervention Teams (EIT) and School-Aged Teams (SAT).</w:t>
      </w:r>
    </w:p>
    <w:p w14:paraId="05A853D5" w14:textId="77777777" w:rsidR="00C1487D" w:rsidRDefault="00C1487D" w:rsidP="00152168">
      <w:pPr>
        <w:pStyle w:val="Heading3"/>
      </w:pPr>
      <w:bookmarkStart w:id="59" w:name="_Toc179376036"/>
      <w:r>
        <w:t>EIT Workload Ratio:</w:t>
      </w:r>
      <w:bookmarkEnd w:id="59"/>
      <w:r>
        <w:t xml:space="preserve"> </w:t>
      </w:r>
    </w:p>
    <w:p w14:paraId="25A4C5B5" w14:textId="77777777" w:rsidR="00C1487D" w:rsidRDefault="00C1487D" w:rsidP="00C1487D">
      <w:r>
        <w:t>A full-time clinical paediatric EIT therapist, without administrative responsibilities, is recommended to spend 70%-80% of their time on client-related activities and 20%-30% on non-client related activities.</w:t>
      </w:r>
    </w:p>
    <w:p w14:paraId="3D41747D" w14:textId="77777777" w:rsidR="00C1487D" w:rsidRDefault="00C1487D" w:rsidP="00152168">
      <w:pPr>
        <w:pStyle w:val="Heading3"/>
      </w:pPr>
      <w:bookmarkStart w:id="60" w:name="_Toc179376037"/>
      <w:r>
        <w:t>Caseload Size for EIT:</w:t>
      </w:r>
      <w:bookmarkEnd w:id="60"/>
      <w:r>
        <w:t xml:space="preserve"> </w:t>
      </w:r>
    </w:p>
    <w:p w14:paraId="131EC10B" w14:textId="1D2B11D9" w:rsidR="00C1487D" w:rsidRDefault="00C1487D" w:rsidP="00C1487D">
      <w:r>
        <w:t xml:space="preserve">For a full-time paediatric EIT therapist </w:t>
      </w:r>
      <w:r w:rsidR="00152168">
        <w:t>with no</w:t>
      </w:r>
      <w:r>
        <w:t xml:space="preserve"> administrative responsibilities and a workload percentage of 70% to 80% for client-related activities, the recommended monthly caseload range is 30-40 children. This breakdown includes approximately 20-25 children considered 'active' and 10-15 children considered 'inactive.’ </w:t>
      </w:r>
    </w:p>
    <w:p w14:paraId="1DE09079" w14:textId="77777777" w:rsidR="00C1487D" w:rsidRDefault="00C1487D" w:rsidP="00152168">
      <w:pPr>
        <w:pStyle w:val="Heading3"/>
      </w:pPr>
      <w:bookmarkStart w:id="61" w:name="_Toc179376038"/>
      <w:r>
        <w:t>SAT Workload Ratio:</w:t>
      </w:r>
      <w:bookmarkEnd w:id="61"/>
      <w:r>
        <w:t xml:space="preserve"> </w:t>
      </w:r>
    </w:p>
    <w:p w14:paraId="4B1344C1" w14:textId="77777777" w:rsidR="00C1487D" w:rsidRDefault="00C1487D" w:rsidP="00C1487D">
      <w:r>
        <w:t xml:space="preserve">In the school-aged setting, non-client related activities such as program planning and continuing education are equally important as in the early intervention setting. Thus, the workload ratio guideline for a full-time clinical paediatric SAT therapist without administrative responsibilities is </w:t>
      </w:r>
      <w:proofErr w:type="gramStart"/>
      <w:r>
        <w:t>similar to</w:t>
      </w:r>
      <w:proofErr w:type="gramEnd"/>
      <w:r>
        <w:t xml:space="preserve"> EIT: 70%-80% of the therapist's time should be spent on client-related activities, while 20%-30% should be allocated to non-client related activities.</w:t>
      </w:r>
    </w:p>
    <w:p w14:paraId="3D416EF0" w14:textId="77777777" w:rsidR="00C1487D" w:rsidRDefault="00C1487D" w:rsidP="00152168">
      <w:pPr>
        <w:pStyle w:val="Heading3"/>
      </w:pPr>
      <w:bookmarkStart w:id="62" w:name="_Toc179376039"/>
      <w:r>
        <w:lastRenderedPageBreak/>
        <w:t>Caseload Size for SAT:</w:t>
      </w:r>
      <w:bookmarkEnd w:id="62"/>
      <w:r>
        <w:t xml:space="preserve"> </w:t>
      </w:r>
    </w:p>
    <w:p w14:paraId="1249CA54" w14:textId="77777777" w:rsidR="00C1487D" w:rsidRDefault="00C1487D" w:rsidP="00C1487D">
      <w:r>
        <w:t>For a full-time clinical SAT therapist with no administrative responsibilities and a workload percentage of 70% to 80% for client-related activities, the recommended monthly caseload range is 50-65 children. This breakdown includes approximately 25-35 children considered 'active' and 25-30 children considered 'inactive'.</w:t>
      </w:r>
    </w:p>
    <w:p w14:paraId="33E3A387" w14:textId="5C04E133" w:rsidR="00C1487D" w:rsidRDefault="00C1487D" w:rsidP="0011629A">
      <w:pPr>
        <w:pStyle w:val="Heading3"/>
      </w:pPr>
      <w:bookmarkStart w:id="63" w:name="_Toc179376040"/>
      <w:r>
        <w:t xml:space="preserve">Workload Assessment Tool for Therapists </w:t>
      </w:r>
      <w:bookmarkEnd w:id="63"/>
    </w:p>
    <w:p w14:paraId="3F052F8F" w14:textId="032BF883" w:rsidR="00C1487D" w:rsidRDefault="00980C68" w:rsidP="00C1487D">
      <w:r>
        <w:t>T</w:t>
      </w:r>
      <w:r w:rsidR="00C1487D">
        <w:t>he Workload Assessment Tool for Therapists (WAT-T</w:t>
      </w:r>
      <w:r>
        <w:t>)</w:t>
      </w:r>
      <w:r w:rsidR="00C1487D">
        <w:t xml:space="preserve"> is a points-based caseload measure for early intervention paediatric therapists</w:t>
      </w:r>
      <w:r w:rsidR="004A25F7">
        <w:t>.</w:t>
      </w:r>
      <w:r>
        <w:t xml:space="preserve"> (5)</w:t>
      </w:r>
      <w:r w:rsidR="00C1487D">
        <w:t xml:space="preserve"> It works on the underlying assumption that the same child may be more, or less, complex to therapists with different experience and expertise, and that the workload generated by each child is subjective. The WAT-T is designed to allow therapists to use clinical reflection coupled with their experience to assign complexity points to each client. Therapists can then determine the total number of complexity points on their caseload, rather than the number of children. The tool also works on the assumption that ‘workload manageability’ is also subjective, with the possibility of external personal factors playing a role in a therapist’s perception of manageability. Further research studies were outlined for the WAT-</w:t>
      </w:r>
      <w:proofErr w:type="gramStart"/>
      <w:r w:rsidR="00C1487D">
        <w:t>T</w:t>
      </w:r>
      <w:proofErr w:type="gramEnd"/>
      <w:r w:rsidR="00C1487D">
        <w:t xml:space="preserve"> but no published documents could be found.</w:t>
      </w:r>
    </w:p>
    <w:p w14:paraId="44FE5FA9" w14:textId="378DFBAA" w:rsidR="00C1487D" w:rsidRDefault="00C1487D" w:rsidP="0011629A">
      <w:pPr>
        <w:pStyle w:val="Heading3"/>
      </w:pPr>
      <w:bookmarkStart w:id="64" w:name="_Toc179376041"/>
      <w:r>
        <w:t xml:space="preserve">Caseload Management Planning Tool </w:t>
      </w:r>
      <w:bookmarkEnd w:id="64"/>
    </w:p>
    <w:p w14:paraId="6DA8A0A5" w14:textId="401ADF0E" w:rsidR="00C1487D" w:rsidRDefault="00C1487D" w:rsidP="00C1487D">
      <w:r>
        <w:t>In 2011, the Canadian Association of Occupational Therapists, the Canadian Association of Speech and Language Pathologists and Audiologists and the Canadian Physiotherapy Association collaboratively developed the Caseload Management Planning Tool (</w:t>
      </w:r>
      <w:proofErr w:type="spellStart"/>
      <w:r>
        <w:t>CMPt</w:t>
      </w:r>
      <w:proofErr w:type="spellEnd"/>
      <w:r>
        <w:t>)</w:t>
      </w:r>
      <w:r w:rsidR="004A25F7">
        <w:t>.</w:t>
      </w:r>
      <w:r w:rsidR="00CF4B66">
        <w:t xml:space="preserve"> </w:t>
      </w:r>
      <w:r w:rsidR="001C66E6" w:rsidRPr="001C66E6">
        <w:t>(29)</w:t>
      </w:r>
      <w:r>
        <w:t xml:space="preserve"> The evidenced-based tool was designed for use by SLPs, OTs, </w:t>
      </w:r>
      <w:proofErr w:type="gramStart"/>
      <w:r>
        <w:t>PTs</w:t>
      </w:r>
      <w:proofErr w:type="gramEnd"/>
      <w:r>
        <w:t xml:space="preserve"> and other healthcare professionals. It guides users through a structured process to determine the number of clients that individual therapists can manage </w:t>
      </w:r>
      <w:r w:rsidR="0011629A">
        <w:t>effectively,</w:t>
      </w:r>
      <w:r>
        <w:t xml:space="preserve"> or the number of therapists required to manage the client needs of a particular service. The </w:t>
      </w:r>
      <w:proofErr w:type="spellStart"/>
      <w:r>
        <w:t>CMPt</w:t>
      </w:r>
      <w:proofErr w:type="spellEnd"/>
      <w:r>
        <w:t xml:space="preserve"> provides a mechanism to model caseloads to determine the time and human resource requirements for effective caseload/workload management. The tool brings users through a three-step process that matches available human resource time to clients’ time requirements based on the complexity of interventions. The steps are:</w:t>
      </w:r>
    </w:p>
    <w:p w14:paraId="7927DA5E" w14:textId="3EABB0BA" w:rsidR="00C1487D" w:rsidRDefault="00C1487D" w:rsidP="00CF4B66">
      <w:pPr>
        <w:pStyle w:val="ListParagraph"/>
        <w:numPr>
          <w:ilvl w:val="0"/>
          <w:numId w:val="11"/>
        </w:numPr>
      </w:pPr>
      <w:r>
        <w:t>Determine Human Resources time</w:t>
      </w:r>
      <w:r w:rsidR="00CF4B66">
        <w:t>,</w:t>
      </w:r>
    </w:p>
    <w:p w14:paraId="08F12EE1" w14:textId="5BA79B9F" w:rsidR="00C1487D" w:rsidRDefault="00C1487D" w:rsidP="00CF4B66">
      <w:pPr>
        <w:pStyle w:val="ListParagraph"/>
        <w:numPr>
          <w:ilvl w:val="0"/>
          <w:numId w:val="11"/>
        </w:numPr>
      </w:pPr>
      <w:r>
        <w:t>Determine Client intervention time</w:t>
      </w:r>
      <w:r w:rsidR="00CF4B66">
        <w:t>,</w:t>
      </w:r>
    </w:p>
    <w:p w14:paraId="27A0226A" w14:textId="480A0A9D" w:rsidR="00C1487D" w:rsidRDefault="00C1487D" w:rsidP="00CF4B66">
      <w:pPr>
        <w:pStyle w:val="ListParagraph"/>
        <w:numPr>
          <w:ilvl w:val="1"/>
          <w:numId w:val="11"/>
        </w:numPr>
      </w:pPr>
      <w:r>
        <w:t>Classify Clients</w:t>
      </w:r>
      <w:r w:rsidR="00CF4B66">
        <w:t>,</w:t>
      </w:r>
    </w:p>
    <w:p w14:paraId="45550A95" w14:textId="4445F96F" w:rsidR="00C1487D" w:rsidRDefault="00C1487D" w:rsidP="00CF4B66">
      <w:pPr>
        <w:pStyle w:val="ListParagraph"/>
        <w:numPr>
          <w:ilvl w:val="1"/>
          <w:numId w:val="11"/>
        </w:numPr>
      </w:pPr>
      <w:r>
        <w:t>Rate Complexity of interventions</w:t>
      </w:r>
      <w:r w:rsidR="00CF4B66">
        <w:t>,</w:t>
      </w:r>
    </w:p>
    <w:p w14:paraId="6A83DA4E" w14:textId="4B7EED57" w:rsidR="00C1487D" w:rsidRDefault="00C1487D" w:rsidP="00CF4B66">
      <w:pPr>
        <w:pStyle w:val="ListParagraph"/>
        <w:numPr>
          <w:ilvl w:val="1"/>
          <w:numId w:val="11"/>
        </w:numPr>
      </w:pPr>
      <w:r>
        <w:t>Estimate intervention times</w:t>
      </w:r>
      <w:r w:rsidR="00CF4B66">
        <w:t>,</w:t>
      </w:r>
    </w:p>
    <w:p w14:paraId="5F5ADCEB" w14:textId="5F641086" w:rsidR="00C1487D" w:rsidRDefault="00C1487D" w:rsidP="00CF4B66">
      <w:pPr>
        <w:pStyle w:val="ListParagraph"/>
        <w:numPr>
          <w:ilvl w:val="0"/>
          <w:numId w:val="11"/>
        </w:numPr>
      </w:pPr>
      <w:r>
        <w:lastRenderedPageBreak/>
        <w:t>Match Client intervention times to Human Resources time</w:t>
      </w:r>
      <w:r w:rsidR="00CF4B66">
        <w:t>.</w:t>
      </w:r>
    </w:p>
    <w:p w14:paraId="3BDA0381" w14:textId="14EA1F4C" w:rsidR="00C1487D" w:rsidRDefault="00C1487D" w:rsidP="00C1487D">
      <w:r>
        <w:t xml:space="preserve">The </w:t>
      </w:r>
      <w:proofErr w:type="spellStart"/>
      <w:r>
        <w:t>CMPt</w:t>
      </w:r>
      <w:proofErr w:type="spellEnd"/>
      <w:r>
        <w:t xml:space="preserve"> is intended to be used primarily by managers and administrators for human resources planning and workload allocation. Clinicians may also use the </w:t>
      </w:r>
      <w:proofErr w:type="spellStart"/>
      <w:r>
        <w:t>CMPt</w:t>
      </w:r>
      <w:proofErr w:type="spellEnd"/>
      <w:r>
        <w:t xml:space="preserve"> to examine and reflect on their caseload and practice management and in collaboration with managers to discuss strategies to address </w:t>
      </w:r>
      <w:r w:rsidR="00062317">
        <w:t>the demands that therapists face</w:t>
      </w:r>
      <w:r>
        <w:t xml:space="preserve">. The </w:t>
      </w:r>
      <w:proofErr w:type="spellStart"/>
      <w:r>
        <w:t>CMPt</w:t>
      </w:r>
      <w:proofErr w:type="spellEnd"/>
      <w:r>
        <w:t xml:space="preserve"> can be used when working with clients on an individual or group basis. The tool is free to members of the professional organisations and can be purchased by non-members.</w:t>
      </w:r>
    </w:p>
    <w:p w14:paraId="35C5476D" w14:textId="77777777" w:rsidR="00C1487D" w:rsidRDefault="00C1487D" w:rsidP="0011629A">
      <w:pPr>
        <w:pStyle w:val="Heading2"/>
      </w:pPr>
      <w:bookmarkStart w:id="65" w:name="_Toc179376042"/>
      <w:bookmarkStart w:id="66" w:name="_Toc182557353"/>
      <w:r>
        <w:t>USA</w:t>
      </w:r>
      <w:bookmarkEnd w:id="65"/>
      <w:bookmarkEnd w:id="66"/>
    </w:p>
    <w:p w14:paraId="6C51F916" w14:textId="551EEF25" w:rsidR="00C1487D" w:rsidRDefault="00C1487D" w:rsidP="0011629A">
      <w:pPr>
        <w:pStyle w:val="Heading3"/>
      </w:pPr>
      <w:bookmarkStart w:id="67" w:name="_Toc179376043"/>
      <w:r>
        <w:t>State-by-</w:t>
      </w:r>
      <w:r w:rsidR="00043A3F">
        <w:t>state</w:t>
      </w:r>
      <w:r>
        <w:t xml:space="preserve"> </w:t>
      </w:r>
      <w:proofErr w:type="gramStart"/>
      <w:r>
        <w:t>guidance</w:t>
      </w:r>
      <w:bookmarkEnd w:id="67"/>
      <w:proofErr w:type="gramEnd"/>
    </w:p>
    <w:p w14:paraId="1FCDAEB1" w14:textId="25F93287" w:rsidR="00C1487D" w:rsidRDefault="00C1487D" w:rsidP="00C1487D">
      <w:proofErr w:type="spellStart"/>
      <w:r>
        <w:t>Seruya</w:t>
      </w:r>
      <w:proofErr w:type="spellEnd"/>
      <w:r>
        <w:t xml:space="preserve"> and Garfinkle compiled a list of available guidelines related to providing </w:t>
      </w:r>
      <w:r w:rsidR="0011629A">
        <w:t>school-based</w:t>
      </w:r>
      <w:r>
        <w:t xml:space="preserve"> </w:t>
      </w:r>
      <w:r w:rsidR="003D13F4">
        <w:t>OT</w:t>
      </w:r>
      <w:r>
        <w:t xml:space="preserve"> and </w:t>
      </w:r>
      <w:r w:rsidR="003D13F4">
        <w:t>PT</w:t>
      </w:r>
      <w:r>
        <w:t xml:space="preserve"> services in the United States. Available guidelines were searched by the author to identify state specific guidance for caseloads and workloads. A minority of states provide specific guidance around appropriate caseloads (a summary of a sample of these are presented below). Most States guidelines did not recommend or stipulate a specific </w:t>
      </w:r>
      <w:proofErr w:type="gramStart"/>
      <w:r>
        <w:t>number,</w:t>
      </w:r>
      <w:proofErr w:type="gramEnd"/>
      <w:r>
        <w:t xml:space="preserve"> however, </w:t>
      </w:r>
      <w:r w:rsidR="00967B3A">
        <w:t>they</w:t>
      </w:r>
      <w:r>
        <w:t xml:space="preserve"> acknowledged that this is difficult to determine </w:t>
      </w:r>
      <w:r w:rsidR="00B142D4" w:rsidRPr="00B142D4">
        <w:t>(for example, 28,29)</w:t>
      </w:r>
      <w:r>
        <w:t xml:space="preserve">. From data gathered through a 2022 Schools Survey, ASHA </w:t>
      </w:r>
      <w:r w:rsidR="00967B3A">
        <w:t>compiled</w:t>
      </w:r>
      <w:r>
        <w:t xml:space="preserve"> a </w:t>
      </w:r>
      <w:r w:rsidR="00967B3A">
        <w:t>s</w:t>
      </w:r>
      <w:r>
        <w:t>tate-by-</w:t>
      </w:r>
      <w:r w:rsidR="00967B3A">
        <w:t>s</w:t>
      </w:r>
      <w:r>
        <w:t xml:space="preserve">tate list of recommended </w:t>
      </w:r>
      <w:proofErr w:type="gramStart"/>
      <w:r>
        <w:t>minimum</w:t>
      </w:r>
      <w:proofErr w:type="gramEnd"/>
      <w:r>
        <w:t xml:space="preserve"> and maximum caseloads for </w:t>
      </w:r>
      <w:r w:rsidR="001E0329">
        <w:t>SLPs</w:t>
      </w:r>
      <w:r>
        <w:t xml:space="preserve"> in the United States. </w:t>
      </w:r>
      <w:r w:rsidR="00967B3A">
        <w:t>Most</w:t>
      </w:r>
      <w:r>
        <w:t xml:space="preserve"> states did not have recommendations for maximum caseloads. Those that did, varied widely and ranged from a maximum of 30 students per therapist (Alabama) to 80 students per therapist (Ohio), with an average of 55 children per therapist</w:t>
      </w:r>
      <w:r w:rsidR="001E0329">
        <w:t>.</w:t>
      </w:r>
      <w:r>
        <w:t xml:space="preserve"> The reasons for such variability include, but are not limited to, that some states (</w:t>
      </w:r>
      <w:r w:rsidR="00B142D4">
        <w:t>for example,</w:t>
      </w:r>
      <w:r>
        <w:t xml:space="preserve"> Louisiana, Oklahoma and Indiana) use formulas, others do not; there is likely variability in how ‘caseload’ is defined and understood across states; some states might include the number of students receiving intervention in general education while others may only include those receiving services outside general education; some states may only consider direct and not indirect services; and some </w:t>
      </w:r>
      <w:r w:rsidR="00980C68">
        <w:t xml:space="preserve">states may consider the </w:t>
      </w:r>
      <w:r>
        <w:t>difference between pre-school and school age while others do not</w:t>
      </w:r>
      <w:r w:rsidR="004A5DA9">
        <w:t>.</w:t>
      </w:r>
      <w:r>
        <w:t xml:space="preserve"> </w:t>
      </w:r>
      <w:r w:rsidR="001C66E6" w:rsidRPr="001C66E6">
        <w:t>(32)</w:t>
      </w:r>
      <w:r>
        <w:t xml:space="preserve"> </w:t>
      </w:r>
    </w:p>
    <w:p w14:paraId="30B36CC8" w14:textId="77777777" w:rsidR="00C1487D" w:rsidRDefault="00C1487D" w:rsidP="0011629A">
      <w:pPr>
        <w:pStyle w:val="Heading3"/>
      </w:pPr>
      <w:bookmarkStart w:id="68" w:name="_Toc179376044"/>
      <w:r>
        <w:t>Nevada Department of Education</w:t>
      </w:r>
      <w:bookmarkEnd w:id="68"/>
    </w:p>
    <w:p w14:paraId="6E60FC23" w14:textId="08B2EE59" w:rsidR="00C1487D" w:rsidRDefault="00C1487D" w:rsidP="00C1487D">
      <w:r>
        <w:t xml:space="preserve">In their guidance for </w:t>
      </w:r>
      <w:r w:rsidR="001E0329">
        <w:t>OTs</w:t>
      </w:r>
      <w:r>
        <w:t xml:space="preserve"> for filling out caseload reports, the Nevada Department of Education advises that a general figure that can be used to begin caseload design is to consider a ‘one day a week’ caseload of up to 10 students at up to two sites. For a full-time OTs, this translates to a full caseload of 40-50 students across 8-10 different sites.</w:t>
      </w:r>
    </w:p>
    <w:p w14:paraId="19B5AF7F" w14:textId="77777777" w:rsidR="00C1487D" w:rsidRDefault="00C1487D" w:rsidP="0011629A">
      <w:pPr>
        <w:pStyle w:val="Heading3"/>
      </w:pPr>
      <w:bookmarkStart w:id="69" w:name="_Toc179376045"/>
      <w:r>
        <w:t>North Carolina</w:t>
      </w:r>
      <w:bookmarkEnd w:id="69"/>
      <w:r>
        <w:t xml:space="preserve"> </w:t>
      </w:r>
    </w:p>
    <w:p w14:paraId="6A1A5A73" w14:textId="486513AC" w:rsidR="00C1487D" w:rsidRDefault="00C1487D" w:rsidP="00C1487D">
      <w:r>
        <w:t>North Carolina has a legislated caseload cap of no more than 50 students per practitioner</w:t>
      </w:r>
      <w:r w:rsidR="004A5DA9">
        <w:t>.</w:t>
      </w:r>
      <w:r w:rsidR="00193AE0">
        <w:t xml:space="preserve"> </w:t>
      </w:r>
      <w:r w:rsidR="001C66E6" w:rsidRPr="001C66E6">
        <w:t>(33)</w:t>
      </w:r>
      <w:r>
        <w:t xml:space="preserve"> North Carolina’s OT, PT, and SLP Workload Calculator and associated guidance supports building and district-level </w:t>
      </w:r>
      <w:r>
        <w:lastRenderedPageBreak/>
        <w:t>administrators in determining staffing and workload allocation for OT, PT, and SLP staff in North Carolina schools. The Calculator is an adapted version of ASHA’s Workload Calculator (see below)</w:t>
      </w:r>
      <w:r w:rsidR="004A5DA9">
        <w:t>.</w:t>
      </w:r>
      <w:r w:rsidR="00193AE0">
        <w:t xml:space="preserve"> </w:t>
      </w:r>
      <w:r w:rsidR="00966690" w:rsidRPr="00966690">
        <w:t>(7)</w:t>
      </w:r>
    </w:p>
    <w:p w14:paraId="100CDA47" w14:textId="77777777" w:rsidR="00C1487D" w:rsidRDefault="00C1487D" w:rsidP="0011629A">
      <w:pPr>
        <w:pStyle w:val="Heading3"/>
      </w:pPr>
      <w:bookmarkStart w:id="70" w:name="_Toc179376046"/>
      <w:r>
        <w:t>Maine Department of Education</w:t>
      </w:r>
      <w:bookmarkEnd w:id="70"/>
    </w:p>
    <w:p w14:paraId="581E89DE" w14:textId="5B64A905" w:rsidR="00C1487D" w:rsidRDefault="00C1487D" w:rsidP="00C1487D">
      <w:r>
        <w:t xml:space="preserve">Maine Department of Education state that, for OTs, PTs and </w:t>
      </w:r>
      <w:r w:rsidR="001E0329">
        <w:t>Speech and Language Therapists (</w:t>
      </w:r>
      <w:r>
        <w:t>SLTs</w:t>
      </w:r>
      <w:r w:rsidR="001E0329">
        <w:t>)</w:t>
      </w:r>
      <w:r>
        <w:t>, the maximum child-therapist caseload, including case management, consultation, and direct services, shall not exceed 50 for each full-time equivalent therapist</w:t>
      </w:r>
      <w:r w:rsidR="004A5DA9">
        <w:t>.</w:t>
      </w:r>
      <w:r>
        <w:t xml:space="preserve"> </w:t>
      </w:r>
      <w:r w:rsidR="001C66E6" w:rsidRPr="001C66E6">
        <w:t>(34)</w:t>
      </w:r>
    </w:p>
    <w:p w14:paraId="269BECB5" w14:textId="77777777" w:rsidR="00C1487D" w:rsidRDefault="00C1487D" w:rsidP="0011629A">
      <w:pPr>
        <w:pStyle w:val="Heading3"/>
      </w:pPr>
      <w:bookmarkStart w:id="71" w:name="_Toc179376047"/>
      <w:r>
        <w:t>Wisconsin Department of Public Instruction</w:t>
      </w:r>
      <w:bookmarkEnd w:id="71"/>
      <w:r>
        <w:t xml:space="preserve"> </w:t>
      </w:r>
    </w:p>
    <w:p w14:paraId="46D4942D" w14:textId="1FB3CC85" w:rsidR="00C1487D" w:rsidRDefault="00C1487D" w:rsidP="00C1487D">
      <w:r>
        <w:t>In their publication ‘Occupation</w:t>
      </w:r>
      <w:r w:rsidR="003D13F4">
        <w:t>al</w:t>
      </w:r>
      <w:r>
        <w:t xml:space="preserve"> Therapy and Physical Therapy, a Resource and Planning Guide</w:t>
      </w:r>
      <w:r w:rsidR="004A5DA9">
        <w:t>.</w:t>
      </w:r>
      <w:r>
        <w:t xml:space="preserve"> </w:t>
      </w:r>
      <w:r w:rsidR="001C66E6" w:rsidRPr="001C66E6">
        <w:t>(35)</w:t>
      </w:r>
      <w:r>
        <w:t xml:space="preserve"> The Wisconsin Department of Public Instruction outline the Caseload requirements for OTs and </w:t>
      </w:r>
      <w:proofErr w:type="spellStart"/>
      <w:r>
        <w:t>PTs.</w:t>
      </w:r>
      <w:proofErr w:type="spellEnd"/>
      <w:r>
        <w:t xml:space="preserve"> The minimum caseload for a full-time therapist is 15 students. The maximum caseload for a full-time therapist is 30 students, but with a licensed assistant(s), this may increase to 45 students. Caseload is prorated for part-time therapists. Variance is permitted based on several identified factors, including the frequency and duration of the service, travel time, evaluations, preparation, and other student-related activities. </w:t>
      </w:r>
    </w:p>
    <w:p w14:paraId="64455391" w14:textId="77777777" w:rsidR="00C1487D" w:rsidRDefault="00C1487D" w:rsidP="0011629A">
      <w:pPr>
        <w:pStyle w:val="Heading3"/>
      </w:pPr>
      <w:bookmarkStart w:id="72" w:name="_Toc179376048"/>
      <w:r>
        <w:t>ASHA Workload Calculator</w:t>
      </w:r>
      <w:bookmarkEnd w:id="72"/>
    </w:p>
    <w:p w14:paraId="52A3DDFB" w14:textId="69364872" w:rsidR="00C1487D" w:rsidRDefault="00C1487D" w:rsidP="00C1487D">
      <w:r>
        <w:t>ASHA, who strongly advocate for a Workload approach to managing caseloads, have developed the Workload Calculator</w:t>
      </w:r>
      <w:r w:rsidR="00193AE0">
        <w:t xml:space="preserve"> </w:t>
      </w:r>
      <w:r w:rsidR="00966690" w:rsidRPr="00966690">
        <w:t>(7)</w:t>
      </w:r>
      <w:r>
        <w:t xml:space="preserve"> which SLPs can use to calculate and analyse their workload. The calculator allows practitioners to determine the amount and frequency of workload activities including direct and indirect services, administration tasks and so on. SLPs can choose from three available calculators: Weekly (to determine workload responsibilities over a typical week), Monthly (to determine workload responsibilities over a typical month) or the </w:t>
      </w:r>
      <w:proofErr w:type="spellStart"/>
      <w:r>
        <w:t>Telepractice</w:t>
      </w:r>
      <w:proofErr w:type="spellEnd"/>
      <w:r>
        <w:t xml:space="preserve"> editions (to identify the amount of time spent preparing, </w:t>
      </w:r>
      <w:proofErr w:type="gramStart"/>
      <w:r>
        <w:t>learning</w:t>
      </w:r>
      <w:proofErr w:type="gramEnd"/>
      <w:r>
        <w:t xml:space="preserve"> and using technology to deliver speech-language services). SLPs enter the time spent on direct and indirect services, </w:t>
      </w:r>
      <w:proofErr w:type="gramStart"/>
      <w:r>
        <w:t>compliance</w:t>
      </w:r>
      <w:proofErr w:type="gramEnd"/>
      <w:r>
        <w:t xml:space="preserve"> and other activities into the calculator. The calculator then generates high level and detailed reports and visualisations of the data that the SLP can use to analyse and manage their workload. </w:t>
      </w:r>
    </w:p>
    <w:p w14:paraId="7387CD22" w14:textId="77777777" w:rsidR="00C1487D" w:rsidRDefault="00C1487D" w:rsidP="00C1487D">
      <w:r>
        <w:t xml:space="preserve">ASHA also developed a companion tool called the ASHA Workload Analysis Calculator. This tool allows SLPs to examine how much each student on their caseloads contributes to their overall workload. This is also available as a weekly or monthly calculator. Therapists enter the number of hours spent each day/week on various activities for each student on their caseload. </w:t>
      </w:r>
    </w:p>
    <w:p w14:paraId="3BD58138" w14:textId="0A2B1A63" w:rsidR="00C1487D" w:rsidRDefault="00C1487D" w:rsidP="00C1487D">
      <w:r>
        <w:t>After completing the Workload Calculators, SLPs are encouraged to create a Workload Action Plan to address their specific workload issues using another tool developed by ASHA. The Workload Action Plan requires SL</w:t>
      </w:r>
      <w:r w:rsidR="00392EB9">
        <w:t>P</w:t>
      </w:r>
      <w:r>
        <w:t xml:space="preserve">s to list and prioritise the three most time-intensive activities identified by </w:t>
      </w:r>
      <w:r>
        <w:lastRenderedPageBreak/>
        <w:t>the calculator, identify next steps to address the issues, identify the resources required and develop an estimated timeline for completion. The tool is available online.</w:t>
      </w:r>
    </w:p>
    <w:p w14:paraId="08CB2288" w14:textId="77777777" w:rsidR="00C1487D" w:rsidRDefault="00C1487D" w:rsidP="009F4D97">
      <w:pPr>
        <w:pStyle w:val="H3Heading3NDA"/>
      </w:pPr>
      <w:bookmarkStart w:id="73" w:name="_Toc179376049"/>
      <w:r>
        <w:t>Time studies</w:t>
      </w:r>
      <w:bookmarkEnd w:id="73"/>
    </w:p>
    <w:p w14:paraId="73F85F12" w14:textId="28E00ACD" w:rsidR="00C1487D" w:rsidRDefault="00C1487D" w:rsidP="00C1487D">
      <w:r>
        <w:t xml:space="preserve">Time studies are a simple way for therapists to analyse how much time they spend completing each of the responsibilities in their workload. To conduct a time study, the therapist documents how much time they spend on each activity for a working week. At the end of the week, the therapists </w:t>
      </w:r>
      <w:r w:rsidR="00392EB9">
        <w:t>categorise</w:t>
      </w:r>
      <w:r>
        <w:t xml:space="preserve"> their activities and determines the percentage of time they spent performing each workload responsibility. </w:t>
      </w:r>
      <w:proofErr w:type="spellStart"/>
      <w:r>
        <w:t>Seruya</w:t>
      </w:r>
      <w:proofErr w:type="spellEnd"/>
      <w:r>
        <w:t xml:space="preserve"> and Garfinkle, have developed resources that are freely available online to assist therapists to conduct accurate times studies</w:t>
      </w:r>
      <w:r w:rsidR="004A5DA9">
        <w:t>.</w:t>
      </w:r>
      <w:r w:rsidR="00193AE0">
        <w:t xml:space="preserve"> </w:t>
      </w:r>
      <w:r w:rsidR="00193AE0" w:rsidRPr="00193AE0">
        <w:t>(23)</w:t>
      </w:r>
    </w:p>
    <w:p w14:paraId="1A642110" w14:textId="77777777" w:rsidR="00C1487D" w:rsidRDefault="00C1487D" w:rsidP="0011629A">
      <w:pPr>
        <w:pStyle w:val="Heading2"/>
      </w:pPr>
      <w:bookmarkStart w:id="74" w:name="_Toc179376050"/>
      <w:bookmarkStart w:id="75" w:name="_Toc182557354"/>
      <w:r>
        <w:t>UK</w:t>
      </w:r>
      <w:bookmarkEnd w:id="74"/>
      <w:bookmarkEnd w:id="75"/>
    </w:p>
    <w:p w14:paraId="0E552F78" w14:textId="77777777" w:rsidR="00C1487D" w:rsidRDefault="00C1487D" w:rsidP="009F4D97">
      <w:pPr>
        <w:pStyle w:val="H3Heading3NDA"/>
      </w:pPr>
      <w:bookmarkStart w:id="76" w:name="_Toc179376051"/>
      <w:r>
        <w:t>The Management and Supervision Tool (</w:t>
      </w:r>
      <w:proofErr w:type="spellStart"/>
      <w:r>
        <w:t>MaST</w:t>
      </w:r>
      <w:proofErr w:type="spellEnd"/>
      <w:r>
        <w:t>)</w:t>
      </w:r>
      <w:bookmarkEnd w:id="76"/>
    </w:p>
    <w:p w14:paraId="750ABB19" w14:textId="63D1F60A" w:rsidR="00C1487D" w:rsidRDefault="00C1487D" w:rsidP="00C1487D">
      <w:r>
        <w:t>In response to rising caseloads among community mental healthcare teams in the UK, Mersey Care</w:t>
      </w:r>
      <w:r w:rsidR="00392EB9">
        <w:t xml:space="preserve"> Health Service (</w:t>
      </w:r>
      <w:r>
        <w:t>NHS</w:t>
      </w:r>
      <w:r w:rsidR="00392EB9">
        <w:t>)</w:t>
      </w:r>
      <w:r>
        <w:t xml:space="preserve"> Foundation Trust developed the Management and Supervision tool</w:t>
      </w:r>
      <w:r w:rsidR="004A5DA9">
        <w:t>.</w:t>
      </w:r>
      <w:r w:rsidR="00193AE0">
        <w:t xml:space="preserve"> </w:t>
      </w:r>
      <w:r w:rsidR="001C66E6" w:rsidRPr="001C66E6">
        <w:t>(36)</w:t>
      </w:r>
      <w:r>
        <w:t xml:space="preserve"> This is a decision support tool that uses predictive analytics to help mental health staff make better decisions about the resources they use to provide safer and higher quality care. It relies on a Risk of Crisis algorithm which uses retrospective data from mental health electronic health records. </w:t>
      </w:r>
      <w:proofErr w:type="spellStart"/>
      <w:r>
        <w:t>MaST</w:t>
      </w:r>
      <w:proofErr w:type="spellEnd"/>
      <w:r>
        <w:t xml:space="preserve"> determines the likelihood of any given </w:t>
      </w:r>
      <w:r w:rsidR="00735BAC">
        <w:t>client</w:t>
      </w:r>
      <w:r>
        <w:t xml:space="preserve"> using crisis services within the following 28 days. By using these insights, </w:t>
      </w:r>
      <w:r w:rsidR="00735BAC">
        <w:t>clients</w:t>
      </w:r>
      <w:r>
        <w:t xml:space="preserve"> can be grouped into cohorts to understand the resources required to support their care. </w:t>
      </w:r>
      <w:proofErr w:type="spellStart"/>
      <w:r>
        <w:t>MaST</w:t>
      </w:r>
      <w:proofErr w:type="spellEnd"/>
      <w:r>
        <w:t xml:space="preserve"> allows the practitioner to prioritise their interventions and move to a preventative rather than treatment focused model of care. Reported benefits of implementing </w:t>
      </w:r>
      <w:proofErr w:type="spellStart"/>
      <w:r>
        <w:t>MaST</w:t>
      </w:r>
      <w:proofErr w:type="spellEnd"/>
      <w:r>
        <w:t xml:space="preserve"> in relation to caseload management include:</w:t>
      </w:r>
    </w:p>
    <w:p w14:paraId="37B8AA3D" w14:textId="58BADD9A" w:rsidR="00C1487D" w:rsidRDefault="00C1487D" w:rsidP="006F16E7">
      <w:pPr>
        <w:pStyle w:val="ListParagraph"/>
        <w:numPr>
          <w:ilvl w:val="0"/>
          <w:numId w:val="6"/>
        </w:numPr>
      </w:pPr>
      <w:r>
        <w:t>improved identification of people at high risk of crisis</w:t>
      </w:r>
      <w:r w:rsidR="00CF4B66">
        <w:t>,</w:t>
      </w:r>
    </w:p>
    <w:p w14:paraId="4267BF40" w14:textId="13D442ED" w:rsidR="00C1487D" w:rsidRDefault="00C1487D" w:rsidP="006F16E7">
      <w:pPr>
        <w:pStyle w:val="ListParagraph"/>
        <w:numPr>
          <w:ilvl w:val="0"/>
          <w:numId w:val="6"/>
        </w:numPr>
      </w:pPr>
      <w:r>
        <w:t>improved identification of people who are lower risk and less complex who may require a different level of care</w:t>
      </w:r>
      <w:r w:rsidR="00CF4B66">
        <w:t>,</w:t>
      </w:r>
    </w:p>
    <w:p w14:paraId="2120D2F8" w14:textId="7B7E3310" w:rsidR="00C1487D" w:rsidRDefault="00C1487D" w:rsidP="006F16E7">
      <w:pPr>
        <w:pStyle w:val="ListParagraph"/>
        <w:numPr>
          <w:ilvl w:val="0"/>
          <w:numId w:val="6"/>
        </w:numPr>
      </w:pPr>
      <w:r>
        <w:t>Increased number of people stepped down from community mental health teams to a more appropriate service for their needs such as primary care, voluntary sector services or other community support</w:t>
      </w:r>
      <w:r w:rsidR="00CF4B66">
        <w:t>,</w:t>
      </w:r>
    </w:p>
    <w:p w14:paraId="034A29F9" w14:textId="2B23C431" w:rsidR="00C1487D" w:rsidRDefault="00C1487D" w:rsidP="006F16E7">
      <w:pPr>
        <w:pStyle w:val="ListParagraph"/>
        <w:numPr>
          <w:ilvl w:val="0"/>
          <w:numId w:val="6"/>
        </w:numPr>
      </w:pPr>
      <w:r>
        <w:t>enabled proactive contact with people who are vulnerable and may otherwise be lost to follow up</w:t>
      </w:r>
      <w:r w:rsidR="00CF4B66">
        <w:t>,</w:t>
      </w:r>
    </w:p>
    <w:p w14:paraId="4F38D992" w14:textId="162A5FA6" w:rsidR="00C1487D" w:rsidRDefault="00C1487D" w:rsidP="006F16E7">
      <w:pPr>
        <w:pStyle w:val="ListParagraph"/>
        <w:numPr>
          <w:ilvl w:val="0"/>
          <w:numId w:val="6"/>
        </w:numPr>
      </w:pPr>
      <w:r>
        <w:t>improved staff engagement with technology to support better clinical decisions day to day</w:t>
      </w:r>
      <w:r w:rsidR="00CF4B66">
        <w:t>,</w:t>
      </w:r>
    </w:p>
    <w:p w14:paraId="52FFA502" w14:textId="77777777" w:rsidR="00C1487D" w:rsidRDefault="00C1487D" w:rsidP="0011629A">
      <w:pPr>
        <w:pStyle w:val="Heading2"/>
      </w:pPr>
      <w:bookmarkStart w:id="77" w:name="_Toc179376052"/>
      <w:bookmarkStart w:id="78" w:name="_Toc182557355"/>
      <w:r>
        <w:lastRenderedPageBreak/>
        <w:t>Consequences of unmanageable caseloads and workloads</w:t>
      </w:r>
      <w:bookmarkEnd w:id="77"/>
      <w:bookmarkEnd w:id="78"/>
    </w:p>
    <w:p w14:paraId="346A2EF2" w14:textId="06D593BF" w:rsidR="00C1487D" w:rsidRDefault="00C1487D" w:rsidP="00C1487D">
      <w:r>
        <w:t xml:space="preserve">The importance of developing effective methods of establishing appropriate caseloads and workloads is evident when the consequences of unmanageable caseloads and workloads are examined. In a survey of </w:t>
      </w:r>
      <w:r w:rsidR="006C49F8">
        <w:t>OTs</w:t>
      </w:r>
      <w:r>
        <w:t xml:space="preserve"> providing children’s disability services in Ireland, conducted by AOTI</w:t>
      </w:r>
      <w:r w:rsidR="004A5DA9">
        <w:t>,</w:t>
      </w:r>
      <w:r>
        <w:t xml:space="preserve"> </w:t>
      </w:r>
      <w:r w:rsidR="00CF4B66" w:rsidRPr="00CF4B66">
        <w:t>(11)</w:t>
      </w:r>
      <w:r>
        <w:t xml:space="preserve"> respondents reported that high caseload numbers (cited by 91% of respondents) and poor staffing levels (cited by 90% of respondents) were having a negative impact on their current practice. Respondents felt that they were ‘firefighting’ and trying to ‘keep above water’ rather than providing comprehensive </w:t>
      </w:r>
      <w:r w:rsidR="003D13F4">
        <w:t>OT</w:t>
      </w:r>
      <w:r>
        <w:t xml:space="preserve"> services. Respondents also felt that the allocated number of therapists was inadequate and unsafe. Similarly, in a recent survey of </w:t>
      </w:r>
      <w:r w:rsidR="00392EB9">
        <w:t>OTs</w:t>
      </w:r>
      <w:r>
        <w:t xml:space="preserve"> in Oregon, USA, 83% of respondents reported that their workload impacted their ability to provide services to children in school-based settings</w:t>
      </w:r>
      <w:r w:rsidR="004A5DA9">
        <w:t>.</w:t>
      </w:r>
      <w:r>
        <w:t xml:space="preserve"> (26) These results are consistent across the literature with numerous papers reporting that high caseloads meant that therapists were unable to provide adequate services and meet the expectations of families</w:t>
      </w:r>
      <w:r w:rsidR="004A5DA9">
        <w:t>.</w:t>
      </w:r>
      <w:r>
        <w:t xml:space="preserve"> </w:t>
      </w:r>
      <w:r w:rsidR="001C66E6" w:rsidRPr="001C66E6">
        <w:t>(2,7,8,10,11,23,35,37,38)</w:t>
      </w:r>
    </w:p>
    <w:p w14:paraId="6897BEFF" w14:textId="3DF202C3" w:rsidR="00C1487D" w:rsidRDefault="00C1487D" w:rsidP="00C1487D">
      <w:proofErr w:type="gramStart"/>
      <w:r>
        <w:t>Considering these findings, it</w:t>
      </w:r>
      <w:proofErr w:type="gramEnd"/>
      <w:r>
        <w:t xml:space="preserve"> is unsurprising that high caseloads and workloads have been consistently linked to poor job satisfaction among therapists</w:t>
      </w:r>
      <w:r w:rsidR="004A5DA9">
        <w:t>.</w:t>
      </w:r>
      <w:r>
        <w:t xml:space="preserve"> </w:t>
      </w:r>
      <w:r w:rsidR="00966690" w:rsidRPr="00966690">
        <w:t>(10,11)</w:t>
      </w:r>
      <w:r>
        <w:t xml:space="preserve"> For example, it was noted that high caseloads made it difficult to allow time for training and upskilling, which is an important component of job satisfaction</w:t>
      </w:r>
      <w:r w:rsidR="004A5DA9">
        <w:t>.</w:t>
      </w:r>
      <w:r>
        <w:t xml:space="preserve"> </w:t>
      </w:r>
      <w:r w:rsidR="004B2823" w:rsidRPr="004B2823">
        <w:t>(11)</w:t>
      </w:r>
      <w:r>
        <w:t xml:space="preserve"> High caseloads and workloads are also strongly linked to increased stress, feelings of being overwhelmed and burnout among staff</w:t>
      </w:r>
      <w:r w:rsidR="004A5DA9">
        <w:t>,</w:t>
      </w:r>
      <w:r>
        <w:t xml:space="preserve"> </w:t>
      </w:r>
      <w:r w:rsidR="001C66E6" w:rsidRPr="001C66E6">
        <w:rPr>
          <w:rFonts w:cs="Times New Roman"/>
          <w:kern w:val="0"/>
          <w:szCs w:val="24"/>
        </w:rPr>
        <w:t>(11,23,39–41)</w:t>
      </w:r>
      <w:r>
        <w:t xml:space="preserve"> which can lead to high staff turnover and role vacancies</w:t>
      </w:r>
      <w:r w:rsidR="004A5DA9">
        <w:t>.</w:t>
      </w:r>
      <w:r>
        <w:t xml:space="preserve"> </w:t>
      </w:r>
      <w:r w:rsidR="001C66E6" w:rsidRPr="001C66E6">
        <w:t>(11,35,41)</w:t>
      </w:r>
      <w:r>
        <w:t xml:space="preserve"> Further, a recent study also found that high caseloads prevented intra-professional collaboration in the delivery of services</w:t>
      </w:r>
      <w:r w:rsidR="004A5DA9">
        <w:t>.</w:t>
      </w:r>
      <w:r>
        <w:t xml:space="preserve"> </w:t>
      </w:r>
      <w:r w:rsidR="001C66E6" w:rsidRPr="001C66E6">
        <w:t>(40)</w:t>
      </w:r>
      <w:r>
        <w:t xml:space="preserve"> In terms of consequences to children and families receiving services, high caseloads have been cited as having a negative impact on client outcomes </w:t>
      </w:r>
      <w:r w:rsidR="00966690" w:rsidRPr="00966690">
        <w:t>(5)</w:t>
      </w:r>
      <w:r>
        <w:t xml:space="preserve"> and waiting lists and are linked to increased parental complaints</w:t>
      </w:r>
      <w:r w:rsidR="004A5DA9">
        <w:t>.</w:t>
      </w:r>
      <w:r>
        <w:t xml:space="preserve"> </w:t>
      </w:r>
      <w:r w:rsidR="001C66E6" w:rsidRPr="001C66E6">
        <w:t>(27,38)</w:t>
      </w:r>
      <w:r>
        <w:t xml:space="preserve"> </w:t>
      </w:r>
    </w:p>
    <w:p w14:paraId="2087289C" w14:textId="77777777" w:rsidR="00C1487D" w:rsidRDefault="00C1487D" w:rsidP="00C1487D">
      <w:r>
        <w:t>It is, therefore, clear that the consequences of unmanageable caseloads are detrimental to the quality of services delivered and have negative impacts on the service providers and the children receiving services.</w:t>
      </w:r>
    </w:p>
    <w:p w14:paraId="7AB39052" w14:textId="5CFAF9C5" w:rsidR="00A94098" w:rsidRDefault="00A94098" w:rsidP="0006597B">
      <w:pPr>
        <w:pStyle w:val="Heading2"/>
      </w:pPr>
      <w:bookmarkStart w:id="79" w:name="_Toc179376053"/>
      <w:bookmarkStart w:id="80" w:name="_Toc182557356"/>
      <w:r>
        <w:t>Limitations</w:t>
      </w:r>
      <w:bookmarkEnd w:id="79"/>
      <w:bookmarkEnd w:id="80"/>
    </w:p>
    <w:p w14:paraId="53180673" w14:textId="6160E6A2" w:rsidR="00A94098" w:rsidRDefault="00062317" w:rsidP="00A94098">
      <w:r>
        <w:t>The findings in this literature review ha</w:t>
      </w:r>
      <w:r w:rsidR="006C49F8">
        <w:t>ve</w:t>
      </w:r>
      <w:r>
        <w:t xml:space="preserve"> several limitations that must be taken into consideration. First, </w:t>
      </w:r>
      <w:r w:rsidR="00A94098">
        <w:t xml:space="preserve">most </w:t>
      </w:r>
      <w:r w:rsidR="006C49F8">
        <w:t>of the literature</w:t>
      </w:r>
      <w:r w:rsidR="00A94098">
        <w:t xml:space="preserve"> focused on </w:t>
      </w:r>
      <w:r w:rsidR="002213D1">
        <w:t xml:space="preserve">either </w:t>
      </w:r>
      <w:r w:rsidR="006C49F8">
        <w:t>PTs</w:t>
      </w:r>
      <w:r>
        <w:t>,</w:t>
      </w:r>
      <w:r w:rsidR="006C49F8">
        <w:t xml:space="preserve"> OTs</w:t>
      </w:r>
      <w:r>
        <w:t xml:space="preserve"> or </w:t>
      </w:r>
      <w:r w:rsidR="006C49F8">
        <w:t>SLTs</w:t>
      </w:r>
      <w:r w:rsidR="002213D1">
        <w:t>, whilst the</w:t>
      </w:r>
      <w:r>
        <w:t xml:space="preserve"> </w:t>
      </w:r>
      <w:r w:rsidR="00A94098">
        <w:t>CDNT</w:t>
      </w:r>
      <w:r>
        <w:t xml:space="preserve"> staff census for </w:t>
      </w:r>
      <w:r w:rsidR="007F1652">
        <w:t>2023 listed</w:t>
      </w:r>
      <w:r>
        <w:t xml:space="preserve"> over 17 different disciplines including</w:t>
      </w:r>
      <w:r w:rsidR="00A94098">
        <w:t xml:space="preserve"> nurses, </w:t>
      </w:r>
      <w:r>
        <w:t xml:space="preserve">play therapists and </w:t>
      </w:r>
      <w:r w:rsidR="005B7931">
        <w:t>social</w:t>
      </w:r>
      <w:r w:rsidR="002213D1">
        <w:t xml:space="preserve"> workers</w:t>
      </w:r>
      <w:r w:rsidR="007B3D5F">
        <w:t>, all of whom could have very different procedures and therefore different caseloads and workloads would apply.</w:t>
      </w:r>
      <w:r w:rsidR="006C49F8">
        <w:t xml:space="preserve"> </w:t>
      </w:r>
    </w:p>
    <w:p w14:paraId="5BBC5AEB" w14:textId="6F14C98C" w:rsidR="00A94098" w:rsidRDefault="007B3D5F" w:rsidP="00A94098">
      <w:r>
        <w:t xml:space="preserve">Much of the literature reported is from educational settings where the therapist works within a specific school. This again is different to the </w:t>
      </w:r>
      <w:r>
        <w:lastRenderedPageBreak/>
        <w:t>CDNT structure where therapist can work in a dedicated therapy space, in school or in the community. Therefore</w:t>
      </w:r>
      <w:r w:rsidR="006C49F8">
        <w:t>,</w:t>
      </w:r>
      <w:r>
        <w:t xml:space="preserve"> further research is needed to understand how location affects the therapists</w:t>
      </w:r>
      <w:r w:rsidR="007F1652">
        <w:t>’</w:t>
      </w:r>
      <w:r>
        <w:t xml:space="preserve"> caseload.</w:t>
      </w:r>
    </w:p>
    <w:p w14:paraId="3D171263" w14:textId="2169A4D4" w:rsidR="00A94098" w:rsidRPr="00A94098" w:rsidRDefault="007B3D5F" w:rsidP="00A94098">
      <w:r>
        <w:t>Finally, most of the</w:t>
      </w:r>
      <w:r w:rsidR="00A94098">
        <w:t xml:space="preserve"> </w:t>
      </w:r>
      <w:r>
        <w:t xml:space="preserve">cited </w:t>
      </w:r>
      <w:r w:rsidR="006C49F8">
        <w:t xml:space="preserve">literature </w:t>
      </w:r>
      <w:r>
        <w:t xml:space="preserve">was </w:t>
      </w:r>
      <w:r w:rsidR="00A94098">
        <w:t xml:space="preserve">from </w:t>
      </w:r>
      <w:r w:rsidR="00637A55">
        <w:t>N</w:t>
      </w:r>
      <w:r w:rsidR="00A94098">
        <w:t xml:space="preserve">orth </w:t>
      </w:r>
      <w:r w:rsidR="00637A55">
        <w:t>America</w:t>
      </w:r>
      <w:r>
        <w:t xml:space="preserve"> where there are different work patterns, service models and cultural expectations all of which question the applicability of the findings in an Irish context. Further research is needed into work practices in an Irish context to fully understand </w:t>
      </w:r>
      <w:r w:rsidR="00735BAC">
        <w:t xml:space="preserve">the work of staff within CDNTs. </w:t>
      </w:r>
    </w:p>
    <w:p w14:paraId="7C2DB8B1" w14:textId="77777777" w:rsidR="00C1487D" w:rsidRDefault="00C1487D" w:rsidP="0006597B">
      <w:pPr>
        <w:pStyle w:val="Heading1"/>
      </w:pPr>
      <w:bookmarkStart w:id="81" w:name="_Toc179376054"/>
      <w:bookmarkStart w:id="82" w:name="_Toc182557357"/>
      <w:r>
        <w:t>Conclusion</w:t>
      </w:r>
      <w:bookmarkEnd w:id="81"/>
      <w:bookmarkEnd w:id="82"/>
      <w:r>
        <w:t xml:space="preserve"> </w:t>
      </w:r>
    </w:p>
    <w:p w14:paraId="01135E35" w14:textId="04EC5D23" w:rsidR="00C1487D" w:rsidRDefault="00C1487D" w:rsidP="00C1487D">
      <w:r>
        <w:t xml:space="preserve">This review of the literature has added to previous findings by the </w:t>
      </w:r>
      <w:r w:rsidR="0081414E">
        <w:t>NDA that</w:t>
      </w:r>
      <w:r>
        <w:t xml:space="preserve"> there is no conclusive evidence as to what constitutes an appropriate caseload for therapists providing children’s disability services. Most of the existing literature or guidance comes from the professions of </w:t>
      </w:r>
      <w:r w:rsidR="003D13F4">
        <w:t>OTs</w:t>
      </w:r>
      <w:r>
        <w:t xml:space="preserve">, </w:t>
      </w:r>
      <w:r w:rsidR="003D13F4">
        <w:t>SLTs,</w:t>
      </w:r>
      <w:r>
        <w:t xml:space="preserve"> and </w:t>
      </w:r>
      <w:r w:rsidR="003D13F4">
        <w:t>PTs</w:t>
      </w:r>
      <w:r>
        <w:t xml:space="preserve"> and relates to caseloads and workloads for individual therapists rather than multi-, inter-, or trans-disciplinary teams</w:t>
      </w:r>
      <w:r w:rsidR="004A5DA9">
        <w:t>.</w:t>
      </w:r>
      <w:r w:rsidR="00FF7F34" w:rsidRPr="00FF7F34">
        <w:t xml:space="preserve"> </w:t>
      </w:r>
      <w:r w:rsidR="00FF7F34" w:rsidRPr="00966690">
        <w:t>(3)</w:t>
      </w:r>
      <w:r>
        <w:t xml:space="preserve"> </w:t>
      </w:r>
    </w:p>
    <w:p w14:paraId="5F11CD20" w14:textId="77777777" w:rsidR="00C1487D" w:rsidRDefault="00C1487D" w:rsidP="00C1487D">
      <w:r>
        <w:t xml:space="preserve">The negative impacts of high caseloads are clearly laid out across jurisdictions and professions. High caseloads are consistently linked to stress and burnout among staff, high staff turnover, increased parental complaints and overall poorer quality services. In addition, the finding that high caseloads have been found to negatively impact on intra-professional collaboration has direct implications for CDNTs which operate under the interdisciplinary model and therefore rely on intra-professional collaboration. </w:t>
      </w:r>
    </w:p>
    <w:p w14:paraId="7372182F" w14:textId="40A65B8F" w:rsidR="00C1487D" w:rsidRDefault="00C1487D" w:rsidP="00C1487D">
      <w:r>
        <w:t xml:space="preserve">Traditionally, there is a tendency to focus on the number of children that make up a caseload when planning services. However, the inefficiency of these traditional ‘counting methods’ came through very strongly in the literature. It has been well established that this method does not </w:t>
      </w:r>
      <w:proofErr w:type="gramStart"/>
      <w:r>
        <w:t>take into account</w:t>
      </w:r>
      <w:proofErr w:type="gramEnd"/>
      <w:r>
        <w:t xml:space="preserve"> the complexity of individual cases and other influencing factors such as administrative tasks and the environment in which services are delivered, and how these impact on the therapist’s or team’s actual workload. A Workload approach, on the other hand, ensures all influencing factors, beyond caseload numbers, are </w:t>
      </w:r>
      <w:proofErr w:type="gramStart"/>
      <w:r w:rsidR="00FF7F34">
        <w:t>taken into account</w:t>
      </w:r>
      <w:proofErr w:type="gramEnd"/>
      <w:r>
        <w:t xml:space="preserve"> and is considered the most effective method for planning and delivering impactful disability services for children. It is, therefore, recommended that</w:t>
      </w:r>
      <w:r w:rsidR="00FF7F34">
        <w:t xml:space="preserve"> </w:t>
      </w:r>
      <w:r>
        <w:t xml:space="preserve">a workload analysis is first conducted. This information should then be used to determine specific recommendations as to what constitutes an appropriate workload, and therefore an appropriate caseload. As such, work needs to be conducted with CDNTs on the ground to establish current workloads, </w:t>
      </w:r>
      <w:r w:rsidR="00747A73">
        <w:t>caseloads,</w:t>
      </w:r>
      <w:r>
        <w:t xml:space="preserve"> and current workload/caseload management practices. These data are needed to ascertain what needs to change and to inform the development and implementation of appropriate improvement strategies.</w:t>
      </w:r>
    </w:p>
    <w:p w14:paraId="4573E73A" w14:textId="5F8DB650" w:rsidR="0081414E" w:rsidRDefault="0081414E" w:rsidP="0006597B">
      <w:pPr>
        <w:pStyle w:val="Heading1"/>
      </w:pPr>
      <w:bookmarkStart w:id="83" w:name="_Toc182557358"/>
      <w:bookmarkStart w:id="84" w:name="_Toc166581533"/>
      <w:bookmarkStart w:id="85" w:name="_Toc179376055"/>
      <w:bookmarkStart w:id="86" w:name="_Hlk178341093"/>
      <w:r>
        <w:lastRenderedPageBreak/>
        <w:t>References</w:t>
      </w:r>
      <w:bookmarkEnd w:id="83"/>
    </w:p>
    <w:p w14:paraId="77B4CDAF" w14:textId="125D7320" w:rsidR="00A51C0C" w:rsidRPr="00A51C0C" w:rsidRDefault="00A51C0C" w:rsidP="0006597B">
      <w:pPr>
        <w:pStyle w:val="Bibliography"/>
      </w:pPr>
      <w:r w:rsidRPr="00A51C0C">
        <w:t>1.</w:t>
      </w:r>
      <w:r w:rsidRPr="00A51C0C">
        <w:tab/>
        <w:t>National Disability Authority. Children’s Disability Services in Ireland 2015 [Internet]. Dublin, Ireland; 2015 Feb p. 142. Available from: https://nda.ie/publications/childrens-disability-services-in-ireland</w:t>
      </w:r>
    </w:p>
    <w:p w14:paraId="6E43B326" w14:textId="77777777" w:rsidR="00A51C0C" w:rsidRPr="00A51C0C" w:rsidRDefault="00A51C0C" w:rsidP="00A51C0C">
      <w:pPr>
        <w:pStyle w:val="Bibliography"/>
      </w:pPr>
      <w:r w:rsidRPr="00A51C0C">
        <w:t>2.</w:t>
      </w:r>
      <w:r w:rsidRPr="00A51C0C">
        <w:tab/>
        <w:t>Burgess NM. Caseloads and frequency of service in early intervention: a factor in the research to practice gap [dissertation [Internet]. Vancouver] University of British Columbia; 2018. p. 75. Available from: file:///C:/users/walshc07/downloads/Burgess_N_ECED_590E_Caseloads_early_intervention_2018%20(1).pdf [last</w:t>
      </w:r>
    </w:p>
    <w:p w14:paraId="363CAD52" w14:textId="77777777" w:rsidR="00A51C0C" w:rsidRPr="00A51C0C" w:rsidRDefault="00A51C0C" w:rsidP="00A51C0C">
      <w:pPr>
        <w:pStyle w:val="Bibliography"/>
      </w:pPr>
      <w:r w:rsidRPr="00A51C0C">
        <w:t>3.</w:t>
      </w:r>
      <w:r w:rsidRPr="00A51C0C">
        <w:tab/>
        <w:t>National Disability Authority. Children’s disability services in Ireland [Internet]. Dublin: National Disability Authority; 2015. p. 139. Available from: https://nda.ie/publications/childrens-disability-services-in-ireland</w:t>
      </w:r>
    </w:p>
    <w:p w14:paraId="50D1E7A6" w14:textId="77777777" w:rsidR="00A51C0C" w:rsidRPr="00A51C0C" w:rsidRDefault="00A51C0C" w:rsidP="00A51C0C">
      <w:pPr>
        <w:pStyle w:val="Bibliography"/>
      </w:pPr>
      <w:r w:rsidRPr="00A51C0C">
        <w:t>4.</w:t>
      </w:r>
      <w:r w:rsidRPr="00A51C0C">
        <w:tab/>
        <w:t>Gateway Child Welfare Information. Caseload and workload management. USA: U.S. Department of Health and Human Services, Administration for Children and Families. Child Bur [Internet]. 2022; Available from: https://www.childwelfare.gov/resources/caseload-and-workload-management/</w:t>
      </w:r>
    </w:p>
    <w:p w14:paraId="1FB0A260" w14:textId="77777777" w:rsidR="00A51C0C" w:rsidRPr="00DC43D7" w:rsidRDefault="00A51C0C" w:rsidP="00A51C0C">
      <w:pPr>
        <w:pStyle w:val="Bibliography"/>
        <w:rPr>
          <w:lang w:val="es-ES"/>
        </w:rPr>
      </w:pPr>
      <w:r w:rsidRPr="00A51C0C">
        <w:t>5.</w:t>
      </w:r>
      <w:r w:rsidRPr="00A51C0C">
        <w:tab/>
        <w:t xml:space="preserve">American Speech-Language-Hearing Association. A Workload Analysis Approach for Establishing Speech-Language Caseload Standards in the School: Position Statement [Internet]. </w:t>
      </w:r>
      <w:r w:rsidRPr="00DC43D7">
        <w:rPr>
          <w:lang w:val="es-ES"/>
        </w:rPr>
        <w:t>USA: ASHA; 2002. Available from: https://www.asha.org/policy/PS2002-00122/</w:t>
      </w:r>
    </w:p>
    <w:p w14:paraId="5651F2E6" w14:textId="77777777" w:rsidR="00A51C0C" w:rsidRPr="00A51C0C" w:rsidRDefault="00A51C0C" w:rsidP="00A51C0C">
      <w:pPr>
        <w:pStyle w:val="Bibliography"/>
      </w:pPr>
      <w:r w:rsidRPr="00A51C0C">
        <w:t>6.</w:t>
      </w:r>
      <w:r w:rsidRPr="00A51C0C">
        <w:tab/>
        <w:t>Therapy British Columbia. WAT-T: The Workload Assessment Tool for Therapists [Internet]. British Columbia: Therapy BC; 2011. Available from: https://therapybc.ca/wp-content/uploads/2018/04/WAT-TWorkload-Assessment-Tool-for-Therapists.pdf</w:t>
      </w:r>
    </w:p>
    <w:p w14:paraId="20E039F9" w14:textId="77777777" w:rsidR="00A51C0C" w:rsidRPr="00A51C0C" w:rsidRDefault="00A51C0C" w:rsidP="00A51C0C">
      <w:pPr>
        <w:pStyle w:val="Bibliography"/>
      </w:pPr>
      <w:r w:rsidRPr="00A51C0C">
        <w:t>7.</w:t>
      </w:r>
      <w:r w:rsidRPr="00A51C0C">
        <w:tab/>
        <w:t>ASHA. American Speech-Language-Hearing Association (ASHA) Caseload and Workload [</w:t>
      </w:r>
      <w:proofErr w:type="spellStart"/>
      <w:r w:rsidRPr="00A51C0C">
        <w:t>n.d</w:t>
      </w:r>
      <w:proofErr w:type="spellEnd"/>
      <w:r w:rsidRPr="00A51C0C">
        <w:t xml:space="preserve"> [Internet]. Available from: https://www.asha.org/practice-portal/professional-issues/Caseload-and-Workload/</w:t>
      </w:r>
    </w:p>
    <w:p w14:paraId="551CC5D2" w14:textId="77777777" w:rsidR="00A51C0C" w:rsidRPr="00A51C0C" w:rsidRDefault="00A51C0C" w:rsidP="00A51C0C">
      <w:pPr>
        <w:pStyle w:val="Bibliography"/>
      </w:pPr>
      <w:r w:rsidRPr="00A51C0C">
        <w:t>8.</w:t>
      </w:r>
      <w:r w:rsidRPr="00A51C0C">
        <w:tab/>
        <w:t xml:space="preserve">Boisvert MK, Hall N. </w:t>
      </w:r>
      <w:proofErr w:type="spellStart"/>
      <w:r w:rsidRPr="00A51C0C">
        <w:t>Telepractice</w:t>
      </w:r>
      <w:proofErr w:type="spellEnd"/>
      <w:r w:rsidRPr="00A51C0C">
        <w:t xml:space="preserve"> for School-Based Speech and Language Services: A Workload Management Strategy. Perspectives of the ASHA Special Interest Groups. 2019 Feb 26;4(1):211–6 [Internet]. Available from: https://doi.org/10.1044/2018_PERS-SIG18-2018-0004</w:t>
      </w:r>
    </w:p>
    <w:p w14:paraId="4BDDE440" w14:textId="77777777" w:rsidR="00A51C0C" w:rsidRPr="00A51C0C" w:rsidRDefault="00A51C0C" w:rsidP="00A51C0C">
      <w:pPr>
        <w:pStyle w:val="Bibliography"/>
      </w:pPr>
      <w:r w:rsidRPr="00A51C0C">
        <w:t>9.</w:t>
      </w:r>
      <w:r w:rsidRPr="00A51C0C">
        <w:tab/>
        <w:t>California Department Education. Guidelines for occupational therapy and physical therapy in California public schools [Internet]. California: California Department of Education; 2012. Available from: https://www.bot.ca.gov/forms_pubs/otpot_guidelines_2012.pdf</w:t>
      </w:r>
    </w:p>
    <w:p w14:paraId="1A8A58B9" w14:textId="77777777" w:rsidR="00A51C0C" w:rsidRPr="00A51C0C" w:rsidRDefault="00A51C0C" w:rsidP="00A51C0C">
      <w:pPr>
        <w:pStyle w:val="Bibliography"/>
      </w:pPr>
      <w:r w:rsidRPr="00A51C0C">
        <w:lastRenderedPageBreak/>
        <w:t>10.</w:t>
      </w:r>
      <w:r w:rsidRPr="00A51C0C">
        <w:tab/>
        <w:t>Therapy British Columbia. Promoting Manageable Workloads Project Phase 2 - Preferred Practice Guidelines for BC Paediatric Therapists [Internet]. British Columbia: Therapy BC; 2008. Available from: https://therapybc.ca/wp-content/uploads/2018/04/PreferredPracticeGuidelines.pdf</w:t>
      </w:r>
    </w:p>
    <w:p w14:paraId="487A7325" w14:textId="77777777" w:rsidR="00A51C0C" w:rsidRPr="00A51C0C" w:rsidRDefault="00A51C0C" w:rsidP="00A51C0C">
      <w:pPr>
        <w:pStyle w:val="Bibliography"/>
      </w:pPr>
      <w:r w:rsidRPr="00A51C0C">
        <w:t>11.</w:t>
      </w:r>
      <w:r w:rsidRPr="00A51C0C">
        <w:tab/>
        <w:t xml:space="preserve">Association of Occupational Therapists Ireland. Report on the AOTI survey of Occupational Therapists Working in Progressing Disability Services. Dublin; AOTI; 2023. </w:t>
      </w:r>
    </w:p>
    <w:p w14:paraId="1CA0264A" w14:textId="77777777" w:rsidR="00A51C0C" w:rsidRPr="00A51C0C" w:rsidRDefault="00A51C0C" w:rsidP="00A51C0C">
      <w:pPr>
        <w:pStyle w:val="Bibliography"/>
      </w:pPr>
      <w:r w:rsidRPr="00A51C0C">
        <w:t>12.</w:t>
      </w:r>
      <w:r w:rsidRPr="00A51C0C">
        <w:tab/>
        <w:t>Rush D. Review of Kildare West Wicklow Network Disability Teams [Internet]. Dublin: HSE; 2016. Available from: https://www.hse.ie/eng/services/list/4/disability/progressing-disability/pds-programme/review-of-kildare-ndts/</w:t>
      </w:r>
    </w:p>
    <w:p w14:paraId="46E9A22D" w14:textId="77777777" w:rsidR="00A51C0C" w:rsidRPr="00A51C0C" w:rsidRDefault="00A51C0C" w:rsidP="00A51C0C">
      <w:pPr>
        <w:pStyle w:val="Bibliography"/>
      </w:pPr>
      <w:r w:rsidRPr="00A51C0C">
        <w:t>13.</w:t>
      </w:r>
      <w:r w:rsidRPr="00A51C0C">
        <w:tab/>
        <w:t xml:space="preserve">Inclusion Ireland. Progressing disability services for children and young people: Parent experience survey report. Dublin: Inclusion Ireland;2022 [Internet]. Available from: </w:t>
      </w:r>
      <w:proofErr w:type="gramStart"/>
      <w:r w:rsidRPr="00A51C0C">
        <w:t>https://inclusionireland.ie/wp-content/uploads/2022/03/Inclusion-Ireland-Progressing-Disability-Services-Report-March-2022.pdf;</w:t>
      </w:r>
      <w:proofErr w:type="gramEnd"/>
    </w:p>
    <w:p w14:paraId="0BFF6228" w14:textId="77777777" w:rsidR="00A51C0C" w:rsidRPr="00A51C0C" w:rsidRDefault="00A51C0C" w:rsidP="00A51C0C">
      <w:pPr>
        <w:pStyle w:val="Bibliography"/>
      </w:pPr>
      <w:r w:rsidRPr="00A51C0C">
        <w:t>14.</w:t>
      </w:r>
      <w:r w:rsidRPr="00A51C0C">
        <w:tab/>
        <w:t xml:space="preserve">Health Service Executive. Improving Team Working </w:t>
      </w:r>
      <w:proofErr w:type="gramStart"/>
      <w:r w:rsidRPr="00A51C0C">
        <w:t>A</w:t>
      </w:r>
      <w:proofErr w:type="gramEnd"/>
      <w:r w:rsidRPr="00A51C0C">
        <w:t xml:space="preserve"> Guidance Document [Internet]. Dublin: HSE; 2010. Available from: https://www.hse.ie/eng/staff/resources/changeguide/change-guide-educational-resources/improving-team-working-a-guidance-document.pdf</w:t>
      </w:r>
    </w:p>
    <w:p w14:paraId="5F6548C9" w14:textId="77777777" w:rsidR="00A51C0C" w:rsidRPr="00A51C0C" w:rsidRDefault="00A51C0C" w:rsidP="00A51C0C">
      <w:pPr>
        <w:pStyle w:val="Bibliography"/>
      </w:pPr>
      <w:r w:rsidRPr="00A51C0C">
        <w:t>15.</w:t>
      </w:r>
      <w:r w:rsidRPr="00A51C0C">
        <w:tab/>
        <w:t>Boyer VE, Thompson SD. Transdisciplinary Model and Early Intervention: Building Collaborative Relationships [Internet]. Vol. 17. 2014. p. 17 3 ,19-32. Available from: https://doi.org/10.1177/1096250613493446</w:t>
      </w:r>
    </w:p>
    <w:p w14:paraId="4BA61FF6" w14:textId="77777777" w:rsidR="00A51C0C" w:rsidRPr="00A51C0C" w:rsidRDefault="00A51C0C" w:rsidP="00A51C0C">
      <w:pPr>
        <w:pStyle w:val="Bibliography"/>
      </w:pPr>
      <w:r w:rsidRPr="00A51C0C">
        <w:t>16.</w:t>
      </w:r>
      <w:r w:rsidRPr="00A51C0C">
        <w:tab/>
        <w:t xml:space="preserve">Health Service Executive. National Policy on the Lead Agency Model. Health Service Executive; 2019 p. 19. </w:t>
      </w:r>
    </w:p>
    <w:p w14:paraId="3F24EB25" w14:textId="77777777" w:rsidR="00A51C0C" w:rsidRPr="00A51C0C" w:rsidRDefault="00A51C0C" w:rsidP="00A51C0C">
      <w:pPr>
        <w:pStyle w:val="Bibliography"/>
      </w:pPr>
      <w:r w:rsidRPr="00A51C0C">
        <w:t>17.</w:t>
      </w:r>
      <w:r w:rsidRPr="00A51C0C">
        <w:tab/>
        <w:t>Health Service Executive. Report of the National Reference Group on Multidisciplinary Disability Services for Children aged 5-18 [Internet]. Dublin, Ireland; 2009 Dec [cited 2024 Dec 1] p. 71. Available from: https://www.hse.ie/eng/services/list/4/disability/progressing-disability/pds-programme/documents/report-of-the-national-reference-group-on-multidisciplinary-disability-services-for-children-aged-5-18.pdf</w:t>
      </w:r>
    </w:p>
    <w:p w14:paraId="065DCEED" w14:textId="77777777" w:rsidR="00A51C0C" w:rsidRPr="00A51C0C" w:rsidRDefault="00A51C0C" w:rsidP="00A51C0C">
      <w:pPr>
        <w:pStyle w:val="Bibliography"/>
      </w:pPr>
      <w:r w:rsidRPr="00A51C0C">
        <w:t>18.</w:t>
      </w:r>
      <w:r w:rsidRPr="00A51C0C">
        <w:tab/>
        <w:t>OESP. Guidelines for Occupational and Physical Therapy in Educational Settings [Internet]. United States Department of Education, Office of Special Education Programs (OSEP; 2019. Available from: https://www.nd.gov/dpi/sites/www/files/documents/SpeEd/Guidelines/NDOTPTGuidelinesFinal09-19.pdf</w:t>
      </w:r>
    </w:p>
    <w:p w14:paraId="57D7FD76" w14:textId="77777777" w:rsidR="00A51C0C" w:rsidRPr="00DC43D7" w:rsidRDefault="00A51C0C" w:rsidP="00A51C0C">
      <w:pPr>
        <w:pStyle w:val="Bibliography"/>
        <w:rPr>
          <w:lang w:val="es-ES"/>
        </w:rPr>
      </w:pPr>
      <w:r w:rsidRPr="00A51C0C">
        <w:lastRenderedPageBreak/>
        <w:t>19.</w:t>
      </w:r>
      <w:r w:rsidRPr="00A51C0C">
        <w:tab/>
        <w:t xml:space="preserve">AOTA. Transforming caseload to workload in school-based and early intervention occupational therapy services [Internet]. </w:t>
      </w:r>
      <w:r w:rsidRPr="00DC43D7">
        <w:rPr>
          <w:lang w:val="es-ES"/>
        </w:rPr>
        <w:t>USA: AOTA; 2006. Available from: http://www.aota.org/-/media/Corporate/Files/Practice/Children/Browse/School/RtI/Workload-fact.pdf</w:t>
      </w:r>
    </w:p>
    <w:p w14:paraId="14238DE2" w14:textId="77777777" w:rsidR="00A51C0C" w:rsidRPr="00A51C0C" w:rsidRDefault="00A51C0C" w:rsidP="00A51C0C">
      <w:pPr>
        <w:pStyle w:val="Bibliography"/>
      </w:pPr>
      <w:r w:rsidRPr="00A51C0C">
        <w:t>20.</w:t>
      </w:r>
      <w:r w:rsidRPr="00A51C0C">
        <w:tab/>
      </w:r>
      <w:proofErr w:type="spellStart"/>
      <w:r w:rsidRPr="00A51C0C">
        <w:t>Polichino</w:t>
      </w:r>
      <w:proofErr w:type="spellEnd"/>
      <w:r w:rsidRPr="00A51C0C">
        <w:t xml:space="preserve"> JE, L J. American Occupational Therapy Association. Frequently asked questions: transforming caseload to workload in school-based occupational therapy services. USA: American Occupational Therapy Association (AOTA; 2014. </w:t>
      </w:r>
    </w:p>
    <w:p w14:paraId="3306CDCD" w14:textId="77777777" w:rsidR="00A51C0C" w:rsidRPr="00A51C0C" w:rsidRDefault="00A51C0C" w:rsidP="00A51C0C">
      <w:pPr>
        <w:pStyle w:val="Bibliography"/>
      </w:pPr>
      <w:r w:rsidRPr="00A51C0C">
        <w:t>21.</w:t>
      </w:r>
      <w:r w:rsidRPr="00A51C0C">
        <w:tab/>
        <w:t xml:space="preserve">Jeremy J, </w:t>
      </w:r>
      <w:proofErr w:type="spellStart"/>
      <w:r w:rsidRPr="00A51C0C">
        <w:t>Spandagou</w:t>
      </w:r>
      <w:proofErr w:type="spellEnd"/>
      <w:r w:rsidRPr="00A51C0C">
        <w:t xml:space="preserve"> I, </w:t>
      </w:r>
      <w:proofErr w:type="spellStart"/>
      <w:r w:rsidRPr="00A51C0C">
        <w:t>Hinitt</w:t>
      </w:r>
      <w:proofErr w:type="spellEnd"/>
      <w:r w:rsidRPr="00A51C0C">
        <w:t xml:space="preserve"> J. A Profile of Occupational Therapists Working in School-Based Practice in Australian Primary Schools. </w:t>
      </w:r>
      <w:proofErr w:type="spellStart"/>
      <w:r w:rsidRPr="00A51C0C">
        <w:t>Occup</w:t>
      </w:r>
      <w:proofErr w:type="spellEnd"/>
      <w:r w:rsidRPr="00A51C0C">
        <w:t xml:space="preserve"> </w:t>
      </w:r>
      <w:proofErr w:type="spellStart"/>
      <w:r w:rsidRPr="00A51C0C">
        <w:t>Ther</w:t>
      </w:r>
      <w:proofErr w:type="spellEnd"/>
      <w:r w:rsidRPr="00A51C0C">
        <w:t xml:space="preserve"> Int [Internet]. 2024; Available from: https://doi.org/10.1155/2024/2077870</w:t>
      </w:r>
    </w:p>
    <w:p w14:paraId="2711FBE1" w14:textId="77777777" w:rsidR="00A51C0C" w:rsidRPr="00A51C0C" w:rsidRDefault="00A51C0C" w:rsidP="00A51C0C">
      <w:pPr>
        <w:pStyle w:val="Bibliography"/>
      </w:pPr>
      <w:r w:rsidRPr="00A51C0C">
        <w:t>22.</w:t>
      </w:r>
      <w:r w:rsidRPr="00A51C0C">
        <w:tab/>
      </w:r>
      <w:proofErr w:type="spellStart"/>
      <w:r w:rsidRPr="00A51C0C">
        <w:t>Seruya</w:t>
      </w:r>
      <w:proofErr w:type="spellEnd"/>
      <w:r w:rsidRPr="00A51C0C">
        <w:t xml:space="preserve"> FM, Garfinkel M. Caseload and Workload: Current Trends in School-Based Practice Across the United States. Am J </w:t>
      </w:r>
      <w:proofErr w:type="spellStart"/>
      <w:r w:rsidRPr="00A51C0C">
        <w:t>Occup</w:t>
      </w:r>
      <w:proofErr w:type="spellEnd"/>
      <w:r w:rsidRPr="00A51C0C">
        <w:t xml:space="preserve"> </w:t>
      </w:r>
      <w:proofErr w:type="spellStart"/>
      <w:r w:rsidRPr="00A51C0C">
        <w:t>Ther</w:t>
      </w:r>
      <w:proofErr w:type="spellEnd"/>
      <w:r w:rsidRPr="00A51C0C">
        <w:t xml:space="preserve"> [Internet]. 2020 Jul 20; Available from: https://doi.org/10.5014/ajot.2020.039818</w:t>
      </w:r>
    </w:p>
    <w:p w14:paraId="77F8A85F" w14:textId="77777777" w:rsidR="00A51C0C" w:rsidRPr="00A51C0C" w:rsidRDefault="00A51C0C" w:rsidP="00A51C0C">
      <w:pPr>
        <w:pStyle w:val="Bibliography"/>
      </w:pPr>
      <w:r w:rsidRPr="00A51C0C">
        <w:t>23.</w:t>
      </w:r>
      <w:r w:rsidRPr="00A51C0C">
        <w:tab/>
      </w:r>
      <w:proofErr w:type="spellStart"/>
      <w:r w:rsidRPr="00A51C0C">
        <w:t>Seruya</w:t>
      </w:r>
      <w:proofErr w:type="spellEnd"/>
      <w:r w:rsidRPr="00A51C0C">
        <w:t xml:space="preserve"> F, Garfinkle M. Implementing Contextually Based Services: Where Do We Begin? SIS Q </w:t>
      </w:r>
      <w:proofErr w:type="spellStart"/>
      <w:r w:rsidRPr="00A51C0C">
        <w:t>Pract</w:t>
      </w:r>
      <w:proofErr w:type="spellEnd"/>
      <w:r w:rsidRPr="00A51C0C">
        <w:t xml:space="preserve"> Connect. 2018;3(3):4–6. </w:t>
      </w:r>
    </w:p>
    <w:p w14:paraId="19604936" w14:textId="77777777" w:rsidR="00A51C0C" w:rsidRPr="00A51C0C" w:rsidRDefault="00A51C0C" w:rsidP="00A51C0C">
      <w:pPr>
        <w:pStyle w:val="Bibliography"/>
      </w:pPr>
      <w:r w:rsidRPr="00A51C0C">
        <w:t>24.</w:t>
      </w:r>
      <w:r w:rsidRPr="00A51C0C">
        <w:tab/>
        <w:t xml:space="preserve">Corley A, Ryan C, Krug J, Britt A. Implementation of best practice in the school-based setting. J </w:t>
      </w:r>
      <w:proofErr w:type="spellStart"/>
      <w:r w:rsidRPr="00A51C0C">
        <w:t>Occup</w:t>
      </w:r>
      <w:proofErr w:type="spellEnd"/>
      <w:r w:rsidRPr="00A51C0C">
        <w:t xml:space="preserve"> </w:t>
      </w:r>
      <w:proofErr w:type="spellStart"/>
      <w:r w:rsidRPr="00A51C0C">
        <w:t>Ther</w:t>
      </w:r>
      <w:proofErr w:type="spellEnd"/>
      <w:r w:rsidRPr="00A51C0C">
        <w:t xml:space="preserve"> </w:t>
      </w:r>
      <w:proofErr w:type="spellStart"/>
      <w:r w:rsidRPr="00A51C0C">
        <w:t>Sch</w:t>
      </w:r>
      <w:proofErr w:type="spellEnd"/>
      <w:r w:rsidRPr="00A51C0C">
        <w:t xml:space="preserve"> Early </w:t>
      </w:r>
      <w:proofErr w:type="spellStart"/>
      <w:r w:rsidRPr="00A51C0C">
        <w:t>Interv</w:t>
      </w:r>
      <w:proofErr w:type="spellEnd"/>
      <w:r w:rsidRPr="00A51C0C">
        <w:t xml:space="preserve"> [Internet]. 2021 Nov 27; Available from: https://doi.org/10.1080/19411243.2021.2003739</w:t>
      </w:r>
    </w:p>
    <w:p w14:paraId="1DE56A78" w14:textId="77777777" w:rsidR="00A51C0C" w:rsidRPr="00A51C0C" w:rsidRDefault="00A51C0C" w:rsidP="00A51C0C">
      <w:pPr>
        <w:pStyle w:val="Bibliography"/>
      </w:pPr>
      <w:r w:rsidRPr="00A51C0C">
        <w:t>25.</w:t>
      </w:r>
      <w:r w:rsidRPr="00A51C0C">
        <w:tab/>
        <w:t>Your Therapy Service. Caseload Versus Workload for Related Service Professional [Internet]. [cited 2024 Sep 10]. Available from: https://www.yourtherapysource.com/blog1/2022/02/08/caseload-versus-workload-for-related-service-professionals/</w:t>
      </w:r>
    </w:p>
    <w:p w14:paraId="05324CDF" w14:textId="77777777" w:rsidR="00A51C0C" w:rsidRPr="00A51C0C" w:rsidRDefault="00A51C0C" w:rsidP="00A51C0C">
      <w:pPr>
        <w:pStyle w:val="Bibliography"/>
      </w:pPr>
      <w:r w:rsidRPr="00A51C0C">
        <w:t>26.</w:t>
      </w:r>
      <w:r w:rsidRPr="00A51C0C">
        <w:tab/>
        <w:t>MAOT. Guidelines for Provision of Occupational Therapy Services in Massachusetts Public Schools [Internet]. MA: Massachusetts Occupational Therapy; 2016 [cited 2024 Jan 10] p. 68. Available from: https://maot.wildapricot.org/Resources-for-School-Based-Practitioners</w:t>
      </w:r>
    </w:p>
    <w:p w14:paraId="75BBC13A" w14:textId="77777777" w:rsidR="00A51C0C" w:rsidRPr="00A51C0C" w:rsidRDefault="00A51C0C" w:rsidP="00A51C0C">
      <w:pPr>
        <w:pStyle w:val="Bibliography"/>
      </w:pPr>
      <w:r w:rsidRPr="00A51C0C">
        <w:t>27.</w:t>
      </w:r>
      <w:r w:rsidRPr="00A51C0C">
        <w:tab/>
        <w:t>Conroy P, Noone S. The Case of Speech and Language Therapy A working paper prepared for and by Inclusion Ireland [Internet]. Dublin: Inclusion Ireland; 2014. Available from: https://www.lenus.ie/bitstream/handle/10147/579739/thecaseofspeechandlanguagetherapy1.pdf?sequence=1&amp;isAllowed=y</w:t>
      </w:r>
    </w:p>
    <w:p w14:paraId="3EF0D371" w14:textId="77777777" w:rsidR="00A51C0C" w:rsidRPr="00A51C0C" w:rsidRDefault="00A51C0C" w:rsidP="00A51C0C">
      <w:pPr>
        <w:pStyle w:val="Bibliography"/>
      </w:pPr>
      <w:r w:rsidRPr="00A51C0C">
        <w:t>28.</w:t>
      </w:r>
      <w:r w:rsidRPr="00A51C0C">
        <w:tab/>
        <w:t xml:space="preserve">Illinois State Board of Education. Illinois State Board of Education. Recommended practices for occupational and physical therapy services in Illinois schools [Internet]. Illinois: Illinois State Board of Education; </w:t>
      </w:r>
      <w:r w:rsidRPr="00A51C0C">
        <w:lastRenderedPageBreak/>
        <w:t>2019. Available from: https://www.isbe.net/Documents/occupational_therapy.pdf</w:t>
      </w:r>
    </w:p>
    <w:p w14:paraId="37EC7C2E" w14:textId="77777777" w:rsidR="00A51C0C" w:rsidRPr="00A51C0C" w:rsidRDefault="00A51C0C" w:rsidP="00A51C0C">
      <w:pPr>
        <w:pStyle w:val="Bibliography"/>
      </w:pPr>
      <w:r w:rsidRPr="00A51C0C">
        <w:t>29.</w:t>
      </w:r>
      <w:r w:rsidRPr="00A51C0C">
        <w:tab/>
        <w:t>CAOT. Canadian Association of Occupational Therapists, Canadian Association of Physical Therapists, Canadian Association of Speech-Language Pathologists and Audiologists. Caseload planning management tool [Internet [Internet]. Canada: CAOT; 2011. Available from: https://physiotherapy.ca/app/uploads/2023/02/cmpt_en.pdf</w:t>
      </w:r>
    </w:p>
    <w:p w14:paraId="0664BA4B" w14:textId="77777777" w:rsidR="00A51C0C" w:rsidRPr="00A51C0C" w:rsidRDefault="00A51C0C" w:rsidP="00A51C0C">
      <w:pPr>
        <w:pStyle w:val="Bibliography"/>
      </w:pPr>
      <w:r w:rsidRPr="00A51C0C">
        <w:t>30.</w:t>
      </w:r>
      <w:r w:rsidRPr="00A51C0C">
        <w:tab/>
        <w:t>Maryland State Department of Education. Maryland State Steering Committee for Occupational and Physical Therapy School Based Programs, Maryland State Department of Education, Division of Special Education/Early Intervention services. Occupational and Physical Therapy Early Intervention and School-Based Services in Maryland. A guide to practice [Internet]. Maryland: Maryland State Department of Education, Division of Special Education/Early Intervention services; 2008. Available from: http://archives.marylandpublicschools.org/NR/rdonlyres/5F4F5041-02EE-4F3A-B495-5E4B3C850D3E/19473/OT_PT_FullDocument_December11_Final.pdf</w:t>
      </w:r>
    </w:p>
    <w:p w14:paraId="614B90F5" w14:textId="77777777" w:rsidR="00A51C0C" w:rsidRPr="00A51C0C" w:rsidRDefault="00A51C0C" w:rsidP="00A51C0C">
      <w:pPr>
        <w:pStyle w:val="Bibliography"/>
      </w:pPr>
      <w:r w:rsidRPr="00A51C0C">
        <w:t>31.</w:t>
      </w:r>
      <w:r w:rsidRPr="00A51C0C">
        <w:tab/>
        <w:t>Minnesota Department Education. Occupational Therapy and Physical Therapy in Educational Settings: A Manual for Minnesota Practitioners [Internet]. Minnesota: Minnesota Department of Education; 2014. Available from: https://www.mnlowincidenceprojects.org/Projects/otpt/otptResources.html</w:t>
      </w:r>
    </w:p>
    <w:p w14:paraId="2B04EC4F" w14:textId="77777777" w:rsidR="00A51C0C" w:rsidRPr="00A51C0C" w:rsidRDefault="00A51C0C" w:rsidP="00A51C0C">
      <w:pPr>
        <w:pStyle w:val="Bibliography"/>
      </w:pPr>
      <w:r w:rsidRPr="00A51C0C">
        <w:t>32.</w:t>
      </w:r>
      <w:r w:rsidRPr="00A51C0C">
        <w:tab/>
        <w:t>Neal A. School-based SLPs: Are our caseloads really that high. internet [Internet]. 2023 Mar 20; Available from: https://www.speechpathology.com/articles/school-based-slps-our-caseloads-20581</w:t>
      </w:r>
    </w:p>
    <w:p w14:paraId="76EA5C5A" w14:textId="77777777" w:rsidR="00A51C0C" w:rsidRPr="00A51C0C" w:rsidRDefault="00A51C0C" w:rsidP="00A51C0C">
      <w:pPr>
        <w:pStyle w:val="Bibliography"/>
      </w:pPr>
      <w:r w:rsidRPr="00A51C0C">
        <w:t>33.</w:t>
      </w:r>
      <w:r w:rsidRPr="00A51C0C">
        <w:tab/>
        <w:t xml:space="preserve">Oregon Department Education. House Bill 2618: School-Based Occupational Therapy, Physical Therapy, and Speech-Language Pathology Workload </w:t>
      </w:r>
      <w:proofErr w:type="gramStart"/>
      <w:r w:rsidRPr="00A51C0C">
        <w:t>Methodology :</w:t>
      </w:r>
      <w:proofErr w:type="gramEnd"/>
      <w:r w:rsidRPr="00A51C0C">
        <w:t xml:space="preserve"> A Report to the Oregon Legislature [Internet]. Oregon: Department of Education; 2024. Available from: https://www.oregon.gov/ode/students-and-family/healthsafety/Documents/HB2618Report.pdf</w:t>
      </w:r>
    </w:p>
    <w:p w14:paraId="17E5D7BE" w14:textId="77777777" w:rsidR="00A51C0C" w:rsidRPr="00A51C0C" w:rsidRDefault="00A51C0C" w:rsidP="00A51C0C">
      <w:pPr>
        <w:pStyle w:val="Bibliography"/>
      </w:pPr>
      <w:r w:rsidRPr="00A51C0C">
        <w:t>34.</w:t>
      </w:r>
      <w:r w:rsidRPr="00A51C0C">
        <w:tab/>
        <w:t>Maine Department Education. 05-071Chapter 101 Maine Unified Special Education Regulation Birth to Age Twenty [Internet [Internet]. Maine: Maine Department of Education; 2017. Available from: https://www.maine.gov/doe/cds/muser</w:t>
      </w:r>
    </w:p>
    <w:p w14:paraId="67924EFD" w14:textId="77777777" w:rsidR="00A51C0C" w:rsidRPr="00A51C0C" w:rsidRDefault="00A51C0C" w:rsidP="00A51C0C">
      <w:pPr>
        <w:pStyle w:val="Bibliography"/>
      </w:pPr>
      <w:r w:rsidRPr="00A51C0C">
        <w:t>35.</w:t>
      </w:r>
      <w:r w:rsidRPr="00A51C0C">
        <w:tab/>
      </w:r>
      <w:proofErr w:type="spellStart"/>
      <w:r w:rsidRPr="00A51C0C">
        <w:t>Bober</w:t>
      </w:r>
      <w:proofErr w:type="spellEnd"/>
      <w:r w:rsidRPr="00A51C0C">
        <w:t xml:space="preserve"> P, Corbett S. Occupational Therapy and Physical Therapy: A Resource and Planning Guide [Internet]. Second. Wisconsin: Wisconsin Department of Public Instruction; 2011. Available from: </w:t>
      </w:r>
      <w:r w:rsidRPr="00A51C0C">
        <w:lastRenderedPageBreak/>
        <w:t>https://dpi.wi.gov/sites/default/files/imce/sped/pdf/ot-pt-guide-2nd-edition.pdf</w:t>
      </w:r>
    </w:p>
    <w:p w14:paraId="72ED3E3D" w14:textId="77777777" w:rsidR="00A51C0C" w:rsidRPr="00A51C0C" w:rsidRDefault="00A51C0C" w:rsidP="00A51C0C">
      <w:pPr>
        <w:pStyle w:val="Bibliography"/>
      </w:pPr>
      <w:r w:rsidRPr="00A51C0C">
        <w:t>36.</w:t>
      </w:r>
      <w:r w:rsidRPr="00A51C0C">
        <w:tab/>
        <w:t xml:space="preserve">Gadd C. 2 Evaluation of </w:t>
      </w:r>
      <w:proofErr w:type="spellStart"/>
      <w:r w:rsidRPr="00A51C0C">
        <w:t>MaST</w:t>
      </w:r>
      <w:proofErr w:type="spellEnd"/>
      <w:r w:rsidRPr="00A51C0C">
        <w:t xml:space="preserve"> (management and supervision tool) to support NHS community mental health teams in identifying risk of crisis and complexity across caseloads. </w:t>
      </w:r>
      <w:proofErr w:type="gramStart"/>
      <w:r w:rsidRPr="00A51C0C">
        <w:t>2022;</w:t>
      </w:r>
      <w:proofErr w:type="gramEnd"/>
      <w:r w:rsidRPr="00A51C0C">
        <w:t xml:space="preserve"> </w:t>
      </w:r>
    </w:p>
    <w:p w14:paraId="12798D71" w14:textId="77777777" w:rsidR="00A51C0C" w:rsidRPr="00A51C0C" w:rsidRDefault="00A51C0C" w:rsidP="00A51C0C">
      <w:pPr>
        <w:pStyle w:val="Bibliography"/>
      </w:pPr>
      <w:r w:rsidRPr="00A51C0C">
        <w:t>37.</w:t>
      </w:r>
      <w:r w:rsidRPr="00A51C0C">
        <w:tab/>
        <w:t xml:space="preserve">Clevenger VD, Jeffries LM, </w:t>
      </w:r>
      <w:proofErr w:type="spellStart"/>
      <w:r w:rsidRPr="00A51C0C">
        <w:t>Effgen</w:t>
      </w:r>
      <w:proofErr w:type="spellEnd"/>
      <w:r w:rsidRPr="00A51C0C">
        <w:t xml:space="preserve"> SK, Chen S, Arnold SH. School-based physical therapy services: Predicting the gap between ideal and actual embedded services. </w:t>
      </w:r>
      <w:proofErr w:type="spellStart"/>
      <w:r w:rsidRPr="00A51C0C">
        <w:t>Pediatr</w:t>
      </w:r>
      <w:proofErr w:type="spellEnd"/>
      <w:r w:rsidRPr="00A51C0C">
        <w:t xml:space="preserve"> Phys </w:t>
      </w:r>
      <w:proofErr w:type="spellStart"/>
      <w:r w:rsidRPr="00A51C0C">
        <w:t>Ther</w:t>
      </w:r>
      <w:proofErr w:type="spellEnd"/>
      <w:r w:rsidRPr="00A51C0C">
        <w:t xml:space="preserve"> [Internet]. 2020; Available from: https://doi.org/10.1097%2FPEP.0000000000000683</w:t>
      </w:r>
    </w:p>
    <w:p w14:paraId="5C33F573" w14:textId="77777777" w:rsidR="00A51C0C" w:rsidRPr="00A51C0C" w:rsidRDefault="00A51C0C" w:rsidP="00A51C0C">
      <w:pPr>
        <w:pStyle w:val="Bibliography"/>
      </w:pPr>
      <w:r w:rsidRPr="00A51C0C">
        <w:t>38.</w:t>
      </w:r>
      <w:r w:rsidRPr="00A51C0C">
        <w:tab/>
      </w:r>
      <w:proofErr w:type="spellStart"/>
      <w:r w:rsidRPr="00A51C0C">
        <w:t>Kolehmainen</w:t>
      </w:r>
      <w:proofErr w:type="spellEnd"/>
      <w:r w:rsidRPr="00A51C0C">
        <w:t xml:space="preserve"> N, MacLennan G, Francis JJ, Duncan EA. Clinicians’ caseload management behaviours as explanatory factors in patients’ length of time on caseloads: a predictive multilevel study in paediatric community occupational therapy. BMC Health </w:t>
      </w:r>
      <w:proofErr w:type="spellStart"/>
      <w:r w:rsidRPr="00A51C0C">
        <w:t>Serv</w:t>
      </w:r>
      <w:proofErr w:type="spellEnd"/>
      <w:r w:rsidRPr="00A51C0C">
        <w:t xml:space="preserve"> Res [Internet]. 2010; Available from: https://doi.org/10.1186/1472-6963-10-249</w:t>
      </w:r>
    </w:p>
    <w:p w14:paraId="505C2EF8" w14:textId="77777777" w:rsidR="00A51C0C" w:rsidRPr="00A51C0C" w:rsidRDefault="00A51C0C" w:rsidP="00A51C0C">
      <w:pPr>
        <w:pStyle w:val="Bibliography"/>
      </w:pPr>
      <w:r w:rsidRPr="00A51C0C">
        <w:t>39.</w:t>
      </w:r>
      <w:r w:rsidRPr="00A51C0C">
        <w:tab/>
        <w:t xml:space="preserve">Caffrey A, Todd M. Community learning disability teams: the need for objective methods of prioritization and discharge planning. Health </w:t>
      </w:r>
      <w:proofErr w:type="spellStart"/>
      <w:r w:rsidRPr="00A51C0C">
        <w:t>Serv</w:t>
      </w:r>
      <w:proofErr w:type="spellEnd"/>
      <w:r w:rsidRPr="00A51C0C">
        <w:t xml:space="preserve"> Manage Res. 2002;15(4):223–33. </w:t>
      </w:r>
    </w:p>
    <w:p w14:paraId="7B82B309" w14:textId="77777777" w:rsidR="00A51C0C" w:rsidRPr="00A51C0C" w:rsidRDefault="00A51C0C" w:rsidP="00A51C0C">
      <w:pPr>
        <w:pStyle w:val="Bibliography"/>
      </w:pPr>
      <w:r w:rsidRPr="00A51C0C">
        <w:t>40.</w:t>
      </w:r>
      <w:r w:rsidRPr="00A51C0C">
        <w:tab/>
        <w:t xml:space="preserve">Mueller CR, Garfinkel M. Occupational Therapists perceptions </w:t>
      </w:r>
      <w:proofErr w:type="spellStart"/>
      <w:r w:rsidRPr="00A51C0C">
        <w:t>intraprofessional</w:t>
      </w:r>
      <w:proofErr w:type="spellEnd"/>
      <w:r w:rsidRPr="00A51C0C">
        <w:t xml:space="preserve"> collaboration when working with young children aged birth to 3 years. Open J </w:t>
      </w:r>
      <w:proofErr w:type="spellStart"/>
      <w:r w:rsidRPr="00A51C0C">
        <w:t>Occup</w:t>
      </w:r>
      <w:proofErr w:type="spellEnd"/>
      <w:r w:rsidRPr="00A51C0C">
        <w:t xml:space="preserve"> </w:t>
      </w:r>
      <w:proofErr w:type="spellStart"/>
      <w:r w:rsidRPr="00A51C0C">
        <w:t>Ther</w:t>
      </w:r>
      <w:proofErr w:type="spellEnd"/>
      <w:r w:rsidRPr="00A51C0C">
        <w:t xml:space="preserve">. 2021;9(3):9–11. </w:t>
      </w:r>
    </w:p>
    <w:p w14:paraId="601B6364" w14:textId="77777777" w:rsidR="00A51C0C" w:rsidRPr="00A51C0C" w:rsidRDefault="00A51C0C" w:rsidP="00A51C0C">
      <w:pPr>
        <w:pStyle w:val="Bibliography"/>
      </w:pPr>
      <w:r w:rsidRPr="00A51C0C">
        <w:t>41.</w:t>
      </w:r>
      <w:r w:rsidRPr="00A51C0C">
        <w:tab/>
        <w:t xml:space="preserve">Long JT, </w:t>
      </w:r>
      <w:proofErr w:type="spellStart"/>
      <w:r w:rsidRPr="00A51C0C">
        <w:t>Neogi</w:t>
      </w:r>
      <w:proofErr w:type="spellEnd"/>
      <w:r w:rsidRPr="00A51C0C">
        <w:t xml:space="preserve"> S, </w:t>
      </w:r>
      <w:proofErr w:type="spellStart"/>
      <w:r w:rsidRPr="00A51C0C">
        <w:t>Vidonish</w:t>
      </w:r>
      <w:proofErr w:type="spellEnd"/>
      <w:r w:rsidRPr="00A51C0C">
        <w:t xml:space="preserve"> W, </w:t>
      </w:r>
      <w:proofErr w:type="spellStart"/>
      <w:r w:rsidRPr="00A51C0C">
        <w:t>Badylak</w:t>
      </w:r>
      <w:proofErr w:type="spellEnd"/>
      <w:r w:rsidRPr="00A51C0C">
        <w:t xml:space="preserve"> J, </w:t>
      </w:r>
      <w:proofErr w:type="spellStart"/>
      <w:r w:rsidRPr="00A51C0C">
        <w:t>Reder</w:t>
      </w:r>
      <w:proofErr w:type="spellEnd"/>
      <w:r w:rsidRPr="00A51C0C">
        <w:t xml:space="preserve"> RD. Therapy workloads in </w:t>
      </w:r>
      <w:proofErr w:type="spellStart"/>
      <w:r w:rsidRPr="00A51C0C">
        <w:t>pediatric</w:t>
      </w:r>
      <w:proofErr w:type="spellEnd"/>
      <w:r w:rsidRPr="00A51C0C">
        <w:t xml:space="preserve"> health: preliminary findings and relevance for defining practice. </w:t>
      </w:r>
      <w:proofErr w:type="spellStart"/>
      <w:r w:rsidRPr="00A51C0C">
        <w:t>Pediatr</w:t>
      </w:r>
      <w:proofErr w:type="spellEnd"/>
      <w:r w:rsidRPr="00A51C0C">
        <w:t xml:space="preserve"> Phys </w:t>
      </w:r>
      <w:proofErr w:type="spellStart"/>
      <w:r w:rsidRPr="00A51C0C">
        <w:t>Ther</w:t>
      </w:r>
      <w:proofErr w:type="spellEnd"/>
      <w:r w:rsidRPr="00A51C0C">
        <w:t xml:space="preserve"> [Internet]. 2020; Available from: https://doi.org/10.1097/PEP.0000000000000665</w:t>
      </w:r>
    </w:p>
    <w:p w14:paraId="72CB3839" w14:textId="111FF743" w:rsidR="009F4D97" w:rsidRPr="0081414E" w:rsidRDefault="009F4D97" w:rsidP="0081414E">
      <w:pPr>
        <w:rPr>
          <w:szCs w:val="24"/>
        </w:rPr>
      </w:pPr>
      <w:bookmarkStart w:id="87" w:name="_Hlk166575837"/>
      <w:bookmarkEnd w:id="84"/>
      <w:bookmarkEnd w:id="85"/>
      <w:r w:rsidRPr="0081414E">
        <w:rPr>
          <w:szCs w:val="24"/>
        </w:rPr>
        <w:t xml:space="preserve"> </w:t>
      </w:r>
      <w:bookmarkEnd w:id="87"/>
    </w:p>
    <w:bookmarkEnd w:id="86"/>
    <w:p w14:paraId="6AB7CA76" w14:textId="77777777" w:rsidR="009F4D97" w:rsidRPr="00C1487D" w:rsidRDefault="009F4D97" w:rsidP="00C1487D"/>
    <w:sectPr w:rsidR="009F4D97" w:rsidRPr="00C1487D" w:rsidSect="00182E4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FF9E" w14:textId="77777777" w:rsidR="00216373" w:rsidRDefault="00216373" w:rsidP="001171E7">
      <w:pPr>
        <w:spacing w:after="0"/>
      </w:pPr>
      <w:r>
        <w:separator/>
      </w:r>
    </w:p>
  </w:endnote>
  <w:endnote w:type="continuationSeparator" w:id="0">
    <w:p w14:paraId="3FD5D898" w14:textId="77777777" w:rsidR="00216373" w:rsidRDefault="00216373"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3391"/>
      <w:docPartObj>
        <w:docPartGallery w:val="Page Numbers (Bottom of Page)"/>
        <w:docPartUnique/>
      </w:docPartObj>
    </w:sdtPr>
    <w:sdtEndPr/>
    <w:sdtContent>
      <w:p w14:paraId="6DCE5437" w14:textId="0DFB4362" w:rsidR="00EA59C2" w:rsidRDefault="00C54C9A" w:rsidP="00EA59C2">
        <w:pPr>
          <w:pStyle w:val="NDADocFooter"/>
        </w:pPr>
        <w:r>
          <w:t>October 2024</w:t>
        </w:r>
        <w:r w:rsidR="00EA59C2">
          <w:tab/>
        </w:r>
        <w:r w:rsidR="00EA59C2">
          <w:tab/>
        </w:r>
        <w:r w:rsidR="00EA59C2">
          <w:fldChar w:fldCharType="begin"/>
        </w:r>
        <w:r w:rsidR="00EA59C2">
          <w:instrText>PAGE   \* MERGEFORMAT</w:instrText>
        </w:r>
        <w:r w:rsidR="00EA59C2">
          <w:fldChar w:fldCharType="separate"/>
        </w:r>
        <w:r w:rsidR="00EA59C2">
          <w:rPr>
            <w:lang w:val="en-GB"/>
          </w:rPr>
          <w:t>2</w:t>
        </w:r>
        <w:r w:rsidR="00EA59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3FE" w14:textId="77777777" w:rsidR="00216373" w:rsidRDefault="00216373" w:rsidP="001171E7">
      <w:pPr>
        <w:spacing w:after="0"/>
      </w:pPr>
      <w:r>
        <w:separator/>
      </w:r>
    </w:p>
  </w:footnote>
  <w:footnote w:type="continuationSeparator" w:id="0">
    <w:p w14:paraId="08ED413F" w14:textId="77777777" w:rsidR="00216373" w:rsidRDefault="00216373" w:rsidP="001171E7">
      <w:pPr>
        <w:spacing w:after="0"/>
      </w:pPr>
      <w:r>
        <w:continuationSeparator/>
      </w:r>
    </w:p>
  </w:footnote>
  <w:footnote w:id="1">
    <w:p w14:paraId="457F1DF6" w14:textId="46C0704D" w:rsidR="00124C1D" w:rsidRDefault="00124C1D">
      <w:pPr>
        <w:pStyle w:val="FootnoteText"/>
      </w:pPr>
      <w:r>
        <w:rPr>
          <w:rStyle w:val="FootnoteReference"/>
        </w:rPr>
        <w:footnoteRef/>
      </w:r>
      <w:r>
        <w:t xml:space="preserve"> </w:t>
      </w:r>
      <w:hyperlink r:id="rId1" w:history="1">
        <w:r w:rsidR="0077041F" w:rsidRPr="00F84B2C">
          <w:rPr>
            <w:rStyle w:val="Hyperlink"/>
          </w:rPr>
          <w:t>https://nda.ie/publications/nda-advice-paper-on-disability-language-and-terminology</w:t>
        </w:r>
      </w:hyperlink>
      <w:r w:rsidR="0077041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C8C" w14:textId="3CA13966" w:rsidR="001171E7" w:rsidRDefault="00C54C9A" w:rsidP="001171E7">
    <w:pPr>
      <w:pStyle w:val="NDADocHeader"/>
    </w:pPr>
    <w:r>
      <w:t>Caseload and workloads.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779"/>
    <w:multiLevelType w:val="hybridMultilevel"/>
    <w:tmpl w:val="4B92A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8C3A3F"/>
    <w:multiLevelType w:val="hybridMultilevel"/>
    <w:tmpl w:val="14881A3E"/>
    <w:lvl w:ilvl="0" w:tplc="D162257E">
      <w:start w:val="1"/>
      <w:numFmt w:val="decimal"/>
      <w:lvlText w:val="%1."/>
      <w:lvlJc w:val="left"/>
      <w:pPr>
        <w:ind w:left="1080" w:hanging="720"/>
      </w:pPr>
      <w:rPr>
        <w:rFonts w:hint="default"/>
      </w:rPr>
    </w:lvl>
    <w:lvl w:ilvl="1" w:tplc="272417D0">
      <w:start w:val="1"/>
      <w:numFmt w:val="lowerLetter"/>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3C0ECF"/>
    <w:multiLevelType w:val="hybridMultilevel"/>
    <w:tmpl w:val="3BDEFCB4"/>
    <w:lvl w:ilvl="0" w:tplc="B4C43FAC">
      <w:start w:val="12"/>
      <w:numFmt w:val="bullet"/>
      <w:lvlText w:val="•"/>
      <w:lvlJc w:val="left"/>
      <w:pPr>
        <w:ind w:left="1080" w:hanging="72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4E14FB4"/>
    <w:multiLevelType w:val="hybridMultilevel"/>
    <w:tmpl w:val="EE9A07E4"/>
    <w:lvl w:ilvl="0" w:tplc="D16225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335013"/>
    <w:multiLevelType w:val="hybridMultilevel"/>
    <w:tmpl w:val="420646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39056B3"/>
    <w:multiLevelType w:val="hybridMultilevel"/>
    <w:tmpl w:val="C3F0753A"/>
    <w:lvl w:ilvl="0" w:tplc="B4C43FAC">
      <w:start w:val="12"/>
      <w:numFmt w:val="bullet"/>
      <w:lvlText w:val="•"/>
      <w:lvlJc w:val="left"/>
      <w:pPr>
        <w:ind w:left="1080" w:hanging="72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E43922"/>
    <w:multiLevelType w:val="hybridMultilevel"/>
    <w:tmpl w:val="1370EFF0"/>
    <w:lvl w:ilvl="0" w:tplc="D162257E">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FB0E4A"/>
    <w:multiLevelType w:val="hybridMultilevel"/>
    <w:tmpl w:val="A61E672C"/>
    <w:lvl w:ilvl="0" w:tplc="B4C43FAC">
      <w:start w:val="12"/>
      <w:numFmt w:val="bullet"/>
      <w:lvlText w:val="•"/>
      <w:lvlJc w:val="left"/>
      <w:pPr>
        <w:ind w:left="1080" w:hanging="72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DE59EE"/>
    <w:multiLevelType w:val="hybridMultilevel"/>
    <w:tmpl w:val="E0A0D49C"/>
    <w:lvl w:ilvl="0" w:tplc="D16225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BB7AF0"/>
    <w:multiLevelType w:val="hybridMultilevel"/>
    <w:tmpl w:val="4E3A5D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0114432">
    <w:abstractNumId w:val="15"/>
  </w:num>
  <w:num w:numId="2" w16cid:durableId="910768759">
    <w:abstractNumId w:val="4"/>
  </w:num>
  <w:num w:numId="3" w16cid:durableId="1620258526">
    <w:abstractNumId w:val="10"/>
  </w:num>
  <w:num w:numId="4" w16cid:durableId="1398282744">
    <w:abstractNumId w:val="16"/>
  </w:num>
  <w:num w:numId="5" w16cid:durableId="1129788939">
    <w:abstractNumId w:val="0"/>
  </w:num>
  <w:num w:numId="6" w16cid:durableId="1535582218">
    <w:abstractNumId w:val="3"/>
  </w:num>
  <w:num w:numId="7" w16cid:durableId="1541937215">
    <w:abstractNumId w:val="12"/>
  </w:num>
  <w:num w:numId="8" w16cid:durableId="455679118">
    <w:abstractNumId w:val="8"/>
  </w:num>
  <w:num w:numId="9" w16cid:durableId="242179055">
    <w:abstractNumId w:val="2"/>
  </w:num>
  <w:num w:numId="10" w16cid:durableId="1496217143">
    <w:abstractNumId w:val="14"/>
  </w:num>
  <w:num w:numId="11" w16cid:durableId="1850606861">
    <w:abstractNumId w:val="13"/>
  </w:num>
  <w:num w:numId="12" w16cid:durableId="2144954928">
    <w:abstractNumId w:val="18"/>
  </w:num>
  <w:num w:numId="13" w16cid:durableId="798230211">
    <w:abstractNumId w:val="1"/>
  </w:num>
  <w:num w:numId="14" w16cid:durableId="1208221761">
    <w:abstractNumId w:val="17"/>
  </w:num>
  <w:num w:numId="15" w16cid:durableId="323360036">
    <w:abstractNumId w:val="9"/>
  </w:num>
  <w:num w:numId="16" w16cid:durableId="1675497173">
    <w:abstractNumId w:val="6"/>
  </w:num>
  <w:num w:numId="17" w16cid:durableId="572157237">
    <w:abstractNumId w:val="7"/>
  </w:num>
  <w:num w:numId="18" w16cid:durableId="1523394075">
    <w:abstractNumId w:val="5"/>
  </w:num>
  <w:num w:numId="19" w16cid:durableId="912929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7D"/>
    <w:rsid w:val="00043A3F"/>
    <w:rsid w:val="00055494"/>
    <w:rsid w:val="00055AC8"/>
    <w:rsid w:val="000572FE"/>
    <w:rsid w:val="00062317"/>
    <w:rsid w:val="0006597B"/>
    <w:rsid w:val="000779D8"/>
    <w:rsid w:val="00080A35"/>
    <w:rsid w:val="00083F19"/>
    <w:rsid w:val="00085D0B"/>
    <w:rsid w:val="00087A00"/>
    <w:rsid w:val="00096756"/>
    <w:rsid w:val="000C357F"/>
    <w:rsid w:val="000D61AB"/>
    <w:rsid w:val="000D71F7"/>
    <w:rsid w:val="00114BDF"/>
    <w:rsid w:val="0011629A"/>
    <w:rsid w:val="001171E7"/>
    <w:rsid w:val="00124C1D"/>
    <w:rsid w:val="00130160"/>
    <w:rsid w:val="001407FB"/>
    <w:rsid w:val="00152168"/>
    <w:rsid w:val="00176FC2"/>
    <w:rsid w:val="00182E49"/>
    <w:rsid w:val="00193AE0"/>
    <w:rsid w:val="001977A7"/>
    <w:rsid w:val="001B21D9"/>
    <w:rsid w:val="001C66E6"/>
    <w:rsid w:val="001D03B5"/>
    <w:rsid w:val="001D5198"/>
    <w:rsid w:val="001E0329"/>
    <w:rsid w:val="00216373"/>
    <w:rsid w:val="002213D1"/>
    <w:rsid w:val="002529FA"/>
    <w:rsid w:val="00267271"/>
    <w:rsid w:val="00284FE5"/>
    <w:rsid w:val="002F4618"/>
    <w:rsid w:val="0031069F"/>
    <w:rsid w:val="00310C5D"/>
    <w:rsid w:val="003265A4"/>
    <w:rsid w:val="00335125"/>
    <w:rsid w:val="00356E2F"/>
    <w:rsid w:val="00363C27"/>
    <w:rsid w:val="00376183"/>
    <w:rsid w:val="0038639F"/>
    <w:rsid w:val="00392EB9"/>
    <w:rsid w:val="003B156B"/>
    <w:rsid w:val="003C1F63"/>
    <w:rsid w:val="003C48E6"/>
    <w:rsid w:val="003D11C7"/>
    <w:rsid w:val="003D13F4"/>
    <w:rsid w:val="003F6936"/>
    <w:rsid w:val="00402AD5"/>
    <w:rsid w:val="00433A87"/>
    <w:rsid w:val="00457472"/>
    <w:rsid w:val="00473726"/>
    <w:rsid w:val="004838F4"/>
    <w:rsid w:val="004A25F7"/>
    <w:rsid w:val="004A5DA9"/>
    <w:rsid w:val="004B00B3"/>
    <w:rsid w:val="004B2823"/>
    <w:rsid w:val="004D2783"/>
    <w:rsid w:val="004D5083"/>
    <w:rsid w:val="004D7354"/>
    <w:rsid w:val="00523469"/>
    <w:rsid w:val="00553E92"/>
    <w:rsid w:val="00587A70"/>
    <w:rsid w:val="00590D07"/>
    <w:rsid w:val="005B7931"/>
    <w:rsid w:val="005E4E60"/>
    <w:rsid w:val="005F28A3"/>
    <w:rsid w:val="00610919"/>
    <w:rsid w:val="00614FFE"/>
    <w:rsid w:val="00637A55"/>
    <w:rsid w:val="00641523"/>
    <w:rsid w:val="006439A4"/>
    <w:rsid w:val="006770E8"/>
    <w:rsid w:val="006848FB"/>
    <w:rsid w:val="00695B54"/>
    <w:rsid w:val="00697B8C"/>
    <w:rsid w:val="006C1CFB"/>
    <w:rsid w:val="006C351B"/>
    <w:rsid w:val="006C49F8"/>
    <w:rsid w:val="006F16E7"/>
    <w:rsid w:val="006F7D3F"/>
    <w:rsid w:val="00700946"/>
    <w:rsid w:val="00701ECE"/>
    <w:rsid w:val="007033C0"/>
    <w:rsid w:val="007352BF"/>
    <w:rsid w:val="00735BAC"/>
    <w:rsid w:val="00742A19"/>
    <w:rsid w:val="00747677"/>
    <w:rsid w:val="00747A73"/>
    <w:rsid w:val="0077041F"/>
    <w:rsid w:val="007A5CA7"/>
    <w:rsid w:val="007B3D5F"/>
    <w:rsid w:val="007B713B"/>
    <w:rsid w:val="007C66D0"/>
    <w:rsid w:val="007D3833"/>
    <w:rsid w:val="007D5BF6"/>
    <w:rsid w:val="007F1652"/>
    <w:rsid w:val="0081414E"/>
    <w:rsid w:val="008749BD"/>
    <w:rsid w:val="00891F06"/>
    <w:rsid w:val="008A7B5D"/>
    <w:rsid w:val="008C40B2"/>
    <w:rsid w:val="008C4E35"/>
    <w:rsid w:val="008C4F28"/>
    <w:rsid w:val="00902C50"/>
    <w:rsid w:val="00917786"/>
    <w:rsid w:val="009404FD"/>
    <w:rsid w:val="00942CC4"/>
    <w:rsid w:val="00960014"/>
    <w:rsid w:val="00966690"/>
    <w:rsid w:val="00967B3A"/>
    <w:rsid w:val="00980C68"/>
    <w:rsid w:val="00980F6E"/>
    <w:rsid w:val="00987C10"/>
    <w:rsid w:val="009B2485"/>
    <w:rsid w:val="009B272F"/>
    <w:rsid w:val="009B45C3"/>
    <w:rsid w:val="009F0F73"/>
    <w:rsid w:val="009F4396"/>
    <w:rsid w:val="009F4D97"/>
    <w:rsid w:val="009F64F0"/>
    <w:rsid w:val="00A13821"/>
    <w:rsid w:val="00A15B73"/>
    <w:rsid w:val="00A51C0C"/>
    <w:rsid w:val="00A5720B"/>
    <w:rsid w:val="00A84A39"/>
    <w:rsid w:val="00A94098"/>
    <w:rsid w:val="00AA5D2D"/>
    <w:rsid w:val="00AA6615"/>
    <w:rsid w:val="00AE41BA"/>
    <w:rsid w:val="00AF2D76"/>
    <w:rsid w:val="00AF7701"/>
    <w:rsid w:val="00B10FDE"/>
    <w:rsid w:val="00B142D4"/>
    <w:rsid w:val="00B34D2C"/>
    <w:rsid w:val="00B41006"/>
    <w:rsid w:val="00B53A64"/>
    <w:rsid w:val="00B65D92"/>
    <w:rsid w:val="00B7688F"/>
    <w:rsid w:val="00B85AA7"/>
    <w:rsid w:val="00B870ED"/>
    <w:rsid w:val="00B9053C"/>
    <w:rsid w:val="00BA67D6"/>
    <w:rsid w:val="00BB0892"/>
    <w:rsid w:val="00BC4ECA"/>
    <w:rsid w:val="00C12F3D"/>
    <w:rsid w:val="00C1487D"/>
    <w:rsid w:val="00C15849"/>
    <w:rsid w:val="00C269BF"/>
    <w:rsid w:val="00C32BD4"/>
    <w:rsid w:val="00C54C9A"/>
    <w:rsid w:val="00C55DB1"/>
    <w:rsid w:val="00C86E09"/>
    <w:rsid w:val="00CF1820"/>
    <w:rsid w:val="00CF4B66"/>
    <w:rsid w:val="00D332DB"/>
    <w:rsid w:val="00D333AE"/>
    <w:rsid w:val="00D34EE6"/>
    <w:rsid w:val="00DC43D7"/>
    <w:rsid w:val="00DC6C16"/>
    <w:rsid w:val="00DD3B48"/>
    <w:rsid w:val="00DD6441"/>
    <w:rsid w:val="00DD735F"/>
    <w:rsid w:val="00DE3174"/>
    <w:rsid w:val="00E0371B"/>
    <w:rsid w:val="00E20D3F"/>
    <w:rsid w:val="00E32C81"/>
    <w:rsid w:val="00E6138E"/>
    <w:rsid w:val="00E97A63"/>
    <w:rsid w:val="00EA00EE"/>
    <w:rsid w:val="00EA59C2"/>
    <w:rsid w:val="00EB27BF"/>
    <w:rsid w:val="00EB3FB9"/>
    <w:rsid w:val="00EC55EF"/>
    <w:rsid w:val="00F01A08"/>
    <w:rsid w:val="00F21122"/>
    <w:rsid w:val="00F32D29"/>
    <w:rsid w:val="00F52763"/>
    <w:rsid w:val="00F84127"/>
    <w:rsid w:val="00FB486C"/>
    <w:rsid w:val="00FC09EC"/>
    <w:rsid w:val="00FD6D08"/>
    <w:rsid w:val="00FE098C"/>
    <w:rsid w:val="00FF7F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BBD7"/>
  <w15:chartTrackingRefBased/>
  <w15:docId w15:val="{276E9BE3-82EA-47B1-894E-65A5FE41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0"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3"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33"/>
    <w:rPr>
      <w:rFonts w:ascii="Verdana" w:hAnsi="Verdana"/>
      <w:sz w:val="24"/>
    </w:rPr>
  </w:style>
  <w:style w:type="paragraph" w:styleId="Heading1">
    <w:name w:val="heading 1"/>
    <w:basedOn w:val="Normal"/>
    <w:next w:val="Normal"/>
    <w:link w:val="Heading1Char"/>
    <w:uiPriority w:val="1"/>
    <w:qFormat/>
    <w:rsid w:val="007D3833"/>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7D3833"/>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7D3833"/>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7D3833"/>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rsid w:val="007D38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833"/>
  </w:style>
  <w:style w:type="paragraph" w:styleId="Title">
    <w:name w:val="Title"/>
    <w:basedOn w:val="Normal"/>
    <w:next w:val="Normal"/>
    <w:link w:val="TitleChar"/>
    <w:uiPriority w:val="5"/>
    <w:qFormat/>
    <w:rsid w:val="007D3833"/>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7D3833"/>
    <w:rPr>
      <w:rFonts w:ascii="Verdana" w:eastAsiaTheme="majorEastAsia" w:hAnsi="Verdana" w:cstheme="majorBidi"/>
      <w:b/>
      <w:spacing w:val="-10"/>
      <w:kern w:val="28"/>
      <w:sz w:val="36"/>
      <w:szCs w:val="56"/>
    </w:rPr>
  </w:style>
  <w:style w:type="paragraph" w:customStyle="1" w:styleId="TitleStyleNDA">
    <w:name w:val="TitleStyle_NDA"/>
    <w:basedOn w:val="Title"/>
    <w:next w:val="Normal"/>
    <w:uiPriority w:val="5"/>
    <w:qFormat/>
    <w:rsid w:val="00182E49"/>
    <w:pPr>
      <w:spacing w:before="120"/>
    </w:pPr>
    <w:rPr>
      <w:b w:val="0"/>
    </w:rPr>
  </w:style>
  <w:style w:type="paragraph" w:customStyle="1" w:styleId="TOCHeadingNDA">
    <w:name w:val="TOC Heading NDA"/>
    <w:basedOn w:val="SubtitleNDA"/>
    <w:next w:val="Normal"/>
    <w:uiPriority w:val="21"/>
    <w:qFormat/>
    <w:rsid w:val="00182E49"/>
    <w:pPr>
      <w:spacing w:before="360" w:after="120"/>
      <w:jc w:val="left"/>
    </w:pPr>
  </w:style>
  <w:style w:type="character" w:customStyle="1" w:styleId="Heading1Char">
    <w:name w:val="Heading 1 Char"/>
    <w:basedOn w:val="DefaultParagraphFont"/>
    <w:link w:val="Heading1"/>
    <w:uiPriority w:val="1"/>
    <w:rsid w:val="007D3833"/>
    <w:rPr>
      <w:rFonts w:ascii="Verdana" w:eastAsiaTheme="majorEastAsia" w:hAnsi="Verdana" w:cstheme="majorBidi"/>
      <w:b/>
      <w:sz w:val="32"/>
      <w:szCs w:val="32"/>
    </w:rPr>
  </w:style>
  <w:style w:type="paragraph" w:customStyle="1" w:styleId="H1Heading1NDA">
    <w:name w:val="H1 Heading1_NDA"/>
    <w:basedOn w:val="Heading1"/>
    <w:next w:val="Normal"/>
    <w:uiPriority w:val="1"/>
    <w:qFormat/>
    <w:rsid w:val="00182E49"/>
    <w:rPr>
      <w:b w:val="0"/>
      <w:color w:val="000000" w:themeColor="text1"/>
    </w:rPr>
  </w:style>
  <w:style w:type="character" w:customStyle="1" w:styleId="Heading2Char">
    <w:name w:val="Heading 2 Char"/>
    <w:basedOn w:val="DefaultParagraphFont"/>
    <w:link w:val="Heading2"/>
    <w:uiPriority w:val="2"/>
    <w:rsid w:val="007D3833"/>
    <w:rPr>
      <w:rFonts w:ascii="Verdana" w:eastAsiaTheme="majorEastAsia" w:hAnsi="Verdana" w:cstheme="majorBidi"/>
      <w:b/>
      <w:sz w:val="28"/>
      <w:szCs w:val="26"/>
    </w:rPr>
  </w:style>
  <w:style w:type="paragraph" w:customStyle="1" w:styleId="H2Heading2NDA">
    <w:name w:val="H2 Heading2_NDA"/>
    <w:basedOn w:val="Heading2"/>
    <w:next w:val="Normal"/>
    <w:uiPriority w:val="2"/>
    <w:qFormat/>
    <w:rsid w:val="00182E49"/>
    <w:rPr>
      <w:b w:val="0"/>
      <w:color w:val="000000" w:themeColor="text1"/>
    </w:rPr>
  </w:style>
  <w:style w:type="character" w:customStyle="1" w:styleId="Heading3Char">
    <w:name w:val="Heading 3 Char"/>
    <w:basedOn w:val="DefaultParagraphFont"/>
    <w:link w:val="Heading3"/>
    <w:uiPriority w:val="3"/>
    <w:rsid w:val="007D3833"/>
    <w:rPr>
      <w:rFonts w:ascii="Verdana" w:eastAsiaTheme="majorEastAsia" w:hAnsi="Verdana" w:cstheme="majorBidi"/>
      <w:b/>
      <w:sz w:val="24"/>
      <w:szCs w:val="24"/>
    </w:rPr>
  </w:style>
  <w:style w:type="paragraph" w:customStyle="1" w:styleId="H3Heading3NDA">
    <w:name w:val="H3 Heading3_NDA"/>
    <w:basedOn w:val="Heading3"/>
    <w:next w:val="Normal"/>
    <w:uiPriority w:val="3"/>
    <w:qFormat/>
    <w:rsid w:val="00182E49"/>
    <w:rPr>
      <w:b w:val="0"/>
      <w:color w:val="000000" w:themeColor="text1"/>
    </w:rPr>
  </w:style>
  <w:style w:type="character" w:customStyle="1" w:styleId="Heading4Char">
    <w:name w:val="Heading 4 Char"/>
    <w:basedOn w:val="DefaultParagraphFont"/>
    <w:link w:val="Heading4"/>
    <w:uiPriority w:val="4"/>
    <w:rsid w:val="007D3833"/>
    <w:rPr>
      <w:rFonts w:ascii="Verdana" w:eastAsiaTheme="majorEastAsia" w:hAnsi="Verdana" w:cstheme="majorBidi"/>
      <w:b/>
      <w:iCs/>
      <w:color w:val="5A5A5A"/>
      <w:sz w:val="24"/>
    </w:rPr>
  </w:style>
  <w:style w:type="paragraph" w:customStyle="1" w:styleId="H4Heading4NDA">
    <w:name w:val="H4 Heading 4_NDA"/>
    <w:basedOn w:val="Heading4"/>
    <w:next w:val="Normal"/>
    <w:uiPriority w:val="4"/>
    <w:qFormat/>
    <w:rsid w:val="00182E49"/>
    <w:rPr>
      <w:b w:val="0"/>
      <w:i/>
      <w:color w:val="505050"/>
    </w:rPr>
  </w:style>
  <w:style w:type="paragraph" w:customStyle="1" w:styleId="BulletNDA">
    <w:name w:val="Bullet_NDA"/>
    <w:basedOn w:val="Normal"/>
    <w:uiPriority w:val="8"/>
    <w:qFormat/>
    <w:rsid w:val="00182E49"/>
    <w:pPr>
      <w:numPr>
        <w:numId w:val="1"/>
      </w:numPr>
      <w:spacing w:after="120"/>
      <w:ind w:left="357" w:hanging="357"/>
    </w:pPr>
  </w:style>
  <w:style w:type="paragraph" w:customStyle="1" w:styleId="AfterListNDA">
    <w:name w:val="After List_NDA"/>
    <w:basedOn w:val="Normal"/>
    <w:next w:val="Normal"/>
    <w:uiPriority w:val="10"/>
    <w:qFormat/>
    <w:rsid w:val="00182E49"/>
    <w:pPr>
      <w:spacing w:before="240"/>
    </w:pPr>
  </w:style>
  <w:style w:type="paragraph" w:customStyle="1" w:styleId="BeforeListNDA">
    <w:name w:val="Before List_NDA"/>
    <w:basedOn w:val="Normal"/>
    <w:next w:val="BulletNDA"/>
    <w:uiPriority w:val="7"/>
    <w:qFormat/>
    <w:rsid w:val="00182E49"/>
    <w:pPr>
      <w:spacing w:after="120"/>
    </w:pPr>
  </w:style>
  <w:style w:type="paragraph" w:styleId="Subtitle">
    <w:name w:val="Subtitle"/>
    <w:basedOn w:val="Normal"/>
    <w:next w:val="Normal"/>
    <w:link w:val="SubtitleChar"/>
    <w:uiPriority w:val="6"/>
    <w:qFormat/>
    <w:rsid w:val="007D3833"/>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7D3833"/>
    <w:rPr>
      <w:rFonts w:ascii="Verdana" w:eastAsiaTheme="minorEastAsia" w:hAnsi="Verdana"/>
      <w:b/>
      <w:sz w:val="32"/>
    </w:rPr>
  </w:style>
  <w:style w:type="paragraph" w:customStyle="1" w:styleId="SubtitleNDA">
    <w:name w:val="Subtitle_NDA"/>
    <w:basedOn w:val="Subtitle"/>
    <w:next w:val="Normal"/>
    <w:uiPriority w:val="6"/>
    <w:qFormat/>
    <w:rsid w:val="00182E49"/>
    <w:pPr>
      <w:spacing w:after="240"/>
    </w:pPr>
    <w:rPr>
      <w:b w:val="0"/>
      <w:color w:val="000000" w:themeColor="text1"/>
    </w:rPr>
  </w:style>
  <w:style w:type="paragraph" w:customStyle="1" w:styleId="OrderedListNDA">
    <w:name w:val="Ordered List_NDA"/>
    <w:basedOn w:val="Normal"/>
    <w:uiPriority w:val="9"/>
    <w:qFormat/>
    <w:rsid w:val="00182E49"/>
    <w:pPr>
      <w:numPr>
        <w:numId w:val="2"/>
      </w:numPr>
      <w:spacing w:after="120"/>
      <w:ind w:left="357" w:hanging="357"/>
    </w:pPr>
  </w:style>
  <w:style w:type="paragraph" w:styleId="Quote">
    <w:name w:val="Quote"/>
    <w:basedOn w:val="Normal"/>
    <w:next w:val="Normal"/>
    <w:link w:val="QuoteChar"/>
    <w:uiPriority w:val="8"/>
    <w:qFormat/>
    <w:rsid w:val="007D3833"/>
    <w:pPr>
      <w:keepLines/>
      <w:ind w:left="567" w:right="567"/>
    </w:pPr>
    <w:rPr>
      <w:iCs/>
    </w:rPr>
  </w:style>
  <w:style w:type="character" w:customStyle="1" w:styleId="QuoteChar">
    <w:name w:val="Quote Char"/>
    <w:basedOn w:val="DefaultParagraphFont"/>
    <w:link w:val="Quote"/>
    <w:uiPriority w:val="8"/>
    <w:rsid w:val="007D3833"/>
    <w:rPr>
      <w:rFonts w:ascii="Verdana" w:hAnsi="Verdana"/>
      <w:iCs/>
      <w:sz w:val="24"/>
    </w:rPr>
  </w:style>
  <w:style w:type="paragraph" w:customStyle="1" w:styleId="BlockQuoteNDA">
    <w:name w:val="Block Quote_NDA"/>
    <w:basedOn w:val="Quote"/>
    <w:uiPriority w:val="11"/>
    <w:qFormat/>
    <w:rsid w:val="00182E49"/>
    <w:pPr>
      <w:spacing w:before="120"/>
    </w:pPr>
    <w:rPr>
      <w:i/>
      <w:color w:val="000000" w:themeColor="text1"/>
    </w:rPr>
  </w:style>
  <w:style w:type="paragraph" w:styleId="Header">
    <w:name w:val="header"/>
    <w:basedOn w:val="Normal"/>
    <w:link w:val="HeaderChar"/>
    <w:uiPriority w:val="20"/>
    <w:rsid w:val="007D3833"/>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7D3833"/>
    <w:rPr>
      <w:rFonts w:ascii="Verdana" w:hAnsi="Verdana"/>
      <w:color w:val="5A5A5A"/>
    </w:rPr>
  </w:style>
  <w:style w:type="paragraph" w:styleId="Footer">
    <w:name w:val="footer"/>
    <w:basedOn w:val="Normal"/>
    <w:link w:val="FooterChar"/>
    <w:uiPriority w:val="21"/>
    <w:rsid w:val="007D3833"/>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7D3833"/>
    <w:rPr>
      <w:rFonts w:ascii="Verdana" w:hAnsi="Verdana"/>
      <w:color w:val="5A5A5A"/>
    </w:rPr>
  </w:style>
  <w:style w:type="paragraph" w:customStyle="1" w:styleId="NDADocHeader">
    <w:name w:val="NDA Doc Header"/>
    <w:basedOn w:val="Header"/>
    <w:uiPriority w:val="19"/>
    <w:qFormat/>
    <w:rsid w:val="00182E49"/>
    <w:rPr>
      <w:color w:val="505050"/>
    </w:rPr>
  </w:style>
  <w:style w:type="paragraph" w:customStyle="1" w:styleId="NDADocFooter">
    <w:name w:val="NDA Doc Footer"/>
    <w:basedOn w:val="Footer"/>
    <w:uiPriority w:val="20"/>
    <w:qFormat/>
    <w:rsid w:val="00182E49"/>
    <w:rPr>
      <w:color w:val="505050"/>
    </w:rPr>
  </w:style>
  <w:style w:type="paragraph" w:styleId="FootnoteText">
    <w:name w:val="footnote text"/>
    <w:basedOn w:val="Normal"/>
    <w:link w:val="FootnoteTextChar"/>
    <w:uiPriority w:val="99"/>
    <w:semiHidden/>
    <w:unhideWhenUsed/>
    <w:rsid w:val="007D3833"/>
    <w:pPr>
      <w:spacing w:after="0"/>
    </w:pPr>
    <w:rPr>
      <w:sz w:val="20"/>
      <w:szCs w:val="20"/>
    </w:rPr>
  </w:style>
  <w:style w:type="character" w:customStyle="1" w:styleId="FootnoteTextChar">
    <w:name w:val="Footnote Text Char"/>
    <w:basedOn w:val="DefaultParagraphFont"/>
    <w:link w:val="FootnoteText"/>
    <w:uiPriority w:val="99"/>
    <w:semiHidden/>
    <w:rsid w:val="007D3833"/>
    <w:rPr>
      <w:rFonts w:ascii="Verdana" w:hAnsi="Verdana"/>
      <w:sz w:val="20"/>
      <w:szCs w:val="20"/>
    </w:rPr>
  </w:style>
  <w:style w:type="character" w:styleId="FootnoteReference">
    <w:name w:val="footnote reference"/>
    <w:basedOn w:val="DefaultParagraphFont"/>
    <w:uiPriority w:val="22"/>
    <w:unhideWhenUsed/>
    <w:rsid w:val="007D3833"/>
    <w:rPr>
      <w:vertAlign w:val="superscript"/>
    </w:rPr>
  </w:style>
  <w:style w:type="table" w:styleId="TableGrid">
    <w:name w:val="Table Grid"/>
    <w:basedOn w:val="TableNormal"/>
    <w:uiPriority w:val="39"/>
    <w:rsid w:val="007D38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182E49"/>
    <w:pPr>
      <w:keepNext/>
      <w:keepLines/>
      <w:spacing w:after="120"/>
      <w:jc w:val="center"/>
    </w:pPr>
    <w:rPr>
      <w:b/>
    </w:rPr>
  </w:style>
  <w:style w:type="paragraph" w:customStyle="1" w:styleId="TableHeadTextNDA">
    <w:name w:val="Table Head Text NDA"/>
    <w:basedOn w:val="Normal"/>
    <w:uiPriority w:val="14"/>
    <w:qFormat/>
    <w:rsid w:val="00182E49"/>
    <w:pPr>
      <w:keepNext/>
      <w:spacing w:after="120"/>
    </w:pPr>
    <w:rPr>
      <w:b/>
    </w:rPr>
  </w:style>
  <w:style w:type="paragraph" w:customStyle="1" w:styleId="TableHeadDataNDA">
    <w:name w:val="Table Head Data NDA"/>
    <w:basedOn w:val="TableHeadTextNDA"/>
    <w:uiPriority w:val="13"/>
    <w:qFormat/>
    <w:rsid w:val="00182E49"/>
    <w:pPr>
      <w:jc w:val="right"/>
    </w:pPr>
  </w:style>
  <w:style w:type="paragraph" w:customStyle="1" w:styleId="TableRowHeadNDA">
    <w:name w:val="Table Row Head NDA"/>
    <w:basedOn w:val="Normal"/>
    <w:uiPriority w:val="17"/>
    <w:qFormat/>
    <w:rsid w:val="00182E49"/>
    <w:pPr>
      <w:spacing w:after="0"/>
    </w:pPr>
    <w:rPr>
      <w:b/>
    </w:rPr>
  </w:style>
  <w:style w:type="paragraph" w:customStyle="1" w:styleId="TableCellRightDataNDA">
    <w:name w:val="Table Cell Right (Data) NDA"/>
    <w:basedOn w:val="Normal"/>
    <w:uiPriority w:val="15"/>
    <w:qFormat/>
    <w:rsid w:val="00182E49"/>
    <w:pPr>
      <w:keepNext/>
      <w:spacing w:after="40"/>
      <w:jc w:val="right"/>
    </w:pPr>
  </w:style>
  <w:style w:type="paragraph" w:customStyle="1" w:styleId="TableCellLeftTextNDA">
    <w:name w:val="Table Cell Left (Text) NDA"/>
    <w:basedOn w:val="TableCellRightDataNDA"/>
    <w:uiPriority w:val="16"/>
    <w:qFormat/>
    <w:rsid w:val="00182E49"/>
    <w:pPr>
      <w:jc w:val="left"/>
    </w:pPr>
  </w:style>
  <w:style w:type="paragraph" w:customStyle="1" w:styleId="TableSourceNDA">
    <w:name w:val="Table Source_NDA"/>
    <w:basedOn w:val="Normal"/>
    <w:uiPriority w:val="18"/>
    <w:qFormat/>
    <w:rsid w:val="00182E49"/>
    <w:pPr>
      <w:spacing w:before="120"/>
      <w:jc w:val="center"/>
    </w:pPr>
  </w:style>
  <w:style w:type="paragraph" w:styleId="Caption">
    <w:name w:val="caption"/>
    <w:basedOn w:val="Normal"/>
    <w:next w:val="Normal"/>
    <w:uiPriority w:val="11"/>
    <w:qFormat/>
    <w:rsid w:val="007D3833"/>
    <w:pPr>
      <w:spacing w:before="40" w:after="200"/>
    </w:pPr>
    <w:rPr>
      <w:b/>
      <w:iCs/>
      <w:szCs w:val="18"/>
    </w:rPr>
  </w:style>
  <w:style w:type="paragraph" w:styleId="ListParagraph">
    <w:name w:val="List Paragraph"/>
    <w:basedOn w:val="Normal"/>
    <w:uiPriority w:val="34"/>
    <w:unhideWhenUsed/>
    <w:qFormat/>
    <w:rsid w:val="007D3833"/>
    <w:pPr>
      <w:ind w:left="720"/>
    </w:pPr>
  </w:style>
  <w:style w:type="paragraph" w:styleId="TOCHeading">
    <w:name w:val="TOC Heading"/>
    <w:basedOn w:val="Heading1"/>
    <w:next w:val="Normal"/>
    <w:uiPriority w:val="19"/>
    <w:qFormat/>
    <w:rsid w:val="007D3833"/>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paragraph" w:styleId="TOC1">
    <w:name w:val="toc 1"/>
    <w:basedOn w:val="Normal"/>
    <w:next w:val="Normal"/>
    <w:autoRedefine/>
    <w:uiPriority w:val="39"/>
    <w:unhideWhenUsed/>
    <w:rsid w:val="00335125"/>
    <w:pPr>
      <w:spacing w:after="100"/>
    </w:pPr>
  </w:style>
  <w:style w:type="paragraph" w:styleId="TOC2">
    <w:name w:val="toc 2"/>
    <w:basedOn w:val="Normal"/>
    <w:next w:val="Normal"/>
    <w:autoRedefine/>
    <w:uiPriority w:val="39"/>
    <w:unhideWhenUsed/>
    <w:rsid w:val="00335125"/>
    <w:pPr>
      <w:spacing w:after="100"/>
      <w:ind w:left="240"/>
    </w:pPr>
  </w:style>
  <w:style w:type="paragraph" w:styleId="TOC3">
    <w:name w:val="toc 3"/>
    <w:basedOn w:val="Normal"/>
    <w:next w:val="Normal"/>
    <w:autoRedefine/>
    <w:uiPriority w:val="39"/>
    <w:unhideWhenUsed/>
    <w:rsid w:val="00335125"/>
    <w:pPr>
      <w:spacing w:after="100"/>
      <w:ind w:left="480"/>
    </w:pPr>
  </w:style>
  <w:style w:type="character" w:styleId="Hyperlink">
    <w:name w:val="Hyperlink"/>
    <w:basedOn w:val="DefaultParagraphFont"/>
    <w:uiPriority w:val="23"/>
    <w:unhideWhenUsed/>
    <w:rsid w:val="007D3833"/>
    <w:rPr>
      <w:color w:val="0563C1" w:themeColor="hyperlink"/>
      <w:u w:val="single"/>
    </w:rPr>
  </w:style>
  <w:style w:type="character" w:styleId="CommentReference">
    <w:name w:val="annotation reference"/>
    <w:basedOn w:val="DefaultParagraphFont"/>
    <w:uiPriority w:val="99"/>
    <w:semiHidden/>
    <w:unhideWhenUsed/>
    <w:rsid w:val="000D71F7"/>
    <w:rPr>
      <w:sz w:val="16"/>
      <w:szCs w:val="16"/>
    </w:rPr>
  </w:style>
  <w:style w:type="paragraph" w:styleId="CommentText">
    <w:name w:val="annotation text"/>
    <w:basedOn w:val="Normal"/>
    <w:link w:val="CommentTextChar"/>
    <w:uiPriority w:val="99"/>
    <w:unhideWhenUsed/>
    <w:rsid w:val="000D71F7"/>
    <w:rPr>
      <w:sz w:val="20"/>
      <w:szCs w:val="20"/>
    </w:rPr>
  </w:style>
  <w:style w:type="character" w:customStyle="1" w:styleId="CommentTextChar">
    <w:name w:val="Comment Text Char"/>
    <w:basedOn w:val="DefaultParagraphFont"/>
    <w:link w:val="CommentText"/>
    <w:uiPriority w:val="99"/>
    <w:rsid w:val="000D71F7"/>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D71F7"/>
    <w:rPr>
      <w:b/>
      <w:bCs/>
    </w:rPr>
  </w:style>
  <w:style w:type="character" w:customStyle="1" w:styleId="CommentSubjectChar">
    <w:name w:val="Comment Subject Char"/>
    <w:basedOn w:val="CommentTextChar"/>
    <w:link w:val="CommentSubject"/>
    <w:uiPriority w:val="99"/>
    <w:semiHidden/>
    <w:rsid w:val="000D71F7"/>
    <w:rPr>
      <w:rFonts w:ascii="Verdana" w:hAnsi="Verdana"/>
      <w:b/>
      <w:bCs/>
      <w:color w:val="000000" w:themeColor="text1"/>
      <w:sz w:val="20"/>
      <w:szCs w:val="20"/>
    </w:rPr>
  </w:style>
  <w:style w:type="character" w:styleId="UnresolvedMention">
    <w:name w:val="Unresolved Mention"/>
    <w:basedOn w:val="DefaultParagraphFont"/>
    <w:uiPriority w:val="99"/>
    <w:semiHidden/>
    <w:unhideWhenUsed/>
    <w:rsid w:val="0077041F"/>
    <w:rPr>
      <w:color w:val="605E5C"/>
      <w:shd w:val="clear" w:color="auto" w:fill="E1DFDD"/>
    </w:rPr>
  </w:style>
  <w:style w:type="paragraph" w:styleId="Revision">
    <w:name w:val="Revision"/>
    <w:hidden/>
    <w:uiPriority w:val="99"/>
    <w:semiHidden/>
    <w:rsid w:val="000572FE"/>
    <w:pPr>
      <w:spacing w:after="0"/>
    </w:pPr>
    <w:rPr>
      <w:rFonts w:ascii="Verdana" w:hAnsi="Verdana"/>
      <w:color w:val="000000" w:themeColor="text1"/>
      <w:sz w:val="24"/>
    </w:rPr>
  </w:style>
  <w:style w:type="character" w:styleId="FollowedHyperlink">
    <w:name w:val="FollowedHyperlink"/>
    <w:basedOn w:val="DefaultParagraphFont"/>
    <w:uiPriority w:val="99"/>
    <w:semiHidden/>
    <w:unhideWhenUsed/>
    <w:rsid w:val="00735BAC"/>
    <w:rPr>
      <w:color w:val="954F72" w:themeColor="followedHyperlink"/>
      <w:u w:val="single"/>
    </w:rPr>
  </w:style>
  <w:style w:type="paragraph" w:styleId="Bibliography">
    <w:name w:val="Bibliography"/>
    <w:basedOn w:val="Normal"/>
    <w:next w:val="Normal"/>
    <w:uiPriority w:val="37"/>
    <w:unhideWhenUsed/>
    <w:rsid w:val="0081414E"/>
    <w:pPr>
      <w:tabs>
        <w:tab w:val="left" w:pos="384"/>
      </w:tabs>
      <w:ind w:left="384" w:hanging="384"/>
    </w:pPr>
  </w:style>
  <w:style w:type="paragraph" w:customStyle="1" w:styleId="NDABullet">
    <w:name w:val="NDA Bullet"/>
    <w:basedOn w:val="ListParagraph"/>
    <w:uiPriority w:val="7"/>
    <w:qFormat/>
    <w:rsid w:val="007D3833"/>
    <w:pPr>
      <w:numPr>
        <w:numId w:val="13"/>
      </w:numPr>
      <w:spacing w:after="120"/>
      <w:ind w:left="357" w:hanging="357"/>
    </w:pPr>
  </w:style>
  <w:style w:type="paragraph" w:customStyle="1" w:styleId="BeforeList">
    <w:name w:val="Before List"/>
    <w:basedOn w:val="Normal"/>
    <w:next w:val="NDABullet"/>
    <w:uiPriority w:val="9"/>
    <w:qFormat/>
    <w:rsid w:val="007D3833"/>
    <w:pPr>
      <w:spacing w:after="120"/>
    </w:pPr>
  </w:style>
  <w:style w:type="paragraph" w:customStyle="1" w:styleId="AfterList">
    <w:name w:val="After List"/>
    <w:basedOn w:val="Normal"/>
    <w:next w:val="Normal"/>
    <w:uiPriority w:val="10"/>
    <w:qFormat/>
    <w:rsid w:val="007D3833"/>
    <w:pPr>
      <w:spacing w:before="240"/>
    </w:pPr>
  </w:style>
  <w:style w:type="table" w:customStyle="1" w:styleId="NDATableFuchsia">
    <w:name w:val="NDA Table Fuchsia"/>
    <w:basedOn w:val="TableNormal"/>
    <w:uiPriority w:val="99"/>
    <w:rsid w:val="007D3833"/>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D3833"/>
    <w:pPr>
      <w:spacing w:before="80"/>
      <w:jc w:val="center"/>
    </w:pPr>
  </w:style>
  <w:style w:type="table" w:customStyle="1" w:styleId="NDATableBlack">
    <w:name w:val="NDA Table Black"/>
    <w:basedOn w:val="NDATableFuchsia"/>
    <w:uiPriority w:val="99"/>
    <w:rsid w:val="007D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nda-advice-paper-on-disability-language-and-termi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0</TotalTime>
  <Pages>24</Pages>
  <Words>7628</Words>
  <Characters>43482</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Wormald (NDA)</dc:creator>
  <cp:keywords/>
  <dc:description/>
  <cp:lastModifiedBy>Bevin Murphy (NDA)</cp:lastModifiedBy>
  <cp:revision>2</cp:revision>
  <dcterms:created xsi:type="dcterms:W3CDTF">2025-02-07T11:49:00Z</dcterms:created>
  <dcterms:modified xsi:type="dcterms:W3CDTF">2025-02-07T11:49:00Z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id="cNM2n3sG"/&gt;&lt;style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