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1A97" w14:textId="77777777" w:rsidR="00014408" w:rsidRPr="00014408" w:rsidRDefault="00014408" w:rsidP="00014408">
      <w:pPr>
        <w:pStyle w:val="Title"/>
        <w:spacing w:before="480" w:after="840"/>
        <w:jc w:val="left"/>
        <w:rPr>
          <w:sz w:val="64"/>
          <w:szCs w:val="64"/>
        </w:rPr>
      </w:pPr>
      <w:bookmarkStart w:id="0" w:name="_Toc93479817"/>
      <w:bookmarkStart w:id="1" w:name="_Toc100231175"/>
      <w:bookmarkStart w:id="2" w:name="_Toc88759142"/>
      <w:bookmarkStart w:id="3" w:name="_Toc89358990"/>
      <w:bookmarkStart w:id="4" w:name="_Toc89854128"/>
      <w:bookmarkStart w:id="5" w:name="_Toc89870090"/>
      <w:bookmarkStart w:id="6" w:name="_Toc90993763"/>
      <w:bookmarkStart w:id="7" w:name="_Toc91000028"/>
      <w:bookmarkStart w:id="8" w:name="_GoBack"/>
      <w:bookmarkEnd w:id="8"/>
      <w:r w:rsidRPr="00014408">
        <w:rPr>
          <w:sz w:val="64"/>
          <w:szCs w:val="64"/>
        </w:rPr>
        <w:t xml:space="preserve">Overview of UNCRPD </w:t>
      </w:r>
      <w:r w:rsidR="00D7126E" w:rsidRPr="00014408">
        <w:rPr>
          <w:sz w:val="64"/>
          <w:szCs w:val="64"/>
        </w:rPr>
        <w:t>Article 16</w:t>
      </w:r>
      <w:r w:rsidRPr="00014408">
        <w:rPr>
          <w:sz w:val="64"/>
          <w:szCs w:val="64"/>
        </w:rPr>
        <w:t xml:space="preserve"> in Ireland</w:t>
      </w:r>
      <w:bookmarkEnd w:id="0"/>
      <w:bookmarkEnd w:id="1"/>
    </w:p>
    <w:p w14:paraId="49CA4A90" w14:textId="6671C173" w:rsidR="009C4D62" w:rsidRPr="00014408" w:rsidRDefault="00D7126E" w:rsidP="00014408">
      <w:pPr>
        <w:pStyle w:val="Title"/>
        <w:spacing w:before="480" w:after="840"/>
        <w:jc w:val="left"/>
        <w:rPr>
          <w:sz w:val="64"/>
          <w:szCs w:val="64"/>
        </w:rPr>
      </w:pPr>
      <w:bookmarkStart w:id="9" w:name="_Toc93479818"/>
      <w:bookmarkStart w:id="10" w:name="_Toc100231176"/>
      <w:r w:rsidRPr="00014408">
        <w:rPr>
          <w:sz w:val="64"/>
          <w:szCs w:val="64"/>
        </w:rPr>
        <w:t>Freedom from exploitation, violence and abuse</w:t>
      </w:r>
      <w:bookmarkEnd w:id="2"/>
      <w:bookmarkEnd w:id="3"/>
      <w:bookmarkEnd w:id="4"/>
      <w:bookmarkEnd w:id="5"/>
      <w:bookmarkEnd w:id="6"/>
      <w:bookmarkEnd w:id="7"/>
      <w:bookmarkEnd w:id="9"/>
      <w:bookmarkEnd w:id="10"/>
    </w:p>
    <w:p w14:paraId="5AB91BC4" w14:textId="5B6DA7B4" w:rsidR="00014408" w:rsidRPr="006228D9" w:rsidRDefault="00A65861" w:rsidP="00014408">
      <w:pPr>
        <w:spacing w:before="1200" w:after="1200"/>
        <w:rPr>
          <w:sz w:val="48"/>
          <w:szCs w:val="48"/>
        </w:rPr>
      </w:pPr>
      <w:r>
        <w:rPr>
          <w:sz w:val="48"/>
          <w:szCs w:val="48"/>
        </w:rPr>
        <w:t>April</w:t>
      </w:r>
      <w:r w:rsidR="00FD0961">
        <w:rPr>
          <w:sz w:val="48"/>
          <w:szCs w:val="48"/>
        </w:rPr>
        <w:t xml:space="preserve"> </w:t>
      </w:r>
      <w:r w:rsidR="00014408">
        <w:rPr>
          <w:sz w:val="48"/>
          <w:szCs w:val="48"/>
        </w:rPr>
        <w:t>2022</w:t>
      </w:r>
    </w:p>
    <w:p w14:paraId="0A6B16E2" w14:textId="77777777" w:rsidR="00014408" w:rsidRDefault="00014408" w:rsidP="00014408">
      <w:r>
        <w:rPr>
          <w:noProof/>
          <w:lang w:eastAsia="en-IE"/>
        </w:rPr>
        <w:drawing>
          <wp:inline distT="0" distB="0" distL="0" distR="0" wp14:anchorId="49598610" wp14:editId="0A78E2DE">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1EA9C61D" w14:textId="38437D93" w:rsidR="00014408" w:rsidRDefault="00014408">
      <w:pPr>
        <w:spacing w:after="0"/>
      </w:pPr>
      <w:r>
        <w:lastRenderedPageBreak/>
        <w:br w:type="page"/>
      </w:r>
    </w:p>
    <w:p w14:paraId="10353FAE" w14:textId="428356DF" w:rsidR="00014408" w:rsidRPr="00014408" w:rsidRDefault="00014408" w:rsidP="00014408">
      <w:pPr>
        <w:pStyle w:val="Heading1"/>
      </w:pPr>
      <w:bookmarkStart w:id="11" w:name="_Toc93479819"/>
      <w:bookmarkStart w:id="12" w:name="_Toc100231177"/>
      <w:r>
        <w:lastRenderedPageBreak/>
        <w:t>Contents</w:t>
      </w:r>
      <w:bookmarkEnd w:id="11"/>
      <w:bookmarkEnd w:id="12"/>
    </w:p>
    <w:p w14:paraId="1B0E1A49" w14:textId="70376A2C" w:rsidR="00A65861" w:rsidRDefault="00EB7170">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00231175" w:history="1">
        <w:r w:rsidR="00A65861" w:rsidRPr="001E1E99">
          <w:rPr>
            <w:rStyle w:val="Hyperlink"/>
            <w:noProof/>
          </w:rPr>
          <w:t>Overview of UNCRPD Article 16 in Ireland</w:t>
        </w:r>
        <w:r w:rsidR="00A65861">
          <w:rPr>
            <w:noProof/>
            <w:webHidden/>
          </w:rPr>
          <w:tab/>
        </w:r>
        <w:r w:rsidR="00A65861">
          <w:rPr>
            <w:noProof/>
            <w:webHidden/>
          </w:rPr>
          <w:fldChar w:fldCharType="begin"/>
        </w:r>
        <w:r w:rsidR="00A65861">
          <w:rPr>
            <w:noProof/>
            <w:webHidden/>
          </w:rPr>
          <w:instrText xml:space="preserve"> PAGEREF _Toc100231175 \h </w:instrText>
        </w:r>
        <w:r w:rsidR="00A65861">
          <w:rPr>
            <w:noProof/>
            <w:webHidden/>
          </w:rPr>
        </w:r>
        <w:r w:rsidR="00A65861">
          <w:rPr>
            <w:noProof/>
            <w:webHidden/>
          </w:rPr>
          <w:fldChar w:fldCharType="separate"/>
        </w:r>
        <w:r w:rsidR="00A25EA8">
          <w:rPr>
            <w:noProof/>
            <w:webHidden/>
          </w:rPr>
          <w:t>1</w:t>
        </w:r>
        <w:r w:rsidR="00A65861">
          <w:rPr>
            <w:noProof/>
            <w:webHidden/>
          </w:rPr>
          <w:fldChar w:fldCharType="end"/>
        </w:r>
      </w:hyperlink>
    </w:p>
    <w:p w14:paraId="0713262F" w14:textId="003BA76F"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76" w:history="1">
        <w:r w:rsidR="00A65861" w:rsidRPr="001E1E99">
          <w:rPr>
            <w:rStyle w:val="Hyperlink"/>
            <w:noProof/>
          </w:rPr>
          <w:t>Freedom from exploitation, violence and abuse</w:t>
        </w:r>
        <w:r w:rsidR="00A65861">
          <w:rPr>
            <w:noProof/>
            <w:webHidden/>
          </w:rPr>
          <w:tab/>
        </w:r>
        <w:r w:rsidR="00A65861">
          <w:rPr>
            <w:noProof/>
            <w:webHidden/>
          </w:rPr>
          <w:fldChar w:fldCharType="begin"/>
        </w:r>
        <w:r w:rsidR="00A65861">
          <w:rPr>
            <w:noProof/>
            <w:webHidden/>
          </w:rPr>
          <w:instrText xml:space="preserve"> PAGEREF _Toc100231176 \h </w:instrText>
        </w:r>
        <w:r w:rsidR="00A65861">
          <w:rPr>
            <w:noProof/>
            <w:webHidden/>
          </w:rPr>
        </w:r>
        <w:r w:rsidR="00A65861">
          <w:rPr>
            <w:noProof/>
            <w:webHidden/>
          </w:rPr>
          <w:fldChar w:fldCharType="separate"/>
        </w:r>
        <w:r w:rsidR="00A25EA8">
          <w:rPr>
            <w:noProof/>
            <w:webHidden/>
          </w:rPr>
          <w:t>1</w:t>
        </w:r>
        <w:r w:rsidR="00A65861">
          <w:rPr>
            <w:noProof/>
            <w:webHidden/>
          </w:rPr>
          <w:fldChar w:fldCharType="end"/>
        </w:r>
      </w:hyperlink>
    </w:p>
    <w:p w14:paraId="04AC9BC4" w14:textId="20E8F1C7"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77" w:history="1">
        <w:r w:rsidR="00A65861" w:rsidRPr="001E1E99">
          <w:rPr>
            <w:rStyle w:val="Hyperlink"/>
            <w:noProof/>
          </w:rPr>
          <w:t>Contents</w:t>
        </w:r>
        <w:r w:rsidR="00A65861">
          <w:rPr>
            <w:noProof/>
            <w:webHidden/>
          </w:rPr>
          <w:tab/>
        </w:r>
        <w:r w:rsidR="00A65861">
          <w:rPr>
            <w:noProof/>
            <w:webHidden/>
          </w:rPr>
          <w:fldChar w:fldCharType="begin"/>
        </w:r>
        <w:r w:rsidR="00A65861">
          <w:rPr>
            <w:noProof/>
            <w:webHidden/>
          </w:rPr>
          <w:instrText xml:space="preserve"> PAGEREF _Toc100231177 \h </w:instrText>
        </w:r>
        <w:r w:rsidR="00A65861">
          <w:rPr>
            <w:noProof/>
            <w:webHidden/>
          </w:rPr>
        </w:r>
        <w:r w:rsidR="00A65861">
          <w:rPr>
            <w:noProof/>
            <w:webHidden/>
          </w:rPr>
          <w:fldChar w:fldCharType="separate"/>
        </w:r>
        <w:r w:rsidR="00A25EA8">
          <w:rPr>
            <w:noProof/>
            <w:webHidden/>
          </w:rPr>
          <w:t>2</w:t>
        </w:r>
        <w:r w:rsidR="00A65861">
          <w:rPr>
            <w:noProof/>
            <w:webHidden/>
          </w:rPr>
          <w:fldChar w:fldCharType="end"/>
        </w:r>
      </w:hyperlink>
    </w:p>
    <w:p w14:paraId="6CE054A4" w14:textId="6D3476D5"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78" w:history="1">
        <w:r w:rsidR="00A65861" w:rsidRPr="001E1E99">
          <w:rPr>
            <w:rStyle w:val="Hyperlink"/>
            <w:noProof/>
          </w:rPr>
          <w:t>Background to the UNCRPD Article review papers</w:t>
        </w:r>
        <w:r w:rsidR="00A65861">
          <w:rPr>
            <w:noProof/>
            <w:webHidden/>
          </w:rPr>
          <w:tab/>
        </w:r>
        <w:r w:rsidR="00A65861">
          <w:rPr>
            <w:noProof/>
            <w:webHidden/>
          </w:rPr>
          <w:fldChar w:fldCharType="begin"/>
        </w:r>
        <w:r w:rsidR="00A65861">
          <w:rPr>
            <w:noProof/>
            <w:webHidden/>
          </w:rPr>
          <w:instrText xml:space="preserve"> PAGEREF _Toc100231178 \h </w:instrText>
        </w:r>
        <w:r w:rsidR="00A65861">
          <w:rPr>
            <w:noProof/>
            <w:webHidden/>
          </w:rPr>
        </w:r>
        <w:r w:rsidR="00A65861">
          <w:rPr>
            <w:noProof/>
            <w:webHidden/>
          </w:rPr>
          <w:fldChar w:fldCharType="separate"/>
        </w:r>
        <w:r w:rsidR="00A25EA8">
          <w:rPr>
            <w:noProof/>
            <w:webHidden/>
          </w:rPr>
          <w:t>5</w:t>
        </w:r>
        <w:r w:rsidR="00A65861">
          <w:rPr>
            <w:noProof/>
            <w:webHidden/>
          </w:rPr>
          <w:fldChar w:fldCharType="end"/>
        </w:r>
      </w:hyperlink>
    </w:p>
    <w:p w14:paraId="751BF862" w14:textId="286A3D91"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79" w:history="1">
        <w:r w:rsidR="00A65861" w:rsidRPr="001E1E99">
          <w:rPr>
            <w:rStyle w:val="Hyperlink"/>
            <w:noProof/>
          </w:rPr>
          <w:t>Introduction</w:t>
        </w:r>
        <w:r w:rsidR="00A65861">
          <w:rPr>
            <w:noProof/>
            <w:webHidden/>
          </w:rPr>
          <w:tab/>
        </w:r>
        <w:r w:rsidR="00A65861">
          <w:rPr>
            <w:noProof/>
            <w:webHidden/>
          </w:rPr>
          <w:fldChar w:fldCharType="begin"/>
        </w:r>
        <w:r w:rsidR="00A65861">
          <w:rPr>
            <w:noProof/>
            <w:webHidden/>
          </w:rPr>
          <w:instrText xml:space="preserve"> PAGEREF _Toc100231179 \h </w:instrText>
        </w:r>
        <w:r w:rsidR="00A65861">
          <w:rPr>
            <w:noProof/>
            <w:webHidden/>
          </w:rPr>
        </w:r>
        <w:r w:rsidR="00A65861">
          <w:rPr>
            <w:noProof/>
            <w:webHidden/>
          </w:rPr>
          <w:fldChar w:fldCharType="separate"/>
        </w:r>
        <w:r w:rsidR="00A25EA8">
          <w:rPr>
            <w:noProof/>
            <w:webHidden/>
          </w:rPr>
          <w:t>7</w:t>
        </w:r>
        <w:r w:rsidR="00A65861">
          <w:rPr>
            <w:noProof/>
            <w:webHidden/>
          </w:rPr>
          <w:fldChar w:fldCharType="end"/>
        </w:r>
      </w:hyperlink>
    </w:p>
    <w:p w14:paraId="4D14BB84" w14:textId="4304C631"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80" w:history="1">
        <w:r w:rsidR="00A65861" w:rsidRPr="001E1E99">
          <w:rPr>
            <w:rStyle w:val="Hyperlink"/>
            <w:noProof/>
          </w:rPr>
          <w:t>Convention text</w:t>
        </w:r>
        <w:r w:rsidR="00A65861">
          <w:rPr>
            <w:noProof/>
            <w:webHidden/>
          </w:rPr>
          <w:tab/>
        </w:r>
        <w:r w:rsidR="00A65861">
          <w:rPr>
            <w:noProof/>
            <w:webHidden/>
          </w:rPr>
          <w:fldChar w:fldCharType="begin"/>
        </w:r>
        <w:r w:rsidR="00A65861">
          <w:rPr>
            <w:noProof/>
            <w:webHidden/>
          </w:rPr>
          <w:instrText xml:space="preserve"> PAGEREF _Toc100231180 \h </w:instrText>
        </w:r>
        <w:r w:rsidR="00A65861">
          <w:rPr>
            <w:noProof/>
            <w:webHidden/>
          </w:rPr>
        </w:r>
        <w:r w:rsidR="00A65861">
          <w:rPr>
            <w:noProof/>
            <w:webHidden/>
          </w:rPr>
          <w:fldChar w:fldCharType="separate"/>
        </w:r>
        <w:r w:rsidR="00A25EA8">
          <w:rPr>
            <w:noProof/>
            <w:webHidden/>
          </w:rPr>
          <w:t>8</w:t>
        </w:r>
        <w:r w:rsidR="00A65861">
          <w:rPr>
            <w:noProof/>
            <w:webHidden/>
          </w:rPr>
          <w:fldChar w:fldCharType="end"/>
        </w:r>
      </w:hyperlink>
    </w:p>
    <w:p w14:paraId="2F6A90CB" w14:textId="4CF9E76B"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81" w:history="1">
        <w:r w:rsidR="00A65861" w:rsidRPr="001E1E99">
          <w:rPr>
            <w:rStyle w:val="Hyperlink"/>
            <w:noProof/>
          </w:rPr>
          <w:t>Type of right</w:t>
        </w:r>
        <w:r w:rsidR="00A65861">
          <w:rPr>
            <w:noProof/>
            <w:webHidden/>
          </w:rPr>
          <w:tab/>
        </w:r>
        <w:r w:rsidR="00A65861">
          <w:rPr>
            <w:noProof/>
            <w:webHidden/>
          </w:rPr>
          <w:fldChar w:fldCharType="begin"/>
        </w:r>
        <w:r w:rsidR="00A65861">
          <w:rPr>
            <w:noProof/>
            <w:webHidden/>
          </w:rPr>
          <w:instrText xml:space="preserve"> PAGEREF _Toc100231181 \h </w:instrText>
        </w:r>
        <w:r w:rsidR="00A65861">
          <w:rPr>
            <w:noProof/>
            <w:webHidden/>
          </w:rPr>
        </w:r>
        <w:r w:rsidR="00A65861">
          <w:rPr>
            <w:noProof/>
            <w:webHidden/>
          </w:rPr>
          <w:fldChar w:fldCharType="separate"/>
        </w:r>
        <w:r w:rsidR="00A25EA8">
          <w:rPr>
            <w:noProof/>
            <w:webHidden/>
          </w:rPr>
          <w:t>8</w:t>
        </w:r>
        <w:r w:rsidR="00A65861">
          <w:rPr>
            <w:noProof/>
            <w:webHidden/>
          </w:rPr>
          <w:fldChar w:fldCharType="end"/>
        </w:r>
      </w:hyperlink>
    </w:p>
    <w:p w14:paraId="26418D6B" w14:textId="063E78F1"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82" w:history="1">
        <w:r w:rsidR="00A65861" w:rsidRPr="001E1E99">
          <w:rPr>
            <w:rStyle w:val="Hyperlink"/>
            <w:rFonts w:eastAsia="Gill Sans MT"/>
            <w:noProof/>
          </w:rPr>
          <w:t>Committee on the Rights of Persons with Disabilities</w:t>
        </w:r>
        <w:r w:rsidR="00A65861" w:rsidRPr="001E1E99">
          <w:rPr>
            <w:rStyle w:val="Hyperlink"/>
            <w:noProof/>
            <w:lang w:eastAsia="en-IE"/>
          </w:rPr>
          <w:t xml:space="preserve"> Concluding Observations in respect of Article 16</w:t>
        </w:r>
        <w:r w:rsidR="00A65861">
          <w:rPr>
            <w:noProof/>
            <w:webHidden/>
          </w:rPr>
          <w:tab/>
        </w:r>
        <w:r w:rsidR="00A65861">
          <w:rPr>
            <w:noProof/>
            <w:webHidden/>
          </w:rPr>
          <w:fldChar w:fldCharType="begin"/>
        </w:r>
        <w:r w:rsidR="00A65861">
          <w:rPr>
            <w:noProof/>
            <w:webHidden/>
          </w:rPr>
          <w:instrText xml:space="preserve"> PAGEREF _Toc100231182 \h </w:instrText>
        </w:r>
        <w:r w:rsidR="00A65861">
          <w:rPr>
            <w:noProof/>
            <w:webHidden/>
          </w:rPr>
        </w:r>
        <w:r w:rsidR="00A65861">
          <w:rPr>
            <w:noProof/>
            <w:webHidden/>
          </w:rPr>
          <w:fldChar w:fldCharType="separate"/>
        </w:r>
        <w:r w:rsidR="00A25EA8">
          <w:rPr>
            <w:noProof/>
            <w:webHidden/>
          </w:rPr>
          <w:t>9</w:t>
        </w:r>
        <w:r w:rsidR="00A65861">
          <w:rPr>
            <w:noProof/>
            <w:webHidden/>
          </w:rPr>
          <w:fldChar w:fldCharType="end"/>
        </w:r>
      </w:hyperlink>
    </w:p>
    <w:p w14:paraId="3BDB1B43" w14:textId="470CB361"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83" w:history="1">
        <w:r w:rsidR="00A65861" w:rsidRPr="001E1E99">
          <w:rPr>
            <w:rStyle w:val="Hyperlink"/>
            <w:noProof/>
          </w:rPr>
          <w:t>Perspectives of those with disabilities on exploitation, violence and abuse</w:t>
        </w:r>
        <w:r w:rsidR="00A65861">
          <w:rPr>
            <w:noProof/>
            <w:webHidden/>
          </w:rPr>
          <w:tab/>
        </w:r>
        <w:r w:rsidR="00A65861">
          <w:rPr>
            <w:noProof/>
            <w:webHidden/>
          </w:rPr>
          <w:fldChar w:fldCharType="begin"/>
        </w:r>
        <w:r w:rsidR="00A65861">
          <w:rPr>
            <w:noProof/>
            <w:webHidden/>
          </w:rPr>
          <w:instrText xml:space="preserve"> PAGEREF _Toc100231183 \h </w:instrText>
        </w:r>
        <w:r w:rsidR="00A65861">
          <w:rPr>
            <w:noProof/>
            <w:webHidden/>
          </w:rPr>
        </w:r>
        <w:r w:rsidR="00A65861">
          <w:rPr>
            <w:noProof/>
            <w:webHidden/>
          </w:rPr>
          <w:fldChar w:fldCharType="separate"/>
        </w:r>
        <w:r w:rsidR="00A25EA8">
          <w:rPr>
            <w:noProof/>
            <w:webHidden/>
          </w:rPr>
          <w:t>10</w:t>
        </w:r>
        <w:r w:rsidR="00A65861">
          <w:rPr>
            <w:noProof/>
            <w:webHidden/>
          </w:rPr>
          <w:fldChar w:fldCharType="end"/>
        </w:r>
      </w:hyperlink>
    </w:p>
    <w:p w14:paraId="5FB1A790" w14:textId="3D389764"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184" w:history="1">
        <w:r w:rsidR="00A65861" w:rsidRPr="001E1E99">
          <w:rPr>
            <w:rStyle w:val="Hyperlink"/>
            <w:noProof/>
          </w:rPr>
          <w:t>Legislation and international obligations</w:t>
        </w:r>
        <w:r w:rsidR="00A65861">
          <w:rPr>
            <w:noProof/>
            <w:webHidden/>
          </w:rPr>
          <w:tab/>
        </w:r>
        <w:r w:rsidR="00A65861">
          <w:rPr>
            <w:noProof/>
            <w:webHidden/>
          </w:rPr>
          <w:fldChar w:fldCharType="begin"/>
        </w:r>
        <w:r w:rsidR="00A65861">
          <w:rPr>
            <w:noProof/>
            <w:webHidden/>
          </w:rPr>
          <w:instrText xml:space="preserve"> PAGEREF _Toc100231184 \h </w:instrText>
        </w:r>
        <w:r w:rsidR="00A65861">
          <w:rPr>
            <w:noProof/>
            <w:webHidden/>
          </w:rPr>
        </w:r>
        <w:r w:rsidR="00A65861">
          <w:rPr>
            <w:noProof/>
            <w:webHidden/>
          </w:rPr>
          <w:fldChar w:fldCharType="separate"/>
        </w:r>
        <w:r w:rsidR="00A25EA8">
          <w:rPr>
            <w:noProof/>
            <w:webHidden/>
          </w:rPr>
          <w:t>10</w:t>
        </w:r>
        <w:r w:rsidR="00A65861">
          <w:rPr>
            <w:noProof/>
            <w:webHidden/>
          </w:rPr>
          <w:fldChar w:fldCharType="end"/>
        </w:r>
      </w:hyperlink>
    </w:p>
    <w:p w14:paraId="3D76316E" w14:textId="187BA92F"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85" w:history="1">
        <w:r w:rsidR="00A65861" w:rsidRPr="001E1E99">
          <w:rPr>
            <w:rStyle w:val="Hyperlink"/>
            <w:noProof/>
          </w:rPr>
          <w:t>The Equality Acts</w:t>
        </w:r>
        <w:r w:rsidR="00A65861">
          <w:rPr>
            <w:noProof/>
            <w:webHidden/>
          </w:rPr>
          <w:tab/>
        </w:r>
        <w:r w:rsidR="00A65861">
          <w:rPr>
            <w:noProof/>
            <w:webHidden/>
          </w:rPr>
          <w:fldChar w:fldCharType="begin"/>
        </w:r>
        <w:r w:rsidR="00A65861">
          <w:rPr>
            <w:noProof/>
            <w:webHidden/>
          </w:rPr>
          <w:instrText xml:space="preserve"> PAGEREF _Toc100231185 \h </w:instrText>
        </w:r>
        <w:r w:rsidR="00A65861">
          <w:rPr>
            <w:noProof/>
            <w:webHidden/>
          </w:rPr>
        </w:r>
        <w:r w:rsidR="00A65861">
          <w:rPr>
            <w:noProof/>
            <w:webHidden/>
          </w:rPr>
          <w:fldChar w:fldCharType="separate"/>
        </w:r>
        <w:r w:rsidR="00A25EA8">
          <w:rPr>
            <w:noProof/>
            <w:webHidden/>
          </w:rPr>
          <w:t>10</w:t>
        </w:r>
        <w:r w:rsidR="00A65861">
          <w:rPr>
            <w:noProof/>
            <w:webHidden/>
          </w:rPr>
          <w:fldChar w:fldCharType="end"/>
        </w:r>
      </w:hyperlink>
    </w:p>
    <w:p w14:paraId="7A5314EF" w14:textId="7BD48497"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86" w:history="1">
        <w:r w:rsidR="00A65861" w:rsidRPr="001E1E99">
          <w:rPr>
            <w:rStyle w:val="Hyperlink"/>
            <w:noProof/>
          </w:rPr>
          <w:t>The Criminal Justice (Victims of Crime) Act 2017</w:t>
        </w:r>
        <w:r w:rsidR="00A65861">
          <w:rPr>
            <w:noProof/>
            <w:webHidden/>
          </w:rPr>
          <w:tab/>
        </w:r>
        <w:r w:rsidR="00A65861">
          <w:rPr>
            <w:noProof/>
            <w:webHidden/>
          </w:rPr>
          <w:fldChar w:fldCharType="begin"/>
        </w:r>
        <w:r w:rsidR="00A65861">
          <w:rPr>
            <w:noProof/>
            <w:webHidden/>
          </w:rPr>
          <w:instrText xml:space="preserve"> PAGEREF _Toc100231186 \h </w:instrText>
        </w:r>
        <w:r w:rsidR="00A65861">
          <w:rPr>
            <w:noProof/>
            <w:webHidden/>
          </w:rPr>
        </w:r>
        <w:r w:rsidR="00A65861">
          <w:rPr>
            <w:noProof/>
            <w:webHidden/>
          </w:rPr>
          <w:fldChar w:fldCharType="separate"/>
        </w:r>
        <w:r w:rsidR="00A25EA8">
          <w:rPr>
            <w:noProof/>
            <w:webHidden/>
          </w:rPr>
          <w:t>11</w:t>
        </w:r>
        <w:r w:rsidR="00A65861">
          <w:rPr>
            <w:noProof/>
            <w:webHidden/>
          </w:rPr>
          <w:fldChar w:fldCharType="end"/>
        </w:r>
      </w:hyperlink>
    </w:p>
    <w:p w14:paraId="60571C11" w14:textId="59D1EDD1"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87" w:history="1">
        <w:r w:rsidR="00A65861" w:rsidRPr="001E1E99">
          <w:rPr>
            <w:rStyle w:val="Hyperlink"/>
            <w:noProof/>
          </w:rPr>
          <w:t>Domestic Violence Act 2018</w:t>
        </w:r>
        <w:r w:rsidR="00A65861">
          <w:rPr>
            <w:noProof/>
            <w:webHidden/>
          </w:rPr>
          <w:tab/>
        </w:r>
        <w:r w:rsidR="00A65861">
          <w:rPr>
            <w:noProof/>
            <w:webHidden/>
          </w:rPr>
          <w:fldChar w:fldCharType="begin"/>
        </w:r>
        <w:r w:rsidR="00A65861">
          <w:rPr>
            <w:noProof/>
            <w:webHidden/>
          </w:rPr>
          <w:instrText xml:space="preserve"> PAGEREF _Toc100231187 \h </w:instrText>
        </w:r>
        <w:r w:rsidR="00A65861">
          <w:rPr>
            <w:noProof/>
            <w:webHidden/>
          </w:rPr>
        </w:r>
        <w:r w:rsidR="00A65861">
          <w:rPr>
            <w:noProof/>
            <w:webHidden/>
          </w:rPr>
          <w:fldChar w:fldCharType="separate"/>
        </w:r>
        <w:r w:rsidR="00A25EA8">
          <w:rPr>
            <w:noProof/>
            <w:webHidden/>
          </w:rPr>
          <w:t>11</w:t>
        </w:r>
        <w:r w:rsidR="00A65861">
          <w:rPr>
            <w:noProof/>
            <w:webHidden/>
          </w:rPr>
          <w:fldChar w:fldCharType="end"/>
        </w:r>
      </w:hyperlink>
    </w:p>
    <w:p w14:paraId="08DCB323" w14:textId="5EB9F57C"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88" w:history="1">
        <w:r w:rsidR="00A65861" w:rsidRPr="001E1E99">
          <w:rPr>
            <w:rStyle w:val="Hyperlink"/>
            <w:noProof/>
          </w:rPr>
          <w:t>Istanbul Convention</w:t>
        </w:r>
        <w:r w:rsidR="00A65861">
          <w:rPr>
            <w:noProof/>
            <w:webHidden/>
          </w:rPr>
          <w:tab/>
        </w:r>
        <w:r w:rsidR="00A65861">
          <w:rPr>
            <w:noProof/>
            <w:webHidden/>
          </w:rPr>
          <w:fldChar w:fldCharType="begin"/>
        </w:r>
        <w:r w:rsidR="00A65861">
          <w:rPr>
            <w:noProof/>
            <w:webHidden/>
          </w:rPr>
          <w:instrText xml:space="preserve"> PAGEREF _Toc100231188 \h </w:instrText>
        </w:r>
        <w:r w:rsidR="00A65861">
          <w:rPr>
            <w:noProof/>
            <w:webHidden/>
          </w:rPr>
        </w:r>
        <w:r w:rsidR="00A65861">
          <w:rPr>
            <w:noProof/>
            <w:webHidden/>
          </w:rPr>
          <w:fldChar w:fldCharType="separate"/>
        </w:r>
        <w:r w:rsidR="00A25EA8">
          <w:rPr>
            <w:noProof/>
            <w:webHidden/>
          </w:rPr>
          <w:t>11</w:t>
        </w:r>
        <w:r w:rsidR="00A65861">
          <w:rPr>
            <w:noProof/>
            <w:webHidden/>
          </w:rPr>
          <w:fldChar w:fldCharType="end"/>
        </w:r>
      </w:hyperlink>
    </w:p>
    <w:p w14:paraId="15D0FBF7" w14:textId="15FDFB8F"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89" w:history="1">
        <w:r w:rsidR="00A65861" w:rsidRPr="001E1E99">
          <w:rPr>
            <w:rStyle w:val="Hyperlink"/>
            <w:noProof/>
            <w:lang w:val="en"/>
          </w:rPr>
          <w:t>National sexual offences legislation</w:t>
        </w:r>
        <w:r w:rsidR="00A65861">
          <w:rPr>
            <w:noProof/>
            <w:webHidden/>
          </w:rPr>
          <w:tab/>
        </w:r>
        <w:r w:rsidR="00A65861">
          <w:rPr>
            <w:noProof/>
            <w:webHidden/>
          </w:rPr>
          <w:fldChar w:fldCharType="begin"/>
        </w:r>
        <w:r w:rsidR="00A65861">
          <w:rPr>
            <w:noProof/>
            <w:webHidden/>
          </w:rPr>
          <w:instrText xml:space="preserve"> PAGEREF _Toc100231189 \h </w:instrText>
        </w:r>
        <w:r w:rsidR="00A65861">
          <w:rPr>
            <w:noProof/>
            <w:webHidden/>
          </w:rPr>
        </w:r>
        <w:r w:rsidR="00A65861">
          <w:rPr>
            <w:noProof/>
            <w:webHidden/>
          </w:rPr>
          <w:fldChar w:fldCharType="separate"/>
        </w:r>
        <w:r w:rsidR="00A25EA8">
          <w:rPr>
            <w:noProof/>
            <w:webHidden/>
          </w:rPr>
          <w:t>13</w:t>
        </w:r>
        <w:r w:rsidR="00A65861">
          <w:rPr>
            <w:noProof/>
            <w:webHidden/>
          </w:rPr>
          <w:fldChar w:fldCharType="end"/>
        </w:r>
      </w:hyperlink>
    </w:p>
    <w:p w14:paraId="0D5EF9B1" w14:textId="1735A854"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0" w:history="1">
        <w:r w:rsidR="00A65861" w:rsidRPr="001E1E99">
          <w:rPr>
            <w:rStyle w:val="Hyperlink"/>
            <w:noProof/>
          </w:rPr>
          <w:t>National human trafficking legislation</w:t>
        </w:r>
        <w:r w:rsidR="00A65861">
          <w:rPr>
            <w:noProof/>
            <w:webHidden/>
          </w:rPr>
          <w:tab/>
        </w:r>
        <w:r w:rsidR="00A65861">
          <w:rPr>
            <w:noProof/>
            <w:webHidden/>
          </w:rPr>
          <w:fldChar w:fldCharType="begin"/>
        </w:r>
        <w:r w:rsidR="00A65861">
          <w:rPr>
            <w:noProof/>
            <w:webHidden/>
          </w:rPr>
          <w:instrText xml:space="preserve"> PAGEREF _Toc100231190 \h </w:instrText>
        </w:r>
        <w:r w:rsidR="00A65861">
          <w:rPr>
            <w:noProof/>
            <w:webHidden/>
          </w:rPr>
        </w:r>
        <w:r w:rsidR="00A65861">
          <w:rPr>
            <w:noProof/>
            <w:webHidden/>
          </w:rPr>
          <w:fldChar w:fldCharType="separate"/>
        </w:r>
        <w:r w:rsidR="00A25EA8">
          <w:rPr>
            <w:noProof/>
            <w:webHidden/>
          </w:rPr>
          <w:t>14</w:t>
        </w:r>
        <w:r w:rsidR="00A65861">
          <w:rPr>
            <w:noProof/>
            <w:webHidden/>
          </w:rPr>
          <w:fldChar w:fldCharType="end"/>
        </w:r>
      </w:hyperlink>
    </w:p>
    <w:p w14:paraId="0F9DAF4E" w14:textId="6258AF55"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1" w:history="1">
        <w:r w:rsidR="00A65861" w:rsidRPr="001E1E99">
          <w:rPr>
            <w:rStyle w:val="Hyperlink"/>
            <w:noProof/>
          </w:rPr>
          <w:t>UN Convention on the Elimination of all Forms of Discrimination against Women</w:t>
        </w:r>
        <w:r w:rsidR="00A65861">
          <w:rPr>
            <w:noProof/>
            <w:webHidden/>
          </w:rPr>
          <w:tab/>
        </w:r>
        <w:r w:rsidR="00A65861">
          <w:rPr>
            <w:noProof/>
            <w:webHidden/>
          </w:rPr>
          <w:fldChar w:fldCharType="begin"/>
        </w:r>
        <w:r w:rsidR="00A65861">
          <w:rPr>
            <w:noProof/>
            <w:webHidden/>
          </w:rPr>
          <w:instrText xml:space="preserve"> PAGEREF _Toc100231191 \h </w:instrText>
        </w:r>
        <w:r w:rsidR="00A65861">
          <w:rPr>
            <w:noProof/>
            <w:webHidden/>
          </w:rPr>
        </w:r>
        <w:r w:rsidR="00A65861">
          <w:rPr>
            <w:noProof/>
            <w:webHidden/>
          </w:rPr>
          <w:fldChar w:fldCharType="separate"/>
        </w:r>
        <w:r w:rsidR="00A25EA8">
          <w:rPr>
            <w:noProof/>
            <w:webHidden/>
          </w:rPr>
          <w:t>15</w:t>
        </w:r>
        <w:r w:rsidR="00A65861">
          <w:rPr>
            <w:noProof/>
            <w:webHidden/>
          </w:rPr>
          <w:fldChar w:fldCharType="end"/>
        </w:r>
      </w:hyperlink>
    </w:p>
    <w:p w14:paraId="2F5AF910" w14:textId="0355606C"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2" w:history="1">
        <w:r w:rsidR="00A65861" w:rsidRPr="001E1E99">
          <w:rPr>
            <w:rStyle w:val="Hyperlink"/>
            <w:noProof/>
          </w:rPr>
          <w:t>Protocol to Prevent, Suppress and Punish Trafficking in Persons Especially Women and Children</w:t>
        </w:r>
        <w:r w:rsidR="00A65861">
          <w:rPr>
            <w:noProof/>
            <w:webHidden/>
          </w:rPr>
          <w:tab/>
        </w:r>
        <w:r w:rsidR="00A65861">
          <w:rPr>
            <w:noProof/>
            <w:webHidden/>
          </w:rPr>
          <w:fldChar w:fldCharType="begin"/>
        </w:r>
        <w:r w:rsidR="00A65861">
          <w:rPr>
            <w:noProof/>
            <w:webHidden/>
          </w:rPr>
          <w:instrText xml:space="preserve"> PAGEREF _Toc100231192 \h </w:instrText>
        </w:r>
        <w:r w:rsidR="00A65861">
          <w:rPr>
            <w:noProof/>
            <w:webHidden/>
          </w:rPr>
        </w:r>
        <w:r w:rsidR="00A65861">
          <w:rPr>
            <w:noProof/>
            <w:webHidden/>
          </w:rPr>
          <w:fldChar w:fldCharType="separate"/>
        </w:r>
        <w:r w:rsidR="00A25EA8">
          <w:rPr>
            <w:noProof/>
            <w:webHidden/>
          </w:rPr>
          <w:t>15</w:t>
        </w:r>
        <w:r w:rsidR="00A65861">
          <w:rPr>
            <w:noProof/>
            <w:webHidden/>
          </w:rPr>
          <w:fldChar w:fldCharType="end"/>
        </w:r>
      </w:hyperlink>
    </w:p>
    <w:p w14:paraId="5011975B" w14:textId="0265A574"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3" w:history="1">
        <w:r w:rsidR="00A65861" w:rsidRPr="001E1E99">
          <w:rPr>
            <w:rStyle w:val="Hyperlink"/>
            <w:noProof/>
          </w:rPr>
          <w:t>Council of Europe Convention on Action against Trafficking in Human Beings</w:t>
        </w:r>
        <w:r w:rsidR="00A65861">
          <w:rPr>
            <w:noProof/>
            <w:webHidden/>
          </w:rPr>
          <w:tab/>
        </w:r>
        <w:r w:rsidR="00A65861">
          <w:rPr>
            <w:noProof/>
            <w:webHidden/>
          </w:rPr>
          <w:fldChar w:fldCharType="begin"/>
        </w:r>
        <w:r w:rsidR="00A65861">
          <w:rPr>
            <w:noProof/>
            <w:webHidden/>
          </w:rPr>
          <w:instrText xml:space="preserve"> PAGEREF _Toc100231193 \h </w:instrText>
        </w:r>
        <w:r w:rsidR="00A65861">
          <w:rPr>
            <w:noProof/>
            <w:webHidden/>
          </w:rPr>
        </w:r>
        <w:r w:rsidR="00A65861">
          <w:rPr>
            <w:noProof/>
            <w:webHidden/>
          </w:rPr>
          <w:fldChar w:fldCharType="separate"/>
        </w:r>
        <w:r w:rsidR="00A25EA8">
          <w:rPr>
            <w:noProof/>
            <w:webHidden/>
          </w:rPr>
          <w:t>15</w:t>
        </w:r>
        <w:r w:rsidR="00A65861">
          <w:rPr>
            <w:noProof/>
            <w:webHidden/>
          </w:rPr>
          <w:fldChar w:fldCharType="end"/>
        </w:r>
      </w:hyperlink>
    </w:p>
    <w:p w14:paraId="4DE84EE8" w14:textId="7356F280"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4" w:history="1">
        <w:r w:rsidR="00A65861" w:rsidRPr="001E1E99">
          <w:rPr>
            <w:rStyle w:val="Hyperlink"/>
            <w:noProof/>
          </w:rPr>
          <w:t>Human Rights Council’s Universal Period Review</w:t>
        </w:r>
        <w:r w:rsidR="00A65861">
          <w:rPr>
            <w:noProof/>
            <w:webHidden/>
          </w:rPr>
          <w:tab/>
        </w:r>
        <w:r w:rsidR="00A65861">
          <w:rPr>
            <w:noProof/>
            <w:webHidden/>
          </w:rPr>
          <w:fldChar w:fldCharType="begin"/>
        </w:r>
        <w:r w:rsidR="00A65861">
          <w:rPr>
            <w:noProof/>
            <w:webHidden/>
          </w:rPr>
          <w:instrText xml:space="preserve"> PAGEREF _Toc100231194 \h </w:instrText>
        </w:r>
        <w:r w:rsidR="00A65861">
          <w:rPr>
            <w:noProof/>
            <w:webHidden/>
          </w:rPr>
        </w:r>
        <w:r w:rsidR="00A65861">
          <w:rPr>
            <w:noProof/>
            <w:webHidden/>
          </w:rPr>
          <w:fldChar w:fldCharType="separate"/>
        </w:r>
        <w:r w:rsidR="00A25EA8">
          <w:rPr>
            <w:noProof/>
            <w:webHidden/>
          </w:rPr>
          <w:t>16</w:t>
        </w:r>
        <w:r w:rsidR="00A65861">
          <w:rPr>
            <w:noProof/>
            <w:webHidden/>
          </w:rPr>
          <w:fldChar w:fldCharType="end"/>
        </w:r>
      </w:hyperlink>
    </w:p>
    <w:p w14:paraId="6427F3BE" w14:textId="0B2D1C9F"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5" w:history="1">
        <w:r w:rsidR="00A65861" w:rsidRPr="001E1E99">
          <w:rPr>
            <w:rStyle w:val="Hyperlink"/>
            <w:noProof/>
          </w:rPr>
          <w:t>Criminal Justice (Female Genital Mutilation) Act 2012</w:t>
        </w:r>
        <w:r w:rsidR="00A65861">
          <w:rPr>
            <w:noProof/>
            <w:webHidden/>
          </w:rPr>
          <w:tab/>
        </w:r>
        <w:r w:rsidR="00A65861">
          <w:rPr>
            <w:noProof/>
            <w:webHidden/>
          </w:rPr>
          <w:fldChar w:fldCharType="begin"/>
        </w:r>
        <w:r w:rsidR="00A65861">
          <w:rPr>
            <w:noProof/>
            <w:webHidden/>
          </w:rPr>
          <w:instrText xml:space="preserve"> PAGEREF _Toc100231195 \h </w:instrText>
        </w:r>
        <w:r w:rsidR="00A65861">
          <w:rPr>
            <w:noProof/>
            <w:webHidden/>
          </w:rPr>
        </w:r>
        <w:r w:rsidR="00A65861">
          <w:rPr>
            <w:noProof/>
            <w:webHidden/>
          </w:rPr>
          <w:fldChar w:fldCharType="separate"/>
        </w:r>
        <w:r w:rsidR="00A25EA8">
          <w:rPr>
            <w:noProof/>
            <w:webHidden/>
          </w:rPr>
          <w:t>16</w:t>
        </w:r>
        <w:r w:rsidR="00A65861">
          <w:rPr>
            <w:noProof/>
            <w:webHidden/>
          </w:rPr>
          <w:fldChar w:fldCharType="end"/>
        </w:r>
      </w:hyperlink>
    </w:p>
    <w:p w14:paraId="6BBEBB94" w14:textId="5AC1253D"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6" w:history="1">
        <w:r w:rsidR="00A65861" w:rsidRPr="001E1E99">
          <w:rPr>
            <w:rStyle w:val="Hyperlink"/>
            <w:noProof/>
          </w:rPr>
          <w:t>National hate crime legislation</w:t>
        </w:r>
        <w:r w:rsidR="00A65861">
          <w:rPr>
            <w:noProof/>
            <w:webHidden/>
          </w:rPr>
          <w:tab/>
        </w:r>
        <w:r w:rsidR="00A65861">
          <w:rPr>
            <w:noProof/>
            <w:webHidden/>
          </w:rPr>
          <w:fldChar w:fldCharType="begin"/>
        </w:r>
        <w:r w:rsidR="00A65861">
          <w:rPr>
            <w:noProof/>
            <w:webHidden/>
          </w:rPr>
          <w:instrText xml:space="preserve"> PAGEREF _Toc100231196 \h </w:instrText>
        </w:r>
        <w:r w:rsidR="00A65861">
          <w:rPr>
            <w:noProof/>
            <w:webHidden/>
          </w:rPr>
        </w:r>
        <w:r w:rsidR="00A65861">
          <w:rPr>
            <w:noProof/>
            <w:webHidden/>
          </w:rPr>
          <w:fldChar w:fldCharType="separate"/>
        </w:r>
        <w:r w:rsidR="00A25EA8">
          <w:rPr>
            <w:noProof/>
            <w:webHidden/>
          </w:rPr>
          <w:t>16</w:t>
        </w:r>
        <w:r w:rsidR="00A65861">
          <w:rPr>
            <w:noProof/>
            <w:webHidden/>
          </w:rPr>
          <w:fldChar w:fldCharType="end"/>
        </w:r>
      </w:hyperlink>
    </w:p>
    <w:p w14:paraId="0F2F0AC3" w14:textId="2A8A069D"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7" w:history="1">
        <w:r w:rsidR="00A65861" w:rsidRPr="001E1E99">
          <w:rPr>
            <w:rStyle w:val="Hyperlink"/>
            <w:noProof/>
          </w:rPr>
          <w:t>Criminal Justice (Withholding of Information on Offences against Children and Vulnerable Persons) Act 2012</w:t>
        </w:r>
        <w:r w:rsidR="00A65861">
          <w:rPr>
            <w:noProof/>
            <w:webHidden/>
          </w:rPr>
          <w:tab/>
        </w:r>
        <w:r w:rsidR="00A65861">
          <w:rPr>
            <w:noProof/>
            <w:webHidden/>
          </w:rPr>
          <w:fldChar w:fldCharType="begin"/>
        </w:r>
        <w:r w:rsidR="00A65861">
          <w:rPr>
            <w:noProof/>
            <w:webHidden/>
          </w:rPr>
          <w:instrText xml:space="preserve"> PAGEREF _Toc100231197 \h </w:instrText>
        </w:r>
        <w:r w:rsidR="00A65861">
          <w:rPr>
            <w:noProof/>
            <w:webHidden/>
          </w:rPr>
        </w:r>
        <w:r w:rsidR="00A65861">
          <w:rPr>
            <w:noProof/>
            <w:webHidden/>
          </w:rPr>
          <w:fldChar w:fldCharType="separate"/>
        </w:r>
        <w:r w:rsidR="00A25EA8">
          <w:rPr>
            <w:noProof/>
            <w:webHidden/>
          </w:rPr>
          <w:t>17</w:t>
        </w:r>
        <w:r w:rsidR="00A65861">
          <w:rPr>
            <w:noProof/>
            <w:webHidden/>
          </w:rPr>
          <w:fldChar w:fldCharType="end"/>
        </w:r>
      </w:hyperlink>
    </w:p>
    <w:p w14:paraId="1ABCA732" w14:textId="2224B390"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8" w:history="1">
        <w:r w:rsidR="00A65861" w:rsidRPr="001E1E99">
          <w:rPr>
            <w:rStyle w:val="Hyperlink"/>
            <w:noProof/>
          </w:rPr>
          <w:t>National safeguarding legislation</w:t>
        </w:r>
        <w:r w:rsidR="00A65861">
          <w:rPr>
            <w:noProof/>
            <w:webHidden/>
          </w:rPr>
          <w:tab/>
        </w:r>
        <w:r w:rsidR="00A65861">
          <w:rPr>
            <w:noProof/>
            <w:webHidden/>
          </w:rPr>
          <w:fldChar w:fldCharType="begin"/>
        </w:r>
        <w:r w:rsidR="00A65861">
          <w:rPr>
            <w:noProof/>
            <w:webHidden/>
          </w:rPr>
          <w:instrText xml:space="preserve"> PAGEREF _Toc100231198 \h </w:instrText>
        </w:r>
        <w:r w:rsidR="00A65861">
          <w:rPr>
            <w:noProof/>
            <w:webHidden/>
          </w:rPr>
        </w:r>
        <w:r w:rsidR="00A65861">
          <w:rPr>
            <w:noProof/>
            <w:webHidden/>
          </w:rPr>
          <w:fldChar w:fldCharType="separate"/>
        </w:r>
        <w:r w:rsidR="00A25EA8">
          <w:rPr>
            <w:noProof/>
            <w:webHidden/>
          </w:rPr>
          <w:t>17</w:t>
        </w:r>
        <w:r w:rsidR="00A65861">
          <w:rPr>
            <w:noProof/>
            <w:webHidden/>
          </w:rPr>
          <w:fldChar w:fldCharType="end"/>
        </w:r>
      </w:hyperlink>
    </w:p>
    <w:p w14:paraId="5266E029" w14:textId="012ECC6A"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199" w:history="1">
        <w:r w:rsidR="00A65861" w:rsidRPr="001E1E99">
          <w:rPr>
            <w:rStyle w:val="Hyperlink"/>
            <w:noProof/>
          </w:rPr>
          <w:t>National corporal punishment legislation</w:t>
        </w:r>
        <w:r w:rsidR="00A65861">
          <w:rPr>
            <w:noProof/>
            <w:webHidden/>
          </w:rPr>
          <w:tab/>
        </w:r>
        <w:r w:rsidR="00A65861">
          <w:rPr>
            <w:noProof/>
            <w:webHidden/>
          </w:rPr>
          <w:fldChar w:fldCharType="begin"/>
        </w:r>
        <w:r w:rsidR="00A65861">
          <w:rPr>
            <w:noProof/>
            <w:webHidden/>
          </w:rPr>
          <w:instrText xml:space="preserve"> PAGEREF _Toc100231199 \h </w:instrText>
        </w:r>
        <w:r w:rsidR="00A65861">
          <w:rPr>
            <w:noProof/>
            <w:webHidden/>
          </w:rPr>
        </w:r>
        <w:r w:rsidR="00A65861">
          <w:rPr>
            <w:noProof/>
            <w:webHidden/>
          </w:rPr>
          <w:fldChar w:fldCharType="separate"/>
        </w:r>
        <w:r w:rsidR="00A25EA8">
          <w:rPr>
            <w:noProof/>
            <w:webHidden/>
          </w:rPr>
          <w:t>17</w:t>
        </w:r>
        <w:r w:rsidR="00A65861">
          <w:rPr>
            <w:noProof/>
            <w:webHidden/>
          </w:rPr>
          <w:fldChar w:fldCharType="end"/>
        </w:r>
      </w:hyperlink>
    </w:p>
    <w:p w14:paraId="4FB26B2C" w14:textId="5DE8066E"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0" w:history="1">
        <w:r w:rsidR="00A65861" w:rsidRPr="001E1E99">
          <w:rPr>
            <w:rStyle w:val="Hyperlink"/>
            <w:noProof/>
          </w:rPr>
          <w:t>Child and Family Agency Act 2013</w:t>
        </w:r>
        <w:r w:rsidR="00A65861">
          <w:rPr>
            <w:noProof/>
            <w:webHidden/>
          </w:rPr>
          <w:tab/>
        </w:r>
        <w:r w:rsidR="00A65861">
          <w:rPr>
            <w:noProof/>
            <w:webHidden/>
          </w:rPr>
          <w:fldChar w:fldCharType="begin"/>
        </w:r>
        <w:r w:rsidR="00A65861">
          <w:rPr>
            <w:noProof/>
            <w:webHidden/>
          </w:rPr>
          <w:instrText xml:space="preserve"> PAGEREF _Toc100231200 \h </w:instrText>
        </w:r>
        <w:r w:rsidR="00A65861">
          <w:rPr>
            <w:noProof/>
            <w:webHidden/>
          </w:rPr>
        </w:r>
        <w:r w:rsidR="00A65861">
          <w:rPr>
            <w:noProof/>
            <w:webHidden/>
          </w:rPr>
          <w:fldChar w:fldCharType="separate"/>
        </w:r>
        <w:r w:rsidR="00A25EA8">
          <w:rPr>
            <w:noProof/>
            <w:webHidden/>
          </w:rPr>
          <w:t>18</w:t>
        </w:r>
        <w:r w:rsidR="00A65861">
          <w:rPr>
            <w:noProof/>
            <w:webHidden/>
          </w:rPr>
          <w:fldChar w:fldCharType="end"/>
        </w:r>
      </w:hyperlink>
    </w:p>
    <w:p w14:paraId="0AC64E81" w14:textId="532888D5"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1" w:history="1">
        <w:r w:rsidR="00A65861" w:rsidRPr="001E1E99">
          <w:rPr>
            <w:rStyle w:val="Hyperlink"/>
            <w:noProof/>
          </w:rPr>
          <w:t>Child Care Act 1991</w:t>
        </w:r>
        <w:r w:rsidR="00A65861">
          <w:rPr>
            <w:noProof/>
            <w:webHidden/>
          </w:rPr>
          <w:tab/>
        </w:r>
        <w:r w:rsidR="00A65861">
          <w:rPr>
            <w:noProof/>
            <w:webHidden/>
          </w:rPr>
          <w:fldChar w:fldCharType="begin"/>
        </w:r>
        <w:r w:rsidR="00A65861">
          <w:rPr>
            <w:noProof/>
            <w:webHidden/>
          </w:rPr>
          <w:instrText xml:space="preserve"> PAGEREF _Toc100231201 \h </w:instrText>
        </w:r>
        <w:r w:rsidR="00A65861">
          <w:rPr>
            <w:noProof/>
            <w:webHidden/>
          </w:rPr>
        </w:r>
        <w:r w:rsidR="00A65861">
          <w:rPr>
            <w:noProof/>
            <w:webHidden/>
          </w:rPr>
          <w:fldChar w:fldCharType="separate"/>
        </w:r>
        <w:r w:rsidR="00A25EA8">
          <w:rPr>
            <w:noProof/>
            <w:webHidden/>
          </w:rPr>
          <w:t>18</w:t>
        </w:r>
        <w:r w:rsidR="00A65861">
          <w:rPr>
            <w:noProof/>
            <w:webHidden/>
          </w:rPr>
          <w:fldChar w:fldCharType="end"/>
        </w:r>
      </w:hyperlink>
    </w:p>
    <w:p w14:paraId="74BE6455" w14:textId="4DA0DCB9"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2" w:history="1">
        <w:r w:rsidR="00A65861" w:rsidRPr="001E1E99">
          <w:rPr>
            <w:rStyle w:val="Hyperlink"/>
            <w:noProof/>
          </w:rPr>
          <w:t>Children First Act 2015</w:t>
        </w:r>
        <w:r w:rsidR="00A65861">
          <w:rPr>
            <w:noProof/>
            <w:webHidden/>
          </w:rPr>
          <w:tab/>
        </w:r>
        <w:r w:rsidR="00A65861">
          <w:rPr>
            <w:noProof/>
            <w:webHidden/>
          </w:rPr>
          <w:fldChar w:fldCharType="begin"/>
        </w:r>
        <w:r w:rsidR="00A65861">
          <w:rPr>
            <w:noProof/>
            <w:webHidden/>
          </w:rPr>
          <w:instrText xml:space="preserve"> PAGEREF _Toc100231202 \h </w:instrText>
        </w:r>
        <w:r w:rsidR="00A65861">
          <w:rPr>
            <w:noProof/>
            <w:webHidden/>
          </w:rPr>
        </w:r>
        <w:r w:rsidR="00A65861">
          <w:rPr>
            <w:noProof/>
            <w:webHidden/>
          </w:rPr>
          <w:fldChar w:fldCharType="separate"/>
        </w:r>
        <w:r w:rsidR="00A25EA8">
          <w:rPr>
            <w:noProof/>
            <w:webHidden/>
          </w:rPr>
          <w:t>18</w:t>
        </w:r>
        <w:r w:rsidR="00A65861">
          <w:rPr>
            <w:noProof/>
            <w:webHidden/>
          </w:rPr>
          <w:fldChar w:fldCharType="end"/>
        </w:r>
      </w:hyperlink>
    </w:p>
    <w:p w14:paraId="471BF6EE" w14:textId="5A7EA833"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3" w:history="1">
        <w:r w:rsidR="00A65861" w:rsidRPr="001E1E99">
          <w:rPr>
            <w:rStyle w:val="Hyperlink"/>
            <w:noProof/>
          </w:rPr>
          <w:t>National Vetting Bureau (Children and Vulnerable Persons) Act 2012</w:t>
        </w:r>
        <w:r w:rsidR="00A65861">
          <w:rPr>
            <w:noProof/>
            <w:webHidden/>
          </w:rPr>
          <w:tab/>
        </w:r>
        <w:r w:rsidR="00A65861">
          <w:rPr>
            <w:noProof/>
            <w:webHidden/>
          </w:rPr>
          <w:fldChar w:fldCharType="begin"/>
        </w:r>
        <w:r w:rsidR="00A65861">
          <w:rPr>
            <w:noProof/>
            <w:webHidden/>
          </w:rPr>
          <w:instrText xml:space="preserve"> PAGEREF _Toc100231203 \h </w:instrText>
        </w:r>
        <w:r w:rsidR="00A65861">
          <w:rPr>
            <w:noProof/>
            <w:webHidden/>
          </w:rPr>
        </w:r>
        <w:r w:rsidR="00A65861">
          <w:rPr>
            <w:noProof/>
            <w:webHidden/>
          </w:rPr>
          <w:fldChar w:fldCharType="separate"/>
        </w:r>
        <w:r w:rsidR="00A25EA8">
          <w:rPr>
            <w:noProof/>
            <w:webHidden/>
          </w:rPr>
          <w:t>18</w:t>
        </w:r>
        <w:r w:rsidR="00A65861">
          <w:rPr>
            <w:noProof/>
            <w:webHidden/>
          </w:rPr>
          <w:fldChar w:fldCharType="end"/>
        </w:r>
      </w:hyperlink>
    </w:p>
    <w:p w14:paraId="16DCF197" w14:textId="65D13DC4"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4" w:history="1">
        <w:r w:rsidR="00A65861" w:rsidRPr="001E1E99">
          <w:rPr>
            <w:rStyle w:val="Hyperlink"/>
            <w:noProof/>
          </w:rPr>
          <w:t>The Irish Human Rights and Equality Commission Act, 2014</w:t>
        </w:r>
        <w:r w:rsidR="00A65861">
          <w:rPr>
            <w:noProof/>
            <w:webHidden/>
          </w:rPr>
          <w:tab/>
        </w:r>
        <w:r w:rsidR="00A65861">
          <w:rPr>
            <w:noProof/>
            <w:webHidden/>
          </w:rPr>
          <w:fldChar w:fldCharType="begin"/>
        </w:r>
        <w:r w:rsidR="00A65861">
          <w:rPr>
            <w:noProof/>
            <w:webHidden/>
          </w:rPr>
          <w:instrText xml:space="preserve"> PAGEREF _Toc100231204 \h </w:instrText>
        </w:r>
        <w:r w:rsidR="00A65861">
          <w:rPr>
            <w:noProof/>
            <w:webHidden/>
          </w:rPr>
        </w:r>
        <w:r w:rsidR="00A65861">
          <w:rPr>
            <w:noProof/>
            <w:webHidden/>
          </w:rPr>
          <w:fldChar w:fldCharType="separate"/>
        </w:r>
        <w:r w:rsidR="00A25EA8">
          <w:rPr>
            <w:noProof/>
            <w:webHidden/>
          </w:rPr>
          <w:t>19</w:t>
        </w:r>
        <w:r w:rsidR="00A65861">
          <w:rPr>
            <w:noProof/>
            <w:webHidden/>
          </w:rPr>
          <w:fldChar w:fldCharType="end"/>
        </w:r>
      </w:hyperlink>
    </w:p>
    <w:p w14:paraId="352CDB43" w14:textId="2C389127"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5" w:history="1">
        <w:r w:rsidR="00A65861" w:rsidRPr="001E1E99">
          <w:rPr>
            <w:rStyle w:val="Hyperlink"/>
            <w:noProof/>
          </w:rPr>
          <w:t>Assisted Decision Making (Capacity) Act 2015</w:t>
        </w:r>
        <w:r w:rsidR="00A65861">
          <w:rPr>
            <w:noProof/>
            <w:webHidden/>
          </w:rPr>
          <w:tab/>
        </w:r>
        <w:r w:rsidR="00A65861">
          <w:rPr>
            <w:noProof/>
            <w:webHidden/>
          </w:rPr>
          <w:fldChar w:fldCharType="begin"/>
        </w:r>
        <w:r w:rsidR="00A65861">
          <w:rPr>
            <w:noProof/>
            <w:webHidden/>
          </w:rPr>
          <w:instrText xml:space="preserve"> PAGEREF _Toc100231205 \h </w:instrText>
        </w:r>
        <w:r w:rsidR="00A65861">
          <w:rPr>
            <w:noProof/>
            <w:webHidden/>
          </w:rPr>
        </w:r>
        <w:r w:rsidR="00A65861">
          <w:rPr>
            <w:noProof/>
            <w:webHidden/>
          </w:rPr>
          <w:fldChar w:fldCharType="separate"/>
        </w:r>
        <w:r w:rsidR="00A25EA8">
          <w:rPr>
            <w:noProof/>
            <w:webHidden/>
          </w:rPr>
          <w:t>19</w:t>
        </w:r>
        <w:r w:rsidR="00A65861">
          <w:rPr>
            <w:noProof/>
            <w:webHidden/>
          </w:rPr>
          <w:fldChar w:fldCharType="end"/>
        </w:r>
      </w:hyperlink>
    </w:p>
    <w:p w14:paraId="14E47607" w14:textId="5F30FEA0"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6" w:history="1">
        <w:r w:rsidR="00A65861" w:rsidRPr="001E1E99">
          <w:rPr>
            <w:rStyle w:val="Hyperlink"/>
            <w:noProof/>
          </w:rPr>
          <w:t>Protection of liberty legislation</w:t>
        </w:r>
        <w:r w:rsidR="00A65861">
          <w:rPr>
            <w:noProof/>
            <w:webHidden/>
          </w:rPr>
          <w:tab/>
        </w:r>
        <w:r w:rsidR="00A65861">
          <w:rPr>
            <w:noProof/>
            <w:webHidden/>
          </w:rPr>
          <w:fldChar w:fldCharType="begin"/>
        </w:r>
        <w:r w:rsidR="00A65861">
          <w:rPr>
            <w:noProof/>
            <w:webHidden/>
          </w:rPr>
          <w:instrText xml:space="preserve"> PAGEREF _Toc100231206 \h </w:instrText>
        </w:r>
        <w:r w:rsidR="00A65861">
          <w:rPr>
            <w:noProof/>
            <w:webHidden/>
          </w:rPr>
        </w:r>
        <w:r w:rsidR="00A65861">
          <w:rPr>
            <w:noProof/>
            <w:webHidden/>
          </w:rPr>
          <w:fldChar w:fldCharType="separate"/>
        </w:r>
        <w:r w:rsidR="00A25EA8">
          <w:rPr>
            <w:noProof/>
            <w:webHidden/>
          </w:rPr>
          <w:t>20</w:t>
        </w:r>
        <w:r w:rsidR="00A65861">
          <w:rPr>
            <w:noProof/>
            <w:webHidden/>
          </w:rPr>
          <w:fldChar w:fldCharType="end"/>
        </w:r>
      </w:hyperlink>
    </w:p>
    <w:p w14:paraId="1B90B879" w14:textId="5B68D8D0"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7" w:history="1">
        <w:r w:rsidR="00A65861" w:rsidRPr="001E1E99">
          <w:rPr>
            <w:rStyle w:val="Hyperlink"/>
            <w:noProof/>
          </w:rPr>
          <w:t>Dying with Dignity Bill 2020</w:t>
        </w:r>
        <w:r w:rsidR="00A65861">
          <w:rPr>
            <w:noProof/>
            <w:webHidden/>
          </w:rPr>
          <w:tab/>
        </w:r>
        <w:r w:rsidR="00A65861">
          <w:rPr>
            <w:noProof/>
            <w:webHidden/>
          </w:rPr>
          <w:fldChar w:fldCharType="begin"/>
        </w:r>
        <w:r w:rsidR="00A65861">
          <w:rPr>
            <w:noProof/>
            <w:webHidden/>
          </w:rPr>
          <w:instrText xml:space="preserve"> PAGEREF _Toc100231207 \h </w:instrText>
        </w:r>
        <w:r w:rsidR="00A65861">
          <w:rPr>
            <w:noProof/>
            <w:webHidden/>
          </w:rPr>
        </w:r>
        <w:r w:rsidR="00A65861">
          <w:rPr>
            <w:noProof/>
            <w:webHidden/>
          </w:rPr>
          <w:fldChar w:fldCharType="separate"/>
        </w:r>
        <w:r w:rsidR="00A25EA8">
          <w:rPr>
            <w:noProof/>
            <w:webHidden/>
          </w:rPr>
          <w:t>20</w:t>
        </w:r>
        <w:r w:rsidR="00A65861">
          <w:rPr>
            <w:noProof/>
            <w:webHidden/>
          </w:rPr>
          <w:fldChar w:fldCharType="end"/>
        </w:r>
      </w:hyperlink>
    </w:p>
    <w:p w14:paraId="1A01A9D7" w14:textId="59D510BE"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208" w:history="1">
        <w:r w:rsidR="00A65861" w:rsidRPr="001E1E99">
          <w:rPr>
            <w:rStyle w:val="Hyperlink"/>
            <w:noProof/>
          </w:rPr>
          <w:t>Policies, strategies, standards, regulation and reporting</w:t>
        </w:r>
        <w:r w:rsidR="00A65861">
          <w:rPr>
            <w:noProof/>
            <w:webHidden/>
          </w:rPr>
          <w:tab/>
        </w:r>
        <w:r w:rsidR="00A65861">
          <w:rPr>
            <w:noProof/>
            <w:webHidden/>
          </w:rPr>
          <w:fldChar w:fldCharType="begin"/>
        </w:r>
        <w:r w:rsidR="00A65861">
          <w:rPr>
            <w:noProof/>
            <w:webHidden/>
          </w:rPr>
          <w:instrText xml:space="preserve"> PAGEREF _Toc100231208 \h </w:instrText>
        </w:r>
        <w:r w:rsidR="00A65861">
          <w:rPr>
            <w:noProof/>
            <w:webHidden/>
          </w:rPr>
        </w:r>
        <w:r w:rsidR="00A65861">
          <w:rPr>
            <w:noProof/>
            <w:webHidden/>
          </w:rPr>
          <w:fldChar w:fldCharType="separate"/>
        </w:r>
        <w:r w:rsidR="00A25EA8">
          <w:rPr>
            <w:noProof/>
            <w:webHidden/>
          </w:rPr>
          <w:t>21</w:t>
        </w:r>
        <w:r w:rsidR="00A65861">
          <w:rPr>
            <w:noProof/>
            <w:webHidden/>
          </w:rPr>
          <w:fldChar w:fldCharType="end"/>
        </w:r>
      </w:hyperlink>
    </w:p>
    <w:p w14:paraId="4CDD5334" w14:textId="60148E5A"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09" w:history="1">
        <w:r w:rsidR="00A65861" w:rsidRPr="001E1E99">
          <w:rPr>
            <w:rStyle w:val="Hyperlink"/>
            <w:noProof/>
          </w:rPr>
          <w:t>National strategies on domestic, sexual and gender-based violence</w:t>
        </w:r>
        <w:r w:rsidR="00A65861">
          <w:rPr>
            <w:noProof/>
            <w:webHidden/>
          </w:rPr>
          <w:tab/>
        </w:r>
        <w:r w:rsidR="00A65861">
          <w:rPr>
            <w:noProof/>
            <w:webHidden/>
          </w:rPr>
          <w:fldChar w:fldCharType="begin"/>
        </w:r>
        <w:r w:rsidR="00A65861">
          <w:rPr>
            <w:noProof/>
            <w:webHidden/>
          </w:rPr>
          <w:instrText xml:space="preserve"> PAGEREF _Toc100231209 \h </w:instrText>
        </w:r>
        <w:r w:rsidR="00A65861">
          <w:rPr>
            <w:noProof/>
            <w:webHidden/>
          </w:rPr>
        </w:r>
        <w:r w:rsidR="00A65861">
          <w:rPr>
            <w:noProof/>
            <w:webHidden/>
          </w:rPr>
          <w:fldChar w:fldCharType="separate"/>
        </w:r>
        <w:r w:rsidR="00A25EA8">
          <w:rPr>
            <w:noProof/>
            <w:webHidden/>
          </w:rPr>
          <w:t>21</w:t>
        </w:r>
        <w:r w:rsidR="00A65861">
          <w:rPr>
            <w:noProof/>
            <w:webHidden/>
          </w:rPr>
          <w:fldChar w:fldCharType="end"/>
        </w:r>
      </w:hyperlink>
    </w:p>
    <w:p w14:paraId="61CDD146" w14:textId="6F1EEB05"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0" w:history="1">
        <w:r w:rsidR="00A65861" w:rsidRPr="001E1E99">
          <w:rPr>
            <w:rStyle w:val="Hyperlink"/>
            <w:noProof/>
          </w:rPr>
          <w:t>National action plans to prevent and combat human trafficking</w:t>
        </w:r>
        <w:r w:rsidR="00A65861">
          <w:rPr>
            <w:noProof/>
            <w:webHidden/>
          </w:rPr>
          <w:tab/>
        </w:r>
        <w:r w:rsidR="00A65861">
          <w:rPr>
            <w:noProof/>
            <w:webHidden/>
          </w:rPr>
          <w:fldChar w:fldCharType="begin"/>
        </w:r>
        <w:r w:rsidR="00A65861">
          <w:rPr>
            <w:noProof/>
            <w:webHidden/>
          </w:rPr>
          <w:instrText xml:space="preserve"> PAGEREF _Toc100231210 \h </w:instrText>
        </w:r>
        <w:r w:rsidR="00A65861">
          <w:rPr>
            <w:noProof/>
            <w:webHidden/>
          </w:rPr>
        </w:r>
        <w:r w:rsidR="00A65861">
          <w:rPr>
            <w:noProof/>
            <w:webHidden/>
          </w:rPr>
          <w:fldChar w:fldCharType="separate"/>
        </w:r>
        <w:r w:rsidR="00A25EA8">
          <w:rPr>
            <w:noProof/>
            <w:webHidden/>
          </w:rPr>
          <w:t>22</w:t>
        </w:r>
        <w:r w:rsidR="00A65861">
          <w:rPr>
            <w:noProof/>
            <w:webHidden/>
          </w:rPr>
          <w:fldChar w:fldCharType="end"/>
        </w:r>
      </w:hyperlink>
    </w:p>
    <w:p w14:paraId="2FE24D09" w14:textId="5FE7A4DB"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1" w:history="1">
        <w:r w:rsidR="00A65861" w:rsidRPr="001E1E99">
          <w:rPr>
            <w:rStyle w:val="Hyperlink"/>
            <w:noProof/>
          </w:rPr>
          <w:t>The HSE Safeguarding Vulnerable Persons at Risk of Abuse - National Policy and Procedures</w:t>
        </w:r>
        <w:r w:rsidR="00A65861">
          <w:rPr>
            <w:noProof/>
            <w:webHidden/>
          </w:rPr>
          <w:tab/>
        </w:r>
        <w:r w:rsidR="00A65861">
          <w:rPr>
            <w:noProof/>
            <w:webHidden/>
          </w:rPr>
          <w:fldChar w:fldCharType="begin"/>
        </w:r>
        <w:r w:rsidR="00A65861">
          <w:rPr>
            <w:noProof/>
            <w:webHidden/>
          </w:rPr>
          <w:instrText xml:space="preserve"> PAGEREF _Toc100231211 \h </w:instrText>
        </w:r>
        <w:r w:rsidR="00A65861">
          <w:rPr>
            <w:noProof/>
            <w:webHidden/>
          </w:rPr>
        </w:r>
        <w:r w:rsidR="00A65861">
          <w:rPr>
            <w:noProof/>
            <w:webHidden/>
          </w:rPr>
          <w:fldChar w:fldCharType="separate"/>
        </w:r>
        <w:r w:rsidR="00A25EA8">
          <w:rPr>
            <w:noProof/>
            <w:webHidden/>
          </w:rPr>
          <w:t>23</w:t>
        </w:r>
        <w:r w:rsidR="00A65861">
          <w:rPr>
            <w:noProof/>
            <w:webHidden/>
          </w:rPr>
          <w:fldChar w:fldCharType="end"/>
        </w:r>
      </w:hyperlink>
    </w:p>
    <w:p w14:paraId="17B22D9C" w14:textId="7316AF09"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2" w:history="1">
        <w:r w:rsidR="00A65861" w:rsidRPr="001E1E99">
          <w:rPr>
            <w:rStyle w:val="Hyperlink"/>
            <w:noProof/>
          </w:rPr>
          <w:t>National Standards for Adult Safeguarding in Health and Social Care Services</w:t>
        </w:r>
        <w:r w:rsidR="00A65861">
          <w:rPr>
            <w:noProof/>
            <w:webHidden/>
          </w:rPr>
          <w:tab/>
        </w:r>
        <w:r w:rsidR="00A65861">
          <w:rPr>
            <w:noProof/>
            <w:webHidden/>
          </w:rPr>
          <w:fldChar w:fldCharType="begin"/>
        </w:r>
        <w:r w:rsidR="00A65861">
          <w:rPr>
            <w:noProof/>
            <w:webHidden/>
          </w:rPr>
          <w:instrText xml:space="preserve"> PAGEREF _Toc100231212 \h </w:instrText>
        </w:r>
        <w:r w:rsidR="00A65861">
          <w:rPr>
            <w:noProof/>
            <w:webHidden/>
          </w:rPr>
        </w:r>
        <w:r w:rsidR="00A65861">
          <w:rPr>
            <w:noProof/>
            <w:webHidden/>
          </w:rPr>
          <w:fldChar w:fldCharType="separate"/>
        </w:r>
        <w:r w:rsidR="00A25EA8">
          <w:rPr>
            <w:noProof/>
            <w:webHidden/>
          </w:rPr>
          <w:t>25</w:t>
        </w:r>
        <w:r w:rsidR="00A65861">
          <w:rPr>
            <w:noProof/>
            <w:webHidden/>
          </w:rPr>
          <w:fldChar w:fldCharType="end"/>
        </w:r>
      </w:hyperlink>
    </w:p>
    <w:p w14:paraId="298C7D42" w14:textId="3EC141F1"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3" w:history="1">
        <w:r w:rsidR="00A65861" w:rsidRPr="001E1E99">
          <w:rPr>
            <w:rStyle w:val="Hyperlink"/>
            <w:noProof/>
          </w:rPr>
          <w:t>Statutory monitoring of services by HIQA and MHC</w:t>
        </w:r>
        <w:r w:rsidR="00A65861">
          <w:rPr>
            <w:noProof/>
            <w:webHidden/>
          </w:rPr>
          <w:tab/>
        </w:r>
        <w:r w:rsidR="00A65861">
          <w:rPr>
            <w:noProof/>
            <w:webHidden/>
          </w:rPr>
          <w:fldChar w:fldCharType="begin"/>
        </w:r>
        <w:r w:rsidR="00A65861">
          <w:rPr>
            <w:noProof/>
            <w:webHidden/>
          </w:rPr>
          <w:instrText xml:space="preserve"> PAGEREF _Toc100231213 \h </w:instrText>
        </w:r>
        <w:r w:rsidR="00A65861">
          <w:rPr>
            <w:noProof/>
            <w:webHidden/>
          </w:rPr>
        </w:r>
        <w:r w:rsidR="00A65861">
          <w:rPr>
            <w:noProof/>
            <w:webHidden/>
          </w:rPr>
          <w:fldChar w:fldCharType="separate"/>
        </w:r>
        <w:r w:rsidR="00A25EA8">
          <w:rPr>
            <w:noProof/>
            <w:webHidden/>
          </w:rPr>
          <w:t>25</w:t>
        </w:r>
        <w:r w:rsidR="00A65861">
          <w:rPr>
            <w:noProof/>
            <w:webHidden/>
          </w:rPr>
          <w:fldChar w:fldCharType="end"/>
        </w:r>
      </w:hyperlink>
    </w:p>
    <w:p w14:paraId="0DAE20AD" w14:textId="3176BB71"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4" w:history="1">
        <w:r w:rsidR="00A65861" w:rsidRPr="001E1E99">
          <w:rPr>
            <w:rStyle w:val="Hyperlink"/>
            <w:noProof/>
          </w:rPr>
          <w:t>National safeguarding policy for health and social care sector</w:t>
        </w:r>
        <w:r w:rsidR="00A65861">
          <w:rPr>
            <w:noProof/>
            <w:webHidden/>
          </w:rPr>
          <w:tab/>
        </w:r>
        <w:r w:rsidR="00A65861">
          <w:rPr>
            <w:noProof/>
            <w:webHidden/>
          </w:rPr>
          <w:fldChar w:fldCharType="begin"/>
        </w:r>
        <w:r w:rsidR="00A65861">
          <w:rPr>
            <w:noProof/>
            <w:webHidden/>
          </w:rPr>
          <w:instrText xml:space="preserve"> PAGEREF _Toc100231214 \h </w:instrText>
        </w:r>
        <w:r w:rsidR="00A65861">
          <w:rPr>
            <w:noProof/>
            <w:webHidden/>
          </w:rPr>
        </w:r>
        <w:r w:rsidR="00A65861">
          <w:rPr>
            <w:noProof/>
            <w:webHidden/>
          </w:rPr>
          <w:fldChar w:fldCharType="separate"/>
        </w:r>
        <w:r w:rsidR="00A25EA8">
          <w:rPr>
            <w:noProof/>
            <w:webHidden/>
          </w:rPr>
          <w:t>26</w:t>
        </w:r>
        <w:r w:rsidR="00A65861">
          <w:rPr>
            <w:noProof/>
            <w:webHidden/>
          </w:rPr>
          <w:fldChar w:fldCharType="end"/>
        </w:r>
      </w:hyperlink>
    </w:p>
    <w:p w14:paraId="6C283C33" w14:textId="62FE62C0"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5" w:history="1">
        <w:r w:rsidR="00A65861" w:rsidRPr="001E1E99">
          <w:rPr>
            <w:rStyle w:val="Hyperlink"/>
            <w:noProof/>
          </w:rPr>
          <w:t>Children First: National Guidance for the Protection and Welfare of Children, 2017</w:t>
        </w:r>
        <w:r w:rsidR="00A65861">
          <w:rPr>
            <w:noProof/>
            <w:webHidden/>
          </w:rPr>
          <w:tab/>
        </w:r>
        <w:r w:rsidR="00A65861">
          <w:rPr>
            <w:noProof/>
            <w:webHidden/>
          </w:rPr>
          <w:fldChar w:fldCharType="begin"/>
        </w:r>
        <w:r w:rsidR="00A65861">
          <w:rPr>
            <w:noProof/>
            <w:webHidden/>
          </w:rPr>
          <w:instrText xml:space="preserve"> PAGEREF _Toc100231215 \h </w:instrText>
        </w:r>
        <w:r w:rsidR="00A65861">
          <w:rPr>
            <w:noProof/>
            <w:webHidden/>
          </w:rPr>
        </w:r>
        <w:r w:rsidR="00A65861">
          <w:rPr>
            <w:noProof/>
            <w:webHidden/>
          </w:rPr>
          <w:fldChar w:fldCharType="separate"/>
        </w:r>
        <w:r w:rsidR="00A25EA8">
          <w:rPr>
            <w:noProof/>
            <w:webHidden/>
          </w:rPr>
          <w:t>28</w:t>
        </w:r>
        <w:r w:rsidR="00A65861">
          <w:rPr>
            <w:noProof/>
            <w:webHidden/>
          </w:rPr>
          <w:fldChar w:fldCharType="end"/>
        </w:r>
      </w:hyperlink>
    </w:p>
    <w:p w14:paraId="5E9A68F0" w14:textId="4EDCB169"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6" w:history="1">
        <w:r w:rsidR="00A65861" w:rsidRPr="001E1E99">
          <w:rPr>
            <w:rStyle w:val="Hyperlink"/>
            <w:noProof/>
          </w:rPr>
          <w:t>National Standards for the Protection and Welfare of Children</w:t>
        </w:r>
        <w:r w:rsidR="00A65861">
          <w:rPr>
            <w:noProof/>
            <w:webHidden/>
          </w:rPr>
          <w:tab/>
        </w:r>
        <w:r w:rsidR="00A65861">
          <w:rPr>
            <w:noProof/>
            <w:webHidden/>
          </w:rPr>
          <w:fldChar w:fldCharType="begin"/>
        </w:r>
        <w:r w:rsidR="00A65861">
          <w:rPr>
            <w:noProof/>
            <w:webHidden/>
          </w:rPr>
          <w:instrText xml:space="preserve"> PAGEREF _Toc100231216 \h </w:instrText>
        </w:r>
        <w:r w:rsidR="00A65861">
          <w:rPr>
            <w:noProof/>
            <w:webHidden/>
          </w:rPr>
        </w:r>
        <w:r w:rsidR="00A65861">
          <w:rPr>
            <w:noProof/>
            <w:webHidden/>
          </w:rPr>
          <w:fldChar w:fldCharType="separate"/>
        </w:r>
        <w:r w:rsidR="00A25EA8">
          <w:rPr>
            <w:noProof/>
            <w:webHidden/>
          </w:rPr>
          <w:t>28</w:t>
        </w:r>
        <w:r w:rsidR="00A65861">
          <w:rPr>
            <w:noProof/>
            <w:webHidden/>
          </w:rPr>
          <w:fldChar w:fldCharType="end"/>
        </w:r>
      </w:hyperlink>
    </w:p>
    <w:p w14:paraId="64B89521" w14:textId="1F35E63A"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7" w:history="1">
        <w:r w:rsidR="00A65861" w:rsidRPr="001E1E99">
          <w:rPr>
            <w:rStyle w:val="Hyperlink"/>
            <w:noProof/>
          </w:rPr>
          <w:t>Child Protection Procedures for Primary and Post-Primary Schools</w:t>
        </w:r>
        <w:r w:rsidR="00A65861">
          <w:rPr>
            <w:noProof/>
            <w:webHidden/>
          </w:rPr>
          <w:tab/>
        </w:r>
        <w:r w:rsidR="00A65861">
          <w:rPr>
            <w:noProof/>
            <w:webHidden/>
          </w:rPr>
          <w:fldChar w:fldCharType="begin"/>
        </w:r>
        <w:r w:rsidR="00A65861">
          <w:rPr>
            <w:noProof/>
            <w:webHidden/>
          </w:rPr>
          <w:instrText xml:space="preserve"> PAGEREF _Toc100231217 \h </w:instrText>
        </w:r>
        <w:r w:rsidR="00A65861">
          <w:rPr>
            <w:noProof/>
            <w:webHidden/>
          </w:rPr>
        </w:r>
        <w:r w:rsidR="00A65861">
          <w:rPr>
            <w:noProof/>
            <w:webHidden/>
          </w:rPr>
          <w:fldChar w:fldCharType="separate"/>
        </w:r>
        <w:r w:rsidR="00A25EA8">
          <w:rPr>
            <w:noProof/>
            <w:webHidden/>
          </w:rPr>
          <w:t>30</w:t>
        </w:r>
        <w:r w:rsidR="00A65861">
          <w:rPr>
            <w:noProof/>
            <w:webHidden/>
          </w:rPr>
          <w:fldChar w:fldCharType="end"/>
        </w:r>
      </w:hyperlink>
    </w:p>
    <w:p w14:paraId="183DF9F1" w14:textId="047FDACE"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8" w:history="1">
        <w:r w:rsidR="00A65861" w:rsidRPr="001E1E99">
          <w:rPr>
            <w:rStyle w:val="Hyperlink"/>
            <w:noProof/>
          </w:rPr>
          <w:t>Bullying policy for schools</w:t>
        </w:r>
        <w:r w:rsidR="00A65861">
          <w:rPr>
            <w:noProof/>
            <w:webHidden/>
          </w:rPr>
          <w:tab/>
        </w:r>
        <w:r w:rsidR="00A65861">
          <w:rPr>
            <w:noProof/>
            <w:webHidden/>
          </w:rPr>
          <w:fldChar w:fldCharType="begin"/>
        </w:r>
        <w:r w:rsidR="00A65861">
          <w:rPr>
            <w:noProof/>
            <w:webHidden/>
          </w:rPr>
          <w:instrText xml:space="preserve"> PAGEREF _Toc100231218 \h </w:instrText>
        </w:r>
        <w:r w:rsidR="00A65861">
          <w:rPr>
            <w:noProof/>
            <w:webHidden/>
          </w:rPr>
        </w:r>
        <w:r w:rsidR="00A65861">
          <w:rPr>
            <w:noProof/>
            <w:webHidden/>
          </w:rPr>
          <w:fldChar w:fldCharType="separate"/>
        </w:r>
        <w:r w:rsidR="00A25EA8">
          <w:rPr>
            <w:noProof/>
            <w:webHidden/>
          </w:rPr>
          <w:t>30</w:t>
        </w:r>
        <w:r w:rsidR="00A65861">
          <w:rPr>
            <w:noProof/>
            <w:webHidden/>
          </w:rPr>
          <w:fldChar w:fldCharType="end"/>
        </w:r>
      </w:hyperlink>
    </w:p>
    <w:p w14:paraId="1CAA5C0F" w14:textId="0140E185"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19" w:history="1">
        <w:r w:rsidR="00A65861" w:rsidRPr="001E1E99">
          <w:rPr>
            <w:rStyle w:val="Hyperlink"/>
            <w:noProof/>
          </w:rPr>
          <w:t>Sex education in schools</w:t>
        </w:r>
        <w:r w:rsidR="00A65861">
          <w:rPr>
            <w:noProof/>
            <w:webHidden/>
          </w:rPr>
          <w:tab/>
        </w:r>
        <w:r w:rsidR="00A65861">
          <w:rPr>
            <w:noProof/>
            <w:webHidden/>
          </w:rPr>
          <w:fldChar w:fldCharType="begin"/>
        </w:r>
        <w:r w:rsidR="00A65861">
          <w:rPr>
            <w:noProof/>
            <w:webHidden/>
          </w:rPr>
          <w:instrText xml:space="preserve"> PAGEREF _Toc100231219 \h </w:instrText>
        </w:r>
        <w:r w:rsidR="00A65861">
          <w:rPr>
            <w:noProof/>
            <w:webHidden/>
          </w:rPr>
        </w:r>
        <w:r w:rsidR="00A65861">
          <w:rPr>
            <w:noProof/>
            <w:webHidden/>
          </w:rPr>
          <w:fldChar w:fldCharType="separate"/>
        </w:r>
        <w:r w:rsidR="00A25EA8">
          <w:rPr>
            <w:noProof/>
            <w:webHidden/>
          </w:rPr>
          <w:t>30</w:t>
        </w:r>
        <w:r w:rsidR="00A65861">
          <w:rPr>
            <w:noProof/>
            <w:webHidden/>
          </w:rPr>
          <w:fldChar w:fldCharType="end"/>
        </w:r>
      </w:hyperlink>
    </w:p>
    <w:p w14:paraId="4E9A6631" w14:textId="0C6A00E9"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0" w:history="1">
        <w:r w:rsidR="00A65861" w:rsidRPr="001E1E99">
          <w:rPr>
            <w:rStyle w:val="Hyperlink"/>
            <w:noProof/>
          </w:rPr>
          <w:t>Framework for Consent in Higher Education Institutions</w:t>
        </w:r>
        <w:r w:rsidR="00A65861">
          <w:rPr>
            <w:noProof/>
            <w:webHidden/>
          </w:rPr>
          <w:tab/>
        </w:r>
        <w:r w:rsidR="00A65861">
          <w:rPr>
            <w:noProof/>
            <w:webHidden/>
          </w:rPr>
          <w:fldChar w:fldCharType="begin"/>
        </w:r>
        <w:r w:rsidR="00A65861">
          <w:rPr>
            <w:noProof/>
            <w:webHidden/>
          </w:rPr>
          <w:instrText xml:space="preserve"> PAGEREF _Toc100231220 \h </w:instrText>
        </w:r>
        <w:r w:rsidR="00A65861">
          <w:rPr>
            <w:noProof/>
            <w:webHidden/>
          </w:rPr>
        </w:r>
        <w:r w:rsidR="00A65861">
          <w:rPr>
            <w:noProof/>
            <w:webHidden/>
          </w:rPr>
          <w:fldChar w:fldCharType="separate"/>
        </w:r>
        <w:r w:rsidR="00A25EA8">
          <w:rPr>
            <w:noProof/>
            <w:webHidden/>
          </w:rPr>
          <w:t>32</w:t>
        </w:r>
        <w:r w:rsidR="00A65861">
          <w:rPr>
            <w:noProof/>
            <w:webHidden/>
          </w:rPr>
          <w:fldChar w:fldCharType="end"/>
        </w:r>
      </w:hyperlink>
    </w:p>
    <w:p w14:paraId="144F4F3A" w14:textId="0CC87B7C"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221" w:history="1">
        <w:r w:rsidR="00A65861" w:rsidRPr="001E1E99">
          <w:rPr>
            <w:rStyle w:val="Hyperlink"/>
            <w:noProof/>
          </w:rPr>
          <w:t>Services and support organisations</w:t>
        </w:r>
        <w:r w:rsidR="00A65861">
          <w:rPr>
            <w:noProof/>
            <w:webHidden/>
          </w:rPr>
          <w:tab/>
        </w:r>
        <w:r w:rsidR="00A65861">
          <w:rPr>
            <w:noProof/>
            <w:webHidden/>
          </w:rPr>
          <w:fldChar w:fldCharType="begin"/>
        </w:r>
        <w:r w:rsidR="00A65861">
          <w:rPr>
            <w:noProof/>
            <w:webHidden/>
          </w:rPr>
          <w:instrText xml:space="preserve"> PAGEREF _Toc100231221 \h </w:instrText>
        </w:r>
        <w:r w:rsidR="00A65861">
          <w:rPr>
            <w:noProof/>
            <w:webHidden/>
          </w:rPr>
        </w:r>
        <w:r w:rsidR="00A65861">
          <w:rPr>
            <w:noProof/>
            <w:webHidden/>
          </w:rPr>
          <w:fldChar w:fldCharType="separate"/>
        </w:r>
        <w:r w:rsidR="00A25EA8">
          <w:rPr>
            <w:noProof/>
            <w:webHidden/>
          </w:rPr>
          <w:t>32</w:t>
        </w:r>
        <w:r w:rsidR="00A65861">
          <w:rPr>
            <w:noProof/>
            <w:webHidden/>
          </w:rPr>
          <w:fldChar w:fldCharType="end"/>
        </w:r>
      </w:hyperlink>
    </w:p>
    <w:p w14:paraId="419F2D5A" w14:textId="6EAFDB75"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2" w:history="1">
        <w:r w:rsidR="00A65861" w:rsidRPr="001E1E99">
          <w:rPr>
            <w:rStyle w:val="Hyperlink"/>
            <w:noProof/>
          </w:rPr>
          <w:t>Provision of domestic, sexual and gender based violence services</w:t>
        </w:r>
        <w:r w:rsidR="00A65861">
          <w:rPr>
            <w:noProof/>
            <w:webHidden/>
          </w:rPr>
          <w:tab/>
        </w:r>
        <w:r w:rsidR="00A65861">
          <w:rPr>
            <w:noProof/>
            <w:webHidden/>
          </w:rPr>
          <w:fldChar w:fldCharType="begin"/>
        </w:r>
        <w:r w:rsidR="00A65861">
          <w:rPr>
            <w:noProof/>
            <w:webHidden/>
          </w:rPr>
          <w:instrText xml:space="preserve"> PAGEREF _Toc100231222 \h </w:instrText>
        </w:r>
        <w:r w:rsidR="00A65861">
          <w:rPr>
            <w:noProof/>
            <w:webHidden/>
          </w:rPr>
        </w:r>
        <w:r w:rsidR="00A65861">
          <w:rPr>
            <w:noProof/>
            <w:webHidden/>
          </w:rPr>
          <w:fldChar w:fldCharType="separate"/>
        </w:r>
        <w:r w:rsidR="00A25EA8">
          <w:rPr>
            <w:noProof/>
            <w:webHidden/>
          </w:rPr>
          <w:t>32</w:t>
        </w:r>
        <w:r w:rsidR="00A65861">
          <w:rPr>
            <w:noProof/>
            <w:webHidden/>
          </w:rPr>
          <w:fldChar w:fldCharType="end"/>
        </w:r>
      </w:hyperlink>
    </w:p>
    <w:p w14:paraId="129BA1E7" w14:textId="1C65A3B5"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3" w:history="1">
        <w:r w:rsidR="00A65861" w:rsidRPr="001E1E99">
          <w:rPr>
            <w:rStyle w:val="Hyperlink"/>
            <w:noProof/>
          </w:rPr>
          <w:t>Other relevant NGOs, organisations and charities</w:t>
        </w:r>
        <w:r w:rsidR="00A65861">
          <w:rPr>
            <w:noProof/>
            <w:webHidden/>
          </w:rPr>
          <w:tab/>
        </w:r>
        <w:r w:rsidR="00A65861">
          <w:rPr>
            <w:noProof/>
            <w:webHidden/>
          </w:rPr>
          <w:fldChar w:fldCharType="begin"/>
        </w:r>
        <w:r w:rsidR="00A65861">
          <w:rPr>
            <w:noProof/>
            <w:webHidden/>
          </w:rPr>
          <w:instrText xml:space="preserve"> PAGEREF _Toc100231223 \h </w:instrText>
        </w:r>
        <w:r w:rsidR="00A65861">
          <w:rPr>
            <w:noProof/>
            <w:webHidden/>
          </w:rPr>
        </w:r>
        <w:r w:rsidR="00A65861">
          <w:rPr>
            <w:noProof/>
            <w:webHidden/>
          </w:rPr>
          <w:fldChar w:fldCharType="separate"/>
        </w:r>
        <w:r w:rsidR="00A25EA8">
          <w:rPr>
            <w:noProof/>
            <w:webHidden/>
          </w:rPr>
          <w:t>33</w:t>
        </w:r>
        <w:r w:rsidR="00A65861">
          <w:rPr>
            <w:noProof/>
            <w:webHidden/>
          </w:rPr>
          <w:fldChar w:fldCharType="end"/>
        </w:r>
      </w:hyperlink>
    </w:p>
    <w:p w14:paraId="779EC3FA" w14:textId="57F15DD7"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4" w:history="1">
        <w:r w:rsidR="00A65861" w:rsidRPr="001E1E99">
          <w:rPr>
            <w:rStyle w:val="Hyperlink"/>
            <w:noProof/>
          </w:rPr>
          <w:t>Hotlines and reporting mechanisms</w:t>
        </w:r>
        <w:r w:rsidR="00A65861">
          <w:rPr>
            <w:noProof/>
            <w:webHidden/>
          </w:rPr>
          <w:tab/>
        </w:r>
        <w:r w:rsidR="00A65861">
          <w:rPr>
            <w:noProof/>
            <w:webHidden/>
          </w:rPr>
          <w:fldChar w:fldCharType="begin"/>
        </w:r>
        <w:r w:rsidR="00A65861">
          <w:rPr>
            <w:noProof/>
            <w:webHidden/>
          </w:rPr>
          <w:instrText xml:space="preserve"> PAGEREF _Toc100231224 \h </w:instrText>
        </w:r>
        <w:r w:rsidR="00A65861">
          <w:rPr>
            <w:noProof/>
            <w:webHidden/>
          </w:rPr>
        </w:r>
        <w:r w:rsidR="00A65861">
          <w:rPr>
            <w:noProof/>
            <w:webHidden/>
          </w:rPr>
          <w:fldChar w:fldCharType="separate"/>
        </w:r>
        <w:r w:rsidR="00A25EA8">
          <w:rPr>
            <w:noProof/>
            <w:webHidden/>
          </w:rPr>
          <w:t>34</w:t>
        </w:r>
        <w:r w:rsidR="00A65861">
          <w:rPr>
            <w:noProof/>
            <w:webHidden/>
          </w:rPr>
          <w:fldChar w:fldCharType="end"/>
        </w:r>
      </w:hyperlink>
    </w:p>
    <w:p w14:paraId="20D13C57" w14:textId="4E8044B9"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5" w:history="1">
        <w:r w:rsidR="00A65861" w:rsidRPr="001E1E99">
          <w:rPr>
            <w:rStyle w:val="Hyperlink"/>
            <w:noProof/>
          </w:rPr>
          <w:t>Social services and supports</w:t>
        </w:r>
        <w:r w:rsidR="00A65861">
          <w:rPr>
            <w:noProof/>
            <w:webHidden/>
          </w:rPr>
          <w:tab/>
        </w:r>
        <w:r w:rsidR="00A65861">
          <w:rPr>
            <w:noProof/>
            <w:webHidden/>
          </w:rPr>
          <w:fldChar w:fldCharType="begin"/>
        </w:r>
        <w:r w:rsidR="00A65861">
          <w:rPr>
            <w:noProof/>
            <w:webHidden/>
          </w:rPr>
          <w:instrText xml:space="preserve"> PAGEREF _Toc100231225 \h </w:instrText>
        </w:r>
        <w:r w:rsidR="00A65861">
          <w:rPr>
            <w:noProof/>
            <w:webHidden/>
          </w:rPr>
        </w:r>
        <w:r w:rsidR="00A65861">
          <w:rPr>
            <w:noProof/>
            <w:webHidden/>
          </w:rPr>
          <w:fldChar w:fldCharType="separate"/>
        </w:r>
        <w:r w:rsidR="00A25EA8">
          <w:rPr>
            <w:noProof/>
            <w:webHidden/>
          </w:rPr>
          <w:t>34</w:t>
        </w:r>
        <w:r w:rsidR="00A65861">
          <w:rPr>
            <w:noProof/>
            <w:webHidden/>
          </w:rPr>
          <w:fldChar w:fldCharType="end"/>
        </w:r>
      </w:hyperlink>
    </w:p>
    <w:p w14:paraId="1604AC73" w14:textId="11113751"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6" w:history="1">
        <w:r w:rsidR="00A65861" w:rsidRPr="001E1E99">
          <w:rPr>
            <w:rStyle w:val="Hyperlink"/>
            <w:noProof/>
          </w:rPr>
          <w:t>Shelters, refuges and other accommodation for victims of violence</w:t>
        </w:r>
        <w:r w:rsidR="00A65861">
          <w:rPr>
            <w:noProof/>
            <w:webHidden/>
          </w:rPr>
          <w:tab/>
        </w:r>
        <w:r w:rsidR="00A65861">
          <w:rPr>
            <w:noProof/>
            <w:webHidden/>
          </w:rPr>
          <w:fldChar w:fldCharType="begin"/>
        </w:r>
        <w:r w:rsidR="00A65861">
          <w:rPr>
            <w:noProof/>
            <w:webHidden/>
          </w:rPr>
          <w:instrText xml:space="preserve"> PAGEREF _Toc100231226 \h </w:instrText>
        </w:r>
        <w:r w:rsidR="00A65861">
          <w:rPr>
            <w:noProof/>
            <w:webHidden/>
          </w:rPr>
        </w:r>
        <w:r w:rsidR="00A65861">
          <w:rPr>
            <w:noProof/>
            <w:webHidden/>
          </w:rPr>
          <w:fldChar w:fldCharType="separate"/>
        </w:r>
        <w:r w:rsidR="00A25EA8">
          <w:rPr>
            <w:noProof/>
            <w:webHidden/>
          </w:rPr>
          <w:t>34</w:t>
        </w:r>
        <w:r w:rsidR="00A65861">
          <w:rPr>
            <w:noProof/>
            <w:webHidden/>
          </w:rPr>
          <w:fldChar w:fldCharType="end"/>
        </w:r>
      </w:hyperlink>
    </w:p>
    <w:p w14:paraId="4C587F42" w14:textId="49A7EA9D"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7" w:history="1">
        <w:r w:rsidR="00A65861" w:rsidRPr="001E1E99">
          <w:rPr>
            <w:rStyle w:val="Hyperlink"/>
            <w:noProof/>
          </w:rPr>
          <w:t>Awareness raising and activities to eradicate violence, abuse, exploitation and harmful practices</w:t>
        </w:r>
        <w:r w:rsidR="00A65861">
          <w:rPr>
            <w:noProof/>
            <w:webHidden/>
          </w:rPr>
          <w:tab/>
        </w:r>
        <w:r w:rsidR="00A65861">
          <w:rPr>
            <w:noProof/>
            <w:webHidden/>
          </w:rPr>
          <w:fldChar w:fldCharType="begin"/>
        </w:r>
        <w:r w:rsidR="00A65861">
          <w:rPr>
            <w:noProof/>
            <w:webHidden/>
          </w:rPr>
          <w:instrText xml:space="preserve"> PAGEREF _Toc100231227 \h </w:instrText>
        </w:r>
        <w:r w:rsidR="00A65861">
          <w:rPr>
            <w:noProof/>
            <w:webHidden/>
          </w:rPr>
        </w:r>
        <w:r w:rsidR="00A65861">
          <w:rPr>
            <w:noProof/>
            <w:webHidden/>
          </w:rPr>
          <w:fldChar w:fldCharType="separate"/>
        </w:r>
        <w:r w:rsidR="00A25EA8">
          <w:rPr>
            <w:noProof/>
            <w:webHidden/>
          </w:rPr>
          <w:t>35</w:t>
        </w:r>
        <w:r w:rsidR="00A65861">
          <w:rPr>
            <w:noProof/>
            <w:webHidden/>
          </w:rPr>
          <w:fldChar w:fldCharType="end"/>
        </w:r>
      </w:hyperlink>
    </w:p>
    <w:p w14:paraId="7A16EBC0" w14:textId="4091594C"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228" w:history="1">
        <w:r w:rsidR="00A65861" w:rsidRPr="001E1E99">
          <w:rPr>
            <w:rStyle w:val="Hyperlink"/>
            <w:noProof/>
          </w:rPr>
          <w:t>National data on exploitation, violence and abuse of people with disabilities</w:t>
        </w:r>
        <w:r w:rsidR="00A65861">
          <w:rPr>
            <w:noProof/>
            <w:webHidden/>
          </w:rPr>
          <w:tab/>
        </w:r>
        <w:r w:rsidR="00A65861">
          <w:rPr>
            <w:noProof/>
            <w:webHidden/>
          </w:rPr>
          <w:fldChar w:fldCharType="begin"/>
        </w:r>
        <w:r w:rsidR="00A65861">
          <w:rPr>
            <w:noProof/>
            <w:webHidden/>
          </w:rPr>
          <w:instrText xml:space="preserve"> PAGEREF _Toc100231228 \h </w:instrText>
        </w:r>
        <w:r w:rsidR="00A65861">
          <w:rPr>
            <w:noProof/>
            <w:webHidden/>
          </w:rPr>
        </w:r>
        <w:r w:rsidR="00A65861">
          <w:rPr>
            <w:noProof/>
            <w:webHidden/>
          </w:rPr>
          <w:fldChar w:fldCharType="separate"/>
        </w:r>
        <w:r w:rsidR="00A25EA8">
          <w:rPr>
            <w:noProof/>
            <w:webHidden/>
          </w:rPr>
          <w:t>36</w:t>
        </w:r>
        <w:r w:rsidR="00A65861">
          <w:rPr>
            <w:noProof/>
            <w:webHidden/>
          </w:rPr>
          <w:fldChar w:fldCharType="end"/>
        </w:r>
      </w:hyperlink>
    </w:p>
    <w:p w14:paraId="5C5F30B7" w14:textId="73133FDA"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29" w:history="1">
        <w:r w:rsidR="00A65861" w:rsidRPr="001E1E99">
          <w:rPr>
            <w:rStyle w:val="Hyperlink"/>
            <w:noProof/>
          </w:rPr>
          <w:t>Historical abuse in Ireland</w:t>
        </w:r>
        <w:r w:rsidR="00A65861">
          <w:rPr>
            <w:noProof/>
            <w:webHidden/>
          </w:rPr>
          <w:tab/>
        </w:r>
        <w:r w:rsidR="00A65861">
          <w:rPr>
            <w:noProof/>
            <w:webHidden/>
          </w:rPr>
          <w:fldChar w:fldCharType="begin"/>
        </w:r>
        <w:r w:rsidR="00A65861">
          <w:rPr>
            <w:noProof/>
            <w:webHidden/>
          </w:rPr>
          <w:instrText xml:space="preserve"> PAGEREF _Toc100231229 \h </w:instrText>
        </w:r>
        <w:r w:rsidR="00A65861">
          <w:rPr>
            <w:noProof/>
            <w:webHidden/>
          </w:rPr>
        </w:r>
        <w:r w:rsidR="00A65861">
          <w:rPr>
            <w:noProof/>
            <w:webHidden/>
          </w:rPr>
          <w:fldChar w:fldCharType="separate"/>
        </w:r>
        <w:r w:rsidR="00A25EA8">
          <w:rPr>
            <w:noProof/>
            <w:webHidden/>
          </w:rPr>
          <w:t>36</w:t>
        </w:r>
        <w:r w:rsidR="00A65861">
          <w:rPr>
            <w:noProof/>
            <w:webHidden/>
          </w:rPr>
          <w:fldChar w:fldCharType="end"/>
        </w:r>
      </w:hyperlink>
    </w:p>
    <w:p w14:paraId="4ADCC202" w14:textId="528992AA"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0" w:history="1">
        <w:r w:rsidR="00A65861" w:rsidRPr="001E1E99">
          <w:rPr>
            <w:rStyle w:val="Hyperlink"/>
            <w:noProof/>
          </w:rPr>
          <w:t>Crime and victimisation data</w:t>
        </w:r>
        <w:r w:rsidR="00A65861">
          <w:rPr>
            <w:noProof/>
            <w:webHidden/>
          </w:rPr>
          <w:tab/>
        </w:r>
        <w:r w:rsidR="00A65861">
          <w:rPr>
            <w:noProof/>
            <w:webHidden/>
          </w:rPr>
          <w:fldChar w:fldCharType="begin"/>
        </w:r>
        <w:r w:rsidR="00A65861">
          <w:rPr>
            <w:noProof/>
            <w:webHidden/>
          </w:rPr>
          <w:instrText xml:space="preserve"> PAGEREF _Toc100231230 \h </w:instrText>
        </w:r>
        <w:r w:rsidR="00A65861">
          <w:rPr>
            <w:noProof/>
            <w:webHidden/>
          </w:rPr>
        </w:r>
        <w:r w:rsidR="00A65861">
          <w:rPr>
            <w:noProof/>
            <w:webHidden/>
          </w:rPr>
          <w:fldChar w:fldCharType="separate"/>
        </w:r>
        <w:r w:rsidR="00A25EA8">
          <w:rPr>
            <w:noProof/>
            <w:webHidden/>
          </w:rPr>
          <w:t>40</w:t>
        </w:r>
        <w:r w:rsidR="00A65861">
          <w:rPr>
            <w:noProof/>
            <w:webHidden/>
          </w:rPr>
          <w:fldChar w:fldCharType="end"/>
        </w:r>
      </w:hyperlink>
    </w:p>
    <w:p w14:paraId="120BA54A" w14:textId="78A2008C"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1" w:history="1">
        <w:r w:rsidR="00A65861" w:rsidRPr="001E1E99">
          <w:rPr>
            <w:rStyle w:val="Hyperlink"/>
            <w:noProof/>
          </w:rPr>
          <w:t>Sexual violence data</w:t>
        </w:r>
        <w:r w:rsidR="00A65861">
          <w:rPr>
            <w:noProof/>
            <w:webHidden/>
          </w:rPr>
          <w:tab/>
        </w:r>
        <w:r w:rsidR="00A65861">
          <w:rPr>
            <w:noProof/>
            <w:webHidden/>
          </w:rPr>
          <w:fldChar w:fldCharType="begin"/>
        </w:r>
        <w:r w:rsidR="00A65861">
          <w:rPr>
            <w:noProof/>
            <w:webHidden/>
          </w:rPr>
          <w:instrText xml:space="preserve"> PAGEREF _Toc100231231 \h </w:instrText>
        </w:r>
        <w:r w:rsidR="00A65861">
          <w:rPr>
            <w:noProof/>
            <w:webHidden/>
          </w:rPr>
        </w:r>
        <w:r w:rsidR="00A65861">
          <w:rPr>
            <w:noProof/>
            <w:webHidden/>
          </w:rPr>
          <w:fldChar w:fldCharType="separate"/>
        </w:r>
        <w:r w:rsidR="00A25EA8">
          <w:rPr>
            <w:noProof/>
            <w:webHidden/>
          </w:rPr>
          <w:t>41</w:t>
        </w:r>
        <w:r w:rsidR="00A65861">
          <w:rPr>
            <w:noProof/>
            <w:webHidden/>
          </w:rPr>
          <w:fldChar w:fldCharType="end"/>
        </w:r>
      </w:hyperlink>
    </w:p>
    <w:p w14:paraId="63D0C433" w14:textId="52E9DCEA"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2" w:history="1">
        <w:r w:rsidR="00A65861" w:rsidRPr="001E1E99">
          <w:rPr>
            <w:rStyle w:val="Hyperlink"/>
            <w:noProof/>
          </w:rPr>
          <w:t>Domestic violence data</w:t>
        </w:r>
        <w:r w:rsidR="00A65861">
          <w:rPr>
            <w:noProof/>
            <w:webHidden/>
          </w:rPr>
          <w:tab/>
        </w:r>
        <w:r w:rsidR="00A65861">
          <w:rPr>
            <w:noProof/>
            <w:webHidden/>
          </w:rPr>
          <w:fldChar w:fldCharType="begin"/>
        </w:r>
        <w:r w:rsidR="00A65861">
          <w:rPr>
            <w:noProof/>
            <w:webHidden/>
          </w:rPr>
          <w:instrText xml:space="preserve"> PAGEREF _Toc100231232 \h </w:instrText>
        </w:r>
        <w:r w:rsidR="00A65861">
          <w:rPr>
            <w:noProof/>
            <w:webHidden/>
          </w:rPr>
        </w:r>
        <w:r w:rsidR="00A65861">
          <w:rPr>
            <w:noProof/>
            <w:webHidden/>
          </w:rPr>
          <w:fldChar w:fldCharType="separate"/>
        </w:r>
        <w:r w:rsidR="00A25EA8">
          <w:rPr>
            <w:noProof/>
            <w:webHidden/>
          </w:rPr>
          <w:t>47</w:t>
        </w:r>
        <w:r w:rsidR="00A65861">
          <w:rPr>
            <w:noProof/>
            <w:webHidden/>
          </w:rPr>
          <w:fldChar w:fldCharType="end"/>
        </w:r>
      </w:hyperlink>
    </w:p>
    <w:p w14:paraId="5B03BAD5" w14:textId="7FA57A1E"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3" w:history="1">
        <w:r w:rsidR="00A65861" w:rsidRPr="001E1E99">
          <w:rPr>
            <w:rStyle w:val="Hyperlink"/>
            <w:noProof/>
          </w:rPr>
          <w:t>Forced contraception data</w:t>
        </w:r>
        <w:r w:rsidR="00A65861">
          <w:rPr>
            <w:noProof/>
            <w:webHidden/>
          </w:rPr>
          <w:tab/>
        </w:r>
        <w:r w:rsidR="00A65861">
          <w:rPr>
            <w:noProof/>
            <w:webHidden/>
          </w:rPr>
          <w:fldChar w:fldCharType="begin"/>
        </w:r>
        <w:r w:rsidR="00A65861">
          <w:rPr>
            <w:noProof/>
            <w:webHidden/>
          </w:rPr>
          <w:instrText xml:space="preserve"> PAGEREF _Toc100231233 \h </w:instrText>
        </w:r>
        <w:r w:rsidR="00A65861">
          <w:rPr>
            <w:noProof/>
            <w:webHidden/>
          </w:rPr>
        </w:r>
        <w:r w:rsidR="00A65861">
          <w:rPr>
            <w:noProof/>
            <w:webHidden/>
          </w:rPr>
          <w:fldChar w:fldCharType="separate"/>
        </w:r>
        <w:r w:rsidR="00A25EA8">
          <w:rPr>
            <w:noProof/>
            <w:webHidden/>
          </w:rPr>
          <w:t>48</w:t>
        </w:r>
        <w:r w:rsidR="00A65861">
          <w:rPr>
            <w:noProof/>
            <w:webHidden/>
          </w:rPr>
          <w:fldChar w:fldCharType="end"/>
        </w:r>
      </w:hyperlink>
    </w:p>
    <w:p w14:paraId="39236335" w14:textId="73B79F04"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4" w:history="1">
        <w:r w:rsidR="00A65861" w:rsidRPr="001E1E99">
          <w:rPr>
            <w:rStyle w:val="Hyperlink"/>
            <w:noProof/>
          </w:rPr>
          <w:t>Female genital mutilation data</w:t>
        </w:r>
        <w:r w:rsidR="00A65861">
          <w:rPr>
            <w:noProof/>
            <w:webHidden/>
          </w:rPr>
          <w:tab/>
        </w:r>
        <w:r w:rsidR="00A65861">
          <w:rPr>
            <w:noProof/>
            <w:webHidden/>
          </w:rPr>
          <w:fldChar w:fldCharType="begin"/>
        </w:r>
        <w:r w:rsidR="00A65861">
          <w:rPr>
            <w:noProof/>
            <w:webHidden/>
          </w:rPr>
          <w:instrText xml:space="preserve"> PAGEREF _Toc100231234 \h </w:instrText>
        </w:r>
        <w:r w:rsidR="00A65861">
          <w:rPr>
            <w:noProof/>
            <w:webHidden/>
          </w:rPr>
        </w:r>
        <w:r w:rsidR="00A65861">
          <w:rPr>
            <w:noProof/>
            <w:webHidden/>
          </w:rPr>
          <w:fldChar w:fldCharType="separate"/>
        </w:r>
        <w:r w:rsidR="00A25EA8">
          <w:rPr>
            <w:noProof/>
            <w:webHidden/>
          </w:rPr>
          <w:t>49</w:t>
        </w:r>
        <w:r w:rsidR="00A65861">
          <w:rPr>
            <w:noProof/>
            <w:webHidden/>
          </w:rPr>
          <w:fldChar w:fldCharType="end"/>
        </w:r>
      </w:hyperlink>
    </w:p>
    <w:p w14:paraId="1DA1BC53" w14:textId="7FA09341"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5" w:history="1">
        <w:r w:rsidR="00A65861" w:rsidRPr="001E1E99">
          <w:rPr>
            <w:rStyle w:val="Hyperlink"/>
            <w:noProof/>
          </w:rPr>
          <w:t>Human trafficking data</w:t>
        </w:r>
        <w:r w:rsidR="00A65861">
          <w:rPr>
            <w:noProof/>
            <w:webHidden/>
          </w:rPr>
          <w:tab/>
        </w:r>
        <w:r w:rsidR="00A65861">
          <w:rPr>
            <w:noProof/>
            <w:webHidden/>
          </w:rPr>
          <w:fldChar w:fldCharType="begin"/>
        </w:r>
        <w:r w:rsidR="00A65861">
          <w:rPr>
            <w:noProof/>
            <w:webHidden/>
          </w:rPr>
          <w:instrText xml:space="preserve"> PAGEREF _Toc100231235 \h </w:instrText>
        </w:r>
        <w:r w:rsidR="00A65861">
          <w:rPr>
            <w:noProof/>
            <w:webHidden/>
          </w:rPr>
        </w:r>
        <w:r w:rsidR="00A65861">
          <w:rPr>
            <w:noProof/>
            <w:webHidden/>
          </w:rPr>
          <w:fldChar w:fldCharType="separate"/>
        </w:r>
        <w:r w:rsidR="00A25EA8">
          <w:rPr>
            <w:noProof/>
            <w:webHidden/>
          </w:rPr>
          <w:t>49</w:t>
        </w:r>
        <w:r w:rsidR="00A65861">
          <w:rPr>
            <w:noProof/>
            <w:webHidden/>
          </w:rPr>
          <w:fldChar w:fldCharType="end"/>
        </w:r>
      </w:hyperlink>
    </w:p>
    <w:p w14:paraId="60C28E59" w14:textId="4302C1A2"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6" w:history="1">
        <w:r w:rsidR="00A65861" w:rsidRPr="001E1E99">
          <w:rPr>
            <w:rStyle w:val="Hyperlink"/>
            <w:noProof/>
          </w:rPr>
          <w:t>Exploitative sham marriages data</w:t>
        </w:r>
        <w:r w:rsidR="00A65861">
          <w:rPr>
            <w:noProof/>
            <w:webHidden/>
          </w:rPr>
          <w:tab/>
        </w:r>
        <w:r w:rsidR="00A65861">
          <w:rPr>
            <w:noProof/>
            <w:webHidden/>
          </w:rPr>
          <w:fldChar w:fldCharType="begin"/>
        </w:r>
        <w:r w:rsidR="00A65861">
          <w:rPr>
            <w:noProof/>
            <w:webHidden/>
          </w:rPr>
          <w:instrText xml:space="preserve"> PAGEREF _Toc100231236 \h </w:instrText>
        </w:r>
        <w:r w:rsidR="00A65861">
          <w:rPr>
            <w:noProof/>
            <w:webHidden/>
          </w:rPr>
        </w:r>
        <w:r w:rsidR="00A65861">
          <w:rPr>
            <w:noProof/>
            <w:webHidden/>
          </w:rPr>
          <w:fldChar w:fldCharType="separate"/>
        </w:r>
        <w:r w:rsidR="00A25EA8">
          <w:rPr>
            <w:noProof/>
            <w:webHidden/>
          </w:rPr>
          <w:t>50</w:t>
        </w:r>
        <w:r w:rsidR="00A65861">
          <w:rPr>
            <w:noProof/>
            <w:webHidden/>
          </w:rPr>
          <w:fldChar w:fldCharType="end"/>
        </w:r>
      </w:hyperlink>
    </w:p>
    <w:p w14:paraId="22DBD023" w14:textId="1EF0A224"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7" w:history="1">
        <w:r w:rsidR="00A65861" w:rsidRPr="001E1E99">
          <w:rPr>
            <w:rStyle w:val="Hyperlink"/>
            <w:noProof/>
          </w:rPr>
          <w:t>Reports of abuse and safeguarding concerns in health and social care settings</w:t>
        </w:r>
        <w:r w:rsidR="00A65861">
          <w:rPr>
            <w:noProof/>
            <w:webHidden/>
          </w:rPr>
          <w:tab/>
        </w:r>
        <w:r w:rsidR="00A65861">
          <w:rPr>
            <w:noProof/>
            <w:webHidden/>
          </w:rPr>
          <w:fldChar w:fldCharType="begin"/>
        </w:r>
        <w:r w:rsidR="00A65861">
          <w:rPr>
            <w:noProof/>
            <w:webHidden/>
          </w:rPr>
          <w:instrText xml:space="preserve"> PAGEREF _Toc100231237 \h </w:instrText>
        </w:r>
        <w:r w:rsidR="00A65861">
          <w:rPr>
            <w:noProof/>
            <w:webHidden/>
          </w:rPr>
        </w:r>
        <w:r w:rsidR="00A65861">
          <w:rPr>
            <w:noProof/>
            <w:webHidden/>
          </w:rPr>
          <w:fldChar w:fldCharType="separate"/>
        </w:r>
        <w:r w:rsidR="00A25EA8">
          <w:rPr>
            <w:noProof/>
            <w:webHidden/>
          </w:rPr>
          <w:t>51</w:t>
        </w:r>
        <w:r w:rsidR="00A65861">
          <w:rPr>
            <w:noProof/>
            <w:webHidden/>
          </w:rPr>
          <w:fldChar w:fldCharType="end"/>
        </w:r>
      </w:hyperlink>
    </w:p>
    <w:p w14:paraId="65CCA674" w14:textId="708BE63B"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8" w:history="1">
        <w:r w:rsidR="00A65861" w:rsidRPr="001E1E99">
          <w:rPr>
            <w:rStyle w:val="Hyperlink"/>
            <w:noProof/>
          </w:rPr>
          <w:t>Financial abuse data</w:t>
        </w:r>
        <w:r w:rsidR="00A65861">
          <w:rPr>
            <w:noProof/>
            <w:webHidden/>
          </w:rPr>
          <w:tab/>
        </w:r>
        <w:r w:rsidR="00A65861">
          <w:rPr>
            <w:noProof/>
            <w:webHidden/>
          </w:rPr>
          <w:fldChar w:fldCharType="begin"/>
        </w:r>
        <w:r w:rsidR="00A65861">
          <w:rPr>
            <w:noProof/>
            <w:webHidden/>
          </w:rPr>
          <w:instrText xml:space="preserve"> PAGEREF _Toc100231238 \h </w:instrText>
        </w:r>
        <w:r w:rsidR="00A65861">
          <w:rPr>
            <w:noProof/>
            <w:webHidden/>
          </w:rPr>
        </w:r>
        <w:r w:rsidR="00A65861">
          <w:rPr>
            <w:noProof/>
            <w:webHidden/>
          </w:rPr>
          <w:fldChar w:fldCharType="separate"/>
        </w:r>
        <w:r w:rsidR="00A25EA8">
          <w:rPr>
            <w:noProof/>
            <w:webHidden/>
          </w:rPr>
          <w:t>56</w:t>
        </w:r>
        <w:r w:rsidR="00A65861">
          <w:rPr>
            <w:noProof/>
            <w:webHidden/>
          </w:rPr>
          <w:fldChar w:fldCharType="end"/>
        </w:r>
      </w:hyperlink>
    </w:p>
    <w:p w14:paraId="771AA4E0" w14:textId="6D87B3DB" w:rsidR="00A65861" w:rsidRDefault="00E045B3">
      <w:pPr>
        <w:pStyle w:val="TOC2"/>
        <w:tabs>
          <w:tab w:val="right" w:leader="dot" w:pos="8630"/>
        </w:tabs>
        <w:rPr>
          <w:rFonts w:asciiTheme="minorHAnsi" w:eastAsiaTheme="minorEastAsia" w:hAnsiTheme="minorHAnsi" w:cstheme="minorBidi"/>
          <w:noProof/>
          <w:sz w:val="22"/>
          <w:szCs w:val="22"/>
          <w:lang w:eastAsia="en-IE"/>
        </w:rPr>
      </w:pPr>
      <w:hyperlink w:anchor="_Toc100231239" w:history="1">
        <w:r w:rsidR="00A65861" w:rsidRPr="001E1E99">
          <w:rPr>
            <w:rStyle w:val="Hyperlink"/>
            <w:noProof/>
          </w:rPr>
          <w:t>Bullying of children with disabilities/illnesses</w:t>
        </w:r>
        <w:r w:rsidR="00A65861">
          <w:rPr>
            <w:noProof/>
            <w:webHidden/>
          </w:rPr>
          <w:tab/>
        </w:r>
        <w:r w:rsidR="00A65861">
          <w:rPr>
            <w:noProof/>
            <w:webHidden/>
          </w:rPr>
          <w:fldChar w:fldCharType="begin"/>
        </w:r>
        <w:r w:rsidR="00A65861">
          <w:rPr>
            <w:noProof/>
            <w:webHidden/>
          </w:rPr>
          <w:instrText xml:space="preserve"> PAGEREF _Toc100231239 \h </w:instrText>
        </w:r>
        <w:r w:rsidR="00A65861">
          <w:rPr>
            <w:noProof/>
            <w:webHidden/>
          </w:rPr>
        </w:r>
        <w:r w:rsidR="00A65861">
          <w:rPr>
            <w:noProof/>
            <w:webHidden/>
          </w:rPr>
          <w:fldChar w:fldCharType="separate"/>
        </w:r>
        <w:r w:rsidR="00A25EA8">
          <w:rPr>
            <w:noProof/>
            <w:webHidden/>
          </w:rPr>
          <w:t>57</w:t>
        </w:r>
        <w:r w:rsidR="00A65861">
          <w:rPr>
            <w:noProof/>
            <w:webHidden/>
          </w:rPr>
          <w:fldChar w:fldCharType="end"/>
        </w:r>
      </w:hyperlink>
    </w:p>
    <w:p w14:paraId="5434256D" w14:textId="04259B8D" w:rsidR="00A65861" w:rsidRDefault="00E045B3">
      <w:pPr>
        <w:pStyle w:val="TOC1"/>
        <w:tabs>
          <w:tab w:val="right" w:leader="dot" w:pos="8630"/>
        </w:tabs>
        <w:rPr>
          <w:rFonts w:asciiTheme="minorHAnsi" w:eastAsiaTheme="minorEastAsia" w:hAnsiTheme="minorHAnsi" w:cstheme="minorBidi"/>
          <w:b w:val="0"/>
          <w:noProof/>
          <w:sz w:val="22"/>
          <w:szCs w:val="22"/>
          <w:lang w:eastAsia="en-IE"/>
        </w:rPr>
      </w:pPr>
      <w:hyperlink w:anchor="_Toc100231240" w:history="1">
        <w:r w:rsidR="00A65861" w:rsidRPr="001E1E99">
          <w:rPr>
            <w:rStyle w:val="Hyperlink"/>
            <w:noProof/>
          </w:rPr>
          <w:t>Conclusion</w:t>
        </w:r>
        <w:r w:rsidR="00A65861">
          <w:rPr>
            <w:noProof/>
            <w:webHidden/>
          </w:rPr>
          <w:tab/>
        </w:r>
        <w:r w:rsidR="00A65861">
          <w:rPr>
            <w:noProof/>
            <w:webHidden/>
          </w:rPr>
          <w:fldChar w:fldCharType="begin"/>
        </w:r>
        <w:r w:rsidR="00A65861">
          <w:rPr>
            <w:noProof/>
            <w:webHidden/>
          </w:rPr>
          <w:instrText xml:space="preserve"> PAGEREF _Toc100231240 \h </w:instrText>
        </w:r>
        <w:r w:rsidR="00A65861">
          <w:rPr>
            <w:noProof/>
            <w:webHidden/>
          </w:rPr>
        </w:r>
        <w:r w:rsidR="00A65861">
          <w:rPr>
            <w:noProof/>
            <w:webHidden/>
          </w:rPr>
          <w:fldChar w:fldCharType="separate"/>
        </w:r>
        <w:r w:rsidR="00A25EA8">
          <w:rPr>
            <w:noProof/>
            <w:webHidden/>
          </w:rPr>
          <w:t>58</w:t>
        </w:r>
        <w:r w:rsidR="00A65861">
          <w:rPr>
            <w:noProof/>
            <w:webHidden/>
          </w:rPr>
          <w:fldChar w:fldCharType="end"/>
        </w:r>
      </w:hyperlink>
    </w:p>
    <w:p w14:paraId="5044584C" w14:textId="0064188A" w:rsidR="00427A2B" w:rsidRDefault="00EB7170">
      <w:pPr>
        <w:spacing w:after="0"/>
        <w:rPr>
          <w:rFonts w:cs="Arial"/>
          <w:b/>
          <w:bCs/>
          <w:kern w:val="32"/>
          <w:sz w:val="32"/>
          <w:szCs w:val="32"/>
        </w:rPr>
      </w:pPr>
      <w:r>
        <w:fldChar w:fldCharType="end"/>
      </w:r>
      <w:r w:rsidR="00427A2B">
        <w:br w:type="page"/>
      </w:r>
    </w:p>
    <w:p w14:paraId="709B4642" w14:textId="1F39F371" w:rsidR="00D7126E" w:rsidRDefault="00D7126E" w:rsidP="00D7126E">
      <w:pPr>
        <w:pStyle w:val="Heading1"/>
      </w:pPr>
      <w:bookmarkStart w:id="13" w:name="_Toc100231178"/>
      <w:r>
        <w:lastRenderedPageBreak/>
        <w:t>Background to the UNCRPD Article review papers</w:t>
      </w:r>
      <w:bookmarkEnd w:id="13"/>
    </w:p>
    <w:p w14:paraId="25D49B0C" w14:textId="77777777" w:rsidR="00014408" w:rsidRDefault="00014408" w:rsidP="00014408">
      <w:pPr>
        <w:autoSpaceDE w:val="0"/>
        <w:autoSpaceDN w:val="0"/>
        <w:adjustRightInd w:val="0"/>
        <w:spacing w:after="237"/>
        <w:ind w:right="102"/>
        <w:rPr>
          <w:szCs w:val="26"/>
        </w:rPr>
      </w:pPr>
      <w:r>
        <w:rPr>
          <w:szCs w:val="26"/>
        </w:rPr>
        <w:t>The</w:t>
      </w:r>
      <w:r w:rsidRPr="002F33B0">
        <w:rPr>
          <w:szCs w:val="26"/>
        </w:rPr>
        <w:t xml:space="preserve"> </w:t>
      </w:r>
      <w:r>
        <w:rPr>
          <w:szCs w:val="26"/>
        </w:rPr>
        <w:t>National Disability Authority (</w:t>
      </w:r>
      <w:r w:rsidRPr="002F33B0">
        <w:rPr>
          <w:szCs w:val="26"/>
        </w:rPr>
        <w:t>NDA</w:t>
      </w:r>
      <w:r>
        <w:rPr>
          <w:szCs w:val="26"/>
        </w:rPr>
        <w:t>)</w:t>
      </w:r>
      <w:r w:rsidRPr="002F33B0">
        <w:rPr>
          <w:szCs w:val="26"/>
        </w:rPr>
        <w:t xml:space="preserve"> </w:t>
      </w:r>
      <w:r>
        <w:rPr>
          <w:szCs w:val="26"/>
        </w:rPr>
        <w:t>are developing</w:t>
      </w:r>
      <w:r w:rsidRPr="002F33B0">
        <w:rPr>
          <w:szCs w:val="26"/>
        </w:rPr>
        <w:t xml:space="preserve">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684CDC05" w14:textId="02690F99" w:rsidR="00014408" w:rsidRDefault="00014408" w:rsidP="00014408">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w:t>
      </w:r>
      <w:r>
        <w:rPr>
          <w:szCs w:val="26"/>
        </w:rPr>
        <w:t>re direct consultation process</w:t>
      </w:r>
      <w:r w:rsidRPr="00EF5E09">
        <w:rPr>
          <w:szCs w:val="26"/>
        </w:rPr>
        <w:t xml:space="preserve"> with persons with disabilities was not conducted. However, the NDA conduct</w:t>
      </w:r>
      <w:r>
        <w:rPr>
          <w:szCs w:val="26"/>
        </w:rPr>
        <w:t>s</w:t>
      </w:r>
      <w:r w:rsidRPr="00EF5E09">
        <w:rPr>
          <w:szCs w:val="26"/>
        </w:rPr>
        <w:t xml:space="preserve"> periodic consultations </w:t>
      </w:r>
      <w:r>
        <w:rPr>
          <w:szCs w:val="26"/>
        </w:rPr>
        <w:t>on issues related to</w:t>
      </w:r>
      <w:r w:rsidRPr="00EF5E09">
        <w:rPr>
          <w:szCs w:val="26"/>
        </w:rPr>
        <w:t xml:space="preserve"> articles of the UNCRPD </w:t>
      </w:r>
      <w:r>
        <w:rPr>
          <w:szCs w:val="26"/>
        </w:rPr>
        <w:t xml:space="preserve">and </w:t>
      </w:r>
      <w:r w:rsidRPr="00EF5E09">
        <w:rPr>
          <w:szCs w:val="26"/>
        </w:rPr>
        <w:t>seek</w:t>
      </w:r>
      <w:r>
        <w:rPr>
          <w:szCs w:val="26"/>
        </w:rPr>
        <w:t>s to include</w:t>
      </w:r>
      <w:r w:rsidRPr="00EF5E09">
        <w:rPr>
          <w:szCs w:val="26"/>
        </w:rPr>
        <w:t xml:space="preserve"> the lived experience of persons with disabilities individually and through th</w:t>
      </w:r>
      <w:r>
        <w:rPr>
          <w:szCs w:val="26"/>
        </w:rPr>
        <w:t>eir representative bodies in our work.</w:t>
      </w:r>
      <w:r w:rsidR="000D12A0">
        <w:rPr>
          <w:rStyle w:val="FootnoteReference"/>
          <w:szCs w:val="26"/>
        </w:rPr>
        <w:footnoteReference w:id="1"/>
      </w:r>
    </w:p>
    <w:p w14:paraId="67A1A2A7" w14:textId="77777777" w:rsidR="00014408" w:rsidRPr="002F33B0" w:rsidRDefault="00014408" w:rsidP="00014408">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 xml:space="preserve">he development by the Irish Human Rights and Equality Commission (IHREC) of </w:t>
      </w:r>
      <w:r>
        <w:rPr>
          <w:szCs w:val="26"/>
        </w:rPr>
        <w:lastRenderedPageBreak/>
        <w:t>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p>
    <w:p w14:paraId="3EE9BDA8" w14:textId="2A0C769B" w:rsidR="00014408" w:rsidRPr="001E7023" w:rsidRDefault="00014408" w:rsidP="00014408">
      <w:pPr>
        <w:spacing w:after="200"/>
        <w:rPr>
          <w:rFonts w:cstheme="minorBidi"/>
          <w:szCs w:val="26"/>
        </w:rPr>
      </w:pPr>
      <w:r>
        <w:rPr>
          <w:szCs w:val="26"/>
        </w:rPr>
        <w:t>Due to the</w:t>
      </w:r>
      <w:r w:rsidRPr="002F33B0">
        <w:rPr>
          <w:szCs w:val="26"/>
        </w:rPr>
        <w:t xml:space="preserv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these reports will date and we will endeavour to update </w:t>
      </w:r>
      <w:r w:rsidR="009F3EF3">
        <w:rPr>
          <w:szCs w:val="26"/>
        </w:rPr>
        <w:t xml:space="preserve">them </w:t>
      </w:r>
      <w:r w:rsidR="009F3EF3" w:rsidRPr="002F33B0">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281D9978" w14:textId="78DC8EEE" w:rsidR="00014408" w:rsidRDefault="00126E55" w:rsidP="00014408">
      <w:pPr>
        <w:spacing w:after="0"/>
      </w:pPr>
      <w:r>
        <w:rPr>
          <w:szCs w:val="26"/>
        </w:rPr>
        <w:t>Seven Articles have been reviewed to date</w:t>
      </w:r>
      <w:r w:rsidR="00014408">
        <w:rPr>
          <w:szCs w:val="26"/>
        </w:rPr>
        <w:t xml:space="preserve"> and are available at </w:t>
      </w:r>
      <w:hyperlink r:id="rId9" w:history="1">
        <w:r w:rsidR="00014408" w:rsidRPr="00E47E8C">
          <w:rPr>
            <w:rStyle w:val="Hyperlink"/>
          </w:rPr>
          <w:t>https://nda.ie/publications/others/uncrpd/series-of-papers-on-individual-united-nations-convention-on-the-rights-of-persons-with-disabilities-uncrpd-articles.html</w:t>
        </w:r>
      </w:hyperlink>
    </w:p>
    <w:p w14:paraId="1295565B" w14:textId="075F11D7" w:rsidR="00014408" w:rsidRDefault="00014408" w:rsidP="00014408">
      <w:pPr>
        <w:spacing w:after="0"/>
        <w:rPr>
          <w:szCs w:val="26"/>
        </w:rPr>
      </w:pPr>
      <w:r>
        <w:rPr>
          <w:szCs w:val="26"/>
        </w:rPr>
        <w:t xml:space="preserve">These were selected to reflect some of the main topics of concern to the stakeholders noted above and to include some of the cross-cutting issues such as children and women with disabilities. It is intended that the NDA will develop further papers during </w:t>
      </w:r>
      <w:r w:rsidR="005E0C6C">
        <w:rPr>
          <w:szCs w:val="26"/>
        </w:rPr>
        <w:t xml:space="preserve">2022 </w:t>
      </w:r>
      <w:r>
        <w:rPr>
          <w:szCs w:val="26"/>
        </w:rPr>
        <w:t xml:space="preserve">and </w:t>
      </w:r>
      <w:r w:rsidR="005E0C6C">
        <w:rPr>
          <w:szCs w:val="26"/>
        </w:rPr>
        <w:t>2023</w:t>
      </w:r>
      <w:r>
        <w:rPr>
          <w:szCs w:val="26"/>
        </w:rPr>
        <w:t>.</w:t>
      </w:r>
    </w:p>
    <w:p w14:paraId="5E043D73" w14:textId="1853D3D5" w:rsidR="00014408" w:rsidRDefault="00014408" w:rsidP="00014408">
      <w:pPr>
        <w:pStyle w:val="ListBullet"/>
        <w:numPr>
          <w:ilvl w:val="0"/>
          <w:numId w:val="1"/>
        </w:numPr>
      </w:pPr>
      <w:r>
        <w:t>Article 6, Women with disabilities</w:t>
      </w:r>
    </w:p>
    <w:p w14:paraId="061E98A9" w14:textId="4B878826" w:rsidR="00014408" w:rsidRPr="00DA4E6A" w:rsidRDefault="00014408" w:rsidP="00014408">
      <w:pPr>
        <w:pStyle w:val="ListBullet"/>
        <w:numPr>
          <w:ilvl w:val="0"/>
          <w:numId w:val="1"/>
        </w:numPr>
      </w:pPr>
      <w:r>
        <w:t>Article 7, Children with d</w:t>
      </w:r>
      <w:r w:rsidRPr="00DA4E6A">
        <w:t>isabilities</w:t>
      </w:r>
    </w:p>
    <w:p w14:paraId="5ED33654" w14:textId="2D01B85C" w:rsidR="00014408" w:rsidRDefault="00014408" w:rsidP="00014408">
      <w:pPr>
        <w:pStyle w:val="ListBullet"/>
        <w:numPr>
          <w:ilvl w:val="0"/>
          <w:numId w:val="1"/>
        </w:numPr>
      </w:pPr>
      <w:r>
        <w:t>Article 8, Awareness-r</w:t>
      </w:r>
      <w:r w:rsidRPr="00DA4E6A">
        <w:t>aising</w:t>
      </w:r>
    </w:p>
    <w:p w14:paraId="7ACB60CE" w14:textId="779EC94C" w:rsidR="00014408" w:rsidRPr="00DA4E6A" w:rsidRDefault="00014408" w:rsidP="00014408">
      <w:pPr>
        <w:pStyle w:val="ListBullet"/>
        <w:numPr>
          <w:ilvl w:val="0"/>
          <w:numId w:val="1"/>
        </w:numPr>
      </w:pPr>
      <w:r>
        <w:t>Article 25, Health</w:t>
      </w:r>
    </w:p>
    <w:p w14:paraId="67D8116D" w14:textId="77777777" w:rsidR="00014408" w:rsidRPr="00DA4E6A" w:rsidRDefault="00014408" w:rsidP="00014408">
      <w:pPr>
        <w:pStyle w:val="ListBullet"/>
        <w:numPr>
          <w:ilvl w:val="0"/>
          <w:numId w:val="1"/>
        </w:numPr>
      </w:pPr>
      <w:r>
        <w:t xml:space="preserve">Article 26, </w:t>
      </w:r>
      <w:r w:rsidRPr="00DA4E6A">
        <w:t>Work and employment</w:t>
      </w:r>
    </w:p>
    <w:p w14:paraId="6721656D" w14:textId="77777777" w:rsidR="00014408" w:rsidRPr="00DA4E6A" w:rsidRDefault="00014408" w:rsidP="00014408">
      <w:pPr>
        <w:pStyle w:val="ListBullet"/>
        <w:numPr>
          <w:ilvl w:val="0"/>
          <w:numId w:val="1"/>
        </w:numPr>
      </w:pPr>
      <w:r>
        <w:t xml:space="preserve">Article 28, </w:t>
      </w:r>
      <w:r w:rsidRPr="00DA4E6A">
        <w:t>Adequate Standard of Living and Social Protection</w:t>
      </w:r>
    </w:p>
    <w:p w14:paraId="35BA9E72" w14:textId="2F3287F8" w:rsidR="00572F03" w:rsidRPr="00763C45" w:rsidRDefault="00014408" w:rsidP="009201C0">
      <w:pPr>
        <w:pStyle w:val="ListBullet"/>
        <w:numPr>
          <w:ilvl w:val="0"/>
          <w:numId w:val="1"/>
        </w:numPr>
        <w:spacing w:after="0"/>
        <w:rPr>
          <w:rFonts w:cs="Arial"/>
          <w:szCs w:val="26"/>
          <w:lang w:eastAsia="en-IE"/>
        </w:rPr>
      </w:pPr>
      <w:r>
        <w:t xml:space="preserve">Article 31, </w:t>
      </w:r>
      <w:r w:rsidRPr="00DA4E6A">
        <w:t>Statistics and Data Collection</w:t>
      </w:r>
      <w:r w:rsidR="00572F03" w:rsidRPr="00763C45">
        <w:rPr>
          <w:rFonts w:cs="Arial"/>
          <w:szCs w:val="26"/>
          <w:lang w:eastAsia="en-IE"/>
        </w:rPr>
        <w:br w:type="page"/>
      </w:r>
    </w:p>
    <w:p w14:paraId="7B2B1D71" w14:textId="52724338" w:rsidR="00D7126E" w:rsidRPr="00B17EB3" w:rsidRDefault="00572F03" w:rsidP="00D7126E">
      <w:pPr>
        <w:pStyle w:val="Heading1"/>
      </w:pPr>
      <w:bookmarkStart w:id="14" w:name="_Toc52376411"/>
      <w:bookmarkStart w:id="15" w:name="_Toc100231179"/>
      <w:r>
        <w:lastRenderedPageBreak/>
        <w:t>I</w:t>
      </w:r>
      <w:r w:rsidR="00D7126E">
        <w:t>ntroduction</w:t>
      </w:r>
      <w:bookmarkEnd w:id="14"/>
      <w:bookmarkEnd w:id="15"/>
    </w:p>
    <w:p w14:paraId="2BD97773" w14:textId="09ECCFBD" w:rsidR="000B73C3" w:rsidRDefault="00D7126E" w:rsidP="00763C45">
      <w:r w:rsidRPr="00B17EB3">
        <w:t xml:space="preserve">This document describes the current Irish context </w:t>
      </w:r>
      <w:r>
        <w:t>in relation to</w:t>
      </w:r>
      <w:r w:rsidRPr="00B17EB3">
        <w:t xml:space="preserve"> Article </w:t>
      </w:r>
      <w:r>
        <w:t>16</w:t>
      </w:r>
      <w:r w:rsidRPr="00B17EB3">
        <w:t xml:space="preserve"> of the UNCRPD</w:t>
      </w:r>
      <w:r w:rsidR="000A0966">
        <w:t>,</w:t>
      </w:r>
      <w:r w:rsidR="00E37510">
        <w:t xml:space="preserve"> </w:t>
      </w:r>
      <w:r w:rsidR="000A0966">
        <w:t>f</w:t>
      </w:r>
      <w:r w:rsidR="00E37510">
        <w:t>reedom from exploitation, violence and abuse</w:t>
      </w:r>
      <w:r w:rsidRPr="00B17EB3">
        <w:t>.</w:t>
      </w:r>
      <w:r w:rsidR="001D7B5A">
        <w:t xml:space="preserve"> The </w:t>
      </w:r>
      <w:r w:rsidR="00585D77">
        <w:t>Office of the United Nations High Commissioner for Human Rights’ (OHCHR’s) illustrative indicators guided the content</w:t>
      </w:r>
      <w:r w:rsidR="00E43AA5">
        <w:t xml:space="preserve"> for Article 16.</w:t>
      </w:r>
      <w:r w:rsidR="00E43AA5">
        <w:rPr>
          <w:rStyle w:val="FootnoteReference"/>
        </w:rPr>
        <w:footnoteReference w:id="2"/>
      </w:r>
      <w:r w:rsidR="00E43AA5">
        <w:t xml:space="preserve"> </w:t>
      </w:r>
      <w:r w:rsidR="00596DCA">
        <w:t xml:space="preserve">This </w:t>
      </w:r>
      <w:r w:rsidR="000B73C3">
        <w:t xml:space="preserve">document </w:t>
      </w:r>
      <w:r w:rsidR="00596DCA">
        <w:t>highlight</w:t>
      </w:r>
      <w:r w:rsidR="001D7B5A">
        <w:t>s</w:t>
      </w:r>
      <w:r w:rsidR="000B73C3">
        <w:t xml:space="preserve"> that our understanding of the scale of the problem</w:t>
      </w:r>
      <w:r w:rsidR="001D7B5A">
        <w:t xml:space="preserve"> of exploitation, violence and abuse of people with disabilities in Ireland </w:t>
      </w:r>
      <w:r w:rsidR="000B73C3">
        <w:t>is hindered by a lack of national data, or data disaggregated by disability</w:t>
      </w:r>
      <w:r w:rsidR="00E37510">
        <w:t xml:space="preserve"> status</w:t>
      </w:r>
      <w:r w:rsidR="000B73C3">
        <w:t>.</w:t>
      </w:r>
      <w:r w:rsidR="00C42F08">
        <w:t xml:space="preserve"> Due to this lack of data, the quantitative data presented in this report is complemented by qualitative data where it is available.</w:t>
      </w:r>
      <w:r w:rsidR="000B73C3">
        <w:t xml:space="preserve"> </w:t>
      </w:r>
      <w:r w:rsidR="00596DCA">
        <w:t xml:space="preserve">This document </w:t>
      </w:r>
      <w:r w:rsidR="001570B1">
        <w:t>outlines</w:t>
      </w:r>
      <w:r w:rsidR="00596DCA">
        <w:t>:</w:t>
      </w:r>
    </w:p>
    <w:p w14:paraId="5498B939" w14:textId="6F457991" w:rsidR="00596DCA" w:rsidRDefault="00596DCA" w:rsidP="00596DCA">
      <w:pPr>
        <w:pStyle w:val="ListBullet"/>
      </w:pPr>
      <w:r>
        <w:t>Legislation which criminalises, protects against and prevents violence, abuse and exploitation</w:t>
      </w:r>
      <w:r w:rsidR="001570B1">
        <w:t>,</w:t>
      </w:r>
      <w:r>
        <w:t xml:space="preserve"> inclusive of </w:t>
      </w:r>
      <w:r w:rsidR="001570B1">
        <w:t>people</w:t>
      </w:r>
      <w:r>
        <w:t xml:space="preserve"> with disabilities</w:t>
      </w:r>
      <w:r w:rsidR="001570B1">
        <w:t xml:space="preserve"> in Ireland</w:t>
      </w:r>
    </w:p>
    <w:p w14:paraId="002309FD" w14:textId="5755AEFA" w:rsidR="00596DCA" w:rsidRDefault="00596DCA" w:rsidP="00596DCA">
      <w:pPr>
        <w:pStyle w:val="ListBullet"/>
      </w:pPr>
      <w:r>
        <w:t>Legislation which mandates reporting of abuse against children and vulnerable adults</w:t>
      </w:r>
      <w:r w:rsidR="001570B1">
        <w:t xml:space="preserve"> in Ireland</w:t>
      </w:r>
    </w:p>
    <w:p w14:paraId="25BF1053" w14:textId="0D269E0A" w:rsidR="006109CA" w:rsidRDefault="001570B1" w:rsidP="00596DCA">
      <w:pPr>
        <w:pStyle w:val="ListBullet"/>
      </w:pPr>
      <w:r>
        <w:t>Ireland’s i</w:t>
      </w:r>
      <w:r w:rsidR="006109CA">
        <w:t xml:space="preserve">nternational obligations on exploitation, violence and </w:t>
      </w:r>
      <w:r>
        <w:t>abuse</w:t>
      </w:r>
    </w:p>
    <w:p w14:paraId="74F5E214" w14:textId="1D89AAB8" w:rsidR="00596DCA" w:rsidRDefault="00596DCA" w:rsidP="00596DCA">
      <w:pPr>
        <w:pStyle w:val="ListBullet"/>
      </w:pPr>
      <w:r>
        <w:t>National policies to prevent, detect and combat violence, abuse and exploitation and to provide support for victims and survivors</w:t>
      </w:r>
    </w:p>
    <w:p w14:paraId="149688D0" w14:textId="45671A74" w:rsidR="001B0134" w:rsidRDefault="001B0134" w:rsidP="00596DCA">
      <w:pPr>
        <w:pStyle w:val="ListBullet"/>
      </w:pPr>
      <w:r>
        <w:t xml:space="preserve">National procedures on school bullying and </w:t>
      </w:r>
      <w:r w:rsidR="00E417B5">
        <w:t>sex education curricula</w:t>
      </w:r>
    </w:p>
    <w:p w14:paraId="0DA8AD6A" w14:textId="1F6EA42B" w:rsidR="00874956" w:rsidRDefault="00596DCA" w:rsidP="00596DCA">
      <w:pPr>
        <w:pStyle w:val="ListBullet"/>
      </w:pPr>
      <w:r>
        <w:t xml:space="preserve">National standards for the protection and welfare of children and safeguarding of </w:t>
      </w:r>
      <w:r w:rsidR="00874956">
        <w:t>vulnerable adults</w:t>
      </w:r>
    </w:p>
    <w:p w14:paraId="0D8F2564" w14:textId="729CB8CB" w:rsidR="00596DCA" w:rsidRDefault="00874956" w:rsidP="00596DCA">
      <w:pPr>
        <w:pStyle w:val="ListBullet"/>
      </w:pPr>
      <w:r>
        <w:t>National reporting mech</w:t>
      </w:r>
      <w:r w:rsidR="00B370CA">
        <w:t>anisms for concerns about abuse</w:t>
      </w:r>
    </w:p>
    <w:p w14:paraId="0CE53E33" w14:textId="016A4646" w:rsidR="00B370CA" w:rsidRDefault="00B370CA" w:rsidP="00596DCA">
      <w:pPr>
        <w:pStyle w:val="ListBullet"/>
      </w:pPr>
      <w:r>
        <w:t>Domestic, sexual and gender-based violence services, supports and reporting in Ireland</w:t>
      </w:r>
    </w:p>
    <w:p w14:paraId="3EE3493D" w14:textId="6516AF17" w:rsidR="00B370CA" w:rsidRDefault="00B370CA" w:rsidP="00596DCA">
      <w:pPr>
        <w:pStyle w:val="ListBullet"/>
      </w:pPr>
      <w:r>
        <w:lastRenderedPageBreak/>
        <w:t>Awareness raising on violence, abuse and exploitation in Ireland</w:t>
      </w:r>
    </w:p>
    <w:p w14:paraId="0F552C36" w14:textId="3247E005" w:rsidR="00B370CA" w:rsidRDefault="00B370CA" w:rsidP="00596DCA">
      <w:pPr>
        <w:pStyle w:val="ListBullet"/>
      </w:pPr>
      <w:r>
        <w:t>Available data on violence, abuse and exploitation in Ireland, including domestic</w:t>
      </w:r>
      <w:r w:rsidR="00FE3B95">
        <w:t xml:space="preserve"> violence</w:t>
      </w:r>
      <w:r>
        <w:t>, sexual</w:t>
      </w:r>
      <w:r w:rsidR="00FE3B95">
        <w:t xml:space="preserve"> violence and abuse</w:t>
      </w:r>
      <w:r>
        <w:t xml:space="preserve">, forced genital mutilation, human trafficking and exploitative sham </w:t>
      </w:r>
      <w:r w:rsidR="00E43AA5">
        <w:t>marriages as well as bullying of children with disabilities/</w:t>
      </w:r>
      <w:r w:rsidR="00FE3B95">
        <w:t xml:space="preserve">chronic </w:t>
      </w:r>
      <w:r w:rsidR="00E43AA5">
        <w:t>illnesses relative to their non-disabled counterparts</w:t>
      </w:r>
    </w:p>
    <w:p w14:paraId="1B2A5DB7" w14:textId="1D1FD722" w:rsidR="00B370CA" w:rsidRDefault="00B370CA" w:rsidP="00596DCA">
      <w:pPr>
        <w:pStyle w:val="ListBullet"/>
      </w:pPr>
      <w:r>
        <w:t xml:space="preserve">Reports of abuse and safeguarding concerns </w:t>
      </w:r>
      <w:r w:rsidR="00E43AA5">
        <w:t>in health and social settings and</w:t>
      </w:r>
      <w:r w:rsidR="006109CA">
        <w:t xml:space="preserve"> child abuse referrals to Tusla</w:t>
      </w:r>
      <w:r w:rsidR="001570B1">
        <w:t>, the Child and Family Agency</w:t>
      </w:r>
    </w:p>
    <w:p w14:paraId="2F99E911" w14:textId="4D31E97B" w:rsidR="00D7126E" w:rsidRPr="00B17EB3" w:rsidRDefault="00E43AA5" w:rsidP="00D7126E">
      <w:pPr>
        <w:pStyle w:val="Heading1"/>
      </w:pPr>
      <w:bookmarkStart w:id="16" w:name="_Toc52376412"/>
      <w:bookmarkStart w:id="17" w:name="_Toc100231180"/>
      <w:r>
        <w:t>C</w:t>
      </w:r>
      <w:r w:rsidR="00D7126E" w:rsidRPr="00B17EB3">
        <w:t>onven</w:t>
      </w:r>
      <w:r w:rsidR="00024A3F">
        <w:t>tion te</w:t>
      </w:r>
      <w:r w:rsidR="00D7126E" w:rsidRPr="00B17EB3">
        <w:t>xt</w:t>
      </w:r>
      <w:bookmarkEnd w:id="16"/>
      <w:bookmarkEnd w:id="17"/>
    </w:p>
    <w:p w14:paraId="05862A86" w14:textId="40A5F0E2" w:rsidR="00A66550" w:rsidRDefault="00A66550" w:rsidP="00373A70">
      <w:r>
        <w:t xml:space="preserve">Article 16 of the UNCRPD states that: </w:t>
      </w:r>
    </w:p>
    <w:p w14:paraId="3E8EF716" w14:textId="0DF4121F" w:rsidR="00D7126E" w:rsidRDefault="00D7126E" w:rsidP="00D7126E">
      <w:pPr>
        <w:pStyle w:val="ListNumber"/>
      </w:pPr>
      <w:r>
        <w:t xml:space="preserve">States Parties shall take all appropriate legislative, administrative, social, educational and other measures </w:t>
      </w:r>
      <w:r w:rsidRPr="00121863">
        <w:t>to protect</w:t>
      </w:r>
      <w:r>
        <w:t xml:space="preserve"> persons with disabilities, both within and outside the home, from all forms of exploitation, violence and abuse, inclu</w:t>
      </w:r>
      <w:r w:rsidR="007F31ED">
        <w:t>ding their gender-based aspects</w:t>
      </w:r>
    </w:p>
    <w:p w14:paraId="0DA9CC87" w14:textId="5BB02BAA" w:rsidR="00D7126E" w:rsidRDefault="00D7126E" w:rsidP="00D7126E">
      <w:pPr>
        <w:pStyle w:val="ListNumber"/>
      </w:pPr>
      <w:r>
        <w:t xml:space="preserve">States Parties shall also take all appropriate </w:t>
      </w:r>
      <w:r w:rsidRPr="00121863">
        <w:t>measures to prevent all forms of exploitation, violence and abuse by ensuring, inter alia, appropriate forms of gender- and age-sensitive assistance and support</w:t>
      </w:r>
      <w:r>
        <w:t xml:space="preserve"> for persons with disabilities and their families and caregivers, including through the provision of information and education on how to avoid, recognize and report instances of exploitation, violence and abuse. States Parties shall ensure that protection services are age-, g</w:t>
      </w:r>
      <w:r w:rsidR="007F31ED">
        <w:t>ender- and disability-sensitive</w:t>
      </w:r>
    </w:p>
    <w:p w14:paraId="46182019" w14:textId="2FAF9D47" w:rsidR="00D7126E" w:rsidRDefault="00D7126E" w:rsidP="00D7126E">
      <w:pPr>
        <w:pStyle w:val="ListNumber"/>
      </w:pPr>
      <w:r>
        <w:t xml:space="preserve">In order to prevent the occurrence of all forms of exploitation, violence and </w:t>
      </w:r>
      <w:r w:rsidRPr="00121863">
        <w:t>abuse, States Parties shall ensure that all facilities and programmes designed to serve persons with disabilities are effectively monit</w:t>
      </w:r>
      <w:r w:rsidR="007F31ED">
        <w:t>ored by independent authorities</w:t>
      </w:r>
    </w:p>
    <w:p w14:paraId="26943CBF" w14:textId="366170A8" w:rsidR="00D7126E" w:rsidRDefault="00D7126E" w:rsidP="00D7126E">
      <w:pPr>
        <w:pStyle w:val="ListNumber"/>
      </w:pPr>
      <w:r>
        <w:t xml:space="preserve">States Parties shall take all appropriate measures </w:t>
      </w:r>
      <w:r w:rsidRPr="00121863">
        <w:t>to promote the physical, cognitive and psychological recovery, rehabilitation and social reintegration of persons with disabilities who become victims of any form of exploitation, violence or abuse, including through the provision of</w:t>
      </w:r>
      <w:r>
        <w:t xml:space="preserve"> protection services. Such recovery and reintegration shall take place in an </w:t>
      </w:r>
      <w:r>
        <w:lastRenderedPageBreak/>
        <w:t>environment that fosters the health, welfare, self-respect, dignity and autonomy of the person and takes into account</w:t>
      </w:r>
      <w:r w:rsidR="00AB23A9">
        <w:t xml:space="preserve"> gender- and age-specific needs</w:t>
      </w:r>
    </w:p>
    <w:p w14:paraId="1FEB20D0" w14:textId="078EB0FE" w:rsidR="00D7126E" w:rsidRPr="00B17EB3" w:rsidRDefault="00D7126E" w:rsidP="00D7126E">
      <w:pPr>
        <w:pStyle w:val="ListNumber"/>
      </w:pPr>
      <w:r>
        <w:t>States Parties shall put in place effective legislation and policies, including women- and child-focused legislation and policies, to ensure that instances of exploitation, violence and abuse against persons with disabilities are identified, investigated and</w:t>
      </w:r>
      <w:r w:rsidR="00A35974">
        <w:t>, where appropriate, prosecuted</w:t>
      </w:r>
    </w:p>
    <w:p w14:paraId="1A569299" w14:textId="08583195" w:rsidR="00D7126E" w:rsidRPr="00B17EB3" w:rsidRDefault="00024A3F" w:rsidP="00D7126E">
      <w:pPr>
        <w:pStyle w:val="Heading1"/>
      </w:pPr>
      <w:bookmarkStart w:id="18" w:name="_Toc52376413"/>
      <w:bookmarkStart w:id="19" w:name="_Toc100231181"/>
      <w:r>
        <w:t>Type of r</w:t>
      </w:r>
      <w:r w:rsidR="00D7126E" w:rsidRPr="00B17EB3">
        <w:t>ight</w:t>
      </w:r>
      <w:bookmarkEnd w:id="18"/>
      <w:bookmarkEnd w:id="19"/>
    </w:p>
    <w:p w14:paraId="1B29558F" w14:textId="7B55CAFD" w:rsidR="001C25DF" w:rsidRDefault="00D7126E" w:rsidP="00602857">
      <w:pPr>
        <w:rPr>
          <w:i/>
          <w:color w:val="000000"/>
          <w:szCs w:val="26"/>
          <w:lang w:eastAsia="en-IE"/>
        </w:rPr>
      </w:pPr>
      <w:r>
        <w:rPr>
          <w:color w:val="000000"/>
          <w:szCs w:val="26"/>
          <w:lang w:eastAsia="en-IE"/>
        </w:rPr>
        <w:t xml:space="preserve">The UNCRPD includes </w:t>
      </w:r>
      <w:r>
        <w:rPr>
          <w:rFonts w:cs="Arial"/>
          <w:szCs w:val="26"/>
          <w:lang w:eastAsia="en-IE"/>
        </w:rPr>
        <w:t xml:space="preserve">economic, social, </w:t>
      </w:r>
      <w:r w:rsidR="00A66550">
        <w:rPr>
          <w:rFonts w:cs="Arial"/>
          <w:szCs w:val="26"/>
          <w:lang w:eastAsia="en-IE"/>
        </w:rPr>
        <w:t xml:space="preserve">and </w:t>
      </w:r>
      <w:r w:rsidRPr="00A66328">
        <w:rPr>
          <w:rFonts w:cs="Arial"/>
          <w:szCs w:val="26"/>
          <w:lang w:eastAsia="en-IE"/>
        </w:rPr>
        <w:t>cultural</w:t>
      </w:r>
      <w:r>
        <w:rPr>
          <w:rFonts w:cs="Arial"/>
          <w:szCs w:val="26"/>
          <w:lang w:eastAsia="en-IE"/>
        </w:rPr>
        <w:t xml:space="preserve"> </w:t>
      </w:r>
      <w:r w:rsidR="00A66550">
        <w:rPr>
          <w:rFonts w:cs="Arial"/>
          <w:szCs w:val="26"/>
          <w:lang w:eastAsia="en-IE"/>
        </w:rPr>
        <w:t xml:space="preserve">rights, </w:t>
      </w:r>
      <w:r>
        <w:rPr>
          <w:rFonts w:cs="Arial"/>
          <w:szCs w:val="26"/>
          <w:lang w:eastAsia="en-IE"/>
        </w:rPr>
        <w:t xml:space="preserve">and civil and political rights. </w:t>
      </w:r>
      <w:r w:rsidR="00585D77" w:rsidRPr="00095F2D">
        <w:rPr>
          <w:rFonts w:cs="Arial"/>
          <w:szCs w:val="26"/>
          <w:lang w:eastAsia="en-IE"/>
        </w:rPr>
        <w:t>States that ratify the Convention</w:t>
      </w:r>
      <w:r w:rsidRPr="00095F2D">
        <w:rPr>
          <w:rFonts w:cs="Arial"/>
          <w:szCs w:val="26"/>
          <w:lang w:eastAsia="en-IE"/>
        </w:rPr>
        <w:t xml:space="preserve">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w:t>
      </w:r>
      <w:r w:rsidRPr="00095F2D">
        <w:rPr>
          <w:rFonts w:cs="Arial"/>
          <w:szCs w:val="26"/>
          <w:lang w:eastAsia="en-IE"/>
        </w:rPr>
        <w:t xml:space="preserve"> civil and political rights to people with disabilities, and to progressive realisation of social and economic rights. </w:t>
      </w:r>
      <w:r w:rsidR="00755614">
        <w:rPr>
          <w:rFonts w:cs="Arial"/>
          <w:szCs w:val="26"/>
          <w:lang w:eastAsia="en-IE"/>
        </w:rPr>
        <w:t>Article 16 is a civil and political right, therefore subject to immediate realisation.</w:t>
      </w:r>
    </w:p>
    <w:p w14:paraId="47C8A330" w14:textId="610B8D40" w:rsidR="00602857" w:rsidRDefault="00E74334" w:rsidP="00C173E1">
      <w:pPr>
        <w:pStyle w:val="Heading1"/>
        <w:rPr>
          <w:color w:val="000000"/>
          <w:szCs w:val="26"/>
          <w:lang w:eastAsia="en-IE"/>
        </w:rPr>
      </w:pPr>
      <w:bookmarkStart w:id="20" w:name="_Toc100231182"/>
      <w:r w:rsidRPr="0090631F">
        <w:rPr>
          <w:rFonts w:eastAsia="Gill Sans MT"/>
        </w:rPr>
        <w:t>Committee on the Rights of Persons with Disabilities</w:t>
      </w:r>
      <w:r>
        <w:rPr>
          <w:color w:val="000000"/>
          <w:szCs w:val="26"/>
          <w:lang w:eastAsia="en-IE"/>
        </w:rPr>
        <w:t xml:space="preserve"> </w:t>
      </w:r>
      <w:r w:rsidR="002D7BBD">
        <w:rPr>
          <w:color w:val="000000"/>
          <w:szCs w:val="26"/>
          <w:lang w:eastAsia="en-IE"/>
        </w:rPr>
        <w:t>Concluding Observations</w:t>
      </w:r>
      <w:r w:rsidR="001C25DF">
        <w:rPr>
          <w:color w:val="000000"/>
          <w:szCs w:val="26"/>
          <w:lang w:eastAsia="en-IE"/>
        </w:rPr>
        <w:t xml:space="preserve"> in respect of Art</w:t>
      </w:r>
      <w:r w:rsidR="002D7BBD">
        <w:rPr>
          <w:color w:val="000000"/>
          <w:szCs w:val="26"/>
          <w:lang w:eastAsia="en-IE"/>
        </w:rPr>
        <w:t>icle</w:t>
      </w:r>
      <w:r w:rsidR="001C25DF">
        <w:rPr>
          <w:color w:val="000000"/>
          <w:szCs w:val="26"/>
          <w:lang w:eastAsia="en-IE"/>
        </w:rPr>
        <w:t xml:space="preserve"> 16</w:t>
      </w:r>
      <w:bookmarkEnd w:id="20"/>
    </w:p>
    <w:p w14:paraId="2FC585E5" w14:textId="6EDFC14A" w:rsidR="00E202ED" w:rsidRDefault="00E202ED" w:rsidP="00963225">
      <w:pPr>
        <w:rPr>
          <w:rFonts w:eastAsia="Gill Sans MT"/>
        </w:rPr>
      </w:pPr>
      <w:r>
        <w:rPr>
          <w:rFonts w:eastAsia="Gill Sans MT"/>
        </w:rPr>
        <w:t>In 2021, the NDA reviewed</w:t>
      </w:r>
      <w:r w:rsidR="00651906">
        <w:rPr>
          <w:rFonts w:eastAsia="Gill Sans MT"/>
        </w:rPr>
        <w:t xml:space="preserve"> a selection of</w:t>
      </w:r>
      <w:r>
        <w:rPr>
          <w:rFonts w:eastAsia="Gill Sans MT"/>
        </w:rPr>
        <w:t xml:space="preserve"> </w:t>
      </w:r>
      <w:r w:rsidRPr="00E202ED">
        <w:rPr>
          <w:rFonts w:eastAsia="Gill Sans MT"/>
        </w:rPr>
        <w:t>Concluding Observations</w:t>
      </w:r>
      <w:r w:rsidR="00CA60E8">
        <w:rPr>
          <w:rFonts w:eastAsia="Gill Sans MT"/>
        </w:rPr>
        <w:t xml:space="preserve"> on State reviews</w:t>
      </w:r>
      <w:r w:rsidR="0090631F">
        <w:rPr>
          <w:rFonts w:eastAsia="Gill Sans MT"/>
        </w:rPr>
        <w:t xml:space="preserve"> made by the </w:t>
      </w:r>
      <w:r w:rsidR="0090631F" w:rsidRPr="0090631F">
        <w:rPr>
          <w:rFonts w:eastAsia="Gill Sans MT"/>
        </w:rPr>
        <w:t>Committee on the Rights of Persons with Disabilities</w:t>
      </w:r>
      <w:r w:rsidR="00651906">
        <w:rPr>
          <w:rFonts w:eastAsia="Gill Sans MT"/>
        </w:rPr>
        <w:t>.</w:t>
      </w:r>
      <w:r w:rsidR="00A35974">
        <w:rPr>
          <w:rStyle w:val="FootnoteReference"/>
          <w:rFonts w:eastAsia="Gill Sans MT"/>
        </w:rPr>
        <w:footnoteReference w:id="3"/>
      </w:r>
      <w:r w:rsidR="00651906">
        <w:rPr>
          <w:rFonts w:eastAsia="Gill Sans MT"/>
        </w:rPr>
        <w:t xml:space="preserve"> This selection included</w:t>
      </w:r>
      <w:r w:rsidR="0090631F">
        <w:rPr>
          <w:rFonts w:eastAsia="Gill Sans MT"/>
        </w:rPr>
        <w:t xml:space="preserve"> a</w:t>
      </w:r>
      <w:r w:rsidRPr="00E202ED">
        <w:rPr>
          <w:rFonts w:eastAsia="Gill Sans MT"/>
        </w:rPr>
        <w:t>ll EU Member States, the European Union itself, as a party to the UNCRPD, and Australia, Canada, Norway and the United Kingdom</w:t>
      </w:r>
      <w:r w:rsidR="0090631F">
        <w:rPr>
          <w:rStyle w:val="FootnoteReference"/>
          <w:rFonts w:eastAsia="Gill Sans MT" w:cs="Arial"/>
          <w:szCs w:val="26"/>
        </w:rPr>
        <w:footnoteReference w:id="4"/>
      </w:r>
      <w:r w:rsidRPr="00E202ED">
        <w:rPr>
          <w:rFonts w:eastAsia="Gill Sans MT"/>
        </w:rPr>
        <w:t>.</w:t>
      </w:r>
      <w:r w:rsidR="0090631F">
        <w:rPr>
          <w:rFonts w:eastAsia="Gill Sans MT"/>
        </w:rPr>
        <w:t xml:space="preserve"> </w:t>
      </w:r>
      <w:r w:rsidRPr="00E202ED">
        <w:rPr>
          <w:rFonts w:eastAsia="Gill Sans MT"/>
        </w:rPr>
        <w:t>The latter States were chosen due to the similarities in some areas of disability law and policy with Ireland, and to offer a sample of State Parties outside the EU.</w:t>
      </w:r>
      <w:r w:rsidR="00651906">
        <w:rPr>
          <w:rFonts w:eastAsia="Gill Sans MT"/>
        </w:rPr>
        <w:t xml:space="preserve"> In respect to Article 16 some of the recurring points mentioned by the Committee included:</w:t>
      </w:r>
    </w:p>
    <w:p w14:paraId="5CA17BED" w14:textId="32D9839F" w:rsidR="00A45865" w:rsidRDefault="00651906" w:rsidP="00A45865">
      <w:pPr>
        <w:pStyle w:val="ListBullet"/>
        <w:rPr>
          <w:rFonts w:eastAsia="Gill Sans MT"/>
        </w:rPr>
      </w:pPr>
      <w:r>
        <w:rPr>
          <w:rFonts w:eastAsia="Gill Sans MT"/>
        </w:rPr>
        <w:lastRenderedPageBreak/>
        <w:t>Concern about the</w:t>
      </w:r>
      <w:r w:rsidR="00E202ED" w:rsidRPr="00433E79">
        <w:rPr>
          <w:rFonts w:eastAsia="Gill Sans MT"/>
        </w:rPr>
        <w:t xml:space="preserve"> level of sexual and </w:t>
      </w:r>
      <w:r w:rsidR="00E202ED">
        <w:rPr>
          <w:rFonts w:eastAsia="Gill Sans MT"/>
        </w:rPr>
        <w:t>physical</w:t>
      </w:r>
      <w:r w:rsidR="00E202ED" w:rsidRPr="00433E79">
        <w:rPr>
          <w:rFonts w:eastAsia="Gill Sans MT"/>
        </w:rPr>
        <w:t xml:space="preserve"> violence </w:t>
      </w:r>
      <w:r>
        <w:rPr>
          <w:rFonts w:eastAsia="Gill Sans MT"/>
        </w:rPr>
        <w:t>inflict</w:t>
      </w:r>
      <w:r w:rsidR="009F3EF3">
        <w:rPr>
          <w:rFonts w:eastAsia="Gill Sans MT"/>
        </w:rPr>
        <w:t>ed on persons with disabilities</w:t>
      </w:r>
    </w:p>
    <w:p w14:paraId="7611489A" w14:textId="490526B6" w:rsidR="00D12566" w:rsidRDefault="00D12566" w:rsidP="00A45865">
      <w:pPr>
        <w:pStyle w:val="ListBullet"/>
        <w:rPr>
          <w:rFonts w:eastAsia="Gill Sans MT"/>
        </w:rPr>
      </w:pPr>
      <w:r>
        <w:rPr>
          <w:rFonts w:eastAsia="Gill Sans MT"/>
        </w:rPr>
        <w:t>Insufficient data, disaggregated data or data collection mechanisms to effectively understand the level of violence and ab</w:t>
      </w:r>
      <w:r w:rsidR="009F3EF3">
        <w:rPr>
          <w:rFonts w:eastAsia="Gill Sans MT"/>
        </w:rPr>
        <w:t>use of people with disabilities</w:t>
      </w:r>
    </w:p>
    <w:p w14:paraId="0E8BE77C" w14:textId="7BF4E876" w:rsidR="00A45865" w:rsidRPr="00A45865" w:rsidRDefault="00A45865" w:rsidP="00A45865">
      <w:pPr>
        <w:pStyle w:val="ListBullet"/>
        <w:rPr>
          <w:rFonts w:eastAsia="Gill Sans MT"/>
        </w:rPr>
      </w:pPr>
      <w:r>
        <w:rPr>
          <w:rFonts w:eastAsia="Gill Sans MT"/>
        </w:rPr>
        <w:t>A lack of legislation or national plans aimed at protecting and preventing</w:t>
      </w:r>
      <w:r w:rsidR="00D12566">
        <w:rPr>
          <w:rFonts w:eastAsia="Gill Sans MT"/>
        </w:rPr>
        <w:t xml:space="preserve"> the</w:t>
      </w:r>
      <w:r>
        <w:rPr>
          <w:rFonts w:eastAsia="Gill Sans MT"/>
        </w:rPr>
        <w:t xml:space="preserve"> violence or abuse of people with disabilities</w:t>
      </w:r>
    </w:p>
    <w:p w14:paraId="7F487D8E" w14:textId="5AF6E2AA" w:rsidR="00E202ED" w:rsidRDefault="00A45865" w:rsidP="00651906">
      <w:pPr>
        <w:pStyle w:val="ListBullet"/>
        <w:rPr>
          <w:rFonts w:eastAsia="Gill Sans MT"/>
        </w:rPr>
      </w:pPr>
      <w:r>
        <w:rPr>
          <w:rFonts w:eastAsia="Gill Sans MT"/>
        </w:rPr>
        <w:t>A</w:t>
      </w:r>
      <w:r w:rsidR="00E202ED" w:rsidRPr="00433E79">
        <w:rPr>
          <w:rFonts w:eastAsia="Gill Sans MT"/>
        </w:rPr>
        <w:t xml:space="preserve"> lack of measures to</w:t>
      </w:r>
      <w:r w:rsidR="00651906">
        <w:rPr>
          <w:rFonts w:eastAsia="Gill Sans MT"/>
        </w:rPr>
        <w:t xml:space="preserve"> </w:t>
      </w:r>
      <w:r w:rsidR="00963225">
        <w:rPr>
          <w:rFonts w:eastAsia="Gill Sans MT"/>
        </w:rPr>
        <w:t xml:space="preserve">independently </w:t>
      </w:r>
      <w:r w:rsidR="00651906">
        <w:rPr>
          <w:rFonts w:eastAsia="Gill Sans MT"/>
        </w:rPr>
        <w:t>monitor</w:t>
      </w:r>
      <w:r w:rsidR="00963225">
        <w:rPr>
          <w:rFonts w:eastAsia="Gill Sans MT"/>
        </w:rPr>
        <w:t xml:space="preserve"> or to</w:t>
      </w:r>
      <w:r w:rsidR="00E202ED" w:rsidRPr="00433E79">
        <w:rPr>
          <w:rFonts w:eastAsia="Gill Sans MT"/>
        </w:rPr>
        <w:t xml:space="preserve"> detect the level of violence</w:t>
      </w:r>
      <w:r w:rsidR="00651906">
        <w:rPr>
          <w:rFonts w:eastAsia="Gill Sans MT"/>
        </w:rPr>
        <w:t xml:space="preserve"> and abuse</w:t>
      </w:r>
      <w:r w:rsidR="00E202ED" w:rsidRPr="00433E79">
        <w:rPr>
          <w:rFonts w:eastAsia="Gill Sans MT"/>
        </w:rPr>
        <w:t xml:space="preserve"> </w:t>
      </w:r>
      <w:r w:rsidR="00651906">
        <w:rPr>
          <w:rFonts w:eastAsia="Gill Sans MT"/>
        </w:rPr>
        <w:t>inflicted by persons with disabilities, for e</w:t>
      </w:r>
      <w:r w:rsidR="009F3EF3">
        <w:rPr>
          <w:rFonts w:eastAsia="Gill Sans MT"/>
        </w:rPr>
        <w:t>xample, in residential settings</w:t>
      </w:r>
    </w:p>
    <w:p w14:paraId="32908CDE" w14:textId="65C93A1C" w:rsidR="00651906" w:rsidRDefault="00651906" w:rsidP="00651906">
      <w:pPr>
        <w:pStyle w:val="ListBullet"/>
        <w:rPr>
          <w:rFonts w:eastAsia="Gill Sans MT"/>
        </w:rPr>
      </w:pPr>
      <w:r>
        <w:rPr>
          <w:rFonts w:eastAsia="Gill Sans MT"/>
        </w:rPr>
        <w:t xml:space="preserve">A lack of mechanisms for reporting violence and abuse, </w:t>
      </w:r>
      <w:r w:rsidR="00A45865">
        <w:rPr>
          <w:rFonts w:eastAsia="Gill Sans MT"/>
        </w:rPr>
        <w:t>including accessible reporting mechanisms for those with disabilities</w:t>
      </w:r>
    </w:p>
    <w:p w14:paraId="2766276A" w14:textId="44F99343" w:rsidR="00A45865" w:rsidRPr="00433E79" w:rsidRDefault="00A45865" w:rsidP="00651906">
      <w:pPr>
        <w:pStyle w:val="ListBullet"/>
        <w:rPr>
          <w:rFonts w:eastAsia="Gill Sans MT"/>
        </w:rPr>
      </w:pPr>
      <w:r>
        <w:rPr>
          <w:rFonts w:eastAsia="Gill Sans MT"/>
        </w:rPr>
        <w:t>Inadequate investigation of allegations of violence and abuse ma</w:t>
      </w:r>
      <w:r w:rsidR="009F3EF3">
        <w:rPr>
          <w:rFonts w:eastAsia="Gill Sans MT"/>
        </w:rPr>
        <w:t>de by people with disabilities</w:t>
      </w:r>
    </w:p>
    <w:p w14:paraId="1B05B237" w14:textId="03E46B68" w:rsidR="00E202ED" w:rsidRPr="00433E79" w:rsidRDefault="00E202ED" w:rsidP="00651906">
      <w:pPr>
        <w:pStyle w:val="ListBullet"/>
        <w:rPr>
          <w:rFonts w:eastAsia="Gill Sans MT"/>
        </w:rPr>
      </w:pPr>
      <w:r w:rsidRPr="00433E79">
        <w:rPr>
          <w:rFonts w:eastAsia="Gill Sans MT"/>
        </w:rPr>
        <w:t>The absence of accessible supports for persons with disabilities who are victims of violence and abuse</w:t>
      </w:r>
    </w:p>
    <w:p w14:paraId="5B396362" w14:textId="5DA3EC3D" w:rsidR="005A0407" w:rsidRDefault="005A0407" w:rsidP="00651906">
      <w:pPr>
        <w:pStyle w:val="ListBullet"/>
        <w:rPr>
          <w:rFonts w:eastAsia="Gill Sans MT"/>
        </w:rPr>
      </w:pPr>
      <w:r>
        <w:rPr>
          <w:rFonts w:eastAsia="Gill Sans MT"/>
        </w:rPr>
        <w:t xml:space="preserve">A lack of fully accessible </w:t>
      </w:r>
      <w:r w:rsidR="00E202ED" w:rsidRPr="00433E79">
        <w:rPr>
          <w:rFonts w:eastAsia="Gill Sans MT"/>
        </w:rPr>
        <w:t xml:space="preserve">shelters </w:t>
      </w:r>
      <w:r w:rsidR="00E202ED">
        <w:rPr>
          <w:rFonts w:eastAsia="Gill Sans MT"/>
        </w:rPr>
        <w:t>f</w:t>
      </w:r>
      <w:r w:rsidR="00E202ED" w:rsidRPr="00433E79">
        <w:rPr>
          <w:rFonts w:eastAsia="Gill Sans MT"/>
        </w:rPr>
        <w:t>or victims of abuse</w:t>
      </w:r>
      <w:r w:rsidR="00E202ED">
        <w:rPr>
          <w:rFonts w:eastAsia="Gill Sans MT"/>
        </w:rPr>
        <w:t xml:space="preserve">, </w:t>
      </w:r>
      <w:r>
        <w:rPr>
          <w:rFonts w:eastAsia="Gill Sans MT"/>
        </w:rPr>
        <w:t>in terms of information on the shelt</w:t>
      </w:r>
      <w:r w:rsidR="009F3EF3">
        <w:rPr>
          <w:rFonts w:eastAsia="Gill Sans MT"/>
        </w:rPr>
        <w:t>ers and the physical structures</w:t>
      </w:r>
      <w:r>
        <w:rPr>
          <w:rFonts w:eastAsia="Gill Sans MT"/>
        </w:rPr>
        <w:t xml:space="preserve"> </w:t>
      </w:r>
    </w:p>
    <w:p w14:paraId="29A5BE4E" w14:textId="628BE8C8" w:rsidR="00D12566" w:rsidRDefault="00963225" w:rsidP="005A0407">
      <w:pPr>
        <w:pStyle w:val="ListBullet"/>
        <w:rPr>
          <w:rFonts w:eastAsia="Gill Sans MT"/>
        </w:rPr>
      </w:pPr>
      <w:r>
        <w:rPr>
          <w:rFonts w:eastAsia="Gill Sans MT"/>
        </w:rPr>
        <w:t xml:space="preserve">The need to </w:t>
      </w:r>
      <w:r w:rsidR="00D12566">
        <w:rPr>
          <w:rFonts w:eastAsia="Gill Sans MT"/>
        </w:rPr>
        <w:t>strengthen awareness raising of people with disabilities, law enforcement, and other relevant stakeholders on the risk of violence and a</w:t>
      </w:r>
      <w:r w:rsidR="009F3EF3">
        <w:rPr>
          <w:rFonts w:eastAsia="Gill Sans MT"/>
        </w:rPr>
        <w:t>buse of those with disabilities</w:t>
      </w:r>
    </w:p>
    <w:p w14:paraId="589770EE" w14:textId="5E4D34EE" w:rsidR="005A0407" w:rsidRPr="005A0407" w:rsidRDefault="005A0407" w:rsidP="005A0407">
      <w:pPr>
        <w:pStyle w:val="ListBullet"/>
        <w:numPr>
          <w:ilvl w:val="0"/>
          <w:numId w:val="0"/>
        </w:numPr>
        <w:rPr>
          <w:rFonts w:eastAsia="Gill Sans MT"/>
        </w:rPr>
      </w:pPr>
      <w:r>
        <w:rPr>
          <w:rFonts w:eastAsia="Gill Sans MT"/>
        </w:rPr>
        <w:t>Of note is that comments by the Committee focussed largely on areas of violence and abuse, and less so on the exploitation of people with disabilities.</w:t>
      </w:r>
    </w:p>
    <w:p w14:paraId="38C8D356" w14:textId="46046912" w:rsidR="00494D6A" w:rsidRDefault="00AD23C8" w:rsidP="00533593">
      <w:pPr>
        <w:pStyle w:val="Heading1"/>
      </w:pPr>
      <w:bookmarkStart w:id="21" w:name="_Toc100231183"/>
      <w:r w:rsidRPr="00AD23C8">
        <w:t xml:space="preserve">Perspectives of those with </w:t>
      </w:r>
      <w:r w:rsidR="00024A3F">
        <w:t>di</w:t>
      </w:r>
      <w:r w:rsidRPr="00AD23C8">
        <w:t>sabilities on</w:t>
      </w:r>
      <w:r>
        <w:t xml:space="preserve"> </w:t>
      </w:r>
      <w:r w:rsidR="00024A3F">
        <w:t>exploitation, v</w:t>
      </w:r>
      <w:r>
        <w:t xml:space="preserve">iolence and </w:t>
      </w:r>
      <w:r w:rsidR="00024A3F">
        <w:t>a</w:t>
      </w:r>
      <w:r>
        <w:t>buse</w:t>
      </w:r>
      <w:bookmarkEnd w:id="21"/>
    </w:p>
    <w:p w14:paraId="53FF0007" w14:textId="0C0ECB5F" w:rsidR="00E130DC" w:rsidRPr="00B17EB3" w:rsidRDefault="00E130DC" w:rsidP="00283738">
      <w:r w:rsidRPr="00B17EB3">
        <w:t xml:space="preserve">A number of consultation events </w:t>
      </w:r>
      <w:r w:rsidR="00983ED0">
        <w:t>have been</w:t>
      </w:r>
      <w:r w:rsidR="00983ED0" w:rsidRPr="00B17EB3">
        <w:t xml:space="preserve"> </w:t>
      </w:r>
      <w:r w:rsidRPr="00B17EB3">
        <w:t xml:space="preserve">held by the </w:t>
      </w:r>
      <w:r w:rsidR="002E3187">
        <w:t>NDA</w:t>
      </w:r>
      <w:r w:rsidR="00A35974">
        <w:t>,</w:t>
      </w:r>
      <w:r w:rsidR="00460242">
        <w:t xml:space="preserve"> the Department of Justice and Equality</w:t>
      </w:r>
      <w:r w:rsidR="00983ED0">
        <w:t xml:space="preserve"> and the Department of Children, Equality, Disability, Integration and Youth</w:t>
      </w:r>
      <w:r w:rsidR="002E3187">
        <w:t xml:space="preserve"> </w:t>
      </w:r>
      <w:r w:rsidR="00983ED0">
        <w:t xml:space="preserve">over the </w:t>
      </w:r>
      <w:r w:rsidR="00983ED0">
        <w:lastRenderedPageBreak/>
        <w:t xml:space="preserve">last number of </w:t>
      </w:r>
      <w:r w:rsidR="004E0E39">
        <w:t xml:space="preserve">years </w:t>
      </w:r>
      <w:r w:rsidR="004E0E39" w:rsidRPr="00B17EB3">
        <w:t>to</w:t>
      </w:r>
      <w:r w:rsidRPr="00B17EB3">
        <w:t xml:space="preserve"> discuss the UNCRPD and Ireland’s National Disability Inclusion Strategy 2017-21 with </w:t>
      </w:r>
      <w:r w:rsidR="00983ED0">
        <w:t xml:space="preserve">people with disabilities, Disabled Persons Organisations (DPOs) and other </w:t>
      </w:r>
      <w:r w:rsidRPr="00B17EB3">
        <w:t>representatives of the disability sector</w:t>
      </w:r>
      <w:r w:rsidR="00F55597">
        <w:t>. Issues</w:t>
      </w:r>
      <w:r>
        <w:t xml:space="preserve"> to do with exploitation, violence and abuse were not raised in these consultations, possibly to do with the sensitivity of these subjects.</w:t>
      </w:r>
      <w:r w:rsidRPr="00B17EB3">
        <w:rPr>
          <w:rStyle w:val="FootnoteReference"/>
        </w:rPr>
        <w:footnoteReference w:id="5"/>
      </w:r>
      <w:r w:rsidRPr="00B17EB3">
        <w:rPr>
          <w:vertAlign w:val="superscript"/>
        </w:rPr>
        <w:t>,</w:t>
      </w:r>
      <w:r w:rsidRPr="00B17EB3">
        <w:rPr>
          <w:rStyle w:val="FootnoteReference"/>
        </w:rPr>
        <w:footnoteReference w:id="6"/>
      </w:r>
      <w:r w:rsidRPr="00B17EB3">
        <w:rPr>
          <w:vertAlign w:val="superscript"/>
        </w:rPr>
        <w:t>,</w:t>
      </w:r>
      <w:r w:rsidRPr="00B17EB3">
        <w:rPr>
          <w:rStyle w:val="FootnoteReference"/>
        </w:rPr>
        <w:footnoteReference w:id="7"/>
      </w:r>
      <w:r w:rsidR="00283738">
        <w:rPr>
          <w:vertAlign w:val="superscript"/>
        </w:rPr>
        <w:t xml:space="preserve"> </w:t>
      </w:r>
      <w:r w:rsidR="00F55597">
        <w:t>However, pe</w:t>
      </w:r>
      <w:r w:rsidR="00283738">
        <w:t xml:space="preserve">rspectives from </w:t>
      </w:r>
      <w:r w:rsidR="004F691E">
        <w:t>people</w:t>
      </w:r>
      <w:r w:rsidR="00283738">
        <w:t xml:space="preserve"> with disabilities </w:t>
      </w:r>
      <w:r w:rsidR="00CA60E8">
        <w:t xml:space="preserve">in Ireland </w:t>
      </w:r>
      <w:r w:rsidR="00283738">
        <w:t xml:space="preserve">on </w:t>
      </w:r>
      <w:r w:rsidR="0028456B">
        <w:t xml:space="preserve">some of </w:t>
      </w:r>
      <w:r w:rsidR="00E075CF">
        <w:t>these issues</w:t>
      </w:r>
      <w:r w:rsidR="00283738">
        <w:t xml:space="preserve"> </w:t>
      </w:r>
      <w:r w:rsidR="002E3187">
        <w:t>are</w:t>
      </w:r>
      <w:r w:rsidR="00283738">
        <w:t xml:space="preserve"> available from </w:t>
      </w:r>
      <w:r w:rsidR="0028456B">
        <w:t>a number of</w:t>
      </w:r>
      <w:r w:rsidR="00283738">
        <w:t xml:space="preserve"> sources, and th</w:t>
      </w:r>
      <w:r w:rsidR="00E075CF">
        <w:t xml:space="preserve">ese are referred to in the document where relevant. </w:t>
      </w:r>
    </w:p>
    <w:p w14:paraId="75AB9696" w14:textId="77CA7F4E" w:rsidR="00F37754" w:rsidRDefault="00F37754" w:rsidP="00F37754">
      <w:pPr>
        <w:pStyle w:val="Heading1"/>
      </w:pPr>
      <w:bookmarkStart w:id="22" w:name="_Toc100231184"/>
      <w:r>
        <w:t>Legislation</w:t>
      </w:r>
      <w:r w:rsidR="0071583B">
        <w:t xml:space="preserve"> and i</w:t>
      </w:r>
      <w:r w:rsidR="002F37D3">
        <w:t xml:space="preserve">nternational </w:t>
      </w:r>
      <w:r w:rsidR="0071583B">
        <w:t>o</w:t>
      </w:r>
      <w:r w:rsidR="002F37D3">
        <w:t>bligations</w:t>
      </w:r>
      <w:bookmarkEnd w:id="22"/>
    </w:p>
    <w:p w14:paraId="60228B84" w14:textId="77777777" w:rsidR="000F1F32" w:rsidRDefault="000F1F32" w:rsidP="000F1F32">
      <w:pPr>
        <w:pStyle w:val="Heading2"/>
      </w:pPr>
      <w:bookmarkStart w:id="23" w:name="_Toc100231185"/>
      <w:bookmarkStart w:id="24" w:name="_Toc52376422"/>
      <w:r>
        <w:t>The Equality Acts</w:t>
      </w:r>
      <w:bookmarkEnd w:id="23"/>
      <w:r>
        <w:t xml:space="preserve"> </w:t>
      </w:r>
    </w:p>
    <w:p w14:paraId="284F2FA1" w14:textId="77777777" w:rsidR="000F1F32" w:rsidRPr="00D92339" w:rsidRDefault="000F1F32" w:rsidP="000F1F32">
      <w:r>
        <w:t>The Equality Acts (Equal Status Acts 2000-2018</w:t>
      </w:r>
      <w:r>
        <w:rPr>
          <w:rStyle w:val="FootnoteReference"/>
        </w:rPr>
        <w:footnoteReference w:id="8"/>
      </w:r>
      <w:r>
        <w:t xml:space="preserve"> and t</w:t>
      </w:r>
      <w:r w:rsidRPr="00B17EB3">
        <w:t>he Employment Equality Acts 1998-2015</w:t>
      </w:r>
      <w:r>
        <w:t>)</w:t>
      </w:r>
      <w:r>
        <w:rPr>
          <w:rStyle w:val="FootnoteReference"/>
        </w:rPr>
        <w:footnoteReference w:id="9"/>
      </w:r>
      <w:r>
        <w:t xml:space="preserve"> </w:t>
      </w:r>
      <w:r w:rsidRPr="00B17EB3">
        <w:t xml:space="preserve">prohibit discrimination, harassment and sexual harassment in </w:t>
      </w:r>
      <w:r w:rsidRPr="00D92339">
        <w:t>access to and use of goods and service</w:t>
      </w:r>
      <w:r>
        <w:t xml:space="preserve">s and to employment on </w:t>
      </w:r>
      <w:r w:rsidRPr="00B17EB3">
        <w:t>nine different grounds, including disability</w:t>
      </w:r>
      <w:r>
        <w:t xml:space="preserve">. These </w:t>
      </w:r>
      <w:r>
        <w:lastRenderedPageBreak/>
        <w:t>Acts are currently under review by the</w:t>
      </w:r>
      <w:r w:rsidRPr="00D27F2B">
        <w:t xml:space="preserve"> Minister for Children, Equality, Disability, Integration and Youth</w:t>
      </w:r>
      <w:r>
        <w:t xml:space="preserve"> to examine their functioning and effectiveness.</w:t>
      </w:r>
      <w:r>
        <w:rPr>
          <w:rStyle w:val="FootnoteReference"/>
        </w:rPr>
        <w:footnoteReference w:id="10"/>
      </w:r>
    </w:p>
    <w:p w14:paraId="765E9A66" w14:textId="1352CC3A" w:rsidR="00B768DD" w:rsidRDefault="00B768DD" w:rsidP="00B862EE">
      <w:pPr>
        <w:pStyle w:val="Heading2"/>
      </w:pPr>
      <w:bookmarkStart w:id="25" w:name="_Toc100231186"/>
      <w:bookmarkEnd w:id="24"/>
      <w:r w:rsidRPr="00B768DD">
        <w:t>The Criminal Justice (Victims of Crime) Act 2017</w:t>
      </w:r>
      <w:bookmarkEnd w:id="25"/>
    </w:p>
    <w:p w14:paraId="0DE18E06" w14:textId="5D66C2BA" w:rsidR="006D3048" w:rsidRDefault="00B768DD" w:rsidP="00B768DD">
      <w:r>
        <w:t>The Criminal Justice (Victims of Crime) Act 2017 transpose</w:t>
      </w:r>
      <w:r w:rsidR="006D3048">
        <w:t>d</w:t>
      </w:r>
      <w:r>
        <w:t xml:space="preserve"> the EU</w:t>
      </w:r>
      <w:r w:rsidR="00FE1EA7">
        <w:t xml:space="preserve"> Victims of Crime</w:t>
      </w:r>
      <w:r>
        <w:t xml:space="preserve"> Directive</w:t>
      </w:r>
      <w:r w:rsidR="006D3048">
        <w:t xml:space="preserve"> </w:t>
      </w:r>
      <w:r>
        <w:t>(2012/29/EU)</w:t>
      </w:r>
      <w:r w:rsidR="006D3048">
        <w:t>,</w:t>
      </w:r>
      <w:r>
        <w:t xml:space="preserve"> establishing minimum standards on the rights, support and protection of</w:t>
      </w:r>
      <w:r w:rsidR="006D3048">
        <w:t xml:space="preserve"> </w:t>
      </w:r>
      <w:r>
        <w:t xml:space="preserve">victims of crime in </w:t>
      </w:r>
      <w:r w:rsidR="00FE1EA7">
        <w:t>Irish</w:t>
      </w:r>
      <w:r>
        <w:t xml:space="preserve"> law. </w:t>
      </w:r>
      <w:r w:rsidR="006D3048">
        <w:t>These include the right to be given clear information</w:t>
      </w:r>
      <w:r w:rsidR="00FE1EA7">
        <w:t xml:space="preserve"> in the course of an investigation</w:t>
      </w:r>
      <w:r w:rsidR="006D3048">
        <w:t xml:space="preserve">, and to be given translation and interpretation services where necessary. It also </w:t>
      </w:r>
      <w:r w:rsidR="00EB7266">
        <w:t xml:space="preserve">sets out provisions for an assessment to be made of victims </w:t>
      </w:r>
      <w:r w:rsidR="00FE1EA7" w:rsidRPr="00FE1EA7">
        <w:t xml:space="preserve">by An Garda Síochána or the Ombudsman Commission </w:t>
      </w:r>
      <w:r w:rsidR="00EB7266">
        <w:t xml:space="preserve">to identify if they have protection needs or if special measures are needed to support them through the investigation or criminal proceedings. When carrying out </w:t>
      </w:r>
      <w:r w:rsidR="00FE1EA7">
        <w:t>such an</w:t>
      </w:r>
      <w:r w:rsidR="00EB7266">
        <w:t xml:space="preserve"> assessment, personal characteristics of the victim, including</w:t>
      </w:r>
      <w:r w:rsidR="00FE1EA7">
        <w:t xml:space="preserve"> the</w:t>
      </w:r>
      <w:r w:rsidR="00EB7266">
        <w:t xml:space="preserve"> presence of a disability or communication difficulties, are to be taken into consideration.</w:t>
      </w:r>
    </w:p>
    <w:p w14:paraId="794B5CD8" w14:textId="630FF609" w:rsidR="00B862EE" w:rsidRDefault="00B862EE" w:rsidP="00B862EE">
      <w:pPr>
        <w:pStyle w:val="Heading2"/>
      </w:pPr>
      <w:bookmarkStart w:id="26" w:name="_Toc100231187"/>
      <w:r>
        <w:t>Domestic Violence Act 2018</w:t>
      </w:r>
      <w:bookmarkEnd w:id="26"/>
    </w:p>
    <w:p w14:paraId="416DF365" w14:textId="15EF8544" w:rsidR="00C777BC" w:rsidRDefault="002E3187" w:rsidP="00E95815">
      <w:pPr>
        <w:rPr>
          <w:shd w:val="clear" w:color="auto" w:fill="FFFFFF"/>
        </w:rPr>
      </w:pPr>
      <w:r>
        <w:t xml:space="preserve">The Domestic Violence Act </w:t>
      </w:r>
      <w:r w:rsidR="00C777BC">
        <w:t>2018 was commenced in</w:t>
      </w:r>
      <w:r w:rsidR="00915E18">
        <w:t xml:space="preserve"> Ireland in</w:t>
      </w:r>
      <w:r w:rsidR="00C777BC">
        <w:t xml:space="preserve"> January 2018</w:t>
      </w:r>
      <w:r w:rsidR="003131FE">
        <w:t>. This Act</w:t>
      </w:r>
      <w:r w:rsidR="00E95815" w:rsidRPr="00E95815">
        <w:t xml:space="preserve"> </w:t>
      </w:r>
      <w:r w:rsidR="00E95815">
        <w:t>replace</w:t>
      </w:r>
      <w:r w:rsidR="003131FE">
        <w:t>d</w:t>
      </w:r>
      <w:r w:rsidR="00E95815">
        <w:t xml:space="preserve"> the Domestic Violence Act 1996 and the Domestic Violence</w:t>
      </w:r>
      <w:r w:rsidR="003131FE">
        <w:t xml:space="preserve"> </w:t>
      </w:r>
      <w:r w:rsidR="00E95815">
        <w:t>(Amendment) Act 2002</w:t>
      </w:r>
      <w:r w:rsidR="003131FE">
        <w:t xml:space="preserve"> and</w:t>
      </w:r>
      <w:r w:rsidR="00C777BC">
        <w:t xml:space="preserve"> </w:t>
      </w:r>
      <w:r w:rsidR="003131FE">
        <w:t>consolidated</w:t>
      </w:r>
      <w:r w:rsidR="00987A29">
        <w:t xml:space="preserve"> the</w:t>
      </w:r>
      <w:r w:rsidR="00987A29">
        <w:rPr>
          <w:shd w:val="clear" w:color="auto" w:fill="FFFFFF"/>
        </w:rPr>
        <w:t xml:space="preserve"> law on domestic violence in Ireland. It improves the protections and supports afforded to victims, adds coercive control as an offence, adds forced marriage as an offence, and repeals legislation which allows under 18s i</w:t>
      </w:r>
      <w:r w:rsidR="004501CA">
        <w:rPr>
          <w:shd w:val="clear" w:color="auto" w:fill="FFFFFF"/>
        </w:rPr>
        <w:t>n certain cases to be married.</w:t>
      </w:r>
      <w:r w:rsidR="00E0219E">
        <w:rPr>
          <w:shd w:val="clear" w:color="auto" w:fill="FFFFFF"/>
        </w:rPr>
        <w:t xml:space="preserve"> This Act only specifically refers to a person with a disability in the context of being a dependent of the applicant and/ or the respondent. </w:t>
      </w:r>
      <w:r w:rsidR="004501CA">
        <w:rPr>
          <w:shd w:val="clear" w:color="auto" w:fill="FFFFFF"/>
        </w:rPr>
        <w:t xml:space="preserve">Two facets of </w:t>
      </w:r>
      <w:r w:rsidR="00334A21">
        <w:rPr>
          <w:shd w:val="clear" w:color="auto" w:fill="FFFFFF"/>
        </w:rPr>
        <w:t>the</w:t>
      </w:r>
      <w:r w:rsidR="004501CA">
        <w:rPr>
          <w:shd w:val="clear" w:color="auto" w:fill="FFFFFF"/>
        </w:rPr>
        <w:t xml:space="preserve"> Act may be of </w:t>
      </w:r>
      <w:r w:rsidR="00334A21">
        <w:rPr>
          <w:shd w:val="clear" w:color="auto" w:fill="FFFFFF"/>
        </w:rPr>
        <w:t xml:space="preserve">particular </w:t>
      </w:r>
      <w:r>
        <w:rPr>
          <w:shd w:val="clear" w:color="auto" w:fill="FFFFFF"/>
        </w:rPr>
        <w:t>benefit</w:t>
      </w:r>
      <w:r w:rsidR="004501CA">
        <w:rPr>
          <w:shd w:val="clear" w:color="auto" w:fill="FFFFFF"/>
        </w:rPr>
        <w:t xml:space="preserve"> to some people with disabilities, in that victims may give evidence by video link </w:t>
      </w:r>
      <w:r w:rsidR="001779B9">
        <w:rPr>
          <w:shd w:val="clear" w:color="auto" w:fill="FFFFFF"/>
        </w:rPr>
        <w:t>in</w:t>
      </w:r>
      <w:r w:rsidR="004A3C49">
        <w:rPr>
          <w:shd w:val="clear" w:color="auto" w:fill="FFFFFF"/>
        </w:rPr>
        <w:t xml:space="preserve"> some</w:t>
      </w:r>
      <w:r w:rsidR="001779B9">
        <w:rPr>
          <w:shd w:val="clear" w:color="auto" w:fill="FFFFFF"/>
        </w:rPr>
        <w:t xml:space="preserve"> cases </w:t>
      </w:r>
      <w:r w:rsidR="004501CA">
        <w:rPr>
          <w:shd w:val="clear" w:color="auto" w:fill="FFFFFF"/>
        </w:rPr>
        <w:t>and may be accompanied in court by an individual of their choosing, including a suppo</w:t>
      </w:r>
      <w:r w:rsidR="004A3C49">
        <w:rPr>
          <w:shd w:val="clear" w:color="auto" w:fill="FFFFFF"/>
        </w:rPr>
        <w:t>r</w:t>
      </w:r>
      <w:r w:rsidR="004501CA">
        <w:rPr>
          <w:shd w:val="clear" w:color="auto" w:fill="FFFFFF"/>
        </w:rPr>
        <w:t xml:space="preserve">t worker. </w:t>
      </w:r>
    </w:p>
    <w:p w14:paraId="6A869FF0" w14:textId="2F586998" w:rsidR="00CD39D2" w:rsidRPr="001E4E06" w:rsidRDefault="00CD39D2" w:rsidP="00CD39D2">
      <w:pPr>
        <w:pStyle w:val="Heading2"/>
      </w:pPr>
      <w:bookmarkStart w:id="27" w:name="_Toc100231188"/>
      <w:r w:rsidRPr="001E4E06">
        <w:lastRenderedPageBreak/>
        <w:t>Istanbul Convention</w:t>
      </w:r>
      <w:bookmarkEnd w:id="27"/>
    </w:p>
    <w:p w14:paraId="7E2CDEA2" w14:textId="20B585BD" w:rsidR="00CD39D2" w:rsidRPr="00DE47A1" w:rsidRDefault="00CD39D2" w:rsidP="00CD39D2">
      <w:pPr>
        <w:rPr>
          <w:shd w:val="clear" w:color="auto" w:fill="FFFFFF"/>
        </w:rPr>
      </w:pPr>
      <w:r w:rsidRPr="001E4E06">
        <w:rPr>
          <w:shd w:val="clear" w:color="auto" w:fill="FFFFFF"/>
        </w:rPr>
        <w:t>The Council of Europe Convention on preventing and combating violence against women and domestic violence</w:t>
      </w:r>
      <w:r w:rsidR="00DE47A1" w:rsidRPr="001E4E06">
        <w:rPr>
          <w:shd w:val="clear" w:color="auto" w:fill="FFFFFF"/>
        </w:rPr>
        <w:t xml:space="preserve">, commonly known as the Istanbul Convention, was ratified by Ireland in March 2019. As per this </w:t>
      </w:r>
      <w:r w:rsidR="002E3187">
        <w:rPr>
          <w:shd w:val="clear" w:color="auto" w:fill="FFFFFF"/>
        </w:rPr>
        <w:t>C</w:t>
      </w:r>
      <w:r w:rsidR="00DE47A1" w:rsidRPr="001E4E06">
        <w:rPr>
          <w:shd w:val="clear" w:color="auto" w:fill="FFFFFF"/>
        </w:rPr>
        <w:t>onvention, i</w:t>
      </w:r>
      <w:r w:rsidRPr="001E4E06">
        <w:rPr>
          <w:shd w:val="clear" w:color="auto" w:fill="FFFFFF"/>
        </w:rPr>
        <w:t xml:space="preserve">t is the obligation of the state to fully address </w:t>
      </w:r>
      <w:r w:rsidR="00DE47A1" w:rsidRPr="001E4E06">
        <w:rPr>
          <w:shd w:val="clear" w:color="auto" w:fill="FFFFFF"/>
        </w:rPr>
        <w:t xml:space="preserve">violence against women and domestic violence </w:t>
      </w:r>
      <w:r w:rsidRPr="001E4E06">
        <w:rPr>
          <w:shd w:val="clear" w:color="auto" w:fill="FFFFFF"/>
        </w:rPr>
        <w:t>in all its forms and to take measures to prevent violence against women, protect its victims and prosecute the perpetrators. The Istanbul Convention has due regard to the UNCRPD, and it states that t</w:t>
      </w:r>
      <w:r w:rsidRPr="001E4E06">
        <w:t>he implementation of the provisions of this Convention, in particular measures to protect the rights of victims, shall be secured without discrimination on any ground such as disability.</w:t>
      </w:r>
    </w:p>
    <w:p w14:paraId="08E0D788" w14:textId="1FE8FF1D" w:rsidR="00133BDA" w:rsidRDefault="009F6149" w:rsidP="001B1673">
      <w:pPr>
        <w:rPr>
          <w:szCs w:val="26"/>
        </w:rPr>
      </w:pPr>
      <w:r>
        <w:t xml:space="preserve">Beginning in 2022, </w:t>
      </w:r>
      <w:r w:rsidR="00CD39D2" w:rsidRPr="008C1B99">
        <w:t xml:space="preserve">Ireland will be subject to monitoring by GREVIO (Group of Experts on Action against Violence against Women and Domestic Violence), the independent expert </w:t>
      </w:r>
      <w:r w:rsidR="00CD39D2" w:rsidRPr="008C1B99">
        <w:rPr>
          <w:szCs w:val="26"/>
        </w:rPr>
        <w:t xml:space="preserve">body responsible for monitoring the implementation of the Istanbul Convention. </w:t>
      </w:r>
      <w:r w:rsidR="00A43C58">
        <w:rPr>
          <w:szCs w:val="26"/>
        </w:rPr>
        <w:t xml:space="preserve">A recent </w:t>
      </w:r>
      <w:r w:rsidR="00F50A54">
        <w:rPr>
          <w:szCs w:val="26"/>
        </w:rPr>
        <w:t xml:space="preserve">horizontal review </w:t>
      </w:r>
      <w:r w:rsidR="00A43C58">
        <w:rPr>
          <w:szCs w:val="26"/>
        </w:rPr>
        <w:t xml:space="preserve">by GREVIO </w:t>
      </w:r>
      <w:r w:rsidR="00F50A54">
        <w:rPr>
          <w:szCs w:val="26"/>
        </w:rPr>
        <w:t>of the</w:t>
      </w:r>
      <w:r w:rsidR="00FE1EA7">
        <w:rPr>
          <w:szCs w:val="26"/>
        </w:rPr>
        <w:t>ir</w:t>
      </w:r>
      <w:r w:rsidR="00F50A54">
        <w:rPr>
          <w:szCs w:val="26"/>
        </w:rPr>
        <w:t xml:space="preserve"> baseline evaluations conducted in </w:t>
      </w:r>
      <w:r w:rsidR="00A11C8B">
        <w:rPr>
          <w:szCs w:val="26"/>
        </w:rPr>
        <w:t>17</w:t>
      </w:r>
      <w:r w:rsidR="00F50A54">
        <w:rPr>
          <w:szCs w:val="26"/>
        </w:rPr>
        <w:t xml:space="preserve"> countries</w:t>
      </w:r>
      <w:r w:rsidR="00A43C58">
        <w:rPr>
          <w:szCs w:val="26"/>
        </w:rPr>
        <w:t xml:space="preserve"> found common issues across countries regarding the protection and support of women with disabilities.</w:t>
      </w:r>
      <w:r w:rsidR="00A35974">
        <w:rPr>
          <w:rStyle w:val="FootnoteReference"/>
          <w:szCs w:val="26"/>
        </w:rPr>
        <w:footnoteReference w:id="11"/>
      </w:r>
      <w:r w:rsidR="00A43C58">
        <w:rPr>
          <w:szCs w:val="26"/>
        </w:rPr>
        <w:t xml:space="preserve"> Th</w:t>
      </w:r>
      <w:r w:rsidR="00A557A9">
        <w:rPr>
          <w:szCs w:val="26"/>
        </w:rPr>
        <w:t>ey</w:t>
      </w:r>
      <w:r w:rsidR="00A11C8B">
        <w:rPr>
          <w:szCs w:val="26"/>
        </w:rPr>
        <w:t xml:space="preserve"> noted many inst</w:t>
      </w:r>
      <w:r w:rsidR="00F3683D">
        <w:rPr>
          <w:szCs w:val="26"/>
        </w:rPr>
        <w:t>ances of discrimination</w:t>
      </w:r>
      <w:r w:rsidR="00A11C8B">
        <w:rPr>
          <w:szCs w:val="26"/>
        </w:rPr>
        <w:t xml:space="preserve">, including </w:t>
      </w:r>
      <w:r w:rsidR="00915E18">
        <w:rPr>
          <w:szCs w:val="26"/>
        </w:rPr>
        <w:t xml:space="preserve">the lack of effective measures to address the needs of different groups of </w:t>
      </w:r>
      <w:r w:rsidR="00E903FD">
        <w:rPr>
          <w:szCs w:val="26"/>
        </w:rPr>
        <w:t>women</w:t>
      </w:r>
      <w:r w:rsidR="00915E18">
        <w:rPr>
          <w:szCs w:val="26"/>
        </w:rPr>
        <w:t xml:space="preserve">, including </w:t>
      </w:r>
      <w:r w:rsidR="001B1673">
        <w:rPr>
          <w:szCs w:val="26"/>
        </w:rPr>
        <w:t xml:space="preserve">women with disabilities. </w:t>
      </w:r>
      <w:r w:rsidR="00A557A9">
        <w:rPr>
          <w:szCs w:val="26"/>
        </w:rPr>
        <w:t>Other i</w:t>
      </w:r>
      <w:r w:rsidR="00133BDA">
        <w:rPr>
          <w:szCs w:val="26"/>
        </w:rPr>
        <w:t>ssues pertaining to women with disabilities included:</w:t>
      </w:r>
    </w:p>
    <w:p w14:paraId="064BF1B6" w14:textId="1EF0614A" w:rsidR="005A7FB7" w:rsidRDefault="00E87C7B" w:rsidP="005A7FB7">
      <w:pPr>
        <w:pStyle w:val="ListBullet"/>
        <w:rPr>
          <w:rFonts w:eastAsia="SimSun"/>
          <w:lang w:eastAsia="en-IE"/>
        </w:rPr>
      </w:pPr>
      <w:r>
        <w:rPr>
          <w:rFonts w:eastAsia="SimSun"/>
          <w:lang w:eastAsia="en-IE"/>
        </w:rPr>
        <w:t xml:space="preserve">Problems for women with disabilities and </w:t>
      </w:r>
      <w:r w:rsidR="00F3683D">
        <w:rPr>
          <w:rFonts w:eastAsia="SimSun"/>
          <w:lang w:eastAsia="en-IE"/>
        </w:rPr>
        <w:t>parents</w:t>
      </w:r>
      <w:r>
        <w:rPr>
          <w:rFonts w:eastAsia="SimSun"/>
          <w:lang w:eastAsia="en-IE"/>
        </w:rPr>
        <w:t xml:space="preserve"> of children with disabilities </w:t>
      </w:r>
      <w:r w:rsidR="00F3683D">
        <w:rPr>
          <w:rFonts w:eastAsia="SimSun"/>
          <w:lang w:eastAsia="en-IE"/>
        </w:rPr>
        <w:t xml:space="preserve">in reporting violence and seeking help </w:t>
      </w:r>
      <w:r w:rsidR="005A7FB7">
        <w:rPr>
          <w:rFonts w:eastAsia="SimSun"/>
          <w:lang w:eastAsia="en-IE"/>
        </w:rPr>
        <w:t xml:space="preserve">due to inaccessible police premises, lack of training and disability awareness of law </w:t>
      </w:r>
      <w:r w:rsidR="007D7287">
        <w:rPr>
          <w:rFonts w:eastAsia="SimSun"/>
          <w:lang w:eastAsia="en-IE"/>
        </w:rPr>
        <w:t>enforcement</w:t>
      </w:r>
      <w:r w:rsidR="005A7FB7">
        <w:rPr>
          <w:rFonts w:eastAsia="SimSun"/>
          <w:lang w:eastAsia="en-IE"/>
        </w:rPr>
        <w:t>, and a lack of accessible information</w:t>
      </w:r>
      <w:r w:rsidR="00A43C58">
        <w:rPr>
          <w:rFonts w:eastAsia="SimSun"/>
          <w:lang w:eastAsia="en-IE"/>
        </w:rPr>
        <w:t xml:space="preserve"> on available support services,</w:t>
      </w:r>
    </w:p>
    <w:p w14:paraId="3FFEA9B7" w14:textId="308E40CF" w:rsidR="00F339B3" w:rsidRDefault="00E87C7B" w:rsidP="00F339B3">
      <w:pPr>
        <w:pStyle w:val="ListBullet"/>
        <w:rPr>
          <w:szCs w:val="26"/>
        </w:rPr>
      </w:pPr>
      <w:r>
        <w:rPr>
          <w:szCs w:val="26"/>
        </w:rPr>
        <w:t>S</w:t>
      </w:r>
      <w:r w:rsidRPr="00E87C7B">
        <w:rPr>
          <w:szCs w:val="26"/>
        </w:rPr>
        <w:t xml:space="preserve">hortcomings </w:t>
      </w:r>
      <w:r>
        <w:rPr>
          <w:szCs w:val="26"/>
        </w:rPr>
        <w:t>in the</w:t>
      </w:r>
      <w:r w:rsidRPr="00E87C7B">
        <w:rPr>
          <w:szCs w:val="26"/>
        </w:rPr>
        <w:t xml:space="preserve"> </w:t>
      </w:r>
      <w:r w:rsidR="00F339B3">
        <w:rPr>
          <w:szCs w:val="26"/>
        </w:rPr>
        <w:t>provision of adequate social and healthcare support tailored to individual needs</w:t>
      </w:r>
      <w:r w:rsidR="00A43C58">
        <w:rPr>
          <w:szCs w:val="26"/>
        </w:rPr>
        <w:t>,</w:t>
      </w:r>
      <w:r w:rsidR="00F339B3">
        <w:rPr>
          <w:szCs w:val="26"/>
        </w:rPr>
        <w:t xml:space="preserve"> including women with disabilities</w:t>
      </w:r>
      <w:r w:rsidR="00890421">
        <w:rPr>
          <w:szCs w:val="26"/>
        </w:rPr>
        <w:t>,</w:t>
      </w:r>
    </w:p>
    <w:p w14:paraId="0AB08AA2" w14:textId="46D47B6F" w:rsidR="001D242B" w:rsidRPr="00F339B3" w:rsidRDefault="00F339B3" w:rsidP="00F339B3">
      <w:pPr>
        <w:pStyle w:val="ListBullet"/>
        <w:rPr>
          <w:szCs w:val="26"/>
        </w:rPr>
      </w:pPr>
      <w:r>
        <w:rPr>
          <w:szCs w:val="26"/>
        </w:rPr>
        <w:t xml:space="preserve">Shortcomings in specialist support services </w:t>
      </w:r>
      <w:r w:rsidR="001D242B" w:rsidRPr="00F339B3">
        <w:rPr>
          <w:szCs w:val="26"/>
        </w:rPr>
        <w:t>for groups such as children and women with disabilities</w:t>
      </w:r>
      <w:r w:rsidR="00890421">
        <w:rPr>
          <w:szCs w:val="26"/>
        </w:rPr>
        <w:t>,</w:t>
      </w:r>
    </w:p>
    <w:p w14:paraId="2CF2FA7B" w14:textId="2FAE084A" w:rsidR="001D242B" w:rsidRDefault="001D242B" w:rsidP="001D242B">
      <w:pPr>
        <w:pStyle w:val="ListBullet"/>
        <w:rPr>
          <w:szCs w:val="26"/>
        </w:rPr>
      </w:pPr>
      <w:r>
        <w:rPr>
          <w:szCs w:val="26"/>
        </w:rPr>
        <w:lastRenderedPageBreak/>
        <w:t xml:space="preserve">Barriers to accessing safe accommodation </w:t>
      </w:r>
      <w:r w:rsidR="00890421">
        <w:rPr>
          <w:szCs w:val="26"/>
        </w:rPr>
        <w:t>for</w:t>
      </w:r>
      <w:r>
        <w:rPr>
          <w:szCs w:val="26"/>
        </w:rPr>
        <w:t xml:space="preserve"> women with disabilities</w:t>
      </w:r>
      <w:r w:rsidR="00890421">
        <w:rPr>
          <w:szCs w:val="26"/>
        </w:rPr>
        <w:t>,</w:t>
      </w:r>
    </w:p>
    <w:p w14:paraId="60C7A209" w14:textId="2487FE62" w:rsidR="00F339B3" w:rsidRDefault="00890421" w:rsidP="001D242B">
      <w:pPr>
        <w:pStyle w:val="ListBullet"/>
        <w:rPr>
          <w:szCs w:val="26"/>
        </w:rPr>
      </w:pPr>
      <w:r>
        <w:rPr>
          <w:szCs w:val="26"/>
        </w:rPr>
        <w:t xml:space="preserve">Concerns about </w:t>
      </w:r>
      <w:r w:rsidR="00F339B3">
        <w:rPr>
          <w:szCs w:val="26"/>
        </w:rPr>
        <w:t>protection of women who lack capacity to consent including forced abortion and sterilisation</w:t>
      </w:r>
      <w:r>
        <w:rPr>
          <w:szCs w:val="26"/>
        </w:rPr>
        <w:t>,</w:t>
      </w:r>
    </w:p>
    <w:p w14:paraId="7F041875" w14:textId="7C825200" w:rsidR="00A43C58" w:rsidRPr="00A43C58" w:rsidRDefault="00F3683D" w:rsidP="005E7FC6">
      <w:pPr>
        <w:pStyle w:val="ListBullet"/>
        <w:rPr>
          <w:szCs w:val="26"/>
        </w:rPr>
      </w:pPr>
      <w:r w:rsidRPr="00F339B3">
        <w:rPr>
          <w:rFonts w:eastAsia="SimSun"/>
          <w:lang w:eastAsia="en-IE"/>
        </w:rPr>
        <w:t>National policies which do not plac</w:t>
      </w:r>
      <w:r w:rsidR="00F339B3" w:rsidRPr="00F339B3">
        <w:rPr>
          <w:rFonts w:eastAsia="SimSun"/>
          <w:lang w:eastAsia="en-IE"/>
        </w:rPr>
        <w:t xml:space="preserve">e enough focus on the needs of </w:t>
      </w:r>
      <w:r w:rsidR="00A43C58">
        <w:rPr>
          <w:rFonts w:eastAsia="SimSun"/>
          <w:lang w:eastAsia="en-IE"/>
        </w:rPr>
        <w:t>women facing intersectional discrimination, and</w:t>
      </w:r>
    </w:p>
    <w:p w14:paraId="5DF8DF06" w14:textId="59F48176" w:rsidR="00F339B3" w:rsidRPr="00F339B3" w:rsidRDefault="00FE1EA7" w:rsidP="00F339B3">
      <w:pPr>
        <w:pStyle w:val="ListBullet"/>
        <w:rPr>
          <w:szCs w:val="26"/>
        </w:rPr>
      </w:pPr>
      <w:r>
        <w:rPr>
          <w:rFonts w:eastAsia="SimSun"/>
          <w:lang w:eastAsia="en-IE"/>
        </w:rPr>
        <w:t>A l</w:t>
      </w:r>
      <w:r w:rsidR="00F339B3" w:rsidRPr="00DA39C9">
        <w:rPr>
          <w:rFonts w:eastAsia="SimSun"/>
          <w:lang w:eastAsia="en-IE"/>
        </w:rPr>
        <w:t xml:space="preserve">ack of </w:t>
      </w:r>
      <w:r w:rsidR="00F339B3">
        <w:rPr>
          <w:rFonts w:eastAsia="SimSun"/>
          <w:lang w:eastAsia="en-IE"/>
        </w:rPr>
        <w:t>research on violence affecting women from intersectional groups</w:t>
      </w:r>
      <w:r w:rsidR="00A43C58">
        <w:rPr>
          <w:rFonts w:eastAsia="SimSun"/>
          <w:lang w:eastAsia="en-IE"/>
        </w:rPr>
        <w:t>,</w:t>
      </w:r>
      <w:r w:rsidR="00F339B3">
        <w:rPr>
          <w:rFonts w:eastAsia="SimSun"/>
          <w:lang w:eastAsia="en-IE"/>
        </w:rPr>
        <w:t xml:space="preserve"> such as women with disabilities. </w:t>
      </w:r>
    </w:p>
    <w:p w14:paraId="1A65F5D3" w14:textId="7B875DF2" w:rsidR="00CD39D2" w:rsidRDefault="00E903FD" w:rsidP="00CD39D2">
      <w:pPr>
        <w:rPr>
          <w:color w:val="000000" w:themeColor="text1"/>
          <w:szCs w:val="26"/>
          <w:lang w:val="en"/>
        </w:rPr>
      </w:pPr>
      <w:r w:rsidRPr="008C1B99">
        <w:rPr>
          <w:szCs w:val="26"/>
        </w:rPr>
        <w:t>IHREC</w:t>
      </w:r>
      <w:r>
        <w:rPr>
          <w:szCs w:val="26"/>
        </w:rPr>
        <w:t>, a</w:t>
      </w:r>
      <w:r w:rsidR="00CD39D2" w:rsidRPr="008C1B99">
        <w:rPr>
          <w:szCs w:val="26"/>
        </w:rPr>
        <w:t xml:space="preserve">s Ireland’s National Human Rights Institution, has the role of </w:t>
      </w:r>
      <w:r w:rsidR="00CD39D2" w:rsidRPr="008C1B99">
        <w:rPr>
          <w:szCs w:val="26"/>
          <w:lang w:val="en"/>
        </w:rPr>
        <w:t>monitoring the implementation of the Istanbul Convention in Ireland and will independently report to the GREVIO on State progress. IHREC has</w:t>
      </w:r>
      <w:r w:rsidR="00A43C58">
        <w:rPr>
          <w:szCs w:val="26"/>
          <w:lang w:val="en"/>
        </w:rPr>
        <w:t xml:space="preserve"> also</w:t>
      </w:r>
      <w:r w:rsidR="00CD39D2" w:rsidRPr="008C1B99">
        <w:rPr>
          <w:szCs w:val="26"/>
          <w:lang w:val="en"/>
        </w:rPr>
        <w:t xml:space="preserve"> identified the need for a focus </w:t>
      </w:r>
      <w:r w:rsidR="00CD39D2" w:rsidRPr="008C1B99">
        <w:rPr>
          <w:rStyle w:val="Strong"/>
          <w:b w:val="0"/>
          <w:szCs w:val="26"/>
          <w:lang w:val="en"/>
        </w:rPr>
        <w:t>on combatting violence against</w:t>
      </w:r>
      <w:r w:rsidR="00CD39D2" w:rsidRPr="008C1B99">
        <w:rPr>
          <w:szCs w:val="26"/>
          <w:lang w:val="en"/>
        </w:rPr>
        <w:t xml:space="preserve"> women with disabilities and on </w:t>
      </w:r>
      <w:r w:rsidR="00CD39D2" w:rsidRPr="008C1B99">
        <w:rPr>
          <w:color w:val="000000" w:themeColor="text1"/>
          <w:szCs w:val="26"/>
          <w:lang w:val="en"/>
        </w:rPr>
        <w:t>intersectionality.</w:t>
      </w:r>
      <w:r>
        <w:rPr>
          <w:rStyle w:val="FootnoteReference"/>
          <w:color w:val="000000" w:themeColor="text1"/>
          <w:szCs w:val="26"/>
          <w:lang w:val="en"/>
        </w:rPr>
        <w:footnoteReference w:id="12"/>
      </w:r>
    </w:p>
    <w:p w14:paraId="471E85B8" w14:textId="35352162" w:rsidR="00853443" w:rsidRDefault="00150945" w:rsidP="00853443">
      <w:pPr>
        <w:pStyle w:val="Heading2"/>
        <w:rPr>
          <w:lang w:val="en"/>
        </w:rPr>
      </w:pPr>
      <w:bookmarkStart w:id="28" w:name="_Toc100231189"/>
      <w:r>
        <w:rPr>
          <w:lang w:val="en"/>
        </w:rPr>
        <w:t>National s</w:t>
      </w:r>
      <w:r w:rsidR="00C710ED">
        <w:rPr>
          <w:lang w:val="en"/>
        </w:rPr>
        <w:t xml:space="preserve">exual </w:t>
      </w:r>
      <w:r>
        <w:rPr>
          <w:lang w:val="en"/>
        </w:rPr>
        <w:t>o</w:t>
      </w:r>
      <w:r w:rsidR="000E7F65">
        <w:rPr>
          <w:lang w:val="en"/>
        </w:rPr>
        <w:t>ffences</w:t>
      </w:r>
      <w:r w:rsidR="00853443" w:rsidRPr="00853443">
        <w:rPr>
          <w:lang w:val="en"/>
        </w:rPr>
        <w:t xml:space="preserve"> </w:t>
      </w:r>
      <w:r>
        <w:rPr>
          <w:lang w:val="en"/>
        </w:rPr>
        <w:t>l</w:t>
      </w:r>
      <w:r w:rsidR="00853443" w:rsidRPr="00853443">
        <w:rPr>
          <w:lang w:val="en"/>
        </w:rPr>
        <w:t>egislation</w:t>
      </w:r>
      <w:bookmarkEnd w:id="28"/>
    </w:p>
    <w:p w14:paraId="1B1B3D83" w14:textId="11D581EA" w:rsidR="00C566BA" w:rsidRDefault="000C7881" w:rsidP="00C566BA">
      <w:r w:rsidRPr="00C566BA">
        <w:t>In Ireland</w:t>
      </w:r>
      <w:r w:rsidR="002035E5" w:rsidRPr="00C566BA">
        <w:t>,</w:t>
      </w:r>
      <w:r w:rsidRPr="00C566BA">
        <w:t xml:space="preserve"> rape and sexual assault legislation is provided for in the Criminal Law (Rape) Act 1981, the Criminal Law (Rape) (Amendment) Act 1990, and the Criminal Law (Sexual Offences) Act 2017. </w:t>
      </w:r>
      <w:r w:rsidR="001340D6" w:rsidRPr="00C566BA">
        <w:t>J</w:t>
      </w:r>
      <w:r w:rsidRPr="00C566BA">
        <w:t>udges may take</w:t>
      </w:r>
      <w:r w:rsidR="001340D6" w:rsidRPr="00C566BA">
        <w:t xml:space="preserve"> a victim’s disability into account as an aggravating factor when sentencing perpetrators.</w:t>
      </w:r>
      <w:r w:rsidR="009913D3" w:rsidRPr="00C566BA">
        <w:rPr>
          <w:rStyle w:val="FootnoteReference"/>
        </w:rPr>
        <w:footnoteReference w:id="13"/>
      </w:r>
      <w:r w:rsidR="00EA5404" w:rsidRPr="00C566BA">
        <w:t xml:space="preserve"> The Criminal Law (Rape) (Amendment) Act 1990 removed exemptions to criminalisation</w:t>
      </w:r>
      <w:r w:rsidR="008F5313" w:rsidRPr="00C566BA">
        <w:t xml:space="preserve"> for husbands</w:t>
      </w:r>
      <w:r w:rsidR="00C12886" w:rsidRPr="00C566BA">
        <w:t xml:space="preserve"> who raped their wives.</w:t>
      </w:r>
      <w:r w:rsidR="00DD4BA5" w:rsidRPr="00C566BA">
        <w:t xml:space="preserve"> The</w:t>
      </w:r>
      <w:r w:rsidR="00C12886" w:rsidRPr="00C566BA">
        <w:t xml:space="preserve"> </w:t>
      </w:r>
      <w:r w:rsidR="00DD4BA5" w:rsidRPr="00C566BA">
        <w:t>Criminal Law (Sexual Offences) Act 2017 added new legislation on the abuse and exploitation of children, including grooming activities. It also added an offence of</w:t>
      </w:r>
      <w:r w:rsidR="005A4233" w:rsidRPr="00C566BA">
        <w:t xml:space="preserve"> engaging in a sexual act with a ‘protected’ person. A protected person is defined in the legislation as: “a person lacks the capacity to consent to a sexual act if he or she is, by reason of a mental or intellectual disability or a </w:t>
      </w:r>
      <w:r w:rsidR="005A4233" w:rsidRPr="00C566BA">
        <w:lastRenderedPageBreak/>
        <w:t>mental illness, incapable of:</w:t>
      </w:r>
      <w:r w:rsidR="00FE1EA7" w:rsidRPr="00C566BA">
        <w:t xml:space="preserve"> </w:t>
      </w:r>
      <w:r w:rsidR="005A4233" w:rsidRPr="00C566BA">
        <w:t>(a) Understanding the nature, or the reasonably foreseeable consequences, of the act, (b) Evaluating relevant information for the purpose of deciding whether or not to engage in that act, or (c) Communicating his or her consent to that act by speech, sign language or otherwise.</w:t>
      </w:r>
      <w:r w:rsidR="00582009" w:rsidRPr="00C566BA">
        <w:t xml:space="preserve">” </w:t>
      </w:r>
      <w:r w:rsidR="007518CE" w:rsidRPr="00C566BA">
        <w:t>Another</w:t>
      </w:r>
      <w:r w:rsidR="00582009" w:rsidRPr="00C566BA">
        <w:t xml:space="preserve"> new offence was that of engaging in a sexual act with a ‘relevant’ person by a person in </w:t>
      </w:r>
      <w:r w:rsidR="007518CE" w:rsidRPr="00C566BA">
        <w:t>authority</w:t>
      </w:r>
      <w:r w:rsidR="00FE1EA7" w:rsidRPr="00C566BA">
        <w:t>, where a</w:t>
      </w:r>
      <w:r w:rsidR="00582009" w:rsidRPr="00C566BA">
        <w:t xml:space="preserve"> relevant person is: “a person who has (a) a mental or intellectual disability, or (b) a mental illness, which is of such a nature or degree as to severely restrict the ability of the person to guard himself or herself against serious exploitation.”</w:t>
      </w:r>
    </w:p>
    <w:p w14:paraId="497B7E6D" w14:textId="64107A49" w:rsidR="000F5EAF" w:rsidRDefault="00EE4035" w:rsidP="00A04877">
      <w:r w:rsidRPr="00C566BA">
        <w:t>A recent</w:t>
      </w:r>
      <w:r w:rsidR="002035E5" w:rsidRPr="00C566BA">
        <w:t xml:space="preserve"> review</w:t>
      </w:r>
      <w:r w:rsidR="00C039B3" w:rsidRPr="00C566BA">
        <w:t xml:space="preserve"> of protections for vulnerable witnesses in the investigation and prosecution of sexual offences in Ireland</w:t>
      </w:r>
      <w:r w:rsidRPr="00C566BA">
        <w:t xml:space="preserve"> made over 50 recommendations to improve the experiences of </w:t>
      </w:r>
      <w:r w:rsidR="008153EA" w:rsidRPr="00C566BA">
        <w:t>such</w:t>
      </w:r>
      <w:r w:rsidRPr="00C566BA">
        <w:t xml:space="preserve"> witnesses.</w:t>
      </w:r>
      <w:r w:rsidR="008153EA" w:rsidRPr="00C566BA">
        <w:rPr>
          <w:rStyle w:val="FootnoteReference"/>
        </w:rPr>
        <w:footnoteReference w:id="14"/>
      </w:r>
      <w:r w:rsidR="00F32CB4" w:rsidRPr="00C566BA">
        <w:t xml:space="preserve"> A ‘</w:t>
      </w:r>
      <w:r w:rsidR="008153EA" w:rsidRPr="00C566BA">
        <w:t>vulnerable witness</w:t>
      </w:r>
      <w:r w:rsidR="00F32CB4" w:rsidRPr="00C566BA">
        <w:t>’</w:t>
      </w:r>
      <w:r w:rsidR="008153EA" w:rsidRPr="00C566BA">
        <w:t xml:space="preserve"> (including defendants) were those considered vulnerable due to age, disability, </w:t>
      </w:r>
      <w:r w:rsidR="00F32CB4" w:rsidRPr="00C566BA">
        <w:t>due to the</w:t>
      </w:r>
      <w:r w:rsidR="008153EA" w:rsidRPr="00C566BA">
        <w:t xml:space="preserve"> nature of the offence/alleged offence and their overall circumstances. Recommendations from this review</w:t>
      </w:r>
      <w:r w:rsidR="00B558B8">
        <w:t>, the O’Malley Review,</w:t>
      </w:r>
      <w:r w:rsidR="008153EA" w:rsidRPr="00C566BA">
        <w:t xml:space="preserve"> included</w:t>
      </w:r>
      <w:r w:rsidR="00C632DC" w:rsidRPr="00C566BA">
        <w:t xml:space="preserve"> the provision of intermediaries to facilitate communication between vulnerable witness and </w:t>
      </w:r>
      <w:r w:rsidR="008C7C8A" w:rsidRPr="00C566BA">
        <w:t>others in the justice system and specialist training for those in the justice system working on sexual offences, including the questioning of witnesses with disabilities.</w:t>
      </w:r>
      <w:r w:rsidR="00B558B8" w:rsidRPr="00B558B8">
        <w:t xml:space="preserve"> </w:t>
      </w:r>
      <w:r w:rsidR="00B558B8">
        <w:t>The NDA published an i</w:t>
      </w:r>
      <w:r w:rsidR="00B558B8" w:rsidRPr="00B558B8">
        <w:t xml:space="preserve">ndependent </w:t>
      </w:r>
      <w:r w:rsidR="00B558B8">
        <w:t>a</w:t>
      </w:r>
      <w:r w:rsidR="00B558B8" w:rsidRPr="00B558B8">
        <w:t xml:space="preserve">dvice </w:t>
      </w:r>
      <w:r w:rsidR="00B558B8">
        <w:t>p</w:t>
      </w:r>
      <w:r w:rsidR="00B558B8" w:rsidRPr="00B558B8">
        <w:t>aper</w:t>
      </w:r>
      <w:r w:rsidR="00B558B8">
        <w:t xml:space="preserve"> in June 2020</w:t>
      </w:r>
      <w:r w:rsidR="00B558B8" w:rsidRPr="00B558B8">
        <w:t xml:space="preserve"> on the use of intermediaries in the Irish justice system</w:t>
      </w:r>
      <w:r w:rsidR="00B558B8">
        <w:rPr>
          <w:rStyle w:val="FootnoteReference"/>
        </w:rPr>
        <w:footnoteReference w:id="15"/>
      </w:r>
      <w:r w:rsidR="00B558B8">
        <w:t xml:space="preserve">, and </w:t>
      </w:r>
      <w:r w:rsidR="00B558B8" w:rsidRPr="00B558B8">
        <w:t xml:space="preserve">the </w:t>
      </w:r>
      <w:r w:rsidR="00B558B8">
        <w:t>recommendations</w:t>
      </w:r>
      <w:r w:rsidR="00B558B8" w:rsidRPr="00B558B8">
        <w:t xml:space="preserve"> included </w:t>
      </w:r>
      <w:r w:rsidR="00B558B8">
        <w:t xml:space="preserve">in this paper </w:t>
      </w:r>
      <w:r w:rsidR="00B558B8" w:rsidRPr="00B558B8">
        <w:t xml:space="preserve">align with the </w:t>
      </w:r>
      <w:r w:rsidR="00B558B8">
        <w:t xml:space="preserve">recommendations subsequently made in the O’Malley Review. </w:t>
      </w:r>
    </w:p>
    <w:p w14:paraId="6D2F7ADD" w14:textId="53D3E6E5" w:rsidR="00477952" w:rsidRDefault="00477952" w:rsidP="00A04877">
      <w:pPr>
        <w:rPr>
          <w:lang w:val="en"/>
        </w:rPr>
      </w:pPr>
      <w:r w:rsidRPr="00C566BA">
        <w:lastRenderedPageBreak/>
        <w:t>The Department</w:t>
      </w:r>
      <w:r>
        <w:rPr>
          <w:lang w:val="en"/>
        </w:rPr>
        <w:t xml:space="preserve"> of Justice drafted an implementation plan and established three subgroups to progress the recommendations made in this report.</w:t>
      </w:r>
      <w:r w:rsidR="000F1F32">
        <w:rPr>
          <w:lang w:val="en"/>
        </w:rPr>
        <w:t xml:space="preserve"> </w:t>
      </w:r>
      <w:r w:rsidR="00A34D20">
        <w:rPr>
          <w:lang w:val="en"/>
        </w:rPr>
        <w:t>One subgroup was</w:t>
      </w:r>
      <w:r w:rsidR="00AB7F56">
        <w:rPr>
          <w:lang w:val="en"/>
        </w:rPr>
        <w:t xml:space="preserve"> tasked with</w:t>
      </w:r>
      <w:r w:rsidR="00A34D20">
        <w:rPr>
          <w:lang w:val="en"/>
        </w:rPr>
        <w:t xml:space="preserve"> r</w:t>
      </w:r>
      <w:r w:rsidR="00AB7F56" w:rsidRPr="00AB7F56">
        <w:rPr>
          <w:lang w:val="en"/>
        </w:rPr>
        <w:t>eviewing</w:t>
      </w:r>
      <w:r w:rsidR="000F1F32" w:rsidRPr="00251666">
        <w:rPr>
          <w:lang w:val="en"/>
        </w:rPr>
        <w:t xml:space="preserve"> the supports and funding of civil society organisations providing frontline services/map</w:t>
      </w:r>
      <w:r w:rsidR="00AB7F56" w:rsidRPr="00AB7F56">
        <w:rPr>
          <w:lang w:val="en"/>
        </w:rPr>
        <w:t>ping</w:t>
      </w:r>
      <w:r w:rsidR="000F1F32" w:rsidRPr="00251666">
        <w:rPr>
          <w:lang w:val="en"/>
        </w:rPr>
        <w:t xml:space="preserve"> th</w:t>
      </w:r>
      <w:r w:rsidR="00D27101" w:rsidRPr="00251666">
        <w:rPr>
          <w:lang w:val="en"/>
        </w:rPr>
        <w:t>e journey that faces the victim</w:t>
      </w:r>
      <w:r w:rsidR="00A34D20">
        <w:rPr>
          <w:lang w:val="en"/>
        </w:rPr>
        <w:t xml:space="preserve">. </w:t>
      </w:r>
      <w:r w:rsidR="00AB7F56" w:rsidRPr="00AB7F56">
        <w:rPr>
          <w:lang w:val="en"/>
        </w:rPr>
        <w:t>This exercise identified a) geographical areas and b) categories of victims which represent gaps or unmet needs in the current provision of these support services for victims of crime withi</w:t>
      </w:r>
      <w:r w:rsidR="00AB7F56">
        <w:rPr>
          <w:lang w:val="en"/>
        </w:rPr>
        <w:t>n the criminal justice system (</w:t>
      </w:r>
      <w:r w:rsidR="00AB7F56" w:rsidRPr="00AB7F56">
        <w:rPr>
          <w:lang w:val="en"/>
        </w:rPr>
        <w:t>within the parameters of the objectives of the</w:t>
      </w:r>
      <w:r w:rsidR="00AB7F56">
        <w:rPr>
          <w:lang w:val="en"/>
        </w:rPr>
        <w:t xml:space="preserve"> Victims of Crime</w:t>
      </w:r>
      <w:r w:rsidR="00AB7F56" w:rsidRPr="00AB7F56">
        <w:rPr>
          <w:lang w:val="en"/>
        </w:rPr>
        <w:t xml:space="preserve"> grant scheme</w:t>
      </w:r>
      <w:r w:rsidR="00AB7F56">
        <w:rPr>
          <w:lang w:val="en"/>
        </w:rPr>
        <w:t>)</w:t>
      </w:r>
      <w:r w:rsidR="00AB7F56" w:rsidRPr="00AB7F56">
        <w:rPr>
          <w:lang w:val="en"/>
        </w:rPr>
        <w:t>.</w:t>
      </w:r>
      <w:r w:rsidR="00A34D20">
        <w:rPr>
          <w:lang w:val="en"/>
        </w:rPr>
        <w:t xml:space="preserve"> A </w:t>
      </w:r>
      <w:r w:rsidR="00284D92">
        <w:rPr>
          <w:lang w:val="en"/>
        </w:rPr>
        <w:t>second subg</w:t>
      </w:r>
      <w:r w:rsidR="00A34D20">
        <w:rPr>
          <w:lang w:val="en"/>
        </w:rPr>
        <w:t>roup was tasked with p</w:t>
      </w:r>
      <w:r w:rsidR="00154015" w:rsidRPr="00154015">
        <w:rPr>
          <w:lang w:val="en"/>
        </w:rPr>
        <w:t>lanning for</w:t>
      </w:r>
      <w:r w:rsidR="00AB7F56" w:rsidRPr="00154015">
        <w:rPr>
          <w:lang w:val="en"/>
        </w:rPr>
        <w:t xml:space="preserve"> the</w:t>
      </w:r>
      <w:r w:rsidR="00284D92">
        <w:rPr>
          <w:lang w:val="en"/>
        </w:rPr>
        <w:t xml:space="preserve"> use of i</w:t>
      </w:r>
      <w:r w:rsidR="000F1F32" w:rsidRPr="00251666">
        <w:rPr>
          <w:lang w:val="en"/>
        </w:rPr>
        <w:t>ntermediaries and establishment of a pilot</w:t>
      </w:r>
      <w:r w:rsidR="00A34D20">
        <w:rPr>
          <w:lang w:val="en"/>
        </w:rPr>
        <w:t>.</w:t>
      </w:r>
      <w:r w:rsidR="00AB7F56" w:rsidRPr="00154015">
        <w:rPr>
          <w:lang w:val="en"/>
        </w:rPr>
        <w:t xml:space="preserve"> </w:t>
      </w:r>
      <w:r w:rsidR="00B558B8">
        <w:rPr>
          <w:lang w:val="en"/>
        </w:rPr>
        <w:t>The NDA sits on this subgroup</w:t>
      </w:r>
      <w:r w:rsidR="00B558B8">
        <w:t xml:space="preserve">. </w:t>
      </w:r>
      <w:r w:rsidR="00154015" w:rsidRPr="00154015">
        <w:rPr>
          <w:lang w:val="en"/>
        </w:rPr>
        <w:t xml:space="preserve">An academic consultant, with the </w:t>
      </w:r>
      <w:r w:rsidR="00284D92">
        <w:rPr>
          <w:lang w:val="en"/>
        </w:rPr>
        <w:t>support of the sub</w:t>
      </w:r>
      <w:r w:rsidR="00154015" w:rsidRPr="00154015">
        <w:rPr>
          <w:lang w:val="en"/>
        </w:rPr>
        <w:t>group, has been tasked with developing the framework for the operation and training of intermediaries and will engage with stakeholders in development of such. Development of the course content and university accreditation is currently underway.</w:t>
      </w:r>
      <w:r w:rsidR="00A34D20">
        <w:rPr>
          <w:lang w:val="en"/>
        </w:rPr>
        <w:t xml:space="preserve"> The third subgroup has been tasked with d</w:t>
      </w:r>
      <w:r w:rsidR="00AB7F56">
        <w:rPr>
          <w:lang w:val="en"/>
        </w:rPr>
        <w:t>eveloping</w:t>
      </w:r>
      <w:r w:rsidR="000F1F32" w:rsidRPr="000F1F32">
        <w:rPr>
          <w:lang w:val="en"/>
        </w:rPr>
        <w:t xml:space="preserve"> an approach to meeting training needs of a wide range of front-line staff and professionals</w:t>
      </w:r>
      <w:r w:rsidR="00154015">
        <w:rPr>
          <w:lang w:val="en"/>
        </w:rPr>
        <w:t>, including legal professionals</w:t>
      </w:r>
      <w:r w:rsidR="00284D92">
        <w:rPr>
          <w:lang w:val="en"/>
        </w:rPr>
        <w:t>.</w:t>
      </w:r>
      <w:r w:rsidR="00154015">
        <w:t xml:space="preserve">The Department has engaged a consultant to conduct a mapping exercise to establish what training is already being provided, and in what areas. Following this mapping exercise, evaluation of the effectiveness of current training provision. </w:t>
      </w:r>
      <w:r w:rsidR="00154015" w:rsidRPr="00154015">
        <w:t xml:space="preserve">Once these </w:t>
      </w:r>
      <w:r w:rsidR="00284D92">
        <w:t>first</w:t>
      </w:r>
      <w:r w:rsidR="00154015" w:rsidRPr="00154015">
        <w:t xml:space="preserve"> two stages are complete, measures will be put forward as to meet the needs and gaps identified.</w:t>
      </w:r>
    </w:p>
    <w:p w14:paraId="0F502C63" w14:textId="4DF72B48" w:rsidR="00E7268D" w:rsidRDefault="00150945" w:rsidP="00E7268D">
      <w:pPr>
        <w:pStyle w:val="Heading2"/>
      </w:pPr>
      <w:bookmarkStart w:id="29" w:name="_Toc100231190"/>
      <w:r>
        <w:t>National human t</w:t>
      </w:r>
      <w:r w:rsidR="00E7268D">
        <w:t xml:space="preserve">rafficking </w:t>
      </w:r>
      <w:r>
        <w:t>l</w:t>
      </w:r>
      <w:r w:rsidR="00E7268D">
        <w:t>egislation</w:t>
      </w:r>
      <w:bookmarkEnd w:id="29"/>
    </w:p>
    <w:p w14:paraId="11C39DA5" w14:textId="0C23A535" w:rsidR="00E7268D" w:rsidRDefault="00E7268D" w:rsidP="004F0F9F">
      <w:pPr>
        <w:tabs>
          <w:tab w:val="left" w:pos="975"/>
        </w:tabs>
      </w:pPr>
      <w:r>
        <w:t>The legislation in Ireland dealing with human trafficking includes the Criminal Law (Human Trafficking) Act 200</w:t>
      </w:r>
      <w:r w:rsidR="00AD5D1B">
        <w:t>9</w:t>
      </w:r>
      <w:r>
        <w:t xml:space="preserve"> and the Criminal Law (Human Trafficking) (Amendment) Act 2013. The legislation makes it an offence to traffic</w:t>
      </w:r>
      <w:r w:rsidR="008D4C8B">
        <w:t xml:space="preserve"> children or ad</w:t>
      </w:r>
      <w:r>
        <w:t xml:space="preserve">ults </w:t>
      </w:r>
      <w:r w:rsidR="008D4C8B">
        <w:t>for</w:t>
      </w:r>
      <w:r>
        <w:t xml:space="preserve"> sexual or labour exploitation, forced criminality, forced begging or the removal of their organs.</w:t>
      </w:r>
      <w:r>
        <w:rPr>
          <w:rStyle w:val="FootnoteReference"/>
        </w:rPr>
        <w:footnoteReference w:id="16"/>
      </w:r>
      <w:r>
        <w:t xml:space="preserve"> </w:t>
      </w:r>
      <w:r w:rsidR="009C0F3C">
        <w:t>People with disabil</w:t>
      </w:r>
      <w:r w:rsidR="004509E8">
        <w:t>it</w:t>
      </w:r>
      <w:r w:rsidR="009C0F3C">
        <w:t xml:space="preserve">ies are not explicitly mentioned in this legislation. </w:t>
      </w:r>
    </w:p>
    <w:p w14:paraId="19A50A6E" w14:textId="13BAC101" w:rsidR="00150945" w:rsidRDefault="00150945" w:rsidP="00150945">
      <w:pPr>
        <w:pStyle w:val="Heading2"/>
      </w:pPr>
      <w:bookmarkStart w:id="30" w:name="_Toc100231191"/>
      <w:r w:rsidRPr="00CB10B5">
        <w:lastRenderedPageBreak/>
        <w:t>UN Convention on the Elimination of all Forms of Discrimination against Women</w:t>
      </w:r>
      <w:bookmarkEnd w:id="30"/>
    </w:p>
    <w:p w14:paraId="0F9EC038" w14:textId="050F721C" w:rsidR="00150945" w:rsidRPr="00AA33EF" w:rsidRDefault="00150945" w:rsidP="00150945">
      <w:pPr>
        <w:rPr>
          <w:szCs w:val="26"/>
        </w:rPr>
      </w:pPr>
      <w:r>
        <w:rPr>
          <w:bCs/>
          <w:szCs w:val="26"/>
        </w:rPr>
        <w:t xml:space="preserve">The </w:t>
      </w:r>
      <w:r w:rsidRPr="00CB10B5">
        <w:rPr>
          <w:bCs/>
          <w:szCs w:val="26"/>
        </w:rPr>
        <w:t>UN Convention on the Elimination of all Forms of Discrimination against Women</w:t>
      </w:r>
      <w:r>
        <w:rPr>
          <w:bCs/>
          <w:szCs w:val="26"/>
        </w:rPr>
        <w:t xml:space="preserve"> </w:t>
      </w:r>
      <w:r w:rsidRPr="00CB10B5">
        <w:rPr>
          <w:szCs w:val="26"/>
        </w:rPr>
        <w:t>(CEDAW) is an international treaty on the</w:t>
      </w:r>
      <w:r w:rsidR="003B3B11">
        <w:rPr>
          <w:szCs w:val="26"/>
        </w:rPr>
        <w:t xml:space="preserve"> protection of</w:t>
      </w:r>
      <w:r w:rsidRPr="00CB10B5">
        <w:rPr>
          <w:szCs w:val="26"/>
        </w:rPr>
        <w:t xml:space="preserve"> human rights of women and girls, which defines discrimination against women, and lists what states need to do to end discrimination.</w:t>
      </w:r>
      <w:r>
        <w:rPr>
          <w:szCs w:val="26"/>
        </w:rPr>
        <w:t xml:space="preserve"> </w:t>
      </w:r>
      <w:r w:rsidRPr="00CB10B5">
        <w:rPr>
          <w:szCs w:val="26"/>
        </w:rPr>
        <w:t xml:space="preserve">Ireland signed and ratified CEDAW in 1985. </w:t>
      </w:r>
      <w:r>
        <w:rPr>
          <w:szCs w:val="26"/>
        </w:rPr>
        <w:t xml:space="preserve">A review of Ireland’s record under CEDAW was undertaken by the </w:t>
      </w:r>
      <w:r w:rsidRPr="00CB10B5">
        <w:rPr>
          <w:szCs w:val="26"/>
        </w:rPr>
        <w:t>UN’s CEDAW Committee</w:t>
      </w:r>
      <w:r>
        <w:rPr>
          <w:szCs w:val="26"/>
        </w:rPr>
        <w:t xml:space="preserve"> in 2017.</w:t>
      </w:r>
      <w:r w:rsidR="00A35974">
        <w:rPr>
          <w:rStyle w:val="FootnoteReference"/>
          <w:szCs w:val="26"/>
        </w:rPr>
        <w:footnoteReference w:id="17"/>
      </w:r>
      <w:r>
        <w:rPr>
          <w:szCs w:val="26"/>
        </w:rPr>
        <w:t xml:space="preserve"> </w:t>
      </w:r>
      <w:r w:rsidR="00DF177A">
        <w:rPr>
          <w:szCs w:val="26"/>
        </w:rPr>
        <w:t>From this review, the</w:t>
      </w:r>
      <w:r w:rsidRPr="00CB10B5">
        <w:rPr>
          <w:szCs w:val="26"/>
        </w:rPr>
        <w:t xml:space="preserve"> Committee recommended that Ireland take</w:t>
      </w:r>
      <w:r w:rsidRPr="00CB10B5">
        <w:rPr>
          <w:bCs/>
          <w:color w:val="000000"/>
          <w:szCs w:val="26"/>
        </w:rPr>
        <w:t xml:space="preserve"> measure</w:t>
      </w:r>
      <w:r>
        <w:rPr>
          <w:bCs/>
          <w:color w:val="000000"/>
          <w:szCs w:val="26"/>
        </w:rPr>
        <w:t xml:space="preserve">s to collect data </w:t>
      </w:r>
      <w:r w:rsidR="00DF177A">
        <w:rPr>
          <w:bCs/>
          <w:color w:val="000000"/>
          <w:szCs w:val="26"/>
        </w:rPr>
        <w:t>that could be</w:t>
      </w:r>
      <w:r w:rsidRPr="00CB10B5">
        <w:rPr>
          <w:bCs/>
          <w:color w:val="000000"/>
          <w:szCs w:val="26"/>
        </w:rPr>
        <w:t xml:space="preserve"> disaggregated by sex, gender, ethnicity, disability and age, in order to inform policy and programmes on women and girls, as well as assist in tracking progress in the achievement of the Sustainable Development Goals.</w:t>
      </w:r>
      <w:r>
        <w:rPr>
          <w:bCs/>
          <w:color w:val="000000"/>
          <w:szCs w:val="26"/>
        </w:rPr>
        <w:t xml:space="preserve"> In 2020, the</w:t>
      </w:r>
      <w:r w:rsidRPr="00150945">
        <w:rPr>
          <w:szCs w:val="26"/>
        </w:rPr>
        <w:t xml:space="preserve"> </w:t>
      </w:r>
      <w:r w:rsidRPr="00CB10B5">
        <w:rPr>
          <w:szCs w:val="26"/>
        </w:rPr>
        <w:t>CEDAW Committee</w:t>
      </w:r>
      <w:r w:rsidR="00AA33EF">
        <w:rPr>
          <w:szCs w:val="26"/>
        </w:rPr>
        <w:t xml:space="preserve"> adopted a new </w:t>
      </w:r>
      <w:r w:rsidR="00AA33EF" w:rsidRPr="00AA33EF">
        <w:rPr>
          <w:szCs w:val="26"/>
        </w:rPr>
        <w:t>General Recommendation on Trafficking of Women and Girls in the C</w:t>
      </w:r>
      <w:r w:rsidR="00AA33EF">
        <w:rPr>
          <w:szCs w:val="26"/>
        </w:rPr>
        <w:t>ontext of Global Migration.</w:t>
      </w:r>
      <w:r w:rsidR="00AA33EF">
        <w:rPr>
          <w:rStyle w:val="FootnoteReference"/>
          <w:szCs w:val="26"/>
        </w:rPr>
        <w:footnoteReference w:id="18"/>
      </w:r>
      <w:r w:rsidR="007156D0">
        <w:rPr>
          <w:szCs w:val="26"/>
        </w:rPr>
        <w:t xml:space="preserve"> This recommendation notes that women and girls most vulnerable to trafficking include those with disabilities. </w:t>
      </w:r>
    </w:p>
    <w:p w14:paraId="57CBF798" w14:textId="4AA33AE2" w:rsidR="00EF58EB" w:rsidRDefault="00EF58EB" w:rsidP="00EF58EB">
      <w:pPr>
        <w:pStyle w:val="Heading2"/>
      </w:pPr>
      <w:bookmarkStart w:id="31" w:name="_Toc100231192"/>
      <w:r w:rsidRPr="00EF58EB">
        <w:t>Protocol to Prevent, Suppress and Punish Trafficking in Persons Especially Women and Children</w:t>
      </w:r>
      <w:bookmarkEnd w:id="31"/>
    </w:p>
    <w:p w14:paraId="5773F4D5" w14:textId="7BD341CA" w:rsidR="00EF58EB" w:rsidRDefault="00EF58EB" w:rsidP="004F0F9F">
      <w:pPr>
        <w:tabs>
          <w:tab w:val="left" w:pos="975"/>
        </w:tabs>
      </w:pPr>
      <w:r w:rsidRPr="00EF58EB">
        <w:t>In 2010, Ireland ratified the Protocol to Prevent, Suppress and Punish Trafficking in Persons, especially Women and Children, which supplements the UN Convention against Transnational Organized Cr</w:t>
      </w:r>
      <w:r w:rsidR="00A76CDB">
        <w:t xml:space="preserve">ime (the Trafficking Protocol). </w:t>
      </w:r>
      <w:r w:rsidR="008C6D0F">
        <w:t xml:space="preserve">This </w:t>
      </w:r>
      <w:r w:rsidR="008C6D0F" w:rsidRPr="008C6D0F">
        <w:t xml:space="preserve">protocol commits </w:t>
      </w:r>
      <w:r w:rsidR="008C6D0F">
        <w:t xml:space="preserve">Ireland </w:t>
      </w:r>
      <w:r w:rsidR="008C6D0F" w:rsidRPr="008C6D0F">
        <w:t xml:space="preserve">to prevent and combat </w:t>
      </w:r>
      <w:r w:rsidR="008C6D0F">
        <w:t xml:space="preserve">human </w:t>
      </w:r>
      <w:r w:rsidR="008C6D0F" w:rsidRPr="008C6D0F">
        <w:t>trafficking</w:t>
      </w:r>
      <w:r w:rsidR="008C6D0F">
        <w:t xml:space="preserve">, protect and support </w:t>
      </w:r>
      <w:r w:rsidR="008C6D0F" w:rsidRPr="008C6D0F">
        <w:t>vict</w:t>
      </w:r>
      <w:r w:rsidR="008C6D0F">
        <w:t xml:space="preserve">ims of trafficking and </w:t>
      </w:r>
      <w:r w:rsidR="008C6D0F" w:rsidRPr="008C6D0F">
        <w:t>cooperat</w:t>
      </w:r>
      <w:r w:rsidR="008C6D0F">
        <w:t>e with other states against trafficking.</w:t>
      </w:r>
    </w:p>
    <w:p w14:paraId="02519AB5" w14:textId="633592ED" w:rsidR="00150945" w:rsidRDefault="00EF58EB" w:rsidP="00EF58EB">
      <w:pPr>
        <w:pStyle w:val="Heading2"/>
      </w:pPr>
      <w:bookmarkStart w:id="32" w:name="_Toc100231193"/>
      <w:r w:rsidRPr="00EF58EB">
        <w:lastRenderedPageBreak/>
        <w:t>Council of Europe Convention on Action agai</w:t>
      </w:r>
      <w:r>
        <w:t>nst Trafficking in Human Beings</w:t>
      </w:r>
      <w:bookmarkEnd w:id="32"/>
    </w:p>
    <w:p w14:paraId="5BF70A1D" w14:textId="73256300" w:rsidR="008C6D0F" w:rsidRDefault="008C6D0F" w:rsidP="008C6D0F">
      <w:pPr>
        <w:tabs>
          <w:tab w:val="left" w:pos="975"/>
        </w:tabs>
      </w:pPr>
      <w:r>
        <w:t xml:space="preserve">In 2010, Ireland also </w:t>
      </w:r>
      <w:r w:rsidRPr="00EF58EB">
        <w:t>ratified the</w:t>
      </w:r>
      <w:r>
        <w:t xml:space="preserve"> </w:t>
      </w:r>
      <w:r w:rsidR="004152DB" w:rsidRPr="004152DB">
        <w:t>Council of Europe Convention on Action against Trafficking in Human Beings</w:t>
      </w:r>
      <w:r w:rsidR="004152DB">
        <w:t xml:space="preserve">. </w:t>
      </w:r>
      <w:r w:rsidR="00935750">
        <w:t xml:space="preserve">This also commits Ireland to prevent and combat all forms of human trafficking, to protect and support victims and witnesses of trafficking, to effectively investigate and prosecute human trafficking and to co-operate internationally in efforts against human trafficking. </w:t>
      </w:r>
    </w:p>
    <w:p w14:paraId="3BEA41D3" w14:textId="568BF3EB" w:rsidR="008F773E" w:rsidRDefault="008F773E" w:rsidP="008F773E">
      <w:pPr>
        <w:pStyle w:val="Heading2"/>
      </w:pPr>
      <w:bookmarkStart w:id="33" w:name="_Toc100231194"/>
      <w:r>
        <w:t>Human Rights Council’s Universal Period Review</w:t>
      </w:r>
      <w:bookmarkEnd w:id="33"/>
    </w:p>
    <w:p w14:paraId="66FE7BE1" w14:textId="4D4478B1" w:rsidR="00C34F59" w:rsidRPr="008F773E" w:rsidRDefault="00AD0AFB" w:rsidP="00B768DD">
      <w:r>
        <w:t xml:space="preserve">Ireland has recently undergone its third Universal Period Review, a process whereby all UN Member States review the human rights records of other states. </w:t>
      </w:r>
      <w:r w:rsidR="00815528">
        <w:t>M</w:t>
      </w:r>
      <w:r>
        <w:t>any of the recommendations from other countries</w:t>
      </w:r>
      <w:r w:rsidR="00815528">
        <w:t xml:space="preserve"> in the</w:t>
      </w:r>
      <w:r w:rsidR="00013F54">
        <w:t xml:space="preserve"> </w:t>
      </w:r>
      <w:r w:rsidR="00815528">
        <w:t>2016 review</w:t>
      </w:r>
      <w:r>
        <w:t xml:space="preserve"> were </w:t>
      </w:r>
      <w:r w:rsidR="001B046E">
        <w:t>for</w:t>
      </w:r>
      <w:r>
        <w:t xml:space="preserve"> Ireland </w:t>
      </w:r>
      <w:r w:rsidR="001B046E">
        <w:t>to ratify</w:t>
      </w:r>
      <w:r>
        <w:t xml:space="preserve"> the UNCRPD.</w:t>
      </w:r>
      <w:r w:rsidR="007E3C77">
        <w:rPr>
          <w:rStyle w:val="FootnoteReference"/>
        </w:rPr>
        <w:footnoteReference w:id="19"/>
      </w:r>
      <w:r>
        <w:t xml:space="preserve"> In </w:t>
      </w:r>
      <w:r w:rsidR="00BD2255">
        <w:t xml:space="preserve">its submission to </w:t>
      </w:r>
      <w:r>
        <w:t xml:space="preserve">the 2021 review, IHREC recommended that Ireland ensure services </w:t>
      </w:r>
      <w:r w:rsidR="00950E97">
        <w:t>for</w:t>
      </w:r>
      <w:r>
        <w:t xml:space="preserve"> victims of violence </w:t>
      </w:r>
      <w:r w:rsidR="00950E97">
        <w:t>are not limited by geography or disability access.</w:t>
      </w:r>
      <w:r w:rsidR="007E3C77">
        <w:rPr>
          <w:rStyle w:val="FootnoteReference"/>
        </w:rPr>
        <w:footnoteReference w:id="20"/>
      </w:r>
      <w:r w:rsidR="00950E97">
        <w:t xml:space="preserve"> </w:t>
      </w:r>
      <w:r w:rsidR="001B046E">
        <w:t xml:space="preserve">It </w:t>
      </w:r>
      <w:r w:rsidR="00950E97">
        <w:t xml:space="preserve">noted that there were particularly limited support services available in rural locations. The Committee against Torture noted </w:t>
      </w:r>
      <w:r w:rsidR="001B046E">
        <w:t>its</w:t>
      </w:r>
      <w:r w:rsidR="00950E97">
        <w:t xml:space="preserve"> concern of reports likening residential care settings for older persons and other </w:t>
      </w:r>
      <w:r w:rsidR="00BD2255">
        <w:t xml:space="preserve">vulnerable adults to detention centres and recommended that </w:t>
      </w:r>
      <w:r w:rsidR="00C34F59">
        <w:t xml:space="preserve">allegations of </w:t>
      </w:r>
      <w:r w:rsidR="00BD2255">
        <w:t>ill-treatment</w:t>
      </w:r>
      <w:r w:rsidR="00C34F59">
        <w:t xml:space="preserve"> in residential care settings </w:t>
      </w:r>
      <w:r w:rsidR="00BD2255">
        <w:t>be</w:t>
      </w:r>
      <w:r w:rsidR="00C34F59">
        <w:t xml:space="preserve"> effectively investigated, perpetrators prosecuted, and victims provided with redress.</w:t>
      </w:r>
      <w:r w:rsidR="00A35974">
        <w:rPr>
          <w:rStyle w:val="FootnoteReference"/>
        </w:rPr>
        <w:footnoteReference w:id="21"/>
      </w:r>
      <w:r w:rsidR="00BD2255">
        <w:t xml:space="preserve"> The final report</w:t>
      </w:r>
      <w:r w:rsidR="0042512B">
        <w:t>s</w:t>
      </w:r>
      <w:r w:rsidR="00BD2255">
        <w:t xml:space="preserve"> </w:t>
      </w:r>
      <w:r w:rsidR="001B046E">
        <w:t>f</w:t>
      </w:r>
      <w:r w:rsidR="00BD2255">
        <w:t>or</w:t>
      </w:r>
      <w:r w:rsidR="0042512B">
        <w:t xml:space="preserve"> the</w:t>
      </w:r>
      <w:r w:rsidR="00BD2255">
        <w:t xml:space="preserve"> 2021</w:t>
      </w:r>
      <w:r w:rsidR="0042512B">
        <w:t xml:space="preserve"> review are</w:t>
      </w:r>
      <w:r w:rsidR="00BD2255">
        <w:t xml:space="preserve"> not yet available.</w:t>
      </w:r>
      <w:r w:rsidR="007E3C77">
        <w:rPr>
          <w:rStyle w:val="FootnoteReference"/>
        </w:rPr>
        <w:footnoteReference w:id="22"/>
      </w:r>
    </w:p>
    <w:p w14:paraId="74DC21CD" w14:textId="7501F06E" w:rsidR="00B862EE" w:rsidRDefault="00B862EE" w:rsidP="00B862EE">
      <w:pPr>
        <w:pStyle w:val="Heading2"/>
      </w:pPr>
      <w:bookmarkStart w:id="34" w:name="_Toc100231195"/>
      <w:r w:rsidRPr="00A738CA">
        <w:lastRenderedPageBreak/>
        <w:t>Criminal Justice (Female Genital Mutilation) Act 2012</w:t>
      </w:r>
      <w:bookmarkEnd w:id="34"/>
      <w:r w:rsidRPr="00A738CA">
        <w:t xml:space="preserve"> </w:t>
      </w:r>
    </w:p>
    <w:p w14:paraId="6AABEAAD" w14:textId="4717754D" w:rsidR="00E7268D" w:rsidRDefault="00E7268D" w:rsidP="00E7268D">
      <w:r w:rsidRPr="00A738CA">
        <w:t>The Criminal Justice (Female Genital Mutilation) Act 2012 makes it a criminal offence</w:t>
      </w:r>
      <w:r>
        <w:t xml:space="preserve"> to engage in, or attempt to engage in genital mutilation of a girl or woman, or to remove or attempt to remove a girl or woman from Ireland for the purpose of mutilating her genitals elsewhere. </w:t>
      </w:r>
    </w:p>
    <w:p w14:paraId="1341532C" w14:textId="19CA13DA" w:rsidR="00E7268D" w:rsidRPr="00B17EB3" w:rsidRDefault="009C2484" w:rsidP="00E7268D">
      <w:pPr>
        <w:pStyle w:val="Heading2"/>
      </w:pPr>
      <w:bookmarkStart w:id="35" w:name="_Toc52376424"/>
      <w:bookmarkStart w:id="36" w:name="_Toc66194762"/>
      <w:bookmarkStart w:id="37" w:name="_Toc100231196"/>
      <w:r>
        <w:t>National h</w:t>
      </w:r>
      <w:r w:rsidR="00E7268D" w:rsidRPr="00B17EB3">
        <w:t xml:space="preserve">ate </w:t>
      </w:r>
      <w:r>
        <w:t>c</w:t>
      </w:r>
      <w:r w:rsidR="00E7268D" w:rsidRPr="00B17EB3">
        <w:t>rime</w:t>
      </w:r>
      <w:r>
        <w:t xml:space="preserve"> l</w:t>
      </w:r>
      <w:r w:rsidR="00E7268D" w:rsidRPr="00B17EB3">
        <w:t>egislation</w:t>
      </w:r>
      <w:bookmarkEnd w:id="35"/>
      <w:bookmarkEnd w:id="36"/>
      <w:bookmarkEnd w:id="37"/>
    </w:p>
    <w:p w14:paraId="0E4CF5A9" w14:textId="2C298349" w:rsidR="007562D7" w:rsidRPr="003B72F4" w:rsidRDefault="007562D7" w:rsidP="007562D7">
      <w:pPr>
        <w:rPr>
          <w:rStyle w:val="Style1Char"/>
          <w:rFonts w:eastAsiaTheme="minorHAnsi"/>
        </w:rPr>
      </w:pPr>
      <w:r>
        <w:rPr>
          <w:rStyle w:val="Style1Char"/>
          <w:rFonts w:eastAsiaTheme="minorHAnsi"/>
        </w:rPr>
        <w:t>At the time of writing, there is no Irish l</w:t>
      </w:r>
      <w:r w:rsidRPr="00582942">
        <w:rPr>
          <w:rStyle w:val="Style1Char"/>
          <w:rFonts w:eastAsiaTheme="minorHAnsi"/>
        </w:rPr>
        <w:t xml:space="preserve">egislation </w:t>
      </w:r>
      <w:r>
        <w:rPr>
          <w:rStyle w:val="Style1Char"/>
          <w:rFonts w:eastAsiaTheme="minorHAnsi"/>
        </w:rPr>
        <w:t>in place</w:t>
      </w:r>
      <w:r w:rsidRPr="00582942">
        <w:rPr>
          <w:rStyle w:val="Style1Char"/>
          <w:rFonts w:eastAsiaTheme="minorHAnsi"/>
        </w:rPr>
        <w:t xml:space="preserve"> to prohibit incitement to discriminati</w:t>
      </w:r>
      <w:r w:rsidR="00DF177A">
        <w:rPr>
          <w:rStyle w:val="Style1Char"/>
          <w:rFonts w:eastAsiaTheme="minorHAnsi"/>
        </w:rPr>
        <w:t xml:space="preserve">on, hostility and violence and </w:t>
      </w:r>
      <w:r w:rsidRPr="00582942">
        <w:rPr>
          <w:rStyle w:val="Style1Char"/>
          <w:rFonts w:eastAsiaTheme="minorHAnsi"/>
        </w:rPr>
        <w:t xml:space="preserve">hate speech </w:t>
      </w:r>
      <w:r>
        <w:rPr>
          <w:rStyle w:val="Style1Char"/>
          <w:rFonts w:eastAsiaTheme="minorHAnsi"/>
        </w:rPr>
        <w:t xml:space="preserve">that </w:t>
      </w:r>
      <w:r w:rsidRPr="00582942">
        <w:rPr>
          <w:rStyle w:val="Style1Char"/>
          <w:rFonts w:eastAsiaTheme="minorHAnsi"/>
        </w:rPr>
        <w:t>explicitly include</w:t>
      </w:r>
      <w:r>
        <w:rPr>
          <w:rStyle w:val="Style1Char"/>
          <w:rFonts w:eastAsiaTheme="minorHAnsi"/>
        </w:rPr>
        <w:t>s</w:t>
      </w:r>
      <w:r w:rsidRPr="00582942">
        <w:rPr>
          <w:rStyle w:val="Style1Char"/>
          <w:rFonts w:eastAsiaTheme="minorHAnsi"/>
        </w:rPr>
        <w:t xml:space="preserve"> disability </w:t>
      </w:r>
      <w:r>
        <w:rPr>
          <w:rStyle w:val="Style1Char"/>
          <w:rFonts w:eastAsiaTheme="minorHAnsi"/>
        </w:rPr>
        <w:t xml:space="preserve">as a protected ground. </w:t>
      </w:r>
      <w:r w:rsidRPr="00E33BAD">
        <w:rPr>
          <w:rStyle w:val="Style1Char"/>
          <w:rFonts w:eastAsiaTheme="minorHAnsi"/>
        </w:rPr>
        <w:t>The Prohibition</w:t>
      </w:r>
      <w:r>
        <w:rPr>
          <w:rStyle w:val="Style1Char"/>
          <w:rFonts w:eastAsiaTheme="minorHAnsi"/>
        </w:rPr>
        <w:t xml:space="preserve"> </w:t>
      </w:r>
      <w:r w:rsidRPr="00E33BAD">
        <w:rPr>
          <w:rStyle w:val="Style1Char"/>
          <w:rFonts w:eastAsiaTheme="minorHAnsi"/>
        </w:rPr>
        <w:t>of Incitement to Hatred Act 1989</w:t>
      </w:r>
      <w:r>
        <w:rPr>
          <w:rStyle w:val="Style1Char"/>
          <w:rFonts w:eastAsiaTheme="minorHAnsi"/>
        </w:rPr>
        <w:t xml:space="preserve"> deals with hate-based offences in Ireland but disability is not one of the grounds covered. However, t</w:t>
      </w:r>
      <w:r w:rsidRPr="002D56CA">
        <w:rPr>
          <w:rStyle w:val="Style1Char"/>
          <w:color w:val="auto"/>
          <w:szCs w:val="24"/>
          <w:shd w:val="clear" w:color="auto" w:fill="auto"/>
        </w:rPr>
        <w:t>he Genera</w:t>
      </w:r>
      <w:r w:rsidRPr="003B72F4">
        <w:rPr>
          <w:rStyle w:val="Style1Char"/>
          <w:color w:val="auto"/>
          <w:szCs w:val="24"/>
          <w:shd w:val="clear" w:color="auto" w:fill="auto"/>
        </w:rPr>
        <w:t>l Scheme of the Criminal Justice (Hate Crime) Bill 2</w:t>
      </w:r>
      <w:r w:rsidRPr="003B72F4">
        <w:rPr>
          <w:rStyle w:val="Style1Char"/>
          <w:rFonts w:eastAsiaTheme="minorHAnsi"/>
        </w:rPr>
        <w:t>021 was published in April 2021 and in this</w:t>
      </w:r>
      <w:r w:rsidR="00F66E4F">
        <w:rPr>
          <w:rStyle w:val="Style1Char"/>
          <w:rFonts w:eastAsiaTheme="minorHAnsi"/>
        </w:rPr>
        <w:t xml:space="preserve"> forthcoming</w:t>
      </w:r>
      <w:r w:rsidRPr="003B72F4">
        <w:rPr>
          <w:rStyle w:val="Style1Char"/>
          <w:rFonts w:eastAsiaTheme="minorHAnsi"/>
        </w:rPr>
        <w:t xml:space="preserve"> hate crime legislation, disability is considered a protected characteristic.</w:t>
      </w:r>
      <w:r>
        <w:rPr>
          <w:rStyle w:val="Style1Char"/>
          <w:rFonts w:eastAsiaTheme="minorHAnsi"/>
          <w:i/>
        </w:rPr>
        <w:t xml:space="preserve"> </w:t>
      </w:r>
    </w:p>
    <w:p w14:paraId="129C9C83" w14:textId="6C3ED02E" w:rsidR="005979F4" w:rsidRPr="00E11E96" w:rsidRDefault="005979F4" w:rsidP="00A907AD">
      <w:pPr>
        <w:pStyle w:val="Heading2"/>
      </w:pPr>
      <w:bookmarkStart w:id="38" w:name="_Toc100231197"/>
      <w:r w:rsidRPr="00E11E96">
        <w:t>Criminal Justice (Withholding of Information on Offences against Children and Vulnerable Persons) Act 2012</w:t>
      </w:r>
      <w:bookmarkEnd w:id="38"/>
    </w:p>
    <w:p w14:paraId="1D2CFB73" w14:textId="76A7F1CF" w:rsidR="005979F4" w:rsidRDefault="005979F4" w:rsidP="005979F4">
      <w:r w:rsidRPr="00E11E96">
        <w:t>The</w:t>
      </w:r>
      <w:r w:rsidR="00BD43E0" w:rsidRPr="00E11E96">
        <w:t xml:space="preserve"> Criminal Justice (Withholding of Information on Offences against Children and Vulnerable Persons) Act 2012 </w:t>
      </w:r>
      <w:r w:rsidRPr="00E11E96">
        <w:t>creates a</w:t>
      </w:r>
      <w:r w:rsidR="00BD43E0" w:rsidRPr="00E11E96">
        <w:t xml:space="preserve"> </w:t>
      </w:r>
      <w:r w:rsidRPr="00E11E96">
        <w:rPr>
          <w:bCs/>
        </w:rPr>
        <w:t>criminal offence</w:t>
      </w:r>
      <w:r w:rsidR="00BD43E0" w:rsidRPr="00E11E96">
        <w:rPr>
          <w:bCs/>
        </w:rPr>
        <w:t xml:space="preserve"> </w:t>
      </w:r>
      <w:r w:rsidRPr="00E11E96">
        <w:t>of</w:t>
      </w:r>
      <w:r w:rsidR="00BD43E0" w:rsidRPr="00E11E96">
        <w:t xml:space="preserve"> </w:t>
      </w:r>
      <w:r w:rsidRPr="00E11E96">
        <w:rPr>
          <w:bCs/>
        </w:rPr>
        <w:t>withholding information</w:t>
      </w:r>
      <w:r w:rsidR="00BD43E0" w:rsidRPr="00E11E96">
        <w:rPr>
          <w:bCs/>
        </w:rPr>
        <w:t xml:space="preserve"> </w:t>
      </w:r>
      <w:r w:rsidRPr="00E11E96">
        <w:t>relating to the commission of a serious</w:t>
      </w:r>
      <w:r w:rsidR="00BD43E0" w:rsidRPr="00E11E96">
        <w:t xml:space="preserve"> </w:t>
      </w:r>
      <w:r w:rsidRPr="00E11E96">
        <w:rPr>
          <w:bCs/>
        </w:rPr>
        <w:t xml:space="preserve">offence, including a sexual offence, against a person </w:t>
      </w:r>
      <w:r w:rsidRPr="00E11E96">
        <w:t>under 18 years</w:t>
      </w:r>
      <w:r w:rsidR="00BD43E0" w:rsidRPr="00E11E96">
        <w:t xml:space="preserve"> and vulnerable adults, including those with a disability</w:t>
      </w:r>
      <w:r w:rsidRPr="00E11E96">
        <w:t>.</w:t>
      </w:r>
    </w:p>
    <w:p w14:paraId="0096ABA1" w14:textId="4A8CEF6B" w:rsidR="00DE3D85" w:rsidRDefault="00C42F08" w:rsidP="00DE3D85">
      <w:pPr>
        <w:pStyle w:val="Heading2"/>
      </w:pPr>
      <w:bookmarkStart w:id="39" w:name="_Toc100231198"/>
      <w:r>
        <w:t>National s</w:t>
      </w:r>
      <w:r w:rsidR="00DE3D85">
        <w:t xml:space="preserve">afeguarding </w:t>
      </w:r>
      <w:r>
        <w:t>l</w:t>
      </w:r>
      <w:r w:rsidR="00DE3D85">
        <w:t>egislation</w:t>
      </w:r>
      <w:bookmarkEnd w:id="39"/>
    </w:p>
    <w:p w14:paraId="4545C6B5" w14:textId="5B4EF988" w:rsidR="000C6B7F" w:rsidRDefault="000C6B7F" w:rsidP="000C6B7F">
      <w:r>
        <w:t xml:space="preserve">The Adult Safeguarding Bill 2017 was introduced as a Private Member’s Bill </w:t>
      </w:r>
      <w:r w:rsidR="00C42F08">
        <w:t>to</w:t>
      </w:r>
      <w:r>
        <w:t xml:space="preserve"> Seanad Éireann in 2017. This Bill proposes a rights-based regulatory framework for adult safeguarding as well as protections and supports for adults</w:t>
      </w:r>
      <w:r w:rsidR="00C42F08">
        <w:t xml:space="preserve"> who are unable to protect themselves or who might be at risk of exploitation or abuse. </w:t>
      </w:r>
      <w:r w:rsidR="00626481">
        <w:t xml:space="preserve">Although this Bill made some progress, it was </w:t>
      </w:r>
      <w:r w:rsidR="00626481">
        <w:lastRenderedPageBreak/>
        <w:t>eventually agreed by the Joint Oireachtas Committee on Health that it required further research.</w:t>
      </w:r>
      <w:r w:rsidR="00626481">
        <w:rPr>
          <w:rStyle w:val="FootnoteReference"/>
        </w:rPr>
        <w:footnoteReference w:id="23"/>
      </w:r>
      <w:r w:rsidR="00626481">
        <w:t xml:space="preserve"> </w:t>
      </w:r>
      <w:r>
        <w:t xml:space="preserve">This research </w:t>
      </w:r>
      <w:r w:rsidR="00B83F0F">
        <w:t>was</w:t>
      </w:r>
      <w:r>
        <w:t xml:space="preserve"> undertaken by the Law Reform Commission in their </w:t>
      </w:r>
      <w:r w:rsidRPr="000C6B7F">
        <w:t>Issues Paper on A Regulatory Framework for Adult Safeguarding</w:t>
      </w:r>
      <w:r w:rsidR="003B3B11">
        <w:t>, which was followed by a public consultation</w:t>
      </w:r>
      <w:r>
        <w:t>.</w:t>
      </w:r>
      <w:r w:rsidR="00626481">
        <w:rPr>
          <w:rStyle w:val="FootnoteReference"/>
        </w:rPr>
        <w:footnoteReference w:id="24"/>
      </w:r>
      <w:r w:rsidR="00F50DF1">
        <w:t xml:space="preserve"> Law Reform Commission is currently finalising a report on this project, informed by the submissions it received.</w:t>
      </w:r>
      <w:r w:rsidR="00B07134">
        <w:rPr>
          <w:rStyle w:val="FootnoteReference"/>
        </w:rPr>
        <w:footnoteReference w:id="25"/>
      </w:r>
      <w:r>
        <w:t xml:space="preserve"> </w:t>
      </w:r>
      <w:r w:rsidR="00790582">
        <w:t>At present, the</w:t>
      </w:r>
      <w:r w:rsidR="00790582" w:rsidRPr="00790582">
        <w:t xml:space="preserve"> Department of Health is developing a national policy on adult safeguarding in the health and social care sector</w:t>
      </w:r>
      <w:r w:rsidR="00790582">
        <w:t xml:space="preserve"> and it is intended that this policy will be underpinned by legislation</w:t>
      </w:r>
      <w:r w:rsidR="00134978">
        <w:t>, but the timeline for this is unclear</w:t>
      </w:r>
      <w:r w:rsidR="00790582">
        <w:t>.</w:t>
      </w:r>
      <w:r w:rsidR="00626481">
        <w:rPr>
          <w:rStyle w:val="FootnoteReference"/>
        </w:rPr>
        <w:footnoteReference w:id="26"/>
      </w:r>
      <w:r w:rsidR="00790582">
        <w:t xml:space="preserve"> </w:t>
      </w:r>
    </w:p>
    <w:p w14:paraId="387399D1" w14:textId="77777777" w:rsidR="003E05C7" w:rsidRDefault="003E05C7" w:rsidP="003E05C7">
      <w:pPr>
        <w:pStyle w:val="Heading2"/>
      </w:pPr>
      <w:bookmarkStart w:id="40" w:name="_Toc100231199"/>
      <w:r>
        <w:t>National corporal punishment legislation</w:t>
      </w:r>
      <w:bookmarkEnd w:id="40"/>
    </w:p>
    <w:p w14:paraId="45E0B84C" w14:textId="01151368" w:rsidR="003E05C7" w:rsidRDefault="003E05C7" w:rsidP="003E05C7">
      <w:r>
        <w:t xml:space="preserve">The </w:t>
      </w:r>
      <w:r w:rsidRPr="00FB53EB">
        <w:t>1996 Offences Against the Person (Non Fatal) Act</w:t>
      </w:r>
      <w:r>
        <w:t xml:space="preserve"> included provisions to make corporal punishment in schools illegal. The Children First Act 2015 then explicitly repealed the common law defence of ‘reasonable chastisement’ of children, making corporal punishment unlawful in all settings, including the home.</w:t>
      </w:r>
    </w:p>
    <w:p w14:paraId="7D060668" w14:textId="1BCE4F8A" w:rsidR="00E11E96" w:rsidRPr="009E154D" w:rsidRDefault="00E11E96" w:rsidP="00E11E96">
      <w:pPr>
        <w:pStyle w:val="Heading2"/>
      </w:pPr>
      <w:bookmarkStart w:id="41" w:name="_Toc100231200"/>
      <w:r w:rsidRPr="009E154D">
        <w:lastRenderedPageBreak/>
        <w:t>Child and Family Agency Act 2013</w:t>
      </w:r>
      <w:bookmarkEnd w:id="41"/>
    </w:p>
    <w:p w14:paraId="6B30BB37" w14:textId="142AD3E1" w:rsidR="00E11E96" w:rsidRPr="009E154D" w:rsidRDefault="00E11E96" w:rsidP="004F0F9F">
      <w:r w:rsidRPr="009E154D">
        <w:t>The 2013 Act provided for the establishment of the Child and Family Agency, named Tusla. The 2013 Act vests statutory responsibility for the provision of specified child and family services in the Child and Family Agency, including to manage and deliver or arrange to have delivered on its behalf, services to support and promote the development, welfare and protection of children; and to support and encourage the effective functioning of families.</w:t>
      </w:r>
      <w:r w:rsidR="001072A9">
        <w:t xml:space="preserve"> The Child and Family Agency’s services include a range of </w:t>
      </w:r>
      <w:r w:rsidR="004F0F9F">
        <w:t>universal and targeted services including c</w:t>
      </w:r>
      <w:r w:rsidR="001072A9">
        <w:t xml:space="preserve">hild </w:t>
      </w:r>
      <w:r w:rsidR="004F0F9F">
        <w:t>protection and welfare services</w:t>
      </w:r>
      <w:r w:rsidR="001072A9">
        <w:t xml:space="preserve"> and</w:t>
      </w:r>
      <w:r w:rsidR="004F0F9F">
        <w:t xml:space="preserve"> d</w:t>
      </w:r>
      <w:r w:rsidR="001072A9">
        <w:t>omestic, sexual and gender-based violence services.</w:t>
      </w:r>
    </w:p>
    <w:p w14:paraId="08302448" w14:textId="7AC915D0" w:rsidR="00E11E96" w:rsidRPr="00233A82" w:rsidRDefault="00E11E96" w:rsidP="00E11E96">
      <w:pPr>
        <w:pStyle w:val="Heading2"/>
      </w:pPr>
      <w:bookmarkStart w:id="42" w:name="_Toc100231201"/>
      <w:r w:rsidRPr="00233A82">
        <w:t>Child Care Act 1991</w:t>
      </w:r>
      <w:bookmarkEnd w:id="42"/>
    </w:p>
    <w:p w14:paraId="39EC8259" w14:textId="5CA3FD81" w:rsidR="00E11E96" w:rsidRPr="00233A82" w:rsidRDefault="00E11E96" w:rsidP="00E11E96">
      <w:r w:rsidRPr="00233A82">
        <w:t xml:space="preserve">The Child Care Act 1991as amended is a wide-ranging piece of legislation which seeks to promote the welfare of children who may not receive adequate care and protection. The legislation </w:t>
      </w:r>
      <w:r w:rsidR="00B83F0F">
        <w:t>includes</w:t>
      </w:r>
      <w:r w:rsidRPr="00233A82">
        <w:t>:</w:t>
      </w:r>
    </w:p>
    <w:p w14:paraId="41515FE8" w14:textId="294529AA" w:rsidR="00E11E96" w:rsidRPr="00233A82" w:rsidRDefault="00B83F0F" w:rsidP="00E11E96">
      <w:pPr>
        <w:pStyle w:val="ListBullet"/>
        <w:numPr>
          <w:ilvl w:val="0"/>
          <w:numId w:val="1"/>
        </w:numPr>
      </w:pPr>
      <w:r>
        <w:t xml:space="preserve">the </w:t>
      </w:r>
      <w:r w:rsidR="00E11E96" w:rsidRPr="00233A82">
        <w:t>promotion of welfare of children, including the relevant functions of Tusla, the Child and Family Agency</w:t>
      </w:r>
    </w:p>
    <w:p w14:paraId="69D91D5F" w14:textId="539275AC" w:rsidR="00E11E96" w:rsidRPr="00233A82" w:rsidRDefault="00E11E96" w:rsidP="00E11E96">
      <w:pPr>
        <w:pStyle w:val="ListBullet"/>
        <w:numPr>
          <w:ilvl w:val="0"/>
          <w:numId w:val="1"/>
        </w:numPr>
      </w:pPr>
      <w:r w:rsidRPr="00233A82">
        <w:t>protection of children in emergencies, including section 12 which governs the powers of An Garda Síochána to take a child to safety</w:t>
      </w:r>
      <w:r w:rsidR="00B83F0F">
        <w:t xml:space="preserve">, </w:t>
      </w:r>
    </w:p>
    <w:p w14:paraId="4948BA66" w14:textId="60DBF718" w:rsidR="00E11E96" w:rsidRPr="00233A82" w:rsidRDefault="00E11E96" w:rsidP="00E11E96">
      <w:pPr>
        <w:pStyle w:val="ListBullet"/>
        <w:numPr>
          <w:ilvl w:val="0"/>
          <w:numId w:val="1"/>
        </w:numPr>
      </w:pPr>
      <w:r w:rsidRPr="00233A82">
        <w:t xml:space="preserve">care proceedings, </w:t>
      </w:r>
      <w:r w:rsidR="00B83F0F">
        <w:t>and</w:t>
      </w:r>
    </w:p>
    <w:p w14:paraId="35505C8C" w14:textId="77777777" w:rsidR="00B83F0F" w:rsidRDefault="00E11E96" w:rsidP="00E11E96">
      <w:pPr>
        <w:pStyle w:val="ListBullet"/>
        <w:numPr>
          <w:ilvl w:val="0"/>
          <w:numId w:val="1"/>
        </w:numPr>
      </w:pPr>
      <w:r w:rsidRPr="00233A82">
        <w:t>children in need of special care or protection</w:t>
      </w:r>
      <w:r w:rsidR="00B83F0F">
        <w:t xml:space="preserve">. </w:t>
      </w:r>
    </w:p>
    <w:p w14:paraId="362CDF08" w14:textId="62C18677" w:rsidR="00E11E96" w:rsidRPr="00B83F0F" w:rsidRDefault="00E11E96" w:rsidP="00BD13BF">
      <w:r w:rsidRPr="00B83F0F">
        <w:t>A review of the Child Care Act 1991 is ongoing.</w:t>
      </w:r>
      <w:r w:rsidRPr="00233A82">
        <w:rPr>
          <w:rStyle w:val="FootnoteReference"/>
        </w:rPr>
        <w:footnoteReference w:id="27"/>
      </w:r>
    </w:p>
    <w:p w14:paraId="20D6A753" w14:textId="14F716EF" w:rsidR="005979F4" w:rsidRPr="008952BC" w:rsidRDefault="005979F4" w:rsidP="00A907AD">
      <w:pPr>
        <w:pStyle w:val="Heading2"/>
      </w:pPr>
      <w:bookmarkStart w:id="43" w:name="_Toc100231202"/>
      <w:r w:rsidRPr="008952BC">
        <w:lastRenderedPageBreak/>
        <w:t>Children First Act 2015</w:t>
      </w:r>
      <w:bookmarkEnd w:id="43"/>
    </w:p>
    <w:p w14:paraId="08A4CDE5" w14:textId="50E4BF46" w:rsidR="00FB53EB" w:rsidRDefault="005979F4" w:rsidP="005979F4">
      <w:r w:rsidRPr="008952BC">
        <w:t>The Children First Act 2015 introduced statutory obligations for professionals and organisations who provide a service to children and families to report to Tusla where there are reasonable grounds to suspect that a child has been harmed, is being harmed</w:t>
      </w:r>
      <w:r w:rsidR="002808B8">
        <w:t xml:space="preserve"> or is at risk of being harmed.</w:t>
      </w:r>
      <w:r w:rsidR="006B20B4">
        <w:t xml:space="preserve"> </w:t>
      </w:r>
    </w:p>
    <w:p w14:paraId="30F6A8CE" w14:textId="3A233EF4" w:rsidR="00E11E96" w:rsidRPr="005B1931" w:rsidRDefault="00E11E96" w:rsidP="00E11E96">
      <w:pPr>
        <w:pStyle w:val="Heading2"/>
      </w:pPr>
      <w:bookmarkStart w:id="44" w:name="_Toc100231203"/>
      <w:r w:rsidRPr="005B1931">
        <w:t>National Vetting Bureau (Children and Vulnerable Persons) Act 2012</w:t>
      </w:r>
      <w:bookmarkEnd w:id="44"/>
      <w:r w:rsidRPr="005B1931">
        <w:t xml:space="preserve"> </w:t>
      </w:r>
    </w:p>
    <w:p w14:paraId="01B6A52E" w14:textId="2BA958E1" w:rsidR="00E11E96" w:rsidRPr="005B1931" w:rsidRDefault="00E11E96" w:rsidP="00E11E96">
      <w:r w:rsidRPr="005B1931">
        <w:t xml:space="preserve">The National Vetting Bureau (Children and Vulnerable Persons) Act 2012 provides a statutory basis for the vetting of persons carrying out relevant work with children or vulnerable persons, including persons with a disability. </w:t>
      </w:r>
    </w:p>
    <w:p w14:paraId="24ED61E9" w14:textId="77777777" w:rsidR="003047EA" w:rsidRPr="003047EA" w:rsidRDefault="00F66E4F" w:rsidP="003047EA">
      <w:pPr>
        <w:pStyle w:val="Heading2"/>
        <w:rPr>
          <w:b w:val="0"/>
        </w:rPr>
      </w:pPr>
      <w:bookmarkStart w:id="45" w:name="_Toc100231204"/>
      <w:r w:rsidRPr="003047EA">
        <w:rPr>
          <w:rStyle w:val="Heading2Char"/>
          <w:b/>
        </w:rPr>
        <w:t>The Irish Human Rights and Equality Commission Act, 2014</w:t>
      </w:r>
      <w:bookmarkEnd w:id="45"/>
      <w:r w:rsidRPr="003047EA">
        <w:rPr>
          <w:b w:val="0"/>
        </w:rPr>
        <w:t xml:space="preserve"> </w:t>
      </w:r>
    </w:p>
    <w:p w14:paraId="219323E4" w14:textId="7E4A31F6" w:rsidR="00A91F0E" w:rsidRDefault="003D246D" w:rsidP="003047EA">
      <w:r w:rsidRPr="00C11130">
        <w:t xml:space="preserve">The Irish Human Rights and Equality Commission Act, 2014 </w:t>
      </w:r>
      <w:r w:rsidR="00C11130">
        <w:t xml:space="preserve">(Section 42) </w:t>
      </w:r>
      <w:r w:rsidRPr="00C11130">
        <w:t xml:space="preserve">established a Public Sector Equality and Human Rights Duty. This places a statutory obligation on </w:t>
      </w:r>
      <w:r w:rsidR="00C11130" w:rsidRPr="00C11130">
        <w:t xml:space="preserve">all </w:t>
      </w:r>
      <w:r w:rsidRPr="00C11130">
        <w:t>public bodies</w:t>
      </w:r>
      <w:r w:rsidR="00C11130" w:rsidRPr="00C11130">
        <w:t xml:space="preserve"> in Ireland</w:t>
      </w:r>
      <w:r w:rsidRPr="00C11130">
        <w:t xml:space="preserve"> to </w:t>
      </w:r>
      <w:r w:rsidR="007704F4" w:rsidRPr="00C11130">
        <w:t>promote equality, prevent discrimination and protect the human rights of their employees</w:t>
      </w:r>
      <w:r w:rsidR="007704F4" w:rsidRPr="007704F4">
        <w:t xml:space="preserve">, customers, </w:t>
      </w:r>
      <w:r w:rsidR="007704F4" w:rsidRPr="00C11130">
        <w:t xml:space="preserve">service users and </w:t>
      </w:r>
      <w:r w:rsidR="00C11130">
        <w:t>those</w:t>
      </w:r>
      <w:r w:rsidR="007704F4" w:rsidRPr="00C11130">
        <w:t xml:space="preserve"> affected by their policies and plans. </w:t>
      </w:r>
      <w:r w:rsidR="00B862EE">
        <w:t xml:space="preserve">IHREC </w:t>
      </w:r>
      <w:r w:rsidRPr="00C11130">
        <w:t xml:space="preserve">has a role in holding public bodies </w:t>
      </w:r>
      <w:r w:rsidR="00C11130">
        <w:t>to account under this Duty</w:t>
      </w:r>
      <w:r w:rsidRPr="00C11130">
        <w:t>.</w:t>
      </w:r>
      <w:r w:rsidR="007704F4" w:rsidRPr="00C11130">
        <w:rPr>
          <w:rStyle w:val="FootnoteReference"/>
        </w:rPr>
        <w:footnoteReference w:id="28"/>
      </w:r>
      <w:r w:rsidRPr="00FA3CBA">
        <w:t xml:space="preserve"> </w:t>
      </w:r>
    </w:p>
    <w:p w14:paraId="05681620" w14:textId="0101C298" w:rsidR="00DC5626" w:rsidRDefault="00DC5626" w:rsidP="00DC5626">
      <w:pPr>
        <w:pStyle w:val="Heading2"/>
      </w:pPr>
      <w:bookmarkStart w:id="46" w:name="_Toc100231205"/>
      <w:r>
        <w:t>Assisted Decision Making (Capacity) Act 2015</w:t>
      </w:r>
      <w:bookmarkEnd w:id="46"/>
    </w:p>
    <w:p w14:paraId="33A809BC" w14:textId="767CAA43" w:rsidR="00DC5626" w:rsidRDefault="003E05C7" w:rsidP="00232E89">
      <w:r>
        <w:t xml:space="preserve">The </w:t>
      </w:r>
      <w:r w:rsidRPr="00B862EE">
        <w:t>Assisted Decision Making (Capacity) Act 2015</w:t>
      </w:r>
      <w:r>
        <w:t xml:space="preserve">, when fully commenced in mid-2022, will put in </w:t>
      </w:r>
      <w:r w:rsidRPr="003E05C7">
        <w:t xml:space="preserve">in place safeguards to protect against exploitation of people whose capacity may be in question, by putting in place explicit, enumerated offences around coercion and duress. It </w:t>
      </w:r>
      <w:r w:rsidR="00360489">
        <w:t xml:space="preserve">should ensure </w:t>
      </w:r>
      <w:r w:rsidRPr="003E05C7">
        <w:t xml:space="preserve">that information and options </w:t>
      </w:r>
      <w:r>
        <w:t>regarding</w:t>
      </w:r>
      <w:r w:rsidRPr="003E05C7">
        <w:t xml:space="preserve"> decisions will be provided to people in a way they understand, so that they cannot be </w:t>
      </w:r>
      <w:r w:rsidR="00AE22D2" w:rsidRPr="003E05C7">
        <w:t>exploited</w:t>
      </w:r>
      <w:r w:rsidR="00AE22D2">
        <w:t xml:space="preserve"> in respect of the two classes of decision covered by the legislation: personal welfare decisions and property and affairs decisions. Personal welfare decisions include decisions around accommodation, employment, education, training, social activities, social services, healthcare and well-being. Property and af</w:t>
      </w:r>
      <w:r w:rsidR="00AE22D2">
        <w:lastRenderedPageBreak/>
        <w:t>fairs decisions include decisions relating to property, business, contracts, debts, taxes, benefits and finances</w:t>
      </w:r>
      <w:r w:rsidR="00D42162">
        <w:t>.</w:t>
      </w:r>
      <w:r w:rsidR="00AE22D2">
        <w:t xml:space="preserve"> </w:t>
      </w:r>
      <w:r>
        <w:t>A specific concern of Article 16</w:t>
      </w:r>
      <w:r w:rsidR="005A7070">
        <w:t xml:space="preserve"> that falls under ‘personal welfare decisions’</w:t>
      </w:r>
      <w:r>
        <w:t xml:space="preserve"> is forced contraception, and this Act should offer protections to protect people with disabilities from forced contraception</w:t>
      </w:r>
      <w:r w:rsidR="005A7070">
        <w:t>, in that a person will have a presumption of capacity in relation to making a decision about his/her contraceptive choices. Where a person lacks capacity to make such a decision, another person with legal authority to make the decision must ascertain and give due consideration to the person’s will and preferences, and beliefs and values in respect of the decision in question.</w:t>
      </w:r>
      <w:r w:rsidR="00DC5626">
        <w:t xml:space="preserve"> To date there has been no such protection in place in Ireland. </w:t>
      </w:r>
    </w:p>
    <w:p w14:paraId="41F4C387" w14:textId="6D77542C" w:rsidR="002D7B8E" w:rsidRPr="00946A13" w:rsidRDefault="002D7B8E" w:rsidP="00232E89">
      <w:r>
        <w:t xml:space="preserve">A specific concern of Article 16 that falls under ‘property and affairs decision’ is financial abuse. </w:t>
      </w:r>
      <w:r>
        <w:rPr>
          <w:rFonts w:eastAsiaTheme="minorHAnsi"/>
        </w:rPr>
        <w:t>The legislation will introduce strict parameters around who may access and make decisions in respect of a person’s finances, if they lack the capacity to do so themselves. Persons with legal authority to make financial decisions on behalf of a person will be required to submit regular reports and updates to the Decision Support Service, and may be investigated if there is any suspicion or allegation of abuse or negligence.</w:t>
      </w:r>
    </w:p>
    <w:p w14:paraId="0DDD975E" w14:textId="0984D5CB" w:rsidR="00435132" w:rsidRDefault="00435132" w:rsidP="00435132">
      <w:pPr>
        <w:pStyle w:val="Heading2"/>
        <w:spacing w:before="120"/>
      </w:pPr>
      <w:bookmarkStart w:id="47" w:name="_Toc100231206"/>
      <w:r>
        <w:t>Protection of liberty legislation</w:t>
      </w:r>
      <w:bookmarkEnd w:id="47"/>
    </w:p>
    <w:p w14:paraId="480A71E9" w14:textId="1839F610" w:rsidR="00435132" w:rsidRPr="00435132" w:rsidRDefault="00435132" w:rsidP="00435132">
      <w:r>
        <w:t>Responsibility for developing a new legislative basis for Protection of Liberty safeguards rests with the Department of Health. In 2018, consultation was carried out on the Heads of Bill, with a consultation report published in 2019.</w:t>
      </w:r>
      <w:r w:rsidR="009C1D9A">
        <w:rPr>
          <w:rStyle w:val="FootnoteReference"/>
        </w:rPr>
        <w:footnoteReference w:id="29"/>
      </w:r>
      <w:r>
        <w:t xml:space="preserve"> However, in Quarter 4 of 2019, the Department of Health informed stakeholders that it was continuing to refine the draft Heads and was working to resolve complicated policy issues that had arisen, both in the consultation and in the Supreme Court case, “AC”. In Q4 2019, the Department held a workshop, aimed at identifying types of deprivations of liberty. Unfortunately, in 2020, much of the Protection of Liberty safeguards team was redeployed to various units to assist with the response to the Covid-19 pandemic. Until such safeguards are put in place, a challenge remains to Ireland’s realisation of UNCRPD Article 14 (Liberty and Security)</w:t>
      </w:r>
      <w:r w:rsidR="009C1D9A">
        <w:t>.The</w:t>
      </w:r>
      <w:r>
        <w:t xml:space="preserve"> repercussions of this </w:t>
      </w:r>
      <w:r>
        <w:lastRenderedPageBreak/>
        <w:t>may give rise to instances of e</w:t>
      </w:r>
      <w:r w:rsidR="009C1D9A">
        <w:t>xploitation, violence and abuse, for example in the continued use of chemical restraints to manage behaviour. This issue will be addressed in more detail in the NDA’s ‘Overview of UNCRPD Article 14 in Ireland’, forthcoming in 2022.</w:t>
      </w:r>
    </w:p>
    <w:p w14:paraId="071C96CC" w14:textId="15E85A51" w:rsidR="004D04B0" w:rsidRDefault="004D04B0" w:rsidP="00435132">
      <w:pPr>
        <w:pStyle w:val="Heading2"/>
        <w:spacing w:before="120"/>
      </w:pPr>
      <w:bookmarkStart w:id="48" w:name="_Toc100231207"/>
      <w:r>
        <w:t>Dying with Dignity Bill 2020</w:t>
      </w:r>
      <w:bookmarkEnd w:id="48"/>
    </w:p>
    <w:p w14:paraId="30046D43" w14:textId="6519130C" w:rsidR="004D04B0" w:rsidRDefault="004D04B0" w:rsidP="00A04877">
      <w:r>
        <w:t>T</w:t>
      </w:r>
      <w:r w:rsidRPr="004D04B0">
        <w:t xml:space="preserve">he Dying with Dignity Bill 2020 is a Private Member’s </w:t>
      </w:r>
      <w:r w:rsidR="00915BFD" w:rsidRPr="004D04B0">
        <w:t xml:space="preserve">Bill </w:t>
      </w:r>
      <w:r w:rsidR="00915BFD">
        <w:t>that</w:t>
      </w:r>
      <w:r>
        <w:t xml:space="preserve"> </w:t>
      </w:r>
      <w:r w:rsidR="00BD70CD">
        <w:t>sought</w:t>
      </w:r>
      <w:r>
        <w:t xml:space="preserve"> </w:t>
      </w:r>
      <w:r w:rsidRPr="004D04B0">
        <w:t xml:space="preserve">to make provision </w:t>
      </w:r>
      <w:r>
        <w:t xml:space="preserve">for assisted dying </w:t>
      </w:r>
      <w:r w:rsidRPr="004D04B0">
        <w:t xml:space="preserve">to </w:t>
      </w:r>
      <w:r>
        <w:t>those suffering from terminal illness, in order to help them</w:t>
      </w:r>
      <w:r w:rsidRPr="004D04B0">
        <w:t xml:space="preserve"> </w:t>
      </w:r>
      <w:r>
        <w:t>achieve</w:t>
      </w:r>
      <w:r w:rsidRPr="004D04B0">
        <w:t xml:space="preserve"> a dignified and peaceful end of life</w:t>
      </w:r>
      <w:r>
        <w:t xml:space="preserve">. While this Bill made some progress through the Houses of the </w:t>
      </w:r>
      <w:r w:rsidRPr="004D04B0">
        <w:t>Oireachtas</w:t>
      </w:r>
      <w:r>
        <w:t>,</w:t>
      </w:r>
      <w:r w:rsidRPr="004D04B0">
        <w:t xml:space="preserve"> </w:t>
      </w:r>
      <w:r>
        <w:t>in 2021 the</w:t>
      </w:r>
      <w:r w:rsidRPr="004D04B0">
        <w:t xml:space="preserve"> Joint Committee on Justice </w:t>
      </w:r>
      <w:r w:rsidR="00DD43F2">
        <w:t>noted a number of concerns with the Bill, including a</w:t>
      </w:r>
      <w:r w:rsidR="00DD43F2" w:rsidRPr="00DD43F2">
        <w:t xml:space="preserve"> </w:t>
      </w:r>
      <w:r w:rsidR="00DD43F2">
        <w:t>‘</w:t>
      </w:r>
      <w:r w:rsidR="00DD43F2" w:rsidRPr="00DD43F2">
        <w:t>lack of sufficient safeguards to protect against undue pressure being put on vulnerable people to avail of assisted dying</w:t>
      </w:r>
      <w:r w:rsidR="00DD43F2">
        <w:t>’.</w:t>
      </w:r>
      <w:r w:rsidR="00DD43F2">
        <w:rPr>
          <w:rStyle w:val="FootnoteReference"/>
        </w:rPr>
        <w:footnoteReference w:id="30"/>
      </w:r>
      <w:r w:rsidR="00DD43F2">
        <w:t xml:space="preserve"> Instead of progressing this Bill, the Committee </w:t>
      </w:r>
      <w:r w:rsidRPr="004D04B0">
        <w:t>recommended that an Oireachtas Special Committee be established to undertake an examination on the topic of assisted dying</w:t>
      </w:r>
      <w:r w:rsidR="00DD43F2">
        <w:t>.</w:t>
      </w:r>
      <w:r>
        <w:t xml:space="preserve">  </w:t>
      </w:r>
    </w:p>
    <w:p w14:paraId="157F8932" w14:textId="3EEE0D9A" w:rsidR="002C70BB" w:rsidRDefault="002C70BB" w:rsidP="002C70BB">
      <w:pPr>
        <w:pStyle w:val="Heading1"/>
      </w:pPr>
      <w:bookmarkStart w:id="49" w:name="_Toc100231208"/>
      <w:r>
        <w:t>P</w:t>
      </w:r>
      <w:r w:rsidR="006F0C8A">
        <w:t xml:space="preserve">olicies, </w:t>
      </w:r>
      <w:r>
        <w:t>strategies</w:t>
      </w:r>
      <w:r w:rsidR="008D0122">
        <w:t xml:space="preserve">, standards, </w:t>
      </w:r>
      <w:r w:rsidR="006F0C8A">
        <w:t>regulation</w:t>
      </w:r>
      <w:r w:rsidR="006B404D">
        <w:t xml:space="preserve"> and reporting</w:t>
      </w:r>
      <w:bookmarkEnd w:id="49"/>
    </w:p>
    <w:p w14:paraId="67C72EE5" w14:textId="408892B9" w:rsidR="003C41DC" w:rsidRDefault="003C41DC" w:rsidP="003C41DC">
      <w:pPr>
        <w:pStyle w:val="Heading2"/>
      </w:pPr>
      <w:bookmarkStart w:id="50" w:name="_Toc100231209"/>
      <w:r>
        <w:t xml:space="preserve">National </w:t>
      </w:r>
      <w:r w:rsidR="000E63E0">
        <w:t>s</w:t>
      </w:r>
      <w:r>
        <w:t xml:space="preserve">trategies on </w:t>
      </w:r>
      <w:r w:rsidR="000E63E0">
        <w:t>d</w:t>
      </w:r>
      <w:r>
        <w:t xml:space="preserve">omestic, </w:t>
      </w:r>
      <w:r w:rsidR="000E63E0">
        <w:t>s</w:t>
      </w:r>
      <w:r>
        <w:t xml:space="preserve">exual and </w:t>
      </w:r>
      <w:r w:rsidR="000E63E0">
        <w:t>g</w:t>
      </w:r>
      <w:r>
        <w:t xml:space="preserve">ender-based </w:t>
      </w:r>
      <w:r w:rsidR="000E63E0">
        <w:t>v</w:t>
      </w:r>
      <w:r>
        <w:t>iolence</w:t>
      </w:r>
      <w:bookmarkEnd w:id="50"/>
    </w:p>
    <w:p w14:paraId="465B4338" w14:textId="4A938BCF" w:rsidR="004459B2" w:rsidRDefault="004459B2" w:rsidP="004459B2">
      <w:r>
        <w:t>Ireland is in the process of developin</w:t>
      </w:r>
      <w:r w:rsidR="00B008E4">
        <w:t>g a third National Strategy on D</w:t>
      </w:r>
      <w:r>
        <w:t xml:space="preserve">omestic, </w:t>
      </w:r>
      <w:r w:rsidR="00B008E4">
        <w:t>S</w:t>
      </w:r>
      <w:r>
        <w:t xml:space="preserve">exual and </w:t>
      </w:r>
      <w:r w:rsidR="00B008E4">
        <w:t>G</w:t>
      </w:r>
      <w:r>
        <w:t xml:space="preserve">ender-based </w:t>
      </w:r>
      <w:r w:rsidR="00B008E4">
        <w:t>V</w:t>
      </w:r>
      <w:r>
        <w:t xml:space="preserve">iolence. The first strategy spanned 2010-2014 and strongly acknowledged that some groups, including those with disabilities, could be at increased risk of domestic and </w:t>
      </w:r>
      <w:r>
        <w:lastRenderedPageBreak/>
        <w:t>sexual violence</w:t>
      </w:r>
      <w:r>
        <w:rPr>
          <w:rStyle w:val="FootnoteReference"/>
        </w:rPr>
        <w:footnoteReference w:id="31"/>
      </w:r>
      <w:r>
        <w:t xml:space="preserve">. Actions in this </w:t>
      </w:r>
      <w:r w:rsidR="003810B9">
        <w:t>S</w:t>
      </w:r>
      <w:r>
        <w:t>trategy of particular relevance to those with disabilities included suitable service responses to particular groups of victims (in mainstream services) and ensuring the dissemination of accessible and consistent information on</w:t>
      </w:r>
      <w:r w:rsidRPr="00F1789E">
        <w:t xml:space="preserve"> domestic and sexual violence</w:t>
      </w:r>
      <w:r>
        <w:t xml:space="preserve"> by state bodies. </w:t>
      </w:r>
    </w:p>
    <w:p w14:paraId="362E9F60" w14:textId="09AD3A39" w:rsidR="004459B2" w:rsidRDefault="004459B2" w:rsidP="00DD5DF6">
      <w:pPr>
        <w:rPr>
          <w:i/>
        </w:rPr>
      </w:pPr>
      <w:r>
        <w:t xml:space="preserve">The second </w:t>
      </w:r>
      <w:r w:rsidR="003810B9">
        <w:t>S</w:t>
      </w:r>
      <w:r>
        <w:t>trategy spanned 2016-2021 and a main action in this was the establishment of a gold standard of data collection and analysis</w:t>
      </w:r>
      <w:r w:rsidR="00B008E4">
        <w:t>,</w:t>
      </w:r>
      <w:r>
        <w:t xml:space="preserve"> meaning agencies working in the area of domestic and sexual violence could disaggregate their data by key variables, including disability and other important variables such as age, sex and ethnicity.</w:t>
      </w:r>
      <w:r>
        <w:rPr>
          <w:rStyle w:val="FootnoteReference"/>
        </w:rPr>
        <w:footnoteReference w:id="32"/>
      </w:r>
      <w:r>
        <w:t xml:space="preserve"> Other general actions included awareness raising, improving services for victims and </w:t>
      </w:r>
      <w:r w:rsidRPr="0032686B">
        <w:t>holding perpetrators to account</w:t>
      </w:r>
      <w:r>
        <w:t>. A mid-term review of this second strategy took place in 2019 but does not appear to be publicly available at this time. There is a final review of the strategy underway.</w:t>
      </w:r>
      <w:r>
        <w:rPr>
          <w:rStyle w:val="FootnoteReference"/>
        </w:rPr>
        <w:footnoteReference w:id="33"/>
      </w:r>
      <w:r>
        <w:t xml:space="preserve"> A recent audit of </w:t>
      </w:r>
      <w:r w:rsidR="00B008E4">
        <w:t>domestic, sexual, and gender-based violence services in Ireland</w:t>
      </w:r>
      <w:r w:rsidR="00DD5DF6">
        <w:t xml:space="preserve"> commissioned by the Department of Justice, in consultation with the Department of Children, Equality, Disability, Integration and Youth</w:t>
      </w:r>
      <w:r>
        <w:t xml:space="preserve"> reported that there had been good progress in</w:t>
      </w:r>
      <w:r w:rsidR="004C29CC">
        <w:t xml:space="preserve"> Ireland</w:t>
      </w:r>
      <w:r>
        <w:t xml:space="preserve"> </w:t>
      </w:r>
      <w:r w:rsidR="00441289">
        <w:t xml:space="preserve">in the </w:t>
      </w:r>
      <w:r>
        <w:t xml:space="preserve">areas of prevention and public awareness, although a sub-group set up to progress the gold standard </w:t>
      </w:r>
      <w:r>
        <w:lastRenderedPageBreak/>
        <w:t>data collection action</w:t>
      </w:r>
      <w:r w:rsidR="004C29CC">
        <w:t xml:space="preserve"> in the second Strategy</w:t>
      </w:r>
      <w:r>
        <w:t xml:space="preserve"> was said to have</w:t>
      </w:r>
      <w:r w:rsidR="00DD5DF6">
        <w:t xml:space="preserve"> stalled.</w:t>
      </w:r>
      <w:r w:rsidR="00366B82">
        <w:rPr>
          <w:rStyle w:val="FootnoteReference"/>
        </w:rPr>
        <w:footnoteReference w:id="34"/>
      </w:r>
      <w:r>
        <w:t xml:space="preserve"> Stakeholders in this audit criticised the</w:t>
      </w:r>
      <w:r w:rsidR="00366B82">
        <w:t xml:space="preserve"> previous two strategies for not paying enough attention </w:t>
      </w:r>
      <w:r>
        <w:t xml:space="preserve">to marginalised groups. In their submission to the third national strategy, the </w:t>
      </w:r>
      <w:r w:rsidR="00366B82">
        <w:t>D</w:t>
      </w:r>
      <w:r>
        <w:t xml:space="preserve">isabled </w:t>
      </w:r>
      <w:r w:rsidR="00366B82">
        <w:t>W</w:t>
      </w:r>
      <w:r>
        <w:t xml:space="preserve">omen’s </w:t>
      </w:r>
      <w:r w:rsidR="00366B82">
        <w:t>G</w:t>
      </w:r>
      <w:r>
        <w:t xml:space="preserve">roup from the National Women’s Council of Ireland </w:t>
      </w:r>
      <w:r w:rsidR="00366B82">
        <w:t xml:space="preserve">(NWCI) </w:t>
      </w:r>
      <w:r>
        <w:t>noted that “the experiences and voice of disabled women has been notably lacking in both the preceding strategies and in their implementation and monitoring.”</w:t>
      </w:r>
      <w:r>
        <w:rPr>
          <w:rStyle w:val="FootnoteReference"/>
        </w:rPr>
        <w:footnoteReference w:id="35"/>
      </w:r>
    </w:p>
    <w:p w14:paraId="4EC3EC5F" w14:textId="509BF3FC" w:rsidR="00830569" w:rsidRDefault="003E4A81" w:rsidP="00F010A4">
      <w:pPr>
        <w:pStyle w:val="Heading2"/>
      </w:pPr>
      <w:bookmarkStart w:id="51" w:name="_Toc100231210"/>
      <w:r>
        <w:t>National a</w:t>
      </w:r>
      <w:r w:rsidR="00830569" w:rsidRPr="00235047">
        <w:t xml:space="preserve">ction </w:t>
      </w:r>
      <w:r>
        <w:t>p</w:t>
      </w:r>
      <w:r w:rsidR="00830569" w:rsidRPr="00235047">
        <w:t>lan</w:t>
      </w:r>
      <w:r w:rsidR="00AD5D1B">
        <w:t>s</w:t>
      </w:r>
      <w:r>
        <w:t xml:space="preserve"> to p</w:t>
      </w:r>
      <w:r w:rsidR="00830569" w:rsidRPr="00235047">
        <w:t xml:space="preserve">revent and </w:t>
      </w:r>
      <w:r>
        <w:t>combat h</w:t>
      </w:r>
      <w:r w:rsidR="00830569" w:rsidRPr="00235047">
        <w:t xml:space="preserve">uman </w:t>
      </w:r>
      <w:r>
        <w:t>t</w:t>
      </w:r>
      <w:r w:rsidR="00830569" w:rsidRPr="00235047">
        <w:t>rafficking</w:t>
      </w:r>
      <w:bookmarkEnd w:id="51"/>
    </w:p>
    <w:p w14:paraId="3D4D6789" w14:textId="4C84894A" w:rsidR="00AE098A" w:rsidRDefault="00AD5D1B" w:rsidP="00964CCE">
      <w:r>
        <w:t xml:space="preserve">An </w:t>
      </w:r>
      <w:r w:rsidR="004509E8">
        <w:t>Anti-Human</w:t>
      </w:r>
      <w:r>
        <w:t xml:space="preserve"> Trafficking Unit was set up in the Department of Justice and Equality in 2008. </w:t>
      </w:r>
      <w:r w:rsidR="00552CE2">
        <w:t>The first</w:t>
      </w:r>
      <w:r w:rsidRPr="00AD5D1B">
        <w:rPr>
          <w:i/>
        </w:rPr>
        <w:t xml:space="preserve"> </w:t>
      </w:r>
      <w:r w:rsidRPr="00891552">
        <w:t>National Action Plan to Prevent and Combat Trafficking of Human Beings</w:t>
      </w:r>
      <w:r w:rsidR="00946A13">
        <w:rPr>
          <w:rStyle w:val="FootnoteReference"/>
        </w:rPr>
        <w:footnoteReference w:id="36"/>
      </w:r>
      <w:r w:rsidRPr="00891552">
        <w:t xml:space="preserve"> in Ireland </w:t>
      </w:r>
      <w:r w:rsidR="00552CE2" w:rsidRPr="00891552">
        <w:t>was published in</w:t>
      </w:r>
      <w:r w:rsidRPr="00891552">
        <w:t xml:space="preserve"> 2009</w:t>
      </w:r>
      <w:r w:rsidR="008D6ACC">
        <w:rPr>
          <w:i/>
        </w:rPr>
        <w:t xml:space="preserve"> </w:t>
      </w:r>
      <w:r w:rsidR="008D6ACC" w:rsidRPr="008D6ACC">
        <w:t>and covered 2009-2012</w:t>
      </w:r>
      <w:r w:rsidRPr="00AD5D1B">
        <w:rPr>
          <w:i/>
        </w:rPr>
        <w:t>.</w:t>
      </w:r>
      <w:r>
        <w:t xml:space="preserve"> </w:t>
      </w:r>
      <w:r w:rsidR="00891552">
        <w:t xml:space="preserve">This plan aimed to protect the human rights of trafficking victims and </w:t>
      </w:r>
      <w:r w:rsidR="00242317">
        <w:t xml:space="preserve">set out a framework of victim supports. </w:t>
      </w:r>
      <w:r w:rsidR="006A5571">
        <w:t xml:space="preserve">The </w:t>
      </w:r>
      <w:r w:rsidR="001410ED">
        <w:t>second national action plan to Prevent and C</w:t>
      </w:r>
      <w:r w:rsidR="006A5571">
        <w:t xml:space="preserve">ombat </w:t>
      </w:r>
      <w:r w:rsidR="001410ED">
        <w:t>H</w:t>
      </w:r>
      <w:r w:rsidR="006A5571">
        <w:t xml:space="preserve">uman </w:t>
      </w:r>
      <w:r w:rsidR="001410ED">
        <w:t>T</w:t>
      </w:r>
      <w:r w:rsidR="006A5571">
        <w:t>rafficking in Ireland was published in 2016.</w:t>
      </w:r>
      <w:r w:rsidR="006A5571">
        <w:rPr>
          <w:rStyle w:val="FootnoteReference"/>
        </w:rPr>
        <w:footnoteReference w:id="37"/>
      </w:r>
      <w:r w:rsidR="006A5571">
        <w:t xml:space="preserve"> This plan takes into account national and international reviews of Ireland’s progress with regard to human trafficking. It covers prevention, protection, prosecu</w:t>
      </w:r>
      <w:r w:rsidR="003E4A81">
        <w:t>tion, criminal justice response</w:t>
      </w:r>
      <w:r w:rsidR="006A5571">
        <w:t xml:space="preserve">, partnership, response to child trafficking, and monitoring and evaluation. These plans do not refer specifically to people with disabilities. </w:t>
      </w:r>
    </w:p>
    <w:p w14:paraId="3EB18549" w14:textId="5AAA652F" w:rsidR="00964CCE" w:rsidRDefault="006A5571" w:rsidP="00964CCE">
      <w:r>
        <w:lastRenderedPageBreak/>
        <w:t xml:space="preserve">The Group of Experts on Action against Trafficking in Human Beings (GRETA) have monitored Ireland’s progress on the implementation of the Council of Europe’s Convention on Action against Trafficking in Human </w:t>
      </w:r>
      <w:r w:rsidR="00AE098A">
        <w:t xml:space="preserve">Beings </w:t>
      </w:r>
      <w:r>
        <w:t>twice since 2013</w:t>
      </w:r>
      <w:r>
        <w:rPr>
          <w:rStyle w:val="FootnoteReference"/>
        </w:rPr>
        <w:footnoteReference w:id="38"/>
      </w:r>
      <w:r>
        <w:t xml:space="preserve"> </w:t>
      </w:r>
      <w:r>
        <w:rPr>
          <w:rStyle w:val="FootnoteReference"/>
        </w:rPr>
        <w:footnoteReference w:id="39"/>
      </w:r>
      <w:r>
        <w:t xml:space="preserve">. </w:t>
      </w:r>
      <w:r w:rsidR="00974B6C">
        <w:t>In its most recent evaluation</w:t>
      </w:r>
      <w:r w:rsidR="00AE098A">
        <w:t>,</w:t>
      </w:r>
      <w:r w:rsidR="00974B6C">
        <w:t xml:space="preserve"> it reports positive progress such as awareness raising, a comprehensive national plan and t</w:t>
      </w:r>
      <w:r w:rsidR="00974B6C" w:rsidRPr="00974B6C">
        <w:t>he</w:t>
      </w:r>
      <w:r w:rsidR="00974B6C">
        <w:t xml:space="preserve"> establishment of the</w:t>
      </w:r>
      <w:r w:rsidR="00974B6C" w:rsidRPr="00974B6C">
        <w:t xml:space="preserve"> Human Trafficking Investigation and Co-ordination Unit (HTICU)</w:t>
      </w:r>
      <w:r w:rsidR="00974B6C">
        <w:t xml:space="preserve"> within the </w:t>
      </w:r>
      <w:r w:rsidR="00974B6C" w:rsidRPr="00974B6C">
        <w:t>Garda National Protective Services Bureau</w:t>
      </w:r>
      <w:r w:rsidR="00974B6C">
        <w:t>.</w:t>
      </w:r>
      <w:r w:rsidR="00946A13">
        <w:rPr>
          <w:rStyle w:val="FootnoteReference"/>
        </w:rPr>
        <w:footnoteReference w:id="40"/>
      </w:r>
      <w:r w:rsidR="00974B6C">
        <w:t xml:space="preserve"> Areas needing improvement include prosecution and sanctions for those engaging in human trafficking, better identification of victims and the increase in trafficking for the purposes of labour exploitation. </w:t>
      </w:r>
      <w:r w:rsidR="00964CCE">
        <w:t>An assessment by the US State Department in 2020 on Ireland’s measures to combat human trafficking downgraded Ireland to its Tier 2 Watch List.</w:t>
      </w:r>
      <w:r w:rsidR="00964CCE">
        <w:rPr>
          <w:rStyle w:val="FootnoteReference"/>
        </w:rPr>
        <w:footnoteReference w:id="41"/>
      </w:r>
      <w:r w:rsidR="00964CCE">
        <w:t xml:space="preserve"> Their reported reasons for this included issues with prosecuting perpetrators and victim identification, referral, assistance and support. </w:t>
      </w:r>
    </w:p>
    <w:p w14:paraId="78C51168" w14:textId="6AF21CE5" w:rsidR="008D0122" w:rsidRDefault="008D0122" w:rsidP="009B724F">
      <w:pPr>
        <w:pStyle w:val="Heading3"/>
      </w:pPr>
      <w:r>
        <w:t>National Referral Mechanism</w:t>
      </w:r>
    </w:p>
    <w:p w14:paraId="3C8735CE" w14:textId="1429A175" w:rsidR="007443F9" w:rsidRDefault="007443F9" w:rsidP="008D0122">
      <w:r>
        <w:t xml:space="preserve">At present, An Garda </w:t>
      </w:r>
      <w:r w:rsidR="00CC07D1">
        <w:t>Síochána</w:t>
      </w:r>
      <w:r>
        <w:t xml:space="preserve"> refer suspected human trafficking victims to the National Referral Mechanism</w:t>
      </w:r>
      <w:r w:rsidR="00CC07D1">
        <w:t>,</w:t>
      </w:r>
      <w:r>
        <w:t xml:space="preserve"> where they are provided with services</w:t>
      </w:r>
      <w:r w:rsidR="006F4058">
        <w:t xml:space="preserve"> and supports from the government and </w:t>
      </w:r>
      <w:r w:rsidR="00C610D6">
        <w:t>non-governmental organisations (</w:t>
      </w:r>
      <w:r w:rsidR="006F4058">
        <w:t>NGOs</w:t>
      </w:r>
      <w:r w:rsidR="00C610D6">
        <w:t>)</w:t>
      </w:r>
      <w:r>
        <w:t>. The issue with this</w:t>
      </w:r>
      <w:r w:rsidR="006F4058">
        <w:t xml:space="preserve"> approach</w:t>
      </w:r>
      <w:r>
        <w:t xml:space="preserve"> is that not all victims will feel comfortable approaching law enforcement. </w:t>
      </w:r>
      <w:r w:rsidR="00CC07D1">
        <w:t>In May 20</w:t>
      </w:r>
      <w:r w:rsidR="008D0122">
        <w:t>21, the Government approved plans for a revised National Referral Mechanism</w:t>
      </w:r>
      <w:r w:rsidR="00CC07D1">
        <w:t>,</w:t>
      </w:r>
      <w:r w:rsidR="006F4058">
        <w:t xml:space="preserve"> whereby o</w:t>
      </w:r>
      <w:r w:rsidR="006F4058" w:rsidRPr="006F4058">
        <w:t xml:space="preserve">ther </w:t>
      </w:r>
      <w:r w:rsidR="006F4058">
        <w:t>government</w:t>
      </w:r>
      <w:r w:rsidR="006F4058" w:rsidRPr="006F4058">
        <w:t xml:space="preserve"> bodies </w:t>
      </w:r>
      <w:r w:rsidR="006F4058" w:rsidRPr="006F4058">
        <w:lastRenderedPageBreak/>
        <w:t>and NGOs</w:t>
      </w:r>
      <w:r w:rsidR="006F4058">
        <w:t xml:space="preserve"> will</w:t>
      </w:r>
      <w:r w:rsidR="006F4058" w:rsidRPr="006F4058">
        <w:t xml:space="preserve"> have a role in identifying </w:t>
      </w:r>
      <w:r w:rsidR="006F4058">
        <w:t xml:space="preserve">human trafficking </w:t>
      </w:r>
      <w:r w:rsidR="006F4058" w:rsidRPr="006F4058">
        <w:t>victims and referring them to the National Referral Mechanism</w:t>
      </w:r>
      <w:r w:rsidR="006F4058">
        <w:t>.</w:t>
      </w:r>
      <w:r w:rsidR="006F4058">
        <w:rPr>
          <w:rStyle w:val="FootnoteReference"/>
        </w:rPr>
        <w:footnoteReference w:id="42"/>
      </w:r>
      <w:r w:rsidR="006F4058">
        <w:t xml:space="preserve"> </w:t>
      </w:r>
      <w:r w:rsidR="003D32ED">
        <w:t>However, i</w:t>
      </w:r>
      <w:r w:rsidR="006F4058">
        <w:t xml:space="preserve">t is not clear when this revised mechanism will be implemented. </w:t>
      </w:r>
    </w:p>
    <w:p w14:paraId="4C676B1E" w14:textId="64B8C8DE" w:rsidR="00A22705" w:rsidRPr="00FB455B" w:rsidRDefault="00A22705" w:rsidP="00A22705">
      <w:pPr>
        <w:pStyle w:val="Heading2"/>
      </w:pPr>
      <w:bookmarkStart w:id="52" w:name="_Toc100231211"/>
      <w:r w:rsidRPr="00FB455B">
        <w:t xml:space="preserve">The </w:t>
      </w:r>
      <w:r>
        <w:t xml:space="preserve">HSE </w:t>
      </w:r>
      <w:r w:rsidRPr="00FB455B">
        <w:t>Safeguarding Vulnerable Persons at Risk of Abuse - National Policy and Procedures</w:t>
      </w:r>
      <w:bookmarkEnd w:id="52"/>
    </w:p>
    <w:p w14:paraId="60E48C69" w14:textId="36AE56A3" w:rsidR="00BA534A" w:rsidRDefault="00A22705" w:rsidP="00A22705">
      <w:pPr>
        <w:tabs>
          <w:tab w:val="left" w:pos="975"/>
        </w:tabs>
      </w:pPr>
      <w:r w:rsidRPr="00FB455B">
        <w:t xml:space="preserve">In 2014, the HSE published </w:t>
      </w:r>
      <w:r w:rsidR="001410ED">
        <w:t>the</w:t>
      </w:r>
      <w:r w:rsidRPr="00FB455B">
        <w:t xml:space="preserve"> Safeguarding Vulnerable Persons at Risk of Abuse - National Policy and Procedures, which apply to all HSE and HSE</w:t>
      </w:r>
      <w:r w:rsidR="00AE098A">
        <w:t>-</w:t>
      </w:r>
      <w:r w:rsidRPr="00FB455B">
        <w:t>funded social care services.</w:t>
      </w:r>
      <w:r w:rsidRPr="00FB455B">
        <w:rPr>
          <w:rStyle w:val="FootnoteReference"/>
        </w:rPr>
        <w:footnoteReference w:id="43"/>
      </w:r>
      <w:r>
        <w:t xml:space="preserve"> </w:t>
      </w:r>
      <w:r w:rsidR="00DF17A4">
        <w:t>Please see Figure 1 which illustrates the l</w:t>
      </w:r>
      <w:r w:rsidR="00DF17A4" w:rsidRPr="00DF17A4">
        <w:t>egislation, policies, standards and bodies responsible for adult safeguarding in Ireland</w:t>
      </w:r>
      <w:r w:rsidR="00DF17A4">
        <w:t>.</w:t>
      </w:r>
      <w:r w:rsidR="00DF17A4" w:rsidRPr="00DF17A4">
        <w:t xml:space="preserve"> </w:t>
      </w:r>
      <w:r>
        <w:t>This policy considers a ‘vulnerable person’ as “an adult who may be restrict</w:t>
      </w:r>
      <w:r w:rsidR="001410ED">
        <w:t>ed in capacity to guard himself</w:t>
      </w:r>
      <w:r>
        <w:t xml:space="preserve">/herself against harm or exploitation or to report such harm or exploitation.” This restriction in capacity may be physical or intellectual. This policy </w:t>
      </w:r>
      <w:r w:rsidRPr="00FB455B">
        <w:t xml:space="preserve">outlines principles to promote the welfare of vulnerable people and to safeguard them from abuse. </w:t>
      </w:r>
      <w:r>
        <w:t>The varied nature of abuse is considered and includes physical, sexual, psychological, financial or material, institutional, neglect or acts of omission, and discriminatory abuse.</w:t>
      </w:r>
      <w:r w:rsidR="00BA534A">
        <w:t xml:space="preserve"> This policy is currently being revised and the intention is to broaden its scope to all HSE and HSE-fund</w:t>
      </w:r>
      <w:r w:rsidR="004B3118">
        <w:t>ed</w:t>
      </w:r>
      <w:r w:rsidR="00BA534A">
        <w:t xml:space="preserve"> social care and healthcare services.</w:t>
      </w:r>
      <w:r w:rsidR="00946A13">
        <w:rPr>
          <w:rStyle w:val="FootnoteReference"/>
        </w:rPr>
        <w:footnoteReference w:id="44"/>
      </w:r>
      <w:r w:rsidR="00BA534A">
        <w:t xml:space="preserve">  </w:t>
      </w:r>
    </w:p>
    <w:p w14:paraId="4161ABE6" w14:textId="2F42C562" w:rsidR="008D0122" w:rsidRDefault="008D0122" w:rsidP="003251DA">
      <w:pPr>
        <w:pStyle w:val="Heading3"/>
      </w:pPr>
      <w:r>
        <w:t>HSE National Safeguarding Office</w:t>
      </w:r>
    </w:p>
    <w:p w14:paraId="63F94843" w14:textId="680F026F" w:rsidR="008D0122" w:rsidRPr="0095363D" w:rsidRDefault="001955D6" w:rsidP="00197A4A">
      <w:pPr>
        <w:tabs>
          <w:tab w:val="left" w:pos="975"/>
        </w:tabs>
      </w:pPr>
      <w:r>
        <w:t>A National Safeguarding Office was e</w:t>
      </w:r>
      <w:r w:rsidRPr="001955D6">
        <w:t>stablished in December 2015</w:t>
      </w:r>
      <w:r>
        <w:t xml:space="preserve"> to oversee the </w:t>
      </w:r>
      <w:r w:rsidRPr="001955D6">
        <w:t xml:space="preserve">implementation, monitoring, review and evaluation of the </w:t>
      </w:r>
      <w:r w:rsidR="00FB2DE9" w:rsidRPr="00FB2DE9">
        <w:t xml:space="preserve">Safeguarding Vulnerable Persons at Risk of </w:t>
      </w:r>
      <w:r w:rsidR="00FB2DE9" w:rsidRPr="00FB2DE9">
        <w:lastRenderedPageBreak/>
        <w:t>Abuse</w:t>
      </w:r>
      <w:r w:rsidR="00FB2DE9">
        <w:t xml:space="preserve"> policy, and to co-ordinate the development and implementation of </w:t>
      </w:r>
      <w:r w:rsidRPr="001955D6">
        <w:t>safeguarding training</w:t>
      </w:r>
      <w:r>
        <w:t>.</w:t>
      </w:r>
      <w:r>
        <w:rPr>
          <w:rStyle w:val="FootnoteReference"/>
        </w:rPr>
        <w:footnoteReference w:id="45"/>
      </w:r>
      <w:r w:rsidR="001410ED">
        <w:t xml:space="preserve"> Since 2015, safeguarding training has been completed over 100,000 times.</w:t>
      </w:r>
      <w:r w:rsidR="00946A13">
        <w:rPr>
          <w:rStyle w:val="FootnoteReference"/>
        </w:rPr>
        <w:footnoteReference w:id="46"/>
      </w:r>
    </w:p>
    <w:p w14:paraId="77FF2A98" w14:textId="77777777" w:rsidR="00B07134" w:rsidRPr="006437FB" w:rsidRDefault="00B07134" w:rsidP="00C173E1">
      <w:pPr>
        <w:pStyle w:val="Heading3"/>
      </w:pPr>
      <w:r w:rsidRPr="006437FB">
        <w:t>Safeguarding Ireland</w:t>
      </w:r>
    </w:p>
    <w:p w14:paraId="13120048" w14:textId="4462D842" w:rsidR="00B07134" w:rsidRDefault="00F839C1" w:rsidP="00B07134">
      <w:pPr>
        <w:tabs>
          <w:tab w:val="left" w:pos="975"/>
        </w:tabs>
      </w:pPr>
      <w:r>
        <w:t>While the HSE National Safeguarding Office</w:t>
      </w:r>
      <w:r w:rsidR="006261D8">
        <w:t xml:space="preserve"> was established to be responsible for the operational side of safeguarding,</w:t>
      </w:r>
      <w:r>
        <w:t xml:space="preserve"> </w:t>
      </w:r>
      <w:r w:rsidR="00B07134" w:rsidRPr="0009688D">
        <w:t>Safeguarding Ireland</w:t>
      </w:r>
      <w:r w:rsidR="00B07134">
        <w:t xml:space="preserve"> </w:t>
      </w:r>
      <w:r w:rsidR="006261D8">
        <w:t>was also established as an NGO in 2015 with a focus on promoting the</w:t>
      </w:r>
      <w:r w:rsidR="006261D8" w:rsidRPr="0009688D">
        <w:t xml:space="preserve"> safeguarding of adults who may be vulnerable, protect them from all forms of abuse by persons, organisations and institutions</w:t>
      </w:r>
      <w:r w:rsidR="006261D8">
        <w:t>. Safeguarding Ireland is HSE-funded and its aims are to promote collaboration, increase public and professional awareness on adult safeguarding, and conduct research to inform policy, practice and legislation</w:t>
      </w:r>
      <w:r w:rsidR="00B07134" w:rsidRPr="0009688D">
        <w:t>.</w:t>
      </w:r>
      <w:r w:rsidR="00946A13">
        <w:rPr>
          <w:rStyle w:val="FootnoteReference"/>
        </w:rPr>
        <w:footnoteReference w:id="47"/>
      </w:r>
      <w:r w:rsidR="00B07134">
        <w:t xml:space="preserve"> </w:t>
      </w:r>
    </w:p>
    <w:p w14:paraId="7BDB299F" w14:textId="1F0F463A" w:rsidR="00F839C1" w:rsidRPr="00513718" w:rsidRDefault="00F839C1" w:rsidP="00F839C1">
      <w:pPr>
        <w:pStyle w:val="Heading3"/>
      </w:pPr>
      <w:r w:rsidRPr="00513718">
        <w:t xml:space="preserve">Confidential </w:t>
      </w:r>
      <w:r w:rsidR="005C180E">
        <w:t>R</w:t>
      </w:r>
      <w:r w:rsidRPr="00513718">
        <w:t>ecipient</w:t>
      </w:r>
    </w:p>
    <w:p w14:paraId="23CCB8DA" w14:textId="2805E847" w:rsidR="00F839C1" w:rsidRDefault="00F839C1" w:rsidP="00381E3C">
      <w:r>
        <w:t>In 2015, the</w:t>
      </w:r>
      <w:r w:rsidRPr="00513718">
        <w:t xml:space="preserve"> HSE </w:t>
      </w:r>
      <w:r>
        <w:t>appointed an independent ‘Confidential Recipient’ to r</w:t>
      </w:r>
      <w:r w:rsidRPr="002A3448">
        <w:t>eceive concerns and allegations of abuse, negligence, mistreatment or poor care practices in HSE or HSE funded residentia</w:t>
      </w:r>
      <w:r>
        <w:t xml:space="preserve">l care facilities </w:t>
      </w:r>
      <w:r w:rsidRPr="002A3448">
        <w:t>from patients, service users, families,</w:t>
      </w:r>
      <w:r>
        <w:t xml:space="preserve"> staff or</w:t>
      </w:r>
      <w:r w:rsidRPr="002A3448">
        <w:t xml:space="preserve"> other concerned individuals.</w:t>
      </w:r>
      <w:r>
        <w:rPr>
          <w:rStyle w:val="FootnoteReference"/>
        </w:rPr>
        <w:footnoteReference w:id="48"/>
      </w:r>
      <w:r>
        <w:t xml:space="preserve"> The Confidential Recipient can direct concerns to the appropriate HSE National Director for further action. A concern will not be closed until the Confidential Recipient is satisfied it has been thoroughly investigated and appropriately addressed. </w:t>
      </w:r>
    </w:p>
    <w:p w14:paraId="5C1118D1" w14:textId="521C099C" w:rsidR="001410ED" w:rsidRPr="00405ECE" w:rsidRDefault="001410ED" w:rsidP="001410ED">
      <w:pPr>
        <w:pStyle w:val="Heading2"/>
      </w:pPr>
      <w:bookmarkStart w:id="53" w:name="_Toc100231212"/>
      <w:r w:rsidRPr="00405ECE">
        <w:lastRenderedPageBreak/>
        <w:t>National Standards for Adult Safeguarding</w:t>
      </w:r>
      <w:r>
        <w:t xml:space="preserve"> </w:t>
      </w:r>
      <w:r w:rsidRPr="0095363D">
        <w:t>in Health and Social Care Services</w:t>
      </w:r>
      <w:bookmarkEnd w:id="53"/>
    </w:p>
    <w:p w14:paraId="2F0E9469" w14:textId="27C287B7" w:rsidR="00DC1140" w:rsidRDefault="001410ED" w:rsidP="00381E3C">
      <w:r w:rsidRPr="00CF6980">
        <w:t xml:space="preserve">The Health Information and Quality Authority (HIQA) and Mental Health Commission (MHC) launched National Standards for Adult Safeguarding in </w:t>
      </w:r>
      <w:r>
        <w:t>H</w:t>
      </w:r>
      <w:r w:rsidRPr="00CF6980">
        <w:t xml:space="preserve">ealth and </w:t>
      </w:r>
      <w:r>
        <w:t>S</w:t>
      </w:r>
      <w:r w:rsidRPr="00CF6980">
        <w:t xml:space="preserve">ocial </w:t>
      </w:r>
      <w:r>
        <w:t>C</w:t>
      </w:r>
      <w:r w:rsidRPr="00CF6980">
        <w:t xml:space="preserve">are </w:t>
      </w:r>
      <w:r>
        <w:t>S</w:t>
      </w:r>
      <w:r w:rsidRPr="00CF6980">
        <w:t>ervices in 2019</w:t>
      </w:r>
      <w:r>
        <w:rPr>
          <w:rStyle w:val="FootnoteReference"/>
        </w:rPr>
        <w:footnoteReference w:id="49"/>
      </w:r>
      <w:r w:rsidRPr="00CF6980">
        <w:t>.</w:t>
      </w:r>
      <w:r>
        <w:t xml:space="preserve"> These standards are focussed on reducing the risk of harm and promoting the health, wellbeing and rights of each person, including the right to live free from abuse and exploitation. There is a responsibility on all residential services for older people and people with disabilities and all publicly-funded health and social care</w:t>
      </w:r>
      <w:r w:rsidR="00B260BD">
        <w:t xml:space="preserve"> services</w:t>
      </w:r>
      <w:r>
        <w:t xml:space="preserve">, including mental health services, to implement these national standards. </w:t>
      </w:r>
      <w:r w:rsidR="003B2DB3">
        <w:t xml:space="preserve">While HIQA have </w:t>
      </w:r>
      <w:r w:rsidR="003F6BB3">
        <w:t>a</w:t>
      </w:r>
      <w:r w:rsidR="003B2DB3">
        <w:t xml:space="preserve"> remit to inspect services on these standards</w:t>
      </w:r>
      <w:r w:rsidR="003F6BB3">
        <w:t xml:space="preserve"> if they wish</w:t>
      </w:r>
      <w:r w:rsidR="003B2DB3">
        <w:t xml:space="preserve">, the purpose of the standards </w:t>
      </w:r>
      <w:r w:rsidR="00A35B1E">
        <w:t xml:space="preserve">in the first instance </w:t>
      </w:r>
      <w:r w:rsidR="003B2DB3">
        <w:t>is to assist services in improving practice and reducing potential harm.</w:t>
      </w:r>
      <w:r w:rsidR="003B2DB3">
        <w:rPr>
          <w:rStyle w:val="FootnoteReference"/>
        </w:rPr>
        <w:footnoteReference w:id="50"/>
      </w:r>
      <w:r w:rsidR="003B2DB3">
        <w:t xml:space="preserve"> The MHC will use their existing quality and judgement support frameworks to monitor the implementation of these standards.</w:t>
      </w:r>
      <w:r w:rsidR="003B2DB3">
        <w:rPr>
          <w:rStyle w:val="FootnoteReference"/>
        </w:rPr>
        <w:footnoteReference w:id="51"/>
      </w:r>
    </w:p>
    <w:p w14:paraId="74F5A42F" w14:textId="7CC65C59" w:rsidR="001410ED" w:rsidRPr="00FE3B14" w:rsidRDefault="001410ED" w:rsidP="002A021A">
      <w:pPr>
        <w:pStyle w:val="Heading2"/>
      </w:pPr>
      <w:bookmarkStart w:id="54" w:name="_Toc100231213"/>
      <w:r w:rsidRPr="00FE3B14">
        <w:t xml:space="preserve">Statutory monitoring of services by HIQA and </w:t>
      </w:r>
      <w:r w:rsidR="00625271">
        <w:t>MHC</w:t>
      </w:r>
      <w:bookmarkEnd w:id="54"/>
    </w:p>
    <w:p w14:paraId="0EA8A3A0" w14:textId="25FB2B63" w:rsidR="001410ED" w:rsidRDefault="001410ED" w:rsidP="001410ED">
      <w:pPr>
        <w:tabs>
          <w:tab w:val="left" w:pos="975"/>
        </w:tabs>
      </w:pPr>
      <w:r w:rsidRPr="00FE3B14">
        <w:t>HIQA is an independent statutory body, and part of its mandate is to monitor health and</w:t>
      </w:r>
      <w:r>
        <w:t xml:space="preserve"> social care services, including centres for adults and children with disabilities. The </w:t>
      </w:r>
      <w:r w:rsidRPr="00E530FD">
        <w:t>Disability inspection team</w:t>
      </w:r>
      <w:r>
        <w:t>s talk to residents and families as well as service providers as part of their inspections.</w:t>
      </w:r>
      <w:r>
        <w:rPr>
          <w:rStyle w:val="FootnoteReference"/>
        </w:rPr>
        <w:footnoteReference w:id="52"/>
      </w:r>
      <w:r w:rsidRPr="00E530FD">
        <w:t xml:space="preserve"> </w:t>
      </w:r>
      <w:r w:rsidR="006E74DF">
        <w:t xml:space="preserve">HIQA’s 2020 annual report on inspections of disability settings found that 93% of </w:t>
      </w:r>
      <w:r w:rsidR="006E74DF">
        <w:lastRenderedPageBreak/>
        <w:t>services were compliant or substantially compliant with safeguarding regulations.</w:t>
      </w:r>
      <w:r w:rsidR="006E74DF">
        <w:rPr>
          <w:rStyle w:val="FootnoteReference"/>
        </w:rPr>
        <w:footnoteReference w:id="53"/>
      </w:r>
      <w:r w:rsidR="006E74DF">
        <w:t xml:space="preserve"> This differed according to the type of setting, with </w:t>
      </w:r>
      <w:r w:rsidR="006E74DF" w:rsidRPr="006E74DF">
        <w:t xml:space="preserve">88.1% </w:t>
      </w:r>
      <w:r w:rsidR="006E74DF">
        <w:t xml:space="preserve">of </w:t>
      </w:r>
      <w:r w:rsidR="006E74DF" w:rsidRPr="006E74DF">
        <w:t>congregated</w:t>
      </w:r>
      <w:r w:rsidR="006E74DF">
        <w:t xml:space="preserve"> settings being compliant or substantially compliant in safeguarding</w:t>
      </w:r>
      <w:r w:rsidR="006E74DF" w:rsidRPr="006E74DF">
        <w:t xml:space="preserve"> vs 93.8% </w:t>
      </w:r>
      <w:r w:rsidR="006E74DF">
        <w:t xml:space="preserve">in </w:t>
      </w:r>
      <w:r w:rsidR="006E74DF" w:rsidRPr="006E74DF">
        <w:t>non</w:t>
      </w:r>
      <w:r w:rsidR="006E74DF">
        <w:t>-</w:t>
      </w:r>
      <w:r w:rsidR="006E74DF" w:rsidRPr="006E74DF">
        <w:t>congregated</w:t>
      </w:r>
      <w:r w:rsidR="006E74DF">
        <w:t xml:space="preserve"> settings.</w:t>
      </w:r>
      <w:r w:rsidR="00DC1140">
        <w:t xml:space="preserve"> T</w:t>
      </w:r>
      <w:r>
        <w:t>he MHC is also mandated to inspect mental health services</w:t>
      </w:r>
      <w:r w:rsidR="008D3B89">
        <w:t>. At the time of writing, there does not appear to be any reports published</w:t>
      </w:r>
      <w:r w:rsidR="00DC1140">
        <w:t xml:space="preserve"> by the MHC</w:t>
      </w:r>
      <w:r w:rsidR="008D3B89">
        <w:t xml:space="preserve"> relating to monitoring of safeguarding in mental health settings.</w:t>
      </w:r>
      <w:r w:rsidR="00DC1140">
        <w:t xml:space="preserve"> B</w:t>
      </w:r>
      <w:r>
        <w:t>oth bodies publish their inspection reports on their websites</w:t>
      </w:r>
      <w:r>
        <w:rPr>
          <w:rStyle w:val="FootnoteReference"/>
        </w:rPr>
        <w:footnoteReference w:id="54"/>
      </w:r>
      <w:r>
        <w:t xml:space="preserve"> </w:t>
      </w:r>
      <w:r>
        <w:rPr>
          <w:rStyle w:val="FootnoteReference"/>
        </w:rPr>
        <w:footnoteReference w:id="55"/>
      </w:r>
      <w:r>
        <w:t>.</w:t>
      </w:r>
    </w:p>
    <w:p w14:paraId="30029651" w14:textId="7E019878" w:rsidR="00830569" w:rsidRPr="00411A62" w:rsidRDefault="00244A75" w:rsidP="00830569">
      <w:pPr>
        <w:pStyle w:val="Heading2"/>
      </w:pPr>
      <w:bookmarkStart w:id="55" w:name="_Toc100231214"/>
      <w:r>
        <w:t>National s</w:t>
      </w:r>
      <w:r w:rsidR="00830569" w:rsidRPr="00411A62">
        <w:t>afeguarding policy for health and social care sector</w:t>
      </w:r>
      <w:bookmarkEnd w:id="55"/>
    </w:p>
    <w:p w14:paraId="17990D23" w14:textId="77777777" w:rsidR="005B3586" w:rsidRDefault="00411A62" w:rsidP="00411A62">
      <w:pPr>
        <w:tabs>
          <w:tab w:val="left" w:pos="975"/>
        </w:tabs>
        <w:sectPr w:rsidR="005B3586" w:rsidSect="00A65861">
          <w:footerReference w:type="default" r:id="rId10"/>
          <w:pgSz w:w="12240" w:h="15840"/>
          <w:pgMar w:top="1440" w:right="1800" w:bottom="1440" w:left="1800" w:header="708" w:footer="708" w:gutter="0"/>
          <w:cols w:space="708"/>
          <w:titlePg/>
          <w:docGrid w:linePitch="360"/>
        </w:sectPr>
      </w:pPr>
      <w:r>
        <w:t xml:space="preserve">At the time of writing, the </w:t>
      </w:r>
      <w:r w:rsidRPr="00411A62">
        <w:t xml:space="preserve">Department of Health </w:t>
      </w:r>
      <w:r>
        <w:t>is developing a</w:t>
      </w:r>
      <w:r w:rsidRPr="00411A62">
        <w:t xml:space="preserve"> national policy on adult safeguarding in the health and social care sector</w:t>
      </w:r>
      <w:r>
        <w:t>.</w:t>
      </w:r>
      <w:r w:rsidR="00943D1A">
        <w:rPr>
          <w:rStyle w:val="FootnoteReference"/>
        </w:rPr>
        <w:footnoteReference w:id="56"/>
      </w:r>
      <w:r>
        <w:t xml:space="preserve"> This will apply to </w:t>
      </w:r>
      <w:r w:rsidRPr="00411A62">
        <w:t xml:space="preserve">all public, voluntary, and private health and social care settings. </w:t>
      </w:r>
      <w:r w:rsidR="00943D1A">
        <w:t xml:space="preserve">Focus groups on the development of this policy have taken place with a range of service users including those who have experienced significant mental health challenges, those with </w:t>
      </w:r>
      <w:r w:rsidR="004425D7">
        <w:t>intellectual disability</w:t>
      </w:r>
      <w:r w:rsidR="00943D1A">
        <w:t xml:space="preserve">, with dementia, </w:t>
      </w:r>
      <w:r w:rsidR="004425D7">
        <w:t>acquired brain injury</w:t>
      </w:r>
      <w:r w:rsidR="00943D1A">
        <w:t xml:space="preserve">, and nursing home residents. </w:t>
      </w:r>
    </w:p>
    <w:p w14:paraId="53BD147A" w14:textId="77777777" w:rsidR="00DD2483" w:rsidRDefault="00DD2483" w:rsidP="00DD2483">
      <w:pPr>
        <w:tabs>
          <w:tab w:val="left" w:pos="975"/>
        </w:tabs>
      </w:pPr>
      <w:r>
        <w:lastRenderedPageBreak/>
        <w:t>Figure 1. Legislation, policies, standards and bodies responsible for adult safeguarding in Ireland</w:t>
      </w:r>
    </w:p>
    <w:p w14:paraId="75614193" w14:textId="54C964BE" w:rsidR="00DD2483" w:rsidRDefault="009201C0" w:rsidP="00411A62">
      <w:pPr>
        <w:tabs>
          <w:tab w:val="left" w:pos="975"/>
        </w:tabs>
      </w:pPr>
      <w:r>
        <w:rPr>
          <w:noProof/>
          <w:lang w:eastAsia="en-IE"/>
        </w:rPr>
        <w:drawing>
          <wp:inline distT="0" distB="0" distL="0" distR="0" wp14:anchorId="1B5A42F9" wp14:editId="009DEEBE">
            <wp:extent cx="7840345" cy="5029835"/>
            <wp:effectExtent l="0" t="0" r="8255" b="0"/>
            <wp:docPr id="1" name="Picture 1" descr="This figure shows five overarching categories. 1. Legislation and related. It displays the Criminal Justice (Witholding of Information on Offences Against Children and Vulnerable Persons) Act 2012, the National Vetting Bureau (Children and Vulnerable Persons) Act 2012, the Adult Safeguarding Bill 2017, and the Law Reform Commission's proposed regulatory framework for adult safeguarding (pending). 2. Safeguarding policy which includes the HSE Safeguarding Vulnerable Persons at Risk of ABuse - National Policy and Procedures 2014 and Department of Heatlh National Policy on Adult Safeguarding in the Health and Social Care Sector. 3. Standards which include HIQA and MHC's National Standards for Adult Safeguarding in Health and Social Care Services 2019. 4. Safeguarding repots and service inspections which includes HSE National Safeguarding Office, the Confidential Recipient, HIQA &amp; MHC. 5. Safeguarding Ireland which is an NGO to promote collaboration, increase awareness and conduct research on adult safeguar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0345" cy="5029835"/>
                    </a:xfrm>
                    <a:prstGeom prst="rect">
                      <a:avLst/>
                    </a:prstGeom>
                    <a:noFill/>
                  </pic:spPr>
                </pic:pic>
              </a:graphicData>
            </a:graphic>
          </wp:inline>
        </w:drawing>
      </w:r>
    </w:p>
    <w:p w14:paraId="27F169FD" w14:textId="77777777" w:rsidR="00DD2483" w:rsidRDefault="00DD2483" w:rsidP="00411A62">
      <w:pPr>
        <w:tabs>
          <w:tab w:val="left" w:pos="975"/>
        </w:tabs>
        <w:sectPr w:rsidR="00DD2483" w:rsidSect="003029B6">
          <w:pgSz w:w="15840" w:h="12240" w:orient="landscape"/>
          <w:pgMar w:top="1800" w:right="1440" w:bottom="1800" w:left="1440" w:header="708" w:footer="708" w:gutter="0"/>
          <w:cols w:space="708"/>
          <w:docGrid w:linePitch="360"/>
        </w:sectPr>
      </w:pPr>
    </w:p>
    <w:p w14:paraId="0C90377F" w14:textId="2E23840B" w:rsidR="001410ED" w:rsidRPr="004C1B78" w:rsidRDefault="001410ED" w:rsidP="001410ED">
      <w:pPr>
        <w:pStyle w:val="Heading2"/>
      </w:pPr>
      <w:bookmarkStart w:id="56" w:name="_Toc100231215"/>
      <w:r w:rsidRPr="004C1B78">
        <w:lastRenderedPageBreak/>
        <w:t>Children First: National Guidance for the Protection and Welfare of Children, 2017</w:t>
      </w:r>
      <w:bookmarkEnd w:id="56"/>
    </w:p>
    <w:p w14:paraId="13ADBC89" w14:textId="7432B631" w:rsidR="001410ED" w:rsidRDefault="001410ED" w:rsidP="001410ED">
      <w:pPr>
        <w:tabs>
          <w:tab w:val="left" w:pos="975"/>
        </w:tabs>
      </w:pPr>
      <w:r w:rsidRPr="004C1B78">
        <w:t>Children First: National Guidance for the Protection and Welfare of Children 2017</w:t>
      </w:r>
      <w:r w:rsidRPr="004C1B78">
        <w:rPr>
          <w:rStyle w:val="FootnoteReference"/>
        </w:rPr>
        <w:footnoteReference w:id="57"/>
      </w:r>
      <w:r>
        <w:t xml:space="preserve"> </w:t>
      </w:r>
      <w:r w:rsidRPr="004C1B78">
        <w:t xml:space="preserve">is a national policy document </w:t>
      </w:r>
      <w:r>
        <w:t>to help people to identify</w:t>
      </w:r>
      <w:r w:rsidRPr="004C1B78">
        <w:t xml:space="preserve"> and </w:t>
      </w:r>
      <w:r>
        <w:t>report</w:t>
      </w:r>
      <w:r w:rsidRPr="004C1B78">
        <w:t xml:space="preserve"> child abuse</w:t>
      </w:r>
      <w:r>
        <w:t xml:space="preserve">. It also outlines the statutory responsibilities of mandated persons and organisations </w:t>
      </w:r>
      <w:r w:rsidRPr="004C1B78">
        <w:t>under the Children First Act 2015</w:t>
      </w:r>
      <w:r>
        <w:t xml:space="preserve">. Children with disabilities are considered to be at increased vulnerability to abuse under Children First. </w:t>
      </w:r>
      <w:r w:rsidR="005B3586">
        <w:t>Please see Figure 2 which illustrates the l</w:t>
      </w:r>
      <w:r w:rsidR="005B3586" w:rsidRPr="00DF17A4">
        <w:t xml:space="preserve">egislation, policies, standards and bodies responsible for </w:t>
      </w:r>
      <w:r w:rsidR="005B3586">
        <w:t>child</w:t>
      </w:r>
      <w:r w:rsidR="005B3586" w:rsidRPr="00DF17A4">
        <w:t xml:space="preserve"> safeguarding in Ireland</w:t>
      </w:r>
      <w:r w:rsidR="00DA7C9A">
        <w:t>.</w:t>
      </w:r>
    </w:p>
    <w:p w14:paraId="7D7C37C1" w14:textId="6C27EDF3" w:rsidR="001410ED" w:rsidRPr="005F3207" w:rsidRDefault="001410ED" w:rsidP="001410ED">
      <w:pPr>
        <w:pStyle w:val="Heading2"/>
      </w:pPr>
      <w:bookmarkStart w:id="57" w:name="_Toc100231216"/>
      <w:r w:rsidRPr="005F3207">
        <w:t>National Standards for the Protection and Welfare of Children</w:t>
      </w:r>
      <w:bookmarkEnd w:id="57"/>
    </w:p>
    <w:p w14:paraId="2173E2D2" w14:textId="1E7EDF6C" w:rsidR="001410ED" w:rsidRPr="005F3207" w:rsidRDefault="001410ED" w:rsidP="001410ED">
      <w:r w:rsidRPr="005F3207">
        <w:t>The National Standards for the Protection and Welfare of Children</w:t>
      </w:r>
      <w:r w:rsidR="00946A13">
        <w:rPr>
          <w:rStyle w:val="FootnoteReference"/>
        </w:rPr>
        <w:footnoteReference w:id="58"/>
      </w:r>
      <w:r w:rsidRPr="005F3207">
        <w:t xml:space="preserve"> assess the performance of Tusla in relation to its statutory functions to provide adequate care and protection to children, and under Children First. The Standards also guide Tusla’s response to child protection concerns and how these concerns are managed. The Standards require that “[c]hildren </w:t>
      </w:r>
      <w:r w:rsidR="00B4123E">
        <w:t>are</w:t>
      </w:r>
      <w:r w:rsidRPr="005F3207">
        <w:t xml:space="preserve"> listened to and their concerns and complaints are responded to openly and effectively”.</w:t>
      </w:r>
      <w:r>
        <w:rPr>
          <w:rStyle w:val="FootnoteReference"/>
        </w:rPr>
        <w:footnoteReference w:id="59"/>
      </w:r>
    </w:p>
    <w:p w14:paraId="17060750" w14:textId="715CFA18" w:rsidR="002C786F" w:rsidRDefault="001410ED" w:rsidP="001410ED">
      <w:pPr>
        <w:sectPr w:rsidR="002C786F">
          <w:pgSz w:w="12240" w:h="15840"/>
          <w:pgMar w:top="1440" w:right="1800" w:bottom="1440" w:left="1800" w:header="708" w:footer="708" w:gutter="0"/>
          <w:cols w:space="708"/>
          <w:docGrid w:linePitch="360"/>
        </w:sectPr>
      </w:pPr>
      <w:r>
        <w:t xml:space="preserve">Children with </w:t>
      </w:r>
      <w:r w:rsidRPr="005327F5">
        <w:t>disabilities are mentioned in a number of areas</w:t>
      </w:r>
      <w:r>
        <w:t xml:space="preserve"> in these standards. Specifically</w:t>
      </w:r>
      <w:r w:rsidRPr="005327F5">
        <w:t xml:space="preserve"> that services should ensure children and families are not discriminated against according to disability when accessing services</w:t>
      </w:r>
      <w:r>
        <w:t xml:space="preserve"> (Standard 2.4.3)</w:t>
      </w:r>
      <w:r w:rsidRPr="005327F5">
        <w:t>, services should respect those</w:t>
      </w:r>
      <w:r>
        <w:t xml:space="preserve"> children</w:t>
      </w:r>
      <w:r w:rsidRPr="005327F5">
        <w:t xml:space="preserve"> with a </w:t>
      </w:r>
      <w:r>
        <w:t>disability</w:t>
      </w:r>
      <w:r w:rsidRPr="005327F5">
        <w:t xml:space="preserve"> </w:t>
      </w:r>
      <w:r>
        <w:t xml:space="preserve">(Standard 1.1.4) </w:t>
      </w:r>
      <w:r w:rsidRPr="005327F5">
        <w:t>and that</w:t>
      </w:r>
      <w:r>
        <w:t xml:space="preserve"> the service works with others to </w:t>
      </w:r>
      <w:r w:rsidRPr="005327F5">
        <w:t>raise awareness about and promo</w:t>
      </w:r>
      <w:r>
        <w:t xml:space="preserve">te the safety and protection of children with disabilities </w:t>
      </w:r>
      <w:r w:rsidRPr="005327F5">
        <w:t>(Standard 2.12</w:t>
      </w:r>
      <w:r>
        <w:t xml:space="preserve">.1). </w:t>
      </w:r>
    </w:p>
    <w:p w14:paraId="3D07C51A" w14:textId="5FCD90B3" w:rsidR="006A0E5D" w:rsidRDefault="006A0E5D" w:rsidP="006A0E5D">
      <w:pPr>
        <w:tabs>
          <w:tab w:val="left" w:pos="975"/>
        </w:tabs>
      </w:pPr>
      <w:r>
        <w:lastRenderedPageBreak/>
        <w:t xml:space="preserve">Figure 2. Legislation, policies, standards and bodies responsible for </w:t>
      </w:r>
      <w:r w:rsidR="008937AC">
        <w:t>child safeguarding</w:t>
      </w:r>
      <w:r>
        <w:t xml:space="preserve"> in Ireland</w:t>
      </w:r>
    </w:p>
    <w:p w14:paraId="423EF169" w14:textId="26E0FB56" w:rsidR="002C786F" w:rsidRDefault="00A65861" w:rsidP="001410ED">
      <w:r>
        <w:rPr>
          <w:noProof/>
          <w:lang w:eastAsia="en-IE"/>
        </w:rPr>
        <w:drawing>
          <wp:inline distT="0" distB="0" distL="0" distR="0" wp14:anchorId="0488144A" wp14:editId="0578725C">
            <wp:extent cx="8248650" cy="4968875"/>
            <wp:effectExtent l="0" t="0" r="0" b="3175"/>
            <wp:docPr id="2" name="Picture 2" descr="This figure shows four overarching categories. 1. Legislation and related which includes the Child Care Act 1991, the Criminal Justice (Witholding of Information on Offences Against Children and Vulnerable Persons) Act 2012, the National Vetting Bureau (Children and Vulnerable Persons) Act 2012 and the Children First Act 2015. 2. Policy/guidance which includes Children First: National Guidance for the Protection and Welfare of Children, 2017, Child Protection Procedures for Primary and Post-Primary Schools, 2017, and Tusla, which provides a range of Children First and child safegarding resources for organiations on their website. 3. Standards, which include National Standards for the Protection and Welfare of Children 2012. 4. Safeguarding reports and service inspections which come from Tusla, Child and Family Agency and H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8650" cy="4968875"/>
                    </a:xfrm>
                    <a:prstGeom prst="rect">
                      <a:avLst/>
                    </a:prstGeom>
                    <a:noFill/>
                  </pic:spPr>
                </pic:pic>
              </a:graphicData>
            </a:graphic>
          </wp:inline>
        </w:drawing>
      </w:r>
    </w:p>
    <w:p w14:paraId="40236332" w14:textId="77777777" w:rsidR="002C786F" w:rsidRDefault="002C786F" w:rsidP="001410ED">
      <w:pPr>
        <w:sectPr w:rsidR="002C786F" w:rsidSect="003029B6">
          <w:pgSz w:w="15840" w:h="12240" w:orient="landscape"/>
          <w:pgMar w:top="1800" w:right="1440" w:bottom="1800" w:left="1440" w:header="708" w:footer="708" w:gutter="0"/>
          <w:cols w:space="708"/>
          <w:docGrid w:linePitch="360"/>
        </w:sectPr>
      </w:pPr>
    </w:p>
    <w:p w14:paraId="7C712496" w14:textId="71A09ABC" w:rsidR="001410ED" w:rsidRDefault="001410ED" w:rsidP="001410ED">
      <w:pPr>
        <w:pStyle w:val="Heading2"/>
      </w:pPr>
      <w:bookmarkStart w:id="58" w:name="_Toc100231217"/>
      <w:r w:rsidRPr="00D743BF">
        <w:lastRenderedPageBreak/>
        <w:t xml:space="preserve">Child Protection Procedures for Primary and Post-Primary </w:t>
      </w:r>
      <w:r>
        <w:t>Schools</w:t>
      </w:r>
      <w:bookmarkEnd w:id="58"/>
      <w:r>
        <w:t xml:space="preserve"> </w:t>
      </w:r>
    </w:p>
    <w:p w14:paraId="4A21EFC0" w14:textId="35CD23BD" w:rsidR="002C786F" w:rsidRDefault="001410ED" w:rsidP="001410ED">
      <w:pPr>
        <w:tabs>
          <w:tab w:val="left" w:pos="975"/>
        </w:tabs>
      </w:pPr>
      <w:r>
        <w:t>The 2</w:t>
      </w:r>
      <w:r w:rsidRPr="00D743BF">
        <w:t xml:space="preserve">017 </w:t>
      </w:r>
      <w:r w:rsidRPr="00F83D08">
        <w:t>Child Protection Procedures for Primary and Post-Primary Schools</w:t>
      </w:r>
      <w:r>
        <w:rPr>
          <w:rStyle w:val="FootnoteReference"/>
        </w:rPr>
        <w:footnoteReference w:id="60"/>
      </w:r>
      <w:r>
        <w:t xml:space="preserve"> provide guidance to schools on their </w:t>
      </w:r>
      <w:r w:rsidRPr="00D743BF">
        <w:t xml:space="preserve">statutory obligations under </w:t>
      </w:r>
      <w:r>
        <w:t>the</w:t>
      </w:r>
      <w:r w:rsidRPr="00D743BF">
        <w:t xml:space="preserve"> Children First Act and Children First.</w:t>
      </w:r>
      <w:r>
        <w:t xml:space="preserve"> According to these procedures, all primary schools are required to deliver the ‘S</w:t>
      </w:r>
      <w:r w:rsidRPr="00D743BF">
        <w:t>tay Safe</w:t>
      </w:r>
      <w:r>
        <w:t>’</w:t>
      </w:r>
      <w:r w:rsidRPr="00D743BF">
        <w:t xml:space="preserve"> programme</w:t>
      </w:r>
      <w:r>
        <w:rPr>
          <w:rStyle w:val="FootnoteReference"/>
        </w:rPr>
        <w:footnoteReference w:id="61"/>
      </w:r>
      <w:r>
        <w:t xml:space="preserve">, which aims to equip children with the skills to recognise and resist abuse or potentially abusive situations. </w:t>
      </w:r>
      <w:r w:rsidR="00330D27">
        <w:t xml:space="preserve">It is unclear if this programme is delivered in accessible and appropriate ways for learners with disabilities. </w:t>
      </w:r>
    </w:p>
    <w:p w14:paraId="05BCDB54" w14:textId="77777777" w:rsidR="00625271" w:rsidRPr="0011199D" w:rsidRDefault="00625271" w:rsidP="00625271">
      <w:pPr>
        <w:pStyle w:val="Heading2"/>
      </w:pPr>
      <w:bookmarkStart w:id="59" w:name="_Toc100231218"/>
      <w:r>
        <w:t>Bullying policy for schools</w:t>
      </w:r>
      <w:bookmarkEnd w:id="59"/>
    </w:p>
    <w:p w14:paraId="3936D8EB" w14:textId="233CA83B" w:rsidR="00625271" w:rsidRDefault="00625271" w:rsidP="00625271">
      <w:pPr>
        <w:tabs>
          <w:tab w:val="left" w:pos="975"/>
        </w:tabs>
      </w:pPr>
      <w:r>
        <w:t>The national Anti-</w:t>
      </w:r>
      <w:r w:rsidRPr="009B35C7">
        <w:t>Bullying Procedures for Primary and Post-Primary Schools</w:t>
      </w:r>
      <w:r w:rsidR="00946A13">
        <w:rPr>
          <w:rStyle w:val="FootnoteReference"/>
        </w:rPr>
        <w:footnoteReference w:id="62"/>
      </w:r>
      <w:r w:rsidRPr="009B35C7">
        <w:t xml:space="preserve"> </w:t>
      </w:r>
      <w:r>
        <w:t>gives guidance to schools on</w:t>
      </w:r>
      <w:r w:rsidRPr="009B35C7">
        <w:t xml:space="preserve"> prevent</w:t>
      </w:r>
      <w:r>
        <w:t>ing</w:t>
      </w:r>
      <w:r w:rsidRPr="009B35C7">
        <w:t xml:space="preserve"> and address</w:t>
      </w:r>
      <w:r>
        <w:t>ing</w:t>
      </w:r>
      <w:r w:rsidRPr="009B35C7">
        <w:t xml:space="preserve"> school-based bullying. These guidelines refer to the potential vulnerability of different types of students to bullying, including those with disabilities</w:t>
      </w:r>
      <w:r>
        <w:t xml:space="preserve"> and also includes i</w:t>
      </w:r>
      <w:r w:rsidRPr="009B35C7">
        <w:t>dentity-based bullying</w:t>
      </w:r>
      <w:r>
        <w:t xml:space="preserve"> (e.g., bullying because of disability) in their </w:t>
      </w:r>
      <w:r w:rsidRPr="009B35C7">
        <w:t>definition of bullying</w:t>
      </w:r>
      <w:r>
        <w:t>.</w:t>
      </w:r>
    </w:p>
    <w:p w14:paraId="16E970EC" w14:textId="6624A09E" w:rsidR="007D13DC" w:rsidRDefault="007D13DC" w:rsidP="007D13DC">
      <w:pPr>
        <w:pStyle w:val="Heading2"/>
      </w:pPr>
      <w:bookmarkStart w:id="60" w:name="_Toc100231219"/>
      <w:r>
        <w:t>Sex education in schools</w:t>
      </w:r>
      <w:bookmarkEnd w:id="60"/>
    </w:p>
    <w:p w14:paraId="4D720C6C" w14:textId="1835A1F2" w:rsidR="002A346F" w:rsidRDefault="00BA506B" w:rsidP="007D13DC">
      <w:pPr>
        <w:rPr>
          <w:szCs w:val="26"/>
        </w:rPr>
      </w:pPr>
      <w:r>
        <w:rPr>
          <w:szCs w:val="26"/>
        </w:rPr>
        <w:t>In primary school,</w:t>
      </w:r>
      <w:r w:rsidR="00F25D9C">
        <w:rPr>
          <w:szCs w:val="26"/>
        </w:rPr>
        <w:t xml:space="preserve"> </w:t>
      </w:r>
      <w:r w:rsidR="00520405">
        <w:rPr>
          <w:szCs w:val="26"/>
        </w:rPr>
        <w:t>one of the aims of</w:t>
      </w:r>
      <w:r w:rsidR="00F25D9C">
        <w:rPr>
          <w:szCs w:val="26"/>
        </w:rPr>
        <w:t xml:space="preserve"> Social</w:t>
      </w:r>
      <w:r w:rsidR="00520405">
        <w:rPr>
          <w:szCs w:val="26"/>
        </w:rPr>
        <w:t>, Personal and Health Education is to help children develop a sense of safety and ability to protect themselves from danger or abuse.</w:t>
      </w:r>
      <w:r w:rsidR="00520405">
        <w:rPr>
          <w:rStyle w:val="FootnoteReference"/>
          <w:szCs w:val="26"/>
        </w:rPr>
        <w:footnoteReference w:id="63"/>
      </w:r>
      <w:r w:rsidR="00520405">
        <w:rPr>
          <w:szCs w:val="26"/>
        </w:rPr>
        <w:t xml:space="preserve"> </w:t>
      </w:r>
      <w:r>
        <w:rPr>
          <w:szCs w:val="26"/>
        </w:rPr>
        <w:t xml:space="preserve">In secondary school, students are taught about personal safety, including personal security in </w:t>
      </w:r>
      <w:r>
        <w:rPr>
          <w:szCs w:val="26"/>
        </w:rPr>
        <w:lastRenderedPageBreak/>
        <w:t>the context of relationships</w:t>
      </w:r>
      <w:r w:rsidR="00F25D9C">
        <w:rPr>
          <w:szCs w:val="26"/>
        </w:rPr>
        <w:t xml:space="preserve"> in Junior Cycle</w:t>
      </w:r>
      <w:r w:rsidR="00F25D9C">
        <w:rPr>
          <w:rStyle w:val="FootnoteReference"/>
          <w:szCs w:val="26"/>
        </w:rPr>
        <w:footnoteReference w:id="64"/>
      </w:r>
      <w:r w:rsidR="00F25D9C">
        <w:rPr>
          <w:szCs w:val="26"/>
        </w:rPr>
        <w:t xml:space="preserve"> and in Senior Cycle</w:t>
      </w:r>
      <w:r w:rsidR="00757977">
        <w:rPr>
          <w:szCs w:val="26"/>
        </w:rPr>
        <w:t>,</w:t>
      </w:r>
      <w:r w:rsidR="00F25D9C">
        <w:rPr>
          <w:szCs w:val="26"/>
        </w:rPr>
        <w:t xml:space="preserve"> there is an explicit focus on sexual harassment, assault and rape.</w:t>
      </w:r>
      <w:r w:rsidR="00F25D9C">
        <w:rPr>
          <w:rStyle w:val="FootnoteReference"/>
          <w:szCs w:val="26"/>
        </w:rPr>
        <w:footnoteReference w:id="65"/>
      </w:r>
      <w:r w:rsidR="00902A09">
        <w:rPr>
          <w:szCs w:val="26"/>
        </w:rPr>
        <w:t xml:space="preserve"> </w:t>
      </w:r>
      <w:r w:rsidR="00415E07">
        <w:rPr>
          <w:szCs w:val="26"/>
        </w:rPr>
        <w:t xml:space="preserve">The area of consent </w:t>
      </w:r>
      <w:r w:rsidR="002A346F">
        <w:rPr>
          <w:szCs w:val="26"/>
        </w:rPr>
        <w:t xml:space="preserve">is vital when considering sexual violence, but it is not explicitly mentioned in these curricula. However, </w:t>
      </w:r>
      <w:r w:rsidR="007B4CFA">
        <w:rPr>
          <w:szCs w:val="26"/>
        </w:rPr>
        <w:t xml:space="preserve">in a 2019 report, </w:t>
      </w:r>
      <w:r w:rsidR="002A346F">
        <w:rPr>
          <w:szCs w:val="26"/>
        </w:rPr>
        <w:t>students, parents, teachers and principals all indicated the importance of teaching children and young people about consent.</w:t>
      </w:r>
      <w:r w:rsidR="002A346F">
        <w:rPr>
          <w:rStyle w:val="FootnoteReference"/>
          <w:szCs w:val="26"/>
        </w:rPr>
        <w:footnoteReference w:id="66"/>
      </w:r>
      <w:r w:rsidR="002A346F">
        <w:rPr>
          <w:szCs w:val="26"/>
        </w:rPr>
        <w:t xml:space="preserve"> </w:t>
      </w:r>
    </w:p>
    <w:p w14:paraId="7FAE2F50" w14:textId="59098BAB" w:rsidR="007D13DC" w:rsidRDefault="007D13DC" w:rsidP="007D13DC">
      <w:pPr>
        <w:rPr>
          <w:szCs w:val="26"/>
        </w:rPr>
      </w:pPr>
      <w:r w:rsidRPr="003608DF">
        <w:rPr>
          <w:szCs w:val="26"/>
        </w:rPr>
        <w:t xml:space="preserve">The National Council for Special Education runs tailored courses for teachers regarding </w:t>
      </w:r>
      <w:r>
        <w:rPr>
          <w:szCs w:val="26"/>
        </w:rPr>
        <w:t>Relationships and Sexuality Education (RSE)</w:t>
      </w:r>
      <w:r w:rsidRPr="003608DF">
        <w:rPr>
          <w:szCs w:val="26"/>
        </w:rPr>
        <w:t xml:space="preserve"> for students with special education needs and the Professional Development Service for Teachers has compiled a list of Special Needs Resources for RSE.</w:t>
      </w:r>
      <w:r w:rsidRPr="003608DF">
        <w:rPr>
          <w:rStyle w:val="FootnoteReference"/>
          <w:szCs w:val="22"/>
        </w:rPr>
        <w:footnoteReference w:id="67"/>
      </w:r>
      <w:r w:rsidRPr="003608DF">
        <w:rPr>
          <w:sz w:val="22"/>
          <w:szCs w:val="22"/>
        </w:rPr>
        <w:t xml:space="preserve"> </w:t>
      </w:r>
      <w:r w:rsidRPr="003608DF">
        <w:rPr>
          <w:szCs w:val="26"/>
        </w:rPr>
        <w:t>The National Council for Curriculum and Assessment</w:t>
      </w:r>
      <w:r>
        <w:rPr>
          <w:szCs w:val="26"/>
        </w:rPr>
        <w:t xml:space="preserve"> (NCCA)</w:t>
      </w:r>
      <w:r w:rsidRPr="003608DF">
        <w:rPr>
          <w:szCs w:val="26"/>
        </w:rPr>
        <w:t xml:space="preserve"> drafted</w:t>
      </w:r>
      <w:r w:rsidRPr="003608DF">
        <w:rPr>
          <w:bCs/>
          <w:szCs w:val="26"/>
        </w:rPr>
        <w:t xml:space="preserve"> ‘Guidelines for Teachers of Students With General Learning Disabilities’, which contain guidance on teaching </w:t>
      </w:r>
      <w:r w:rsidR="00902A09">
        <w:rPr>
          <w:bCs/>
          <w:szCs w:val="26"/>
        </w:rPr>
        <w:t>SPHE</w:t>
      </w:r>
      <w:r w:rsidRPr="003608DF">
        <w:rPr>
          <w:bCs/>
          <w:szCs w:val="26"/>
        </w:rPr>
        <w:t xml:space="preserve"> to students with mild general learning disabilities at primary and post-primary level, and to students with moderate, severe and profound general learning disabilities.</w:t>
      </w:r>
      <w:r>
        <w:rPr>
          <w:rStyle w:val="FootnoteReference"/>
          <w:bCs/>
          <w:szCs w:val="26"/>
        </w:rPr>
        <w:footnoteReference w:id="68"/>
      </w:r>
      <w:r w:rsidRPr="003608DF">
        <w:rPr>
          <w:szCs w:val="26"/>
        </w:rPr>
        <w:t xml:space="preserve"> </w:t>
      </w:r>
    </w:p>
    <w:p w14:paraId="240E95B7" w14:textId="3788C167" w:rsidR="00902A09" w:rsidRDefault="007D13DC" w:rsidP="007D13DC">
      <w:pPr>
        <w:rPr>
          <w:szCs w:val="26"/>
        </w:rPr>
      </w:pPr>
      <w:r w:rsidRPr="003608DF">
        <w:rPr>
          <w:szCs w:val="26"/>
        </w:rPr>
        <w:t xml:space="preserve">Due to a lack of information and data, we are not aware of the extent to which children with disabilities and/or special education needs are getting access to appropriately adapted </w:t>
      </w:r>
      <w:r w:rsidRPr="003608DF">
        <w:rPr>
          <w:szCs w:val="26"/>
        </w:rPr>
        <w:lastRenderedPageBreak/>
        <w:t xml:space="preserve">RSE in schools. </w:t>
      </w:r>
      <w:r w:rsidR="00415E07" w:rsidRPr="00415E07">
        <w:rPr>
          <w:szCs w:val="26"/>
        </w:rPr>
        <w:t>One practical issue is that because all special schools in Ireland are primary schools (even though pupils can be up to 18 years old), those in special schools would not typically be e</w:t>
      </w:r>
      <w:r w:rsidR="00415E07">
        <w:rPr>
          <w:szCs w:val="26"/>
        </w:rPr>
        <w:t xml:space="preserve">xposed to the post-primary RSE. </w:t>
      </w:r>
      <w:r w:rsidR="0013224E">
        <w:rPr>
          <w:szCs w:val="26"/>
        </w:rPr>
        <w:t>In 2018, t</w:t>
      </w:r>
      <w:r w:rsidRPr="003608DF">
        <w:rPr>
          <w:szCs w:val="26"/>
        </w:rPr>
        <w:t>he NCCA</w:t>
      </w:r>
      <w:r w:rsidR="00902A09">
        <w:rPr>
          <w:szCs w:val="26"/>
        </w:rPr>
        <w:t xml:space="preserve"> </w:t>
      </w:r>
      <w:r w:rsidR="0013224E">
        <w:rPr>
          <w:szCs w:val="26"/>
        </w:rPr>
        <w:t xml:space="preserve">were tasked by the Minster for Education at the time to conduct </w:t>
      </w:r>
      <w:r w:rsidR="00902A09">
        <w:rPr>
          <w:szCs w:val="26"/>
        </w:rPr>
        <w:t xml:space="preserve">a review of </w:t>
      </w:r>
      <w:r w:rsidR="00902A09" w:rsidRPr="003608DF">
        <w:rPr>
          <w:szCs w:val="26"/>
        </w:rPr>
        <w:t xml:space="preserve">the primary and post-primary </w:t>
      </w:r>
      <w:r w:rsidR="0013224E">
        <w:rPr>
          <w:szCs w:val="26"/>
        </w:rPr>
        <w:t xml:space="preserve">relationships and sexuality </w:t>
      </w:r>
      <w:r w:rsidR="00902A09" w:rsidRPr="003608DF">
        <w:rPr>
          <w:szCs w:val="26"/>
        </w:rPr>
        <w:t>curriculum</w:t>
      </w:r>
      <w:r w:rsidR="0013224E">
        <w:rPr>
          <w:szCs w:val="26"/>
        </w:rPr>
        <w:t xml:space="preserve"> to “</w:t>
      </w:r>
      <w:r w:rsidR="0013224E">
        <w:t>ensure that it is fit for purpose and meets the needs of young people today in modern Ireland”</w:t>
      </w:r>
      <w:r w:rsidR="00902A09" w:rsidRPr="003608DF">
        <w:rPr>
          <w:szCs w:val="26"/>
        </w:rPr>
        <w:t>.</w:t>
      </w:r>
      <w:r w:rsidR="00902A09" w:rsidRPr="003608DF">
        <w:rPr>
          <w:rStyle w:val="FootnoteReference"/>
          <w:szCs w:val="22"/>
        </w:rPr>
        <w:footnoteReference w:id="69"/>
      </w:r>
      <w:r w:rsidR="00902A09">
        <w:rPr>
          <w:szCs w:val="26"/>
        </w:rPr>
        <w:t xml:space="preserve"> </w:t>
      </w:r>
      <w:r w:rsidR="00415E07">
        <w:rPr>
          <w:szCs w:val="26"/>
        </w:rPr>
        <w:t>The report</w:t>
      </w:r>
      <w:r w:rsidR="00415E07" w:rsidRPr="003608DF">
        <w:rPr>
          <w:szCs w:val="26"/>
        </w:rPr>
        <w:t xml:space="preserve"> highlight</w:t>
      </w:r>
      <w:r w:rsidR="00415E07">
        <w:rPr>
          <w:szCs w:val="26"/>
        </w:rPr>
        <w:t>ed</w:t>
      </w:r>
      <w:r w:rsidR="00415E07" w:rsidRPr="003608DF">
        <w:rPr>
          <w:szCs w:val="26"/>
        </w:rPr>
        <w:t xml:space="preserve"> RSE for students wit</w:t>
      </w:r>
      <w:r w:rsidR="007B4CFA">
        <w:rPr>
          <w:szCs w:val="26"/>
        </w:rPr>
        <w:t xml:space="preserve">h special education needs as a </w:t>
      </w:r>
      <w:r w:rsidR="00415E07" w:rsidRPr="003608DF">
        <w:rPr>
          <w:szCs w:val="26"/>
        </w:rPr>
        <w:t>concern as part of their review</w:t>
      </w:r>
      <w:r w:rsidR="00415E07">
        <w:rPr>
          <w:szCs w:val="26"/>
        </w:rPr>
        <w:t xml:space="preserve">. </w:t>
      </w:r>
      <w:r w:rsidR="00415E07" w:rsidRPr="003608DF">
        <w:rPr>
          <w:szCs w:val="26"/>
        </w:rPr>
        <w:t xml:space="preserve">The review found RSE for children with </w:t>
      </w:r>
      <w:r w:rsidR="00415E07">
        <w:rPr>
          <w:szCs w:val="26"/>
        </w:rPr>
        <w:t>special education needs</w:t>
      </w:r>
      <w:r w:rsidR="00415E07" w:rsidRPr="003608DF">
        <w:rPr>
          <w:szCs w:val="26"/>
        </w:rPr>
        <w:t xml:space="preserve"> is often only looked</w:t>
      </w:r>
      <w:r w:rsidR="007B4CFA">
        <w:rPr>
          <w:szCs w:val="26"/>
        </w:rPr>
        <w:t xml:space="preserve"> at from a </w:t>
      </w:r>
      <w:r w:rsidR="00415E07">
        <w:rPr>
          <w:szCs w:val="26"/>
        </w:rPr>
        <w:t xml:space="preserve">safety perspective and that at times children with special education needs may be withdrawn for resource hours when SPHE is being taught. </w:t>
      </w:r>
      <w:r w:rsidR="0013224E">
        <w:rPr>
          <w:szCs w:val="26"/>
        </w:rPr>
        <w:t>This report recommended the development of a new single, integrated curriculum across pr</w:t>
      </w:r>
      <w:r w:rsidR="002A346F">
        <w:rPr>
          <w:szCs w:val="26"/>
        </w:rPr>
        <w:t>imary and post-primary school, and work on this will begin in approximately late 2021.</w:t>
      </w:r>
      <w:r w:rsidR="002A346F">
        <w:rPr>
          <w:rStyle w:val="FootnoteReference"/>
          <w:szCs w:val="26"/>
        </w:rPr>
        <w:footnoteReference w:id="70"/>
      </w:r>
      <w:r w:rsidR="002F2B4D">
        <w:rPr>
          <w:szCs w:val="26"/>
        </w:rPr>
        <w:t xml:space="preserve"> </w:t>
      </w:r>
    </w:p>
    <w:p w14:paraId="0D863977" w14:textId="6CB592C9" w:rsidR="000F2E3E" w:rsidRDefault="000F2E3E" w:rsidP="00E10D53">
      <w:pPr>
        <w:pStyle w:val="Heading2"/>
      </w:pPr>
      <w:bookmarkStart w:id="61" w:name="_Toc100231220"/>
      <w:r>
        <w:t xml:space="preserve">Framework </w:t>
      </w:r>
      <w:r w:rsidR="00DE6860">
        <w:t>for</w:t>
      </w:r>
      <w:r>
        <w:t xml:space="preserve"> Consent in Higher Education Institutions</w:t>
      </w:r>
      <w:bookmarkEnd w:id="61"/>
    </w:p>
    <w:p w14:paraId="6035093F" w14:textId="71C2C3BF" w:rsidR="000F2E3E" w:rsidRDefault="000F2E3E">
      <w:r>
        <w:t xml:space="preserve">In 2019, the Department of Education and Skills at the time </w:t>
      </w:r>
      <w:r w:rsidRPr="000F2E3E">
        <w:t>launched the Framework for</w:t>
      </w:r>
      <w:r>
        <w:t xml:space="preserve"> Consent</w:t>
      </w:r>
      <w:r w:rsidRPr="000F2E3E">
        <w:t xml:space="preserve"> in Higher Educations Institutions (HEIs)</w:t>
      </w:r>
      <w:r w:rsidR="00712A28">
        <w:t>:</w:t>
      </w:r>
      <w:r w:rsidRPr="000F2E3E">
        <w:t xml:space="preserve"> Safe, Respectful, Supportive and Positive: Ending Sexual Harassment in Irish Higher Education Institutions.</w:t>
      </w:r>
      <w:r>
        <w:rPr>
          <w:rStyle w:val="FootnoteReference"/>
        </w:rPr>
        <w:footnoteReference w:id="71"/>
      </w:r>
      <w:r w:rsidRPr="000F2E3E">
        <w:t xml:space="preserve"> </w:t>
      </w:r>
      <w:r w:rsidR="00DE6860">
        <w:t xml:space="preserve">Since 2020, </w:t>
      </w:r>
      <w:r w:rsidR="00DE6860" w:rsidRPr="00DE6860">
        <w:t xml:space="preserve">the HEA Centre of Excellence for Equality, Diversity and Inclusion </w:t>
      </w:r>
      <w:r w:rsidR="00DE6860">
        <w:t xml:space="preserve">has been working with institutions and representative bodies to support implementation of this Framework and HEIs have to report on implementation progress to the HEA. Some of the achievements to date include the </w:t>
      </w:r>
      <w:r w:rsidR="00DE6860">
        <w:lastRenderedPageBreak/>
        <w:t xml:space="preserve">roll out of online consent training and online bystander intervention training and the development of an </w:t>
      </w:r>
      <w:r w:rsidR="00DE6860" w:rsidRPr="00DE6860">
        <w:t>Anonymous Reporting Tool for issues of bullying, ha</w:t>
      </w:r>
      <w:r w:rsidR="00DE6860">
        <w:t>rassment, and sexual harassment in HEIs.</w:t>
      </w:r>
    </w:p>
    <w:p w14:paraId="73FA0E7B" w14:textId="77777777" w:rsidR="00330D27" w:rsidRPr="00E822D4" w:rsidRDefault="00DE6860" w:rsidP="00C60BAF">
      <w:r>
        <w:t>In 2021, the Department of Justice and the Department of Further and Higher Education, Research, Innovation and Science, in partnership with NUI Galway, launched a n</w:t>
      </w:r>
      <w:r w:rsidRPr="00A04877">
        <w:t>ew online learning hub on sexual consent for third level education</w:t>
      </w:r>
      <w:r>
        <w:t>.</w:t>
      </w:r>
      <w:r>
        <w:rPr>
          <w:rStyle w:val="FootnoteReference"/>
        </w:rPr>
        <w:footnoteReference w:id="72"/>
      </w:r>
      <w:r>
        <w:t xml:space="preserve"> This hub will include resources and training on sexual consent for students and staff.</w:t>
      </w:r>
    </w:p>
    <w:p w14:paraId="451F82F5" w14:textId="1CE40E01" w:rsidR="006B404D" w:rsidRDefault="006B404D" w:rsidP="006B404D">
      <w:pPr>
        <w:pStyle w:val="Heading1"/>
      </w:pPr>
      <w:bookmarkStart w:id="62" w:name="_Toc100231221"/>
      <w:r>
        <w:t>Services and support organisations</w:t>
      </w:r>
      <w:bookmarkEnd w:id="62"/>
    </w:p>
    <w:p w14:paraId="6B5A9DE1" w14:textId="3D36695F" w:rsidR="002743E6" w:rsidRDefault="002743E6" w:rsidP="002743E6">
      <w:pPr>
        <w:pStyle w:val="Heading2"/>
      </w:pPr>
      <w:bookmarkStart w:id="63" w:name="_Toc100231222"/>
      <w:r>
        <w:t xml:space="preserve">Provision of </w:t>
      </w:r>
      <w:r w:rsidR="00D52810">
        <w:t>d</w:t>
      </w:r>
      <w:r>
        <w:t>omestic</w:t>
      </w:r>
      <w:r w:rsidR="00D52810">
        <w:t>, s</w:t>
      </w:r>
      <w:r>
        <w:t xml:space="preserve">exual and </w:t>
      </w:r>
      <w:r w:rsidR="00D52810">
        <w:t>g</w:t>
      </w:r>
      <w:r>
        <w:t xml:space="preserve">ender </w:t>
      </w:r>
      <w:r w:rsidR="00D52810">
        <w:t>based violence se</w:t>
      </w:r>
      <w:r>
        <w:t>rvices</w:t>
      </w:r>
      <w:bookmarkEnd w:id="63"/>
    </w:p>
    <w:p w14:paraId="4A0F1FBE" w14:textId="7DFE5382" w:rsidR="00D96088" w:rsidRDefault="00CD721A" w:rsidP="00D96088">
      <w:pPr>
        <w:tabs>
          <w:tab w:val="left" w:pos="975"/>
        </w:tabs>
      </w:pPr>
      <w:r>
        <w:t xml:space="preserve">In Ireland, Tusla, the Child and Family Agency are responsible for funding and delivery of </w:t>
      </w:r>
      <w:r w:rsidR="00D52810" w:rsidRPr="00D52810">
        <w:t xml:space="preserve">domestic, sexual and gender based violence </w:t>
      </w:r>
      <w:r w:rsidR="00D52810">
        <w:t>(</w:t>
      </w:r>
      <w:r w:rsidRPr="00CD721A">
        <w:t>DSGBV</w:t>
      </w:r>
      <w:r w:rsidR="00D52810">
        <w:t>)</w:t>
      </w:r>
      <w:r>
        <w:t xml:space="preserve"> services, with the exception of Sexual Assault Treatment Units which are based in health services. </w:t>
      </w:r>
      <w:r w:rsidR="004F61AF">
        <w:t xml:space="preserve">DSGBV services are provided by Tusla or by </w:t>
      </w:r>
      <w:r w:rsidR="00E12B1F">
        <w:t>NGOs</w:t>
      </w:r>
      <w:r w:rsidR="00924807">
        <w:t xml:space="preserve"> </w:t>
      </w:r>
      <w:r w:rsidR="004F61AF">
        <w:t>commissioned by Tusla</w:t>
      </w:r>
      <w:r w:rsidR="00A05B92">
        <w:t xml:space="preserve"> such as</w:t>
      </w:r>
      <w:r w:rsidR="00D52810">
        <w:t xml:space="preserve"> the</w:t>
      </w:r>
      <w:r w:rsidR="00A05B92">
        <w:t xml:space="preserve"> Rape Crisis Network, Women’s Aid, Men’s Development Network,</w:t>
      </w:r>
      <w:r w:rsidR="00D52810">
        <w:t xml:space="preserve"> and</w:t>
      </w:r>
      <w:r w:rsidR="00A05B92">
        <w:t xml:space="preserve"> Men’s Aid</w:t>
      </w:r>
      <w:r w:rsidR="004F61AF">
        <w:t xml:space="preserve">. A recent audit of the DSGBV landscape </w:t>
      </w:r>
      <w:r w:rsidR="00D52810">
        <w:t xml:space="preserve">in Ireland </w:t>
      </w:r>
      <w:r w:rsidR="004F61AF">
        <w:t xml:space="preserve">with relevant government bodies </w:t>
      </w:r>
      <w:r w:rsidR="00924807">
        <w:t>and NGOs</w:t>
      </w:r>
      <w:r w:rsidR="004F61AF">
        <w:t xml:space="preserve"> reported</w:t>
      </w:r>
      <w:r w:rsidR="00AA3B70">
        <w:t xml:space="preserve"> a range of issues with </w:t>
      </w:r>
      <w:r w:rsidR="004F61AF">
        <w:t xml:space="preserve">DSGBV </w:t>
      </w:r>
      <w:r w:rsidR="00AA3B70">
        <w:t>policies, services an</w:t>
      </w:r>
      <w:r w:rsidR="00923496">
        <w:t>d</w:t>
      </w:r>
      <w:r w:rsidR="00AA3B70">
        <w:t xml:space="preserve"> structures.</w:t>
      </w:r>
      <w:r w:rsidR="00D52810">
        <w:rPr>
          <w:rStyle w:val="FootnoteReference"/>
        </w:rPr>
        <w:footnoteReference w:id="73"/>
      </w:r>
      <w:r w:rsidR="00AA3B70">
        <w:t xml:space="preserve"> These include insufficient resources for services, the insecurity and limitations of annual funding cycles for NGO</w:t>
      </w:r>
      <w:r w:rsidR="00ED6871">
        <w:t>s</w:t>
      </w:r>
      <w:r w:rsidR="00AA3B70">
        <w:t>, a lack of national, standardised data, insufficient numbers of refuges, issues with the quality of some refuges</w:t>
      </w:r>
      <w:r w:rsidR="00D52810">
        <w:t>, no</w:t>
      </w:r>
      <w:r w:rsidR="00D96088">
        <w:t xml:space="preserve"> accommodation for male victims of domestic violence, a</w:t>
      </w:r>
      <w:r w:rsidR="00AA3B70">
        <w:t xml:space="preserve"> lack of cross-</w:t>
      </w:r>
      <w:r w:rsidR="00923496">
        <w:t>governmental</w:t>
      </w:r>
      <w:r w:rsidR="00AA3B70">
        <w:t xml:space="preserve"> working and in general a fragmented service. </w:t>
      </w:r>
      <w:r w:rsidR="00D96088">
        <w:t>Stakeholders gave suggestions around</w:t>
      </w:r>
      <w:r w:rsidR="00076D1E">
        <w:t xml:space="preserve"> what is needed for the future, and o</w:t>
      </w:r>
      <w:r w:rsidR="00D52810">
        <w:t xml:space="preserve">f relevance </w:t>
      </w:r>
      <w:r w:rsidR="00076D1E">
        <w:t>to this Article,</w:t>
      </w:r>
      <w:r w:rsidR="00D52810">
        <w:t xml:space="preserve"> </w:t>
      </w:r>
      <w:r w:rsidR="00932F0A">
        <w:t>was</w:t>
      </w:r>
      <w:r w:rsidR="00D52810">
        <w:t xml:space="preserve"> a suggestion for </w:t>
      </w:r>
      <w:r w:rsidR="00D96088">
        <w:t>“</w:t>
      </w:r>
      <w:r w:rsidR="00D96088" w:rsidRPr="00D96088">
        <w:t>Better public information in accessible languages and formats for a range of needs about available services and how to access them</w:t>
      </w:r>
      <w:r w:rsidR="00D96088">
        <w:t>”</w:t>
      </w:r>
      <w:r w:rsidR="00E53D90">
        <w:t>.</w:t>
      </w:r>
      <w:r w:rsidR="00076D1E">
        <w:rPr>
          <w:rStyle w:val="FootnoteReference"/>
        </w:rPr>
        <w:footnoteReference w:id="74"/>
      </w:r>
      <w:r w:rsidR="00ED6871">
        <w:t xml:space="preserve"> </w:t>
      </w:r>
    </w:p>
    <w:p w14:paraId="5A5999CF" w14:textId="22BE7BCD" w:rsidR="00327D6B" w:rsidRDefault="00327D6B" w:rsidP="00BC04E4">
      <w:pPr>
        <w:pStyle w:val="Heading2"/>
      </w:pPr>
      <w:bookmarkStart w:id="64" w:name="_Toc100231223"/>
      <w:r>
        <w:t>Other relevant NGOs</w:t>
      </w:r>
      <w:r w:rsidR="00076D1E">
        <w:t>, organisations</w:t>
      </w:r>
      <w:r w:rsidR="009E6760">
        <w:t xml:space="preserve"> and charities</w:t>
      </w:r>
      <w:bookmarkEnd w:id="64"/>
    </w:p>
    <w:p w14:paraId="258D51AB" w14:textId="34B940CB" w:rsidR="008D0716" w:rsidRPr="002276A2" w:rsidRDefault="007B0374" w:rsidP="002276A2">
      <w:pPr>
        <w:rPr>
          <w:rFonts w:cs="Arial Bold"/>
          <w:bCs/>
          <w:iCs/>
          <w:szCs w:val="26"/>
        </w:rPr>
      </w:pPr>
      <w:r w:rsidRPr="009E6760">
        <w:rPr>
          <w:szCs w:val="26"/>
        </w:rPr>
        <w:t>There are many other services nationally which support those experiencing exploitation, violence and abuse</w:t>
      </w:r>
      <w:r w:rsidR="007E38A2">
        <w:rPr>
          <w:szCs w:val="26"/>
        </w:rPr>
        <w:t>,</w:t>
      </w:r>
      <w:r w:rsidRPr="009E6760">
        <w:rPr>
          <w:szCs w:val="26"/>
        </w:rPr>
        <w:t xml:space="preserve"> for example</w:t>
      </w:r>
      <w:r w:rsidR="007E38A2">
        <w:rPr>
          <w:szCs w:val="26"/>
        </w:rPr>
        <w:t>, the</w:t>
      </w:r>
      <w:r w:rsidRPr="009E6760">
        <w:rPr>
          <w:szCs w:val="26"/>
        </w:rPr>
        <w:t xml:space="preserve"> Sexual Violence Centre Cork</w:t>
      </w:r>
      <w:r w:rsidR="00380B99">
        <w:rPr>
          <w:rStyle w:val="FootnoteReference"/>
          <w:szCs w:val="26"/>
        </w:rPr>
        <w:footnoteReference w:id="75"/>
      </w:r>
      <w:r w:rsidRPr="009E6760">
        <w:rPr>
          <w:szCs w:val="26"/>
        </w:rPr>
        <w:t>, One in Four</w:t>
      </w:r>
      <w:r w:rsidR="00380B99">
        <w:rPr>
          <w:rStyle w:val="FootnoteReference"/>
          <w:szCs w:val="26"/>
        </w:rPr>
        <w:footnoteReference w:id="76"/>
      </w:r>
      <w:r w:rsidRPr="009E6760">
        <w:rPr>
          <w:szCs w:val="26"/>
        </w:rPr>
        <w:t xml:space="preserve"> and local and regional domestic violence support services and refuges. </w:t>
      </w:r>
      <w:r w:rsidR="00327D6B" w:rsidRPr="009E6760">
        <w:rPr>
          <w:rFonts w:cs="Arial Bold"/>
          <w:bCs/>
          <w:iCs/>
          <w:szCs w:val="26"/>
        </w:rPr>
        <w:t>Ruhama</w:t>
      </w:r>
      <w:r w:rsidR="00380B99">
        <w:rPr>
          <w:rStyle w:val="FootnoteReference"/>
          <w:rFonts w:cs="Arial Bold"/>
          <w:bCs/>
          <w:iCs/>
          <w:szCs w:val="26"/>
        </w:rPr>
        <w:footnoteReference w:id="77"/>
      </w:r>
      <w:r w:rsidR="009E6760">
        <w:rPr>
          <w:rFonts w:cs="Arial Bold"/>
          <w:bCs/>
          <w:iCs/>
          <w:szCs w:val="26"/>
        </w:rPr>
        <w:t xml:space="preserve"> </w:t>
      </w:r>
      <w:r w:rsidR="00327D6B" w:rsidRPr="009E6760">
        <w:rPr>
          <w:rFonts w:cs="Arial Bold"/>
          <w:bCs/>
          <w:iCs/>
          <w:szCs w:val="26"/>
        </w:rPr>
        <w:t>works with women affected by prostitution and other forms of commercial sexual exploitation and Aki</w:t>
      </w:r>
      <w:r w:rsidR="007E38A2">
        <w:rPr>
          <w:rFonts w:cs="Arial Bold"/>
          <w:bCs/>
          <w:iCs/>
          <w:szCs w:val="26"/>
        </w:rPr>
        <w:t>D</w:t>
      </w:r>
      <w:r w:rsidR="00327D6B" w:rsidRPr="009E6760">
        <w:rPr>
          <w:rFonts w:cs="Arial Bold"/>
          <w:bCs/>
          <w:iCs/>
          <w:szCs w:val="26"/>
        </w:rPr>
        <w:t>w</w:t>
      </w:r>
      <w:r w:rsidR="007E38A2">
        <w:rPr>
          <w:rFonts w:cs="Arial Bold"/>
          <w:bCs/>
          <w:iCs/>
          <w:szCs w:val="26"/>
        </w:rPr>
        <w:t>A</w:t>
      </w:r>
      <w:r w:rsidR="00380B99">
        <w:rPr>
          <w:rStyle w:val="FootnoteReference"/>
          <w:rFonts w:cs="Arial Bold"/>
          <w:bCs/>
          <w:iCs/>
          <w:szCs w:val="26"/>
        </w:rPr>
        <w:footnoteReference w:id="78"/>
      </w:r>
      <w:r w:rsidR="00327D6B" w:rsidRPr="009E6760">
        <w:rPr>
          <w:rFonts w:cs="Arial Bold"/>
          <w:bCs/>
          <w:iCs/>
          <w:szCs w:val="26"/>
        </w:rPr>
        <w:t xml:space="preserve"> highlights the issues fac</w:t>
      </w:r>
      <w:r w:rsidR="009E6760">
        <w:rPr>
          <w:rFonts w:cs="Arial Bold"/>
          <w:bCs/>
          <w:iCs/>
          <w:szCs w:val="26"/>
        </w:rPr>
        <w:t>ed by migrant women in Ireland, including female genital mutilation.</w:t>
      </w:r>
      <w:r w:rsidR="002276A2">
        <w:rPr>
          <w:rFonts w:cs="Arial Bold"/>
          <w:bCs/>
          <w:iCs/>
          <w:szCs w:val="26"/>
        </w:rPr>
        <w:t xml:space="preserve"> The National Advocacy Service</w:t>
      </w:r>
      <w:r w:rsidR="00380B99">
        <w:rPr>
          <w:rStyle w:val="FootnoteReference"/>
          <w:rFonts w:cs="Arial Bold"/>
          <w:bCs/>
          <w:iCs/>
          <w:szCs w:val="26"/>
        </w:rPr>
        <w:footnoteReference w:id="79"/>
      </w:r>
      <w:r w:rsidR="002276A2">
        <w:rPr>
          <w:rFonts w:cs="Arial Bold"/>
          <w:bCs/>
          <w:iCs/>
          <w:szCs w:val="26"/>
        </w:rPr>
        <w:t xml:space="preserve"> is an </w:t>
      </w:r>
      <w:r w:rsidR="002276A2" w:rsidRPr="002276A2">
        <w:rPr>
          <w:rFonts w:cs="Arial Bold"/>
          <w:bCs/>
          <w:iCs/>
          <w:szCs w:val="26"/>
        </w:rPr>
        <w:t>advocacy service to adults with a disability</w:t>
      </w:r>
      <w:r w:rsidR="002276A2">
        <w:rPr>
          <w:rFonts w:cs="Arial Bold"/>
          <w:bCs/>
          <w:iCs/>
          <w:szCs w:val="26"/>
        </w:rPr>
        <w:t>, particularly those in vulnerable situations and Sage Advocacy</w:t>
      </w:r>
      <w:r w:rsidR="00380B99">
        <w:rPr>
          <w:rStyle w:val="FootnoteReference"/>
          <w:rFonts w:cs="Arial Bold"/>
          <w:bCs/>
          <w:iCs/>
          <w:szCs w:val="26"/>
        </w:rPr>
        <w:footnoteReference w:id="80"/>
      </w:r>
      <w:r w:rsidR="002276A2">
        <w:rPr>
          <w:rFonts w:cs="Arial Bold"/>
          <w:bCs/>
          <w:iCs/>
          <w:szCs w:val="26"/>
        </w:rPr>
        <w:t xml:space="preserve"> is a </w:t>
      </w:r>
      <w:r w:rsidR="002276A2" w:rsidRPr="002276A2">
        <w:rPr>
          <w:rFonts w:cs="Arial Bold"/>
          <w:bCs/>
          <w:iCs/>
          <w:szCs w:val="26"/>
        </w:rPr>
        <w:t>support and advocacy service for vulnerable adults, older people and healthcare patients.</w:t>
      </w:r>
      <w:r w:rsidR="002276A2">
        <w:rPr>
          <w:rFonts w:cs="Arial Bold"/>
          <w:bCs/>
          <w:iCs/>
          <w:szCs w:val="26"/>
        </w:rPr>
        <w:t xml:space="preserve"> </w:t>
      </w:r>
      <w:r w:rsidR="000B2765">
        <w:rPr>
          <w:rFonts w:cs="Arial Bold"/>
          <w:bCs/>
          <w:iCs/>
          <w:szCs w:val="26"/>
        </w:rPr>
        <w:t>There are general support services for children including Childline</w:t>
      </w:r>
      <w:r w:rsidR="00380B99">
        <w:rPr>
          <w:rStyle w:val="FootnoteReference"/>
          <w:rFonts w:cs="Arial Bold"/>
          <w:bCs/>
          <w:iCs/>
          <w:szCs w:val="26"/>
        </w:rPr>
        <w:footnoteReference w:id="81"/>
      </w:r>
      <w:r w:rsidR="000B2765">
        <w:rPr>
          <w:rFonts w:cs="Arial Bold"/>
          <w:bCs/>
          <w:iCs/>
          <w:szCs w:val="26"/>
        </w:rPr>
        <w:t xml:space="preserve"> and Teenline</w:t>
      </w:r>
      <w:r w:rsidR="00380B99">
        <w:rPr>
          <w:rStyle w:val="FootnoteReference"/>
          <w:rFonts w:cs="Arial Bold"/>
          <w:bCs/>
          <w:iCs/>
          <w:szCs w:val="26"/>
        </w:rPr>
        <w:footnoteReference w:id="82"/>
      </w:r>
      <w:r w:rsidR="000B2765">
        <w:rPr>
          <w:rFonts w:cs="Arial Bold"/>
          <w:bCs/>
          <w:iCs/>
          <w:szCs w:val="26"/>
        </w:rPr>
        <w:t xml:space="preserve"> (both ISPCC), Jigsaw</w:t>
      </w:r>
      <w:r w:rsidR="00380B99">
        <w:rPr>
          <w:rStyle w:val="FootnoteReference"/>
          <w:rFonts w:cs="Arial Bold"/>
          <w:bCs/>
          <w:iCs/>
          <w:szCs w:val="26"/>
        </w:rPr>
        <w:footnoteReference w:id="83"/>
      </w:r>
      <w:r w:rsidR="000B2765">
        <w:rPr>
          <w:rFonts w:cs="Arial Bold"/>
          <w:bCs/>
          <w:iCs/>
          <w:szCs w:val="26"/>
        </w:rPr>
        <w:t>, Turn2me Youth</w:t>
      </w:r>
      <w:r w:rsidR="00380B99">
        <w:rPr>
          <w:rStyle w:val="FootnoteReference"/>
          <w:rFonts w:cs="Arial Bold"/>
          <w:bCs/>
          <w:iCs/>
          <w:szCs w:val="26"/>
        </w:rPr>
        <w:footnoteReference w:id="84"/>
      </w:r>
      <w:r w:rsidR="000B2765">
        <w:rPr>
          <w:rFonts w:cs="Arial Bold"/>
          <w:bCs/>
          <w:iCs/>
          <w:szCs w:val="26"/>
        </w:rPr>
        <w:t xml:space="preserve"> and spunout.ie</w:t>
      </w:r>
      <w:r w:rsidR="00380B99">
        <w:rPr>
          <w:rStyle w:val="FootnoteReference"/>
          <w:rFonts w:cs="Arial Bold"/>
          <w:bCs/>
          <w:iCs/>
          <w:szCs w:val="26"/>
        </w:rPr>
        <w:footnoteReference w:id="85"/>
      </w:r>
      <w:r w:rsidR="000B2765">
        <w:rPr>
          <w:rFonts w:cs="Arial Bold"/>
          <w:bCs/>
          <w:iCs/>
          <w:szCs w:val="26"/>
        </w:rPr>
        <w:t xml:space="preserve"> which provides information for young people on identifying abuse and seeking help. </w:t>
      </w:r>
      <w:r w:rsidR="002276A2">
        <w:rPr>
          <w:rFonts w:cs="Arial Bold"/>
          <w:bCs/>
          <w:iCs/>
          <w:szCs w:val="26"/>
        </w:rPr>
        <w:t>T</w:t>
      </w:r>
      <w:r w:rsidR="007E38A2">
        <w:rPr>
          <w:rFonts w:cs="Arial Bold"/>
          <w:bCs/>
          <w:iCs/>
          <w:szCs w:val="26"/>
        </w:rPr>
        <w:t>his</w:t>
      </w:r>
      <w:r w:rsidR="002B33EB">
        <w:rPr>
          <w:rFonts w:cs="Arial Bold"/>
          <w:bCs/>
          <w:iCs/>
          <w:szCs w:val="26"/>
        </w:rPr>
        <w:t xml:space="preserve"> is not an exhaustive description of</w:t>
      </w:r>
      <w:r w:rsidR="007E38A2">
        <w:rPr>
          <w:rFonts w:cs="Arial Bold"/>
          <w:bCs/>
          <w:iCs/>
          <w:szCs w:val="26"/>
        </w:rPr>
        <w:t xml:space="preserve"> the</w:t>
      </w:r>
      <w:r w:rsidR="002B33EB">
        <w:rPr>
          <w:rFonts w:cs="Arial Bold"/>
          <w:bCs/>
          <w:iCs/>
          <w:szCs w:val="26"/>
        </w:rPr>
        <w:t xml:space="preserve"> services in </w:t>
      </w:r>
      <w:r w:rsidR="00585D77">
        <w:rPr>
          <w:rFonts w:cs="Arial Bold"/>
          <w:bCs/>
          <w:iCs/>
          <w:szCs w:val="26"/>
        </w:rPr>
        <w:t>Ireland that</w:t>
      </w:r>
      <w:r w:rsidR="007E38A2">
        <w:rPr>
          <w:rFonts w:cs="Arial Bold"/>
          <w:bCs/>
          <w:iCs/>
          <w:szCs w:val="26"/>
        </w:rPr>
        <w:t xml:space="preserve"> support</w:t>
      </w:r>
      <w:r w:rsidR="002B33EB" w:rsidRPr="002B33EB">
        <w:rPr>
          <w:rFonts w:cs="Arial Bold"/>
          <w:bCs/>
          <w:iCs/>
          <w:szCs w:val="26"/>
        </w:rPr>
        <w:t xml:space="preserve"> those experiencing exploitation, violence and abuse</w:t>
      </w:r>
      <w:r w:rsidR="002B33EB">
        <w:rPr>
          <w:rFonts w:cs="Arial Bold"/>
          <w:bCs/>
          <w:iCs/>
          <w:szCs w:val="26"/>
        </w:rPr>
        <w:t>.</w:t>
      </w:r>
    </w:p>
    <w:p w14:paraId="705FCAE4" w14:textId="28DFD0CD" w:rsidR="008D34C9" w:rsidRDefault="008D34C9" w:rsidP="008D34C9">
      <w:pPr>
        <w:pStyle w:val="Heading2"/>
      </w:pPr>
      <w:bookmarkStart w:id="65" w:name="_Toc100231224"/>
      <w:r>
        <w:t>Hotlines and reporting mechanisms</w:t>
      </w:r>
      <w:bookmarkEnd w:id="65"/>
    </w:p>
    <w:p w14:paraId="0EED9AE7" w14:textId="2A2278B8" w:rsidR="00457DCD" w:rsidRDefault="008D34C9" w:rsidP="00E55920">
      <w:r>
        <w:t xml:space="preserve">There is no readily available national data on the accessibility of hotlines and reporting mechanisms for children </w:t>
      </w:r>
      <w:r w:rsidR="00457DCD">
        <w:t>or</w:t>
      </w:r>
      <w:r>
        <w:t xml:space="preserve"> adults seeking assistance or making complaints of violence, abuse and exploitation. Accessible hotlines and reporting mechanisms would include for example, websites that work with screen readers, content that is available in Plain English and Easy to Read </w:t>
      </w:r>
      <w:r w:rsidR="00457DCD">
        <w:t>format</w:t>
      </w:r>
      <w:r>
        <w:t>, videos with captions, ISL content and availability of ways for children and adults who communicate via ISL to seek assistance or make complaints. One example of good practice is the provision of content through ISL by Women’s Aid.</w:t>
      </w:r>
      <w:r>
        <w:rPr>
          <w:rStyle w:val="FootnoteReference"/>
        </w:rPr>
        <w:footnoteReference w:id="86"/>
      </w:r>
      <w:r>
        <w:t xml:space="preserve"> </w:t>
      </w:r>
      <w:r w:rsidR="00457DCD">
        <w:t xml:space="preserve">Deaf members of the </w:t>
      </w:r>
      <w:r>
        <w:t xml:space="preserve">NWCI </w:t>
      </w:r>
      <w:r w:rsidR="00457DCD">
        <w:t>have</w:t>
      </w:r>
      <w:r>
        <w:t xml:space="preserve"> reported concerns about how they </w:t>
      </w:r>
      <w:r w:rsidR="00457DCD">
        <w:t xml:space="preserve">would be able to report abuse and communicate with An Garda </w:t>
      </w:r>
      <w:r w:rsidR="00CC07D1">
        <w:t>Síochána</w:t>
      </w:r>
      <w:r>
        <w:t>.</w:t>
      </w:r>
      <w:r w:rsidR="00457DCD">
        <w:rPr>
          <w:rStyle w:val="FootnoteReference"/>
        </w:rPr>
        <w:footnoteReference w:id="87"/>
      </w:r>
      <w:r>
        <w:t xml:space="preserve"> </w:t>
      </w:r>
    </w:p>
    <w:p w14:paraId="265FC17B" w14:textId="6DEAC67C" w:rsidR="00EE20E3" w:rsidRDefault="00EE20E3" w:rsidP="005C2F20">
      <w:pPr>
        <w:pStyle w:val="Heading2"/>
      </w:pPr>
      <w:bookmarkStart w:id="66" w:name="_Toc100231225"/>
      <w:r>
        <w:t>Social services and supports</w:t>
      </w:r>
      <w:bookmarkEnd w:id="66"/>
    </w:p>
    <w:p w14:paraId="036E4080" w14:textId="0AC2E3B2" w:rsidR="00EE20E3" w:rsidRDefault="00EE20E3" w:rsidP="00EE20E3">
      <w:r>
        <w:t>There is no readily available national data on the accessibility of the physical environment of social services and supports</w:t>
      </w:r>
      <w:r w:rsidRPr="005C2F20">
        <w:t xml:space="preserve"> for victims of violence</w:t>
      </w:r>
      <w:r>
        <w:t xml:space="preserve"> in Ireland. There is also no data on how accessible the communication is about these services and supports.</w:t>
      </w:r>
    </w:p>
    <w:p w14:paraId="529436C8" w14:textId="78E7F2F0" w:rsidR="005C2F20" w:rsidRDefault="005C2F20" w:rsidP="005C2F20">
      <w:pPr>
        <w:pStyle w:val="Heading2"/>
      </w:pPr>
      <w:bookmarkStart w:id="67" w:name="_Toc100231226"/>
      <w:r>
        <w:t>Shelters, refuges and other accommodation for victims of violence</w:t>
      </w:r>
      <w:bookmarkEnd w:id="67"/>
    </w:p>
    <w:p w14:paraId="1E1C3E23" w14:textId="0289569E" w:rsidR="00241B9C" w:rsidRDefault="00CB0B89" w:rsidP="00241B9C">
      <w:r>
        <w:t>Although refuge</w:t>
      </w:r>
      <w:r w:rsidR="00B6294E">
        <w:t xml:space="preserve">s are available in Ireland for </w:t>
      </w:r>
      <w:r>
        <w:t>women and children leaving domestic violence in the home, there are not enough spaces to meet demand, and one third of counties do not have a refuge.</w:t>
      </w:r>
      <w:r w:rsidR="00507CED">
        <w:rPr>
          <w:rStyle w:val="FootnoteReference"/>
        </w:rPr>
        <w:footnoteReference w:id="88"/>
      </w:r>
      <w:r>
        <w:t xml:space="preserve"> </w:t>
      </w:r>
      <w:r w:rsidR="00507CED">
        <w:t>A 2021 WAVE report (Women Against Violence Europe) found that Ireland was one of four EU member states with ‘critically low provision’ of refuge beds, with 72% of the recommended</w:t>
      </w:r>
      <w:r w:rsidR="00E10D53">
        <w:t xml:space="preserve"> minimum number of</w:t>
      </w:r>
      <w:r w:rsidR="00507CED">
        <w:t xml:space="preserve"> refuge beds missing.</w:t>
      </w:r>
      <w:r w:rsidR="00507CED">
        <w:rPr>
          <w:rStyle w:val="FootnoteReference"/>
        </w:rPr>
        <w:footnoteReference w:id="89"/>
      </w:r>
      <w:r w:rsidR="00507CED">
        <w:t xml:space="preserve"> </w:t>
      </w:r>
      <w:r w:rsidR="005C2F20">
        <w:t>There is no readily available national data on the accessibility of the physical environment of s</w:t>
      </w:r>
      <w:r w:rsidR="005C2F20" w:rsidRPr="005C2F20">
        <w:t>helters, refuges and other accommodation for victims of violence</w:t>
      </w:r>
      <w:r w:rsidR="005C2F20">
        <w:t xml:space="preserve"> in Ireland. There is also no data on how accessible the communication is about these accommodations.</w:t>
      </w:r>
      <w:r w:rsidR="000B2836">
        <w:t xml:space="preserve"> </w:t>
      </w:r>
      <w:r w:rsidR="00241B9C">
        <w:t xml:space="preserve">In their submission to the </w:t>
      </w:r>
      <w:r w:rsidR="00B6294E">
        <w:t>third</w:t>
      </w:r>
      <w:r w:rsidR="00241B9C">
        <w:t xml:space="preserve"> National Strategy on </w:t>
      </w:r>
      <w:r w:rsidR="00B6294E">
        <w:t>Domestic, Sexual and Gender-Based Violence</w:t>
      </w:r>
      <w:r w:rsidR="00241B9C">
        <w:t>, the Disabled Women Group of the NWCI stated that “refuges are not universally accessible to disabled women and often they cannot meet the diverse needs of disabled women.”</w:t>
      </w:r>
      <w:r w:rsidR="00692B63">
        <w:rPr>
          <w:rStyle w:val="FootnoteReference"/>
        </w:rPr>
        <w:footnoteReference w:id="90"/>
      </w:r>
      <w:r w:rsidR="00692B63">
        <w:t xml:space="preserve"> Furthermore, in a statement to the </w:t>
      </w:r>
      <w:r w:rsidR="00692B63" w:rsidRPr="00692B63">
        <w:t>Joint Oireachtas Committee on Disability Matters</w:t>
      </w:r>
      <w:r w:rsidR="00692B63">
        <w:t xml:space="preserve"> in 2021,</w:t>
      </w:r>
      <w:r w:rsidR="00692B63" w:rsidRPr="00692B63">
        <w:t xml:space="preserve"> Amy Hasset</w:t>
      </w:r>
      <w:r w:rsidR="005A4EDE">
        <w:t>t</w:t>
      </w:r>
      <w:r w:rsidR="00692B63" w:rsidRPr="00692B63">
        <w:t xml:space="preserve"> from Disabled Women Ireland stated that “a significant proportion of gender-based services in Ireland are not accessible to disabled women, including intimate partner violence supports.”</w:t>
      </w:r>
      <w:r w:rsidR="00692B63">
        <w:rPr>
          <w:rStyle w:val="FootnoteReference"/>
          <w:color w:val="000000"/>
          <w:szCs w:val="19"/>
        </w:rPr>
        <w:footnoteReference w:id="91"/>
      </w:r>
      <w:r>
        <w:t xml:space="preserve"> If such services are not all accessible for disabled women, it is assumed the same is true for disabled children. </w:t>
      </w:r>
      <w:r w:rsidR="00380B99">
        <w:t>It is important to note that m</w:t>
      </w:r>
      <w:r w:rsidR="00C372E1">
        <w:t>en with disabilities</w:t>
      </w:r>
      <w:r>
        <w:t xml:space="preserve"> </w:t>
      </w:r>
      <w:r w:rsidR="00C372E1">
        <w:t>currently have no access to</w:t>
      </w:r>
      <w:r>
        <w:t xml:space="preserve"> refuge in Ireland as there are none in existence for men fleeing domestic violence.</w:t>
      </w:r>
    </w:p>
    <w:p w14:paraId="120F6EF7" w14:textId="6BDF4718" w:rsidR="00E55920" w:rsidRDefault="00E55920" w:rsidP="00E55920">
      <w:pPr>
        <w:pStyle w:val="Heading2"/>
      </w:pPr>
      <w:bookmarkStart w:id="68" w:name="_Toc100231227"/>
      <w:r>
        <w:t xml:space="preserve">Awareness </w:t>
      </w:r>
      <w:r w:rsidR="0069094C">
        <w:t>r</w:t>
      </w:r>
      <w:r>
        <w:t>aising</w:t>
      </w:r>
      <w:r w:rsidR="0069094C">
        <w:t xml:space="preserve"> and a</w:t>
      </w:r>
      <w:r w:rsidR="009C0F3C">
        <w:t xml:space="preserve">ctivities to eradicate violence, abuse, exploitation and </w:t>
      </w:r>
      <w:r w:rsidR="0069094C">
        <w:t>harmful</w:t>
      </w:r>
      <w:r w:rsidR="009C0F3C">
        <w:t xml:space="preserve"> practices</w:t>
      </w:r>
      <w:bookmarkEnd w:id="68"/>
    </w:p>
    <w:p w14:paraId="173B40CE" w14:textId="0CF25FCD" w:rsidR="00BF5345" w:rsidRDefault="00635329" w:rsidP="00BF5345">
      <w:pPr>
        <w:rPr>
          <w:i/>
        </w:rPr>
      </w:pPr>
      <w:r>
        <w:t>In 2017, a national public awareness campaign by the National Safeguarding Committee</w:t>
      </w:r>
      <w:r>
        <w:rPr>
          <w:rStyle w:val="FootnoteReference"/>
        </w:rPr>
        <w:footnoteReference w:id="92"/>
      </w:r>
      <w:r>
        <w:t xml:space="preserve"> took place to</w:t>
      </w:r>
      <w:r w:rsidRPr="00B83A0B">
        <w:t xml:space="preserve"> </w:t>
      </w:r>
      <w:r>
        <w:t>increase public understanding of the abuse or neglect of vulnerable adults, with one phase of the campaign focussing solely on financial abuse.</w:t>
      </w:r>
      <w:r w:rsidR="00A43937">
        <w:rPr>
          <w:rStyle w:val="FootnoteReference"/>
        </w:rPr>
        <w:footnoteReference w:id="93"/>
      </w:r>
      <w:r>
        <w:t xml:space="preserve"> </w:t>
      </w:r>
      <w:r w:rsidR="0069094C">
        <w:t>Recently there have been a number of national awareness raising campaigns on violence, abuse and exploitation. This include</w:t>
      </w:r>
      <w:r w:rsidR="00134978">
        <w:t>s</w:t>
      </w:r>
      <w:r w:rsidR="0069094C">
        <w:t xml:space="preserve"> for example, the Department of Justice’s </w:t>
      </w:r>
      <w:r w:rsidR="00BF5345">
        <w:t>‘Still Here’ campaign</w:t>
      </w:r>
      <w:r w:rsidR="00380B99">
        <w:rPr>
          <w:rStyle w:val="FootnoteReference"/>
        </w:rPr>
        <w:footnoteReference w:id="94"/>
      </w:r>
      <w:r w:rsidR="0069094C">
        <w:t xml:space="preserve"> on domestic violence and their</w:t>
      </w:r>
      <w:r w:rsidR="007B1654">
        <w:t>’</w:t>
      </w:r>
      <w:r w:rsidR="0069094C">
        <w:t xml:space="preserve"> Get the Full Picture</w:t>
      </w:r>
      <w:r w:rsidR="007B1654">
        <w:t>’</w:t>
      </w:r>
      <w:r w:rsidR="0069094C">
        <w:t xml:space="preserve"> </w:t>
      </w:r>
      <w:r w:rsidR="00380B99">
        <w:t>c</w:t>
      </w:r>
      <w:r w:rsidR="0069094C">
        <w:t>ampaign</w:t>
      </w:r>
      <w:r w:rsidR="00380B99">
        <w:rPr>
          <w:rStyle w:val="FootnoteReference"/>
        </w:rPr>
        <w:footnoteReference w:id="95"/>
      </w:r>
      <w:r w:rsidR="0069094C">
        <w:t xml:space="preserve"> with Ruhama on human trafficking </w:t>
      </w:r>
      <w:r w:rsidR="00A02516">
        <w:t>for sexual exploitation, and Women’s Aid</w:t>
      </w:r>
      <w:r w:rsidR="00380B99">
        <w:t xml:space="preserve"> award winning</w:t>
      </w:r>
      <w:r w:rsidR="00A02516">
        <w:t xml:space="preserve"> “Too Into You”</w:t>
      </w:r>
      <w:r w:rsidR="00380B99">
        <w:rPr>
          <w:rStyle w:val="FootnoteReference"/>
        </w:rPr>
        <w:footnoteReference w:id="96"/>
      </w:r>
      <w:r w:rsidR="00A02516">
        <w:t xml:space="preserve"> campaign on </w:t>
      </w:r>
      <w:r w:rsidR="00A02516" w:rsidRPr="00A02516">
        <w:t>intimate relationship abuse against young women.</w:t>
      </w:r>
      <w:r w:rsidR="004205E2">
        <w:t xml:space="preserve"> None of these recent campaigns </w:t>
      </w:r>
      <w:r w:rsidR="00244086">
        <w:t>specifically represented</w:t>
      </w:r>
      <w:r w:rsidR="004205E2">
        <w:t xml:space="preserve"> violence, abuse or exploitation against people with disabilities.</w:t>
      </w:r>
      <w:r w:rsidR="00724F15">
        <w:t xml:space="preserve"> The ‘Still Here’ campaign did</w:t>
      </w:r>
      <w:r w:rsidR="004205E2">
        <w:t xml:space="preserve"> </w:t>
      </w:r>
      <w:r>
        <w:t xml:space="preserve">have a webpage dedicated to people with disabilities but was not directed specifically at disabled people and instead focussed on safeguarding. </w:t>
      </w:r>
      <w:r w:rsidR="001E1991">
        <w:t xml:space="preserve">The </w:t>
      </w:r>
      <w:r w:rsidR="00A6043C">
        <w:t>D</w:t>
      </w:r>
      <w:r w:rsidR="001E1991">
        <w:t xml:space="preserve">isabled Women’s Group of the NWCI </w:t>
      </w:r>
      <w:r w:rsidR="001A41C9">
        <w:t xml:space="preserve">have </w:t>
      </w:r>
      <w:r w:rsidR="001E1991">
        <w:t xml:space="preserve">stated that they </w:t>
      </w:r>
      <w:r w:rsidR="001E1991" w:rsidRPr="00FA0183">
        <w:t>“believe strongly that there is little to no awareness of the forms of violence disabled women experience”.</w:t>
      </w:r>
      <w:r w:rsidR="001E1991" w:rsidRPr="00FA0183">
        <w:rPr>
          <w:rStyle w:val="FootnoteReference"/>
        </w:rPr>
        <w:footnoteReference w:id="97"/>
      </w:r>
      <w:r w:rsidR="001E1991">
        <w:rPr>
          <w:i/>
        </w:rPr>
        <w:t xml:space="preserve"> </w:t>
      </w:r>
    </w:p>
    <w:p w14:paraId="493C1CEB" w14:textId="40216A48" w:rsidR="00943F66" w:rsidRDefault="002C7E2C" w:rsidP="00943F66">
      <w:pPr>
        <w:pStyle w:val="Heading1"/>
      </w:pPr>
      <w:bookmarkStart w:id="69" w:name="_Toc100231228"/>
      <w:r>
        <w:t>National data on exploitation, violence and abuse</w:t>
      </w:r>
      <w:r w:rsidR="00142926">
        <w:t xml:space="preserve"> of people with disabilities</w:t>
      </w:r>
      <w:bookmarkEnd w:id="69"/>
    </w:p>
    <w:p w14:paraId="0DF6572F" w14:textId="2EA5D26E" w:rsidR="00B60984" w:rsidRDefault="00B60984" w:rsidP="00B60984">
      <w:pPr>
        <w:rPr>
          <w:color w:val="000000"/>
          <w:szCs w:val="26"/>
          <w:shd w:val="clear" w:color="auto" w:fill="FFFFFF"/>
        </w:rPr>
      </w:pPr>
      <w:r>
        <w:t xml:space="preserve">As previously noted, a key output from Ireland’s Second National Strategy on Domestic, Sexual and Gender-Based Violence was supposed to be the establishment of a </w:t>
      </w:r>
      <w:r>
        <w:rPr>
          <w:color w:val="000000"/>
          <w:szCs w:val="26"/>
          <w:shd w:val="clear" w:color="auto" w:fill="FFFFFF"/>
        </w:rPr>
        <w:t xml:space="preserve">bottom line ‘gold standard’ of data collection and analysis of domestic and sexual violence by different government departments and relevant bodies/agencies. There is no evidence available </w:t>
      </w:r>
      <w:r w:rsidR="00623288">
        <w:rPr>
          <w:color w:val="000000"/>
          <w:szCs w:val="26"/>
          <w:shd w:val="clear" w:color="auto" w:fill="FFFFFF"/>
        </w:rPr>
        <w:t>to suggest significant</w:t>
      </w:r>
      <w:r>
        <w:rPr>
          <w:color w:val="000000"/>
          <w:szCs w:val="26"/>
          <w:shd w:val="clear" w:color="auto" w:fill="FFFFFF"/>
        </w:rPr>
        <w:t xml:space="preserve"> progress on this work. However, this gold standard data collection would fill many of the gaps in our knowledge of the violence, exploitation </w:t>
      </w:r>
      <w:r w:rsidR="001A41C9">
        <w:rPr>
          <w:color w:val="000000"/>
          <w:szCs w:val="26"/>
          <w:shd w:val="clear" w:color="auto" w:fill="FFFFFF"/>
        </w:rPr>
        <w:t>and</w:t>
      </w:r>
      <w:r>
        <w:rPr>
          <w:color w:val="000000"/>
          <w:szCs w:val="26"/>
          <w:shd w:val="clear" w:color="auto" w:fill="FFFFFF"/>
        </w:rPr>
        <w:t xml:space="preserve"> abuse of people with disabilities in Ireland.</w:t>
      </w:r>
      <w:r w:rsidR="00F73D7A">
        <w:rPr>
          <w:color w:val="000000"/>
          <w:szCs w:val="26"/>
          <w:shd w:val="clear" w:color="auto" w:fill="FFFFFF"/>
        </w:rPr>
        <w:t xml:space="preserve"> In the meantime,</w:t>
      </w:r>
      <w:r w:rsidR="0051344E">
        <w:rPr>
          <w:color w:val="000000"/>
          <w:szCs w:val="26"/>
          <w:shd w:val="clear" w:color="auto" w:fill="FFFFFF"/>
        </w:rPr>
        <w:t xml:space="preserve"> the </w:t>
      </w:r>
      <w:r w:rsidR="0051344E" w:rsidRPr="0051344E">
        <w:rPr>
          <w:color w:val="000000"/>
          <w:szCs w:val="26"/>
          <w:shd w:val="clear" w:color="auto" w:fill="FFFFFF"/>
        </w:rPr>
        <w:t xml:space="preserve">Minister of State with Special Responsibility for Disability, Anne Rabbitte, </w:t>
      </w:r>
      <w:r w:rsidR="0051344E">
        <w:rPr>
          <w:color w:val="000000"/>
          <w:szCs w:val="26"/>
          <w:shd w:val="clear" w:color="auto" w:fill="FFFFFF"/>
        </w:rPr>
        <w:t xml:space="preserve">announced that research would be conducted </w:t>
      </w:r>
      <w:r w:rsidR="0051344E" w:rsidRPr="0051344E">
        <w:rPr>
          <w:color w:val="000000"/>
          <w:szCs w:val="26"/>
          <w:shd w:val="clear" w:color="auto" w:fill="FFFFFF"/>
        </w:rPr>
        <w:t xml:space="preserve">into gender-based violence against people with disabilities </w:t>
      </w:r>
      <w:r w:rsidR="0051344E">
        <w:rPr>
          <w:color w:val="000000"/>
          <w:szCs w:val="26"/>
          <w:shd w:val="clear" w:color="auto" w:fill="FFFFFF"/>
        </w:rPr>
        <w:t xml:space="preserve">in 2022 and </w:t>
      </w:r>
      <w:r w:rsidR="00F73D7A">
        <w:rPr>
          <w:color w:val="000000"/>
          <w:szCs w:val="26"/>
          <w:shd w:val="clear" w:color="auto" w:fill="FFFFFF"/>
        </w:rPr>
        <w:t xml:space="preserve">the </w:t>
      </w:r>
      <w:r w:rsidR="00F73D7A" w:rsidRPr="00F73D7A">
        <w:rPr>
          <w:color w:val="000000"/>
          <w:szCs w:val="26"/>
          <w:shd w:val="clear" w:color="auto" w:fill="FFFFFF"/>
        </w:rPr>
        <w:t>CSO are developing a new national survey on the prevalence of sexual violence in Ireland</w:t>
      </w:r>
      <w:r w:rsidR="0051344E">
        <w:rPr>
          <w:color w:val="000000"/>
          <w:szCs w:val="26"/>
          <w:shd w:val="clear" w:color="auto" w:fill="FFFFFF"/>
        </w:rPr>
        <w:t>, also</w:t>
      </w:r>
      <w:r w:rsidR="00F73D7A">
        <w:rPr>
          <w:color w:val="000000"/>
          <w:szCs w:val="26"/>
          <w:shd w:val="clear" w:color="auto" w:fill="FFFFFF"/>
        </w:rPr>
        <w:t xml:space="preserve"> to take place in 2022</w:t>
      </w:r>
      <w:r w:rsidR="00F73D7A" w:rsidRPr="00F73D7A">
        <w:rPr>
          <w:color w:val="000000"/>
          <w:szCs w:val="26"/>
          <w:shd w:val="clear" w:color="auto" w:fill="FFFFFF"/>
        </w:rPr>
        <w:t>. This survey will include a variable to identify whether a participant has a disability</w:t>
      </w:r>
      <w:r w:rsidR="00F73D7A">
        <w:rPr>
          <w:color w:val="000000"/>
          <w:szCs w:val="26"/>
          <w:shd w:val="clear" w:color="auto" w:fill="FFFFFF"/>
        </w:rPr>
        <w:t xml:space="preserve"> and </w:t>
      </w:r>
      <w:r w:rsidR="00585D77">
        <w:rPr>
          <w:color w:val="000000"/>
          <w:szCs w:val="26"/>
          <w:shd w:val="clear" w:color="auto" w:fill="FFFFFF"/>
        </w:rPr>
        <w:t>should</w:t>
      </w:r>
      <w:r w:rsidR="00F73D7A">
        <w:rPr>
          <w:color w:val="000000"/>
          <w:szCs w:val="26"/>
          <w:shd w:val="clear" w:color="auto" w:fill="FFFFFF"/>
        </w:rPr>
        <w:t xml:space="preserve"> help to fill gaps in our knowledge of the sexual violence and abuse experienced by people with disabilities.</w:t>
      </w:r>
    </w:p>
    <w:p w14:paraId="5E9ABE37" w14:textId="77777777" w:rsidR="00967311" w:rsidRDefault="00967311" w:rsidP="00967311">
      <w:pPr>
        <w:pStyle w:val="Heading2"/>
      </w:pPr>
      <w:bookmarkStart w:id="70" w:name="_Toc100231229"/>
      <w:r>
        <w:t>Historical abuse in Ireland</w:t>
      </w:r>
      <w:bookmarkEnd w:id="70"/>
    </w:p>
    <w:p w14:paraId="0CA90EEA" w14:textId="735A1EF3" w:rsidR="009263FE" w:rsidRDefault="00967311" w:rsidP="00967311">
      <w:r w:rsidRPr="00D97131">
        <w:t xml:space="preserve">Ireland has had a </w:t>
      </w:r>
      <w:r>
        <w:t>troubling</w:t>
      </w:r>
      <w:r w:rsidRPr="00D97131">
        <w:t xml:space="preserve"> history of </w:t>
      </w:r>
      <w:r>
        <w:t>clerical abuse</w:t>
      </w:r>
      <w:r>
        <w:rPr>
          <w:rStyle w:val="FootnoteReference"/>
        </w:rPr>
        <w:footnoteReference w:id="98"/>
      </w:r>
      <w:r>
        <w:t xml:space="preserve"> </w:t>
      </w:r>
      <w:r>
        <w:rPr>
          <w:rStyle w:val="FootnoteReference"/>
        </w:rPr>
        <w:footnoteReference w:id="99"/>
      </w:r>
      <w:r>
        <w:t xml:space="preserve"> and institutional </w:t>
      </w:r>
      <w:r w:rsidRPr="00D97131">
        <w:t>expl</w:t>
      </w:r>
      <w:r>
        <w:t>oitation, violence and abuse, particularly of women and children, and including women and children with disabilities. It is beyond the scope of this report to provide a full summary of this history. This means what is referenced below does not cover the full scale, detail, or extent of this</w:t>
      </w:r>
      <w:r w:rsidRPr="00921C54">
        <w:t xml:space="preserve"> exploitation, violence and abuse</w:t>
      </w:r>
      <w:r>
        <w:t xml:space="preserve">. </w:t>
      </w:r>
      <w:r w:rsidR="009263FE">
        <w:t xml:space="preserve">Findings from a number of Commissions are outlined below but please note they do not include all institutions where survivors have reported similar abuses. </w:t>
      </w:r>
    </w:p>
    <w:p w14:paraId="5B35B978" w14:textId="52EDA780" w:rsidR="00F94505" w:rsidRDefault="00F94505" w:rsidP="00F94505">
      <w:pPr>
        <w:pStyle w:val="Heading3"/>
        <w:rPr>
          <w:shd w:val="clear" w:color="auto" w:fill="FFFFFF"/>
        </w:rPr>
      </w:pPr>
      <w:r>
        <w:rPr>
          <w:shd w:val="clear" w:color="auto" w:fill="FFFFFF"/>
        </w:rPr>
        <w:t xml:space="preserve">The </w:t>
      </w:r>
      <w:r w:rsidRPr="00EC18DB">
        <w:rPr>
          <w:shd w:val="clear" w:color="auto" w:fill="FFFFFF"/>
        </w:rPr>
        <w:t>Commission to Inquire into Child Abus</w:t>
      </w:r>
      <w:r>
        <w:rPr>
          <w:shd w:val="clear" w:color="auto" w:fill="FFFFFF"/>
        </w:rPr>
        <w:t>e 2009</w:t>
      </w:r>
    </w:p>
    <w:p w14:paraId="5B35B0C3" w14:textId="6C538582" w:rsidR="00967311" w:rsidRDefault="00467A71" w:rsidP="00967311">
      <w:pPr>
        <w:rPr>
          <w:shd w:val="clear" w:color="auto" w:fill="FFFFFF"/>
        </w:rPr>
      </w:pPr>
      <w:r>
        <w:rPr>
          <w:shd w:val="clear" w:color="auto" w:fill="FFFFFF"/>
        </w:rPr>
        <w:t xml:space="preserve">The </w:t>
      </w:r>
      <w:r w:rsidRPr="00EC18DB">
        <w:rPr>
          <w:shd w:val="clear" w:color="auto" w:fill="FFFFFF"/>
        </w:rPr>
        <w:t>Commission to Inquire into Child Abus</w:t>
      </w:r>
      <w:r>
        <w:rPr>
          <w:shd w:val="clear" w:color="auto" w:fill="FFFFFF"/>
        </w:rPr>
        <w:t>e received reports from 1,090 men and women who reported being abused as children in 216 Irish institutions run by religious congregations between the years of 1936 and the time of the investigation (</w:t>
      </w:r>
      <w:r w:rsidR="00BA69F1">
        <w:rPr>
          <w:shd w:val="clear" w:color="auto" w:fill="FFFFFF"/>
        </w:rPr>
        <w:t xml:space="preserve">the </w:t>
      </w:r>
      <w:r>
        <w:rPr>
          <w:shd w:val="clear" w:color="auto" w:fill="FFFFFF"/>
        </w:rPr>
        <w:t>investigation took place between 2000 and 2009).</w:t>
      </w:r>
      <w:r>
        <w:rPr>
          <w:rStyle w:val="FootnoteReference"/>
          <w:shd w:val="clear" w:color="auto" w:fill="FFFFFF"/>
        </w:rPr>
        <w:footnoteReference w:id="100"/>
      </w:r>
      <w:r>
        <w:rPr>
          <w:shd w:val="clear" w:color="auto" w:fill="FFFFFF"/>
        </w:rPr>
        <w:t xml:space="preserve"> </w:t>
      </w:r>
      <w:r w:rsidR="00967311">
        <w:rPr>
          <w:shd w:val="clear" w:color="auto" w:fill="FFFFFF"/>
        </w:rPr>
        <w:t>These institutions were mostly Industrial and Reformatory Schools</w:t>
      </w:r>
      <w:r w:rsidR="00967311">
        <w:rPr>
          <w:rStyle w:val="FootnoteReference"/>
          <w:shd w:val="clear" w:color="auto" w:fill="FFFFFF"/>
        </w:rPr>
        <w:footnoteReference w:id="101"/>
      </w:r>
      <w:r w:rsidR="00967311">
        <w:rPr>
          <w:shd w:val="clear" w:color="auto" w:fill="FFFFFF"/>
        </w:rPr>
        <w:t>, but they also included day and residential special needs schools. Physical abuse, emotional abuse and neglect were common elements of these institutions and sexual abuse happened in many of them, particularly boy’s institutions. With regard to children with disabilities, an excerpt from this report states:</w:t>
      </w:r>
    </w:p>
    <w:p w14:paraId="35CB08F9" w14:textId="77777777" w:rsidR="00967311" w:rsidRDefault="00967311" w:rsidP="00967311">
      <w:pPr>
        <w:pStyle w:val="BlockQuote"/>
      </w:pPr>
      <w:r>
        <w:rPr>
          <w:shd w:val="clear" w:color="auto" w:fill="FFFFFF"/>
        </w:rPr>
        <w:t>Children with learning disability, physical and sensory impairments and children who had no known family contact were especially vulnerable in institutional settings. They described being powerless against adults who abused them, especially when those adults were in positions of authority and trust. Impaired mobility and communication deficits made it impossible to inform others of their abuse or to resist it. Children who were unable to hear, see, speak, move or adequately express themselves were at a complete disadvantage in environments that did not recognise or facilitate their right to be heard.</w:t>
      </w:r>
    </w:p>
    <w:p w14:paraId="2F78D4D3" w14:textId="537E749D" w:rsidR="00F94505" w:rsidRDefault="00F94505" w:rsidP="00F94505">
      <w:pPr>
        <w:pStyle w:val="Heading3"/>
      </w:pPr>
      <w:r>
        <w:t>Report on the Irish State’s involvement in the Magdalen Laundries (2013)</w:t>
      </w:r>
    </w:p>
    <w:p w14:paraId="49241405" w14:textId="479784CB" w:rsidR="00967311" w:rsidRDefault="00967311" w:rsidP="00967311">
      <w:r>
        <w:t xml:space="preserve">An investigation into the Irish State’s involvement with </w:t>
      </w:r>
      <w:r w:rsidRPr="00F42BC3">
        <w:t>the Magdalen Laundries</w:t>
      </w:r>
      <w:r>
        <w:t xml:space="preserve"> found that a</w:t>
      </w:r>
      <w:r w:rsidRPr="00D97131">
        <w:t xml:space="preserve">pproximately 10,000 girls and women were sent to </w:t>
      </w:r>
      <w:r>
        <w:t xml:space="preserve">work in religious-run </w:t>
      </w:r>
      <w:r w:rsidRPr="00D97131">
        <w:t xml:space="preserve">Magdalen </w:t>
      </w:r>
      <w:r>
        <w:t>laundries</w:t>
      </w:r>
      <w:r w:rsidRPr="00D97131">
        <w:t xml:space="preserve"> between 1922 and 1996</w:t>
      </w:r>
      <w:r>
        <w:t>. The last laundry closed in 1996.</w:t>
      </w:r>
      <w:r>
        <w:rPr>
          <w:rStyle w:val="FootnoteReference"/>
        </w:rPr>
        <w:footnoteReference w:id="102"/>
      </w:r>
      <w:r>
        <w:t xml:space="preserve"> Girls and women were sent from a number of places, including from the criminal justice system, Industrial or Reformatory schools, the </w:t>
      </w:r>
      <w:r w:rsidRPr="00596C79">
        <w:t>health and social services secto</w:t>
      </w:r>
      <w:r w:rsidR="00B6697E">
        <w:t xml:space="preserve">r, and Mother and Baby </w:t>
      </w:r>
      <w:r>
        <w:t>homes.</w:t>
      </w:r>
      <w:r>
        <w:rPr>
          <w:rStyle w:val="FootnoteReference"/>
        </w:rPr>
        <w:footnoteReference w:id="103"/>
      </w:r>
      <w:r>
        <w:t xml:space="preserve"> They were required to work in the laundries for no wages. </w:t>
      </w:r>
      <w:r w:rsidRPr="007907FC">
        <w:t xml:space="preserve">There is reported to have been widespread verbal and mental abuse in these institutions and the work </w:t>
      </w:r>
      <w:r w:rsidR="00E80619">
        <w:t>girls and women</w:t>
      </w:r>
      <w:r w:rsidRPr="007907FC">
        <w:t xml:space="preserve"> were doing was described as ‘harsh and physically demanding’. It is also reported that there was a lack of information given to girls and women as to why they were in these institutions, and how long they would be there.</w:t>
      </w:r>
      <w:r>
        <w:t xml:space="preserve"> </w:t>
      </w:r>
      <w:r w:rsidRPr="00D97131">
        <w:t xml:space="preserve">Some of these girls </w:t>
      </w:r>
      <w:r>
        <w:t>and</w:t>
      </w:r>
      <w:r w:rsidRPr="00D97131">
        <w:t xml:space="preserve"> women had</w:t>
      </w:r>
      <w:r>
        <w:t xml:space="preserve"> mental or physical disabilities that meant they were unable to live independently, or they had psychiatric illnesses. </w:t>
      </w:r>
      <w:r w:rsidRPr="00D97131">
        <w:t xml:space="preserve">There are reports of girls or women with disabilities being sent to the laundries by the health authority at the </w:t>
      </w:r>
      <w:r w:rsidR="00585D77" w:rsidRPr="00D97131">
        <w:t>time,</w:t>
      </w:r>
      <w:r w:rsidRPr="00D97131">
        <w:t xml:space="preserve"> as it was more cost-efficient</w:t>
      </w:r>
      <w:r w:rsidR="007515E7">
        <w:t xml:space="preserve"> than directly providing their care in health facilities</w:t>
      </w:r>
      <w:r w:rsidRPr="00D97131">
        <w:t>.</w:t>
      </w:r>
    </w:p>
    <w:p w14:paraId="5F35F5FE" w14:textId="73C4601A" w:rsidR="00F94505" w:rsidRDefault="00F94505" w:rsidP="00F94505">
      <w:pPr>
        <w:pStyle w:val="Heading3"/>
      </w:pPr>
      <w:r>
        <w:t>The</w:t>
      </w:r>
      <w:r w:rsidRPr="0084132D">
        <w:t xml:space="preserve"> Mother and Baby Homes Commission of Investigation</w:t>
      </w:r>
      <w:r>
        <w:t xml:space="preserve"> 2021</w:t>
      </w:r>
    </w:p>
    <w:p w14:paraId="0820DC4F" w14:textId="62B3BC5C" w:rsidR="00967311" w:rsidRDefault="00967311" w:rsidP="00967311">
      <w:r>
        <w:t>The</w:t>
      </w:r>
      <w:r w:rsidRPr="0084132D">
        <w:t xml:space="preserve"> Mother and Baby Homes Commission of Investigation</w:t>
      </w:r>
      <w:r>
        <w:t xml:space="preserve"> found that between 1922 and 1998, ‘about 56,000 unmarried mothers and about 57,000 children were in the mother and baby homes and county homes investigated by the Commission’.</w:t>
      </w:r>
      <w:r w:rsidR="003A0924">
        <w:rPr>
          <w:rStyle w:val="FootnoteReference"/>
        </w:rPr>
        <w:footnoteReference w:id="104"/>
      </w:r>
      <w:r>
        <w:t xml:space="preserve"> It is estimated that </w:t>
      </w:r>
      <w:r w:rsidR="00B6697E">
        <w:t xml:space="preserve">there were a further 25,000 unmarried mothers and more children </w:t>
      </w:r>
      <w:r>
        <w:t xml:space="preserve">in the county homes </w:t>
      </w:r>
      <w:r w:rsidR="00B6697E">
        <w:t>not</w:t>
      </w:r>
      <w:r>
        <w:t xml:space="preserve"> </w:t>
      </w:r>
      <w:r w:rsidR="00B6697E">
        <w:t>included in</w:t>
      </w:r>
      <w:r>
        <w:t xml:space="preserve"> the Commission’s investigation. These </w:t>
      </w:r>
      <w:r w:rsidR="009C1B80">
        <w:t>girls and women</w:t>
      </w:r>
      <w:r>
        <w:t xml:space="preserve"> went to or were sent to these institutions to give birth because their family or the father of the baby refused to support them. Living conditions in some of the homes were poor, many of the women suffered emotional abuse, and there </w:t>
      </w:r>
      <w:r w:rsidR="009C1B80">
        <w:t>were</w:t>
      </w:r>
      <w:r>
        <w:t xml:space="preserve"> extremely high rates of infant mortality in Irish mother and baby homes. While some mothers did leave the homes with their babies, b</w:t>
      </w:r>
      <w:r w:rsidRPr="002C241A">
        <w:t>efore the availability of legal adoption</w:t>
      </w:r>
      <w:r>
        <w:t xml:space="preserve"> in 1953</w:t>
      </w:r>
      <w:r w:rsidRPr="002C241A">
        <w:t xml:space="preserve">, children leaving the institutions were often </w:t>
      </w:r>
      <w:r>
        <w:t>sent to foster parents</w:t>
      </w:r>
      <w:r w:rsidRPr="002C241A">
        <w:t xml:space="preserve"> by the local authority</w:t>
      </w:r>
      <w:r>
        <w:t xml:space="preserve"> or were placed in other institutions</w:t>
      </w:r>
      <w:r w:rsidRPr="002C241A">
        <w:t>.</w:t>
      </w:r>
      <w:r>
        <w:t xml:space="preserve"> From </w:t>
      </w:r>
      <w:r w:rsidRPr="00790064">
        <w:t>the 1960s</w:t>
      </w:r>
      <w:r>
        <w:t>,</w:t>
      </w:r>
      <w:r w:rsidRPr="00790064">
        <w:t xml:space="preserve"> most women placed their child for adoptio</w:t>
      </w:r>
      <w:r>
        <w:t>n</w:t>
      </w:r>
      <w:r w:rsidR="00AD536C">
        <w:t>-this fell to 37% of all ‘illegitimate births’ in 1980 and to less than 9% in 1990</w:t>
      </w:r>
      <w:r w:rsidR="009C1B80">
        <w:t xml:space="preserve"> as homes closed down and society changed</w:t>
      </w:r>
      <w:r>
        <w:t>. Some survivors gave evidence to the Commission to say their consent to put their child up for adoption was not full, free or informed. There is evidence to suggest that if a mother had a mental illness or a child had an intellectual disability that adoption was prevented or delayed. This would have resulted in children being sent to Industrial schools instead. There appears to have been a ‘flow of disabled people’ moving from one type of institution to another, between mother and baby homes, county homes, psychiatric hospitals, Magdalen laundries, Industrial schools and disability services.</w:t>
      </w:r>
      <w:r w:rsidR="00665146">
        <w:rPr>
          <w:rStyle w:val="FootnoteReference"/>
        </w:rPr>
        <w:footnoteReference w:id="105"/>
      </w:r>
      <w:r>
        <w:t xml:space="preserve"> County homes housed women and children with special needs and mental health problems. The commission’s report states: </w:t>
      </w:r>
    </w:p>
    <w:p w14:paraId="6FB08A07" w14:textId="77777777" w:rsidR="00967311" w:rsidRDefault="00967311" w:rsidP="00967311">
      <w:pPr>
        <w:pStyle w:val="BlockQuote"/>
      </w:pPr>
      <w:r>
        <w:t>The accommodation and care given to these children [with special needs] in county homes was grossly inadequate; some of the descriptions are extremely distressing.</w:t>
      </w:r>
    </w:p>
    <w:p w14:paraId="4249AA55" w14:textId="7C49B15F" w:rsidR="00AD6E31" w:rsidRDefault="00AD6E31" w:rsidP="00AD6E31">
      <w:r>
        <w:t>In the course of their investigation the Commission did not hear from anyone with a disability</w:t>
      </w:r>
      <w:r>
        <w:rPr>
          <w:rStyle w:val="FootnoteReference"/>
        </w:rPr>
        <w:footnoteReference w:id="106"/>
      </w:r>
      <w:r>
        <w:t xml:space="preserve"> and they did not engage with any disability bodies</w:t>
      </w:r>
      <w:r>
        <w:rPr>
          <w:rStyle w:val="FootnoteReference"/>
        </w:rPr>
        <w:footnoteReference w:id="107"/>
      </w:r>
      <w:r>
        <w:t xml:space="preserve"> meaning the experiences of people with disabilities, who, according to the Commission , were “probably the most badly affected by being in institutions”, is missing.</w:t>
      </w:r>
    </w:p>
    <w:p w14:paraId="5700C5EE" w14:textId="77777777" w:rsidR="00E822D4" w:rsidRDefault="00967311" w:rsidP="00C60BAF">
      <w:r w:rsidRPr="00131F17">
        <w:t>The</w:t>
      </w:r>
      <w:r>
        <w:t xml:space="preserve"> Irish</w:t>
      </w:r>
      <w:r w:rsidRPr="00131F17">
        <w:t xml:space="preserve"> State has apologised to survivors of institutional child abuse</w:t>
      </w:r>
      <w:r>
        <w:rPr>
          <w:rStyle w:val="FootnoteReference"/>
        </w:rPr>
        <w:footnoteReference w:id="108"/>
      </w:r>
      <w:r w:rsidRPr="00131F17">
        <w:t>, the Magdalen laundries</w:t>
      </w:r>
      <w:r>
        <w:rPr>
          <w:rStyle w:val="FootnoteReference"/>
        </w:rPr>
        <w:footnoteReference w:id="109"/>
      </w:r>
      <w:r w:rsidRPr="00131F17">
        <w:t xml:space="preserve"> and the Mother and Baby homes</w:t>
      </w:r>
      <w:r>
        <w:rPr>
          <w:rStyle w:val="FootnoteReference"/>
        </w:rPr>
        <w:footnoteReference w:id="110"/>
      </w:r>
      <w:r>
        <w:t xml:space="preserve">. While, there are </w:t>
      </w:r>
      <w:r w:rsidRPr="00131F17">
        <w:t>redress</w:t>
      </w:r>
      <w:r>
        <w:t xml:space="preserve"> schemes in place for survivors, these have been heavily criticised at times.</w:t>
      </w:r>
      <w:r>
        <w:rPr>
          <w:rStyle w:val="FootnoteReference"/>
        </w:rPr>
        <w:footnoteReference w:id="111"/>
      </w:r>
      <w:r w:rsidRPr="00131F17">
        <w:t xml:space="preserve"> </w:t>
      </w:r>
      <w:r>
        <w:rPr>
          <w:rStyle w:val="FootnoteReference"/>
        </w:rPr>
        <w:footnoteReference w:id="112"/>
      </w:r>
      <w:r>
        <w:t xml:space="preserve"> </w:t>
      </w:r>
      <w:r>
        <w:rPr>
          <w:rStyle w:val="FootnoteReference"/>
        </w:rPr>
        <w:footnoteReference w:id="113"/>
      </w:r>
      <w:r>
        <w:t xml:space="preserve"> </w:t>
      </w:r>
      <w:r>
        <w:rPr>
          <w:rStyle w:val="FootnoteReference"/>
        </w:rPr>
        <w:footnoteReference w:id="114"/>
      </w:r>
    </w:p>
    <w:p w14:paraId="045B0944" w14:textId="0E40621E" w:rsidR="00B84CA3" w:rsidRDefault="00146C35" w:rsidP="00B84CA3">
      <w:pPr>
        <w:pStyle w:val="Heading2"/>
      </w:pPr>
      <w:bookmarkStart w:id="71" w:name="_Toc100231230"/>
      <w:r>
        <w:t>Crime and victimisation data</w:t>
      </w:r>
      <w:bookmarkEnd w:id="71"/>
    </w:p>
    <w:p w14:paraId="49E9F992" w14:textId="7C330D0D" w:rsidR="00B92193" w:rsidRPr="00B92193" w:rsidRDefault="00146C35" w:rsidP="00B92193">
      <w:pPr>
        <w:pStyle w:val="Heading3"/>
      </w:pPr>
      <w:r>
        <w:t>National administrative data</w:t>
      </w:r>
    </w:p>
    <w:p w14:paraId="191BC848" w14:textId="6CE75340" w:rsidR="00B92193" w:rsidRDefault="00A7517E" w:rsidP="00A7517E">
      <w:r>
        <w:t>I</w:t>
      </w:r>
      <w:r w:rsidR="00B84CA3" w:rsidRPr="00B17EB3">
        <w:t xml:space="preserve">t is generally considered that </w:t>
      </w:r>
      <w:r w:rsidR="0097181D">
        <w:t>people</w:t>
      </w:r>
      <w:r w:rsidR="00B84CA3" w:rsidRPr="00B17EB3">
        <w:t xml:space="preserve"> with disabilities are at a greater risk of being victims of a crime</w:t>
      </w:r>
      <w:r w:rsidR="00B84CA3" w:rsidRPr="00B17EB3">
        <w:rPr>
          <w:vertAlign w:val="superscript"/>
        </w:rPr>
        <w:footnoteReference w:id="115"/>
      </w:r>
      <w:r w:rsidR="00B84CA3" w:rsidRPr="00B17EB3">
        <w:t xml:space="preserve">. Unfortunately, data published by the </w:t>
      </w:r>
      <w:r w:rsidR="0097181D">
        <w:t>Central Statistics Office (</w:t>
      </w:r>
      <w:r w:rsidR="00B84CA3" w:rsidRPr="00B17EB3">
        <w:t>CSO</w:t>
      </w:r>
      <w:r w:rsidR="0097181D">
        <w:t xml:space="preserve">) </w:t>
      </w:r>
      <w:r w:rsidR="00B84CA3" w:rsidRPr="00B17EB3">
        <w:t xml:space="preserve">on crime victims using data from </w:t>
      </w:r>
      <w:r w:rsidR="0097181D">
        <w:t>An Garda Síochána</w:t>
      </w:r>
      <w:r w:rsidR="00B84CA3" w:rsidRPr="00B17EB3">
        <w:t xml:space="preserve"> is not dis</w:t>
      </w:r>
      <w:r>
        <w:t xml:space="preserve">aggregated by disability status. In addition, due to issues with the quality of data collected by </w:t>
      </w:r>
      <w:r w:rsidR="002E3912">
        <w:t>An Garda Síochána</w:t>
      </w:r>
      <w:r>
        <w:t xml:space="preserve">, </w:t>
      </w:r>
      <w:r w:rsidR="00935B05">
        <w:t>these</w:t>
      </w:r>
      <w:r>
        <w:t xml:space="preserve"> data do not meet the standard </w:t>
      </w:r>
      <w:r w:rsidR="009F33EA">
        <w:t>required</w:t>
      </w:r>
      <w:r>
        <w:t xml:space="preserve"> to be considered national statistics.</w:t>
      </w:r>
    </w:p>
    <w:p w14:paraId="55E7D36C" w14:textId="714B45F3" w:rsidR="005774B4" w:rsidRDefault="005774B4" w:rsidP="005774B4">
      <w:r w:rsidRPr="00B17EB3">
        <w:t>Furthermore, at present there is no systematic data available on District or Circuit Court cases in which to examine the disability status of crime victims. However, a focus on data in An Garda Síochána’s Diversity and Integration Strategy 2019-2021</w:t>
      </w:r>
      <w:r w:rsidRPr="00B17EB3">
        <w:rPr>
          <w:rStyle w:val="FootnoteReference"/>
        </w:rPr>
        <w:footnoteReference w:id="116"/>
      </w:r>
      <w:r w:rsidRPr="00B17EB3">
        <w:t xml:space="preserve"> and the planned development of a Criminal Justice Operational Hub</w:t>
      </w:r>
      <w:r w:rsidRPr="00B17EB3">
        <w:rPr>
          <w:rStyle w:val="FootnoteReference"/>
        </w:rPr>
        <w:footnoteReference w:id="117"/>
      </w:r>
      <w:r w:rsidRPr="00B17EB3">
        <w:t xml:space="preserve"> will hopefully ensure variables like a crime victim’s disability status will be routinely collected and reported on in the future. </w:t>
      </w:r>
    </w:p>
    <w:p w14:paraId="568A0314" w14:textId="0E83C080" w:rsidR="00B84CA3" w:rsidRDefault="006D4F00" w:rsidP="00B92193">
      <w:pPr>
        <w:pStyle w:val="Heading3"/>
      </w:pPr>
      <w:r>
        <w:t>CSO c</w:t>
      </w:r>
      <w:r w:rsidR="00935B05">
        <w:t xml:space="preserve">rime and </w:t>
      </w:r>
      <w:r>
        <w:t>v</w:t>
      </w:r>
      <w:r w:rsidR="00B84CA3">
        <w:t xml:space="preserve">ictimisation </w:t>
      </w:r>
      <w:r>
        <w:t>s</w:t>
      </w:r>
      <w:r w:rsidR="00B84CA3">
        <w:t>urveys</w:t>
      </w:r>
    </w:p>
    <w:p w14:paraId="07A4EB2A" w14:textId="0FFD6D1F" w:rsidR="00B84CA3" w:rsidRDefault="00D700A9" w:rsidP="00B84CA3">
      <w:r>
        <w:t xml:space="preserve">The CSO have conducted crime and victimisation </w:t>
      </w:r>
      <w:r w:rsidR="00D461C7">
        <w:t>household surveys</w:t>
      </w:r>
      <w:r>
        <w:t xml:space="preserve"> in</w:t>
      </w:r>
      <w:r w:rsidRPr="00D700A9">
        <w:t xml:space="preserve"> </w:t>
      </w:r>
      <w:r>
        <w:t>1998, 2003, 2006, 2010 and 2015 and 2019.</w:t>
      </w:r>
      <w:r w:rsidR="00D461C7">
        <w:rPr>
          <w:rStyle w:val="FootnoteReference"/>
        </w:rPr>
        <w:footnoteReference w:id="118"/>
      </w:r>
      <w:r w:rsidR="00D461C7">
        <w:t xml:space="preserve"> These surveys do not ask about sexual violence or domestic violence as they are deemed </w:t>
      </w:r>
      <w:r w:rsidR="00935B05">
        <w:t>too</w:t>
      </w:r>
      <w:r w:rsidR="00D461C7">
        <w:t xml:space="preserve"> sensitive to include in a household survey. Reports </w:t>
      </w:r>
      <w:r w:rsidR="00935B05">
        <w:t>have</w:t>
      </w:r>
      <w:r w:rsidR="00D461C7">
        <w:t xml:space="preserve"> </w:t>
      </w:r>
      <w:r w:rsidR="00CB27E1">
        <w:t xml:space="preserve">not </w:t>
      </w:r>
      <w:r w:rsidR="00D461C7">
        <w:t>include</w:t>
      </w:r>
      <w:r w:rsidR="00935B05">
        <w:t>d</w:t>
      </w:r>
      <w:r w:rsidR="00D461C7">
        <w:t xml:space="preserve"> any data on whether respondents have a disability.</w:t>
      </w:r>
    </w:p>
    <w:p w14:paraId="084FFC3B" w14:textId="7FB49713" w:rsidR="007562D7" w:rsidRDefault="007562D7" w:rsidP="00C42F08">
      <w:pPr>
        <w:pStyle w:val="Heading3"/>
      </w:pPr>
      <w:r>
        <w:t>National consultation on hate crime and hate speech</w:t>
      </w:r>
    </w:p>
    <w:p w14:paraId="15A109CD" w14:textId="219543D7" w:rsidR="007562D7" w:rsidRDefault="00553E3C" w:rsidP="00B84CA3">
      <w:r>
        <w:rPr>
          <w:rStyle w:val="Style1Char"/>
          <w:rFonts w:eastAsiaTheme="minorHAnsi"/>
        </w:rPr>
        <w:t>In 2019 and 2020 the</w:t>
      </w:r>
      <w:r w:rsidR="007562D7">
        <w:rPr>
          <w:rStyle w:val="Style1Char"/>
          <w:rFonts w:eastAsiaTheme="minorHAnsi"/>
        </w:rPr>
        <w:t xml:space="preserve"> Department of Justice </w:t>
      </w:r>
      <w:r w:rsidR="007562D7" w:rsidRPr="006A458F">
        <w:rPr>
          <w:rStyle w:val="Style1Char"/>
          <w:color w:val="auto"/>
          <w:szCs w:val="24"/>
          <w:shd w:val="clear" w:color="auto" w:fill="auto"/>
        </w:rPr>
        <w:t xml:space="preserve">conducted a public consultation on legislating for hate speech and hate crime in </w:t>
      </w:r>
      <w:r>
        <w:rPr>
          <w:rStyle w:val="Style1Char"/>
          <w:color w:val="auto"/>
          <w:szCs w:val="24"/>
          <w:shd w:val="clear" w:color="auto" w:fill="auto"/>
        </w:rPr>
        <w:t>Ireland</w:t>
      </w:r>
      <w:r w:rsidR="007562D7" w:rsidRPr="006A458F">
        <w:rPr>
          <w:rStyle w:val="Style1Char"/>
          <w:color w:val="auto"/>
          <w:szCs w:val="24"/>
          <w:shd w:val="clear" w:color="auto" w:fill="auto"/>
        </w:rPr>
        <w:t>.</w:t>
      </w:r>
      <w:r w:rsidR="00261D93" w:rsidRPr="00261D93">
        <w:rPr>
          <w:rStyle w:val="FootnoteReference"/>
        </w:rPr>
        <w:t xml:space="preserve"> </w:t>
      </w:r>
      <w:r w:rsidR="00261D93" w:rsidRPr="006A458F">
        <w:rPr>
          <w:rStyle w:val="FootnoteReference"/>
        </w:rPr>
        <w:footnoteReference w:id="119"/>
      </w:r>
      <w:r w:rsidR="007562D7" w:rsidRPr="006A458F">
        <w:rPr>
          <w:rStyle w:val="Style1Char"/>
          <w:color w:val="auto"/>
          <w:szCs w:val="24"/>
          <w:shd w:val="clear" w:color="auto" w:fill="auto"/>
        </w:rPr>
        <w:t xml:space="preserve"> People with disabilities participated in this consultation. According to </w:t>
      </w:r>
      <w:r>
        <w:rPr>
          <w:rStyle w:val="Style1Char"/>
          <w:color w:val="auto"/>
          <w:szCs w:val="24"/>
          <w:shd w:val="clear" w:color="auto" w:fill="auto"/>
        </w:rPr>
        <w:t xml:space="preserve">this </w:t>
      </w:r>
      <w:r w:rsidR="009F33EA">
        <w:rPr>
          <w:rStyle w:val="Style1Char"/>
          <w:color w:val="auto"/>
          <w:szCs w:val="24"/>
          <w:shd w:val="clear" w:color="auto" w:fill="auto"/>
        </w:rPr>
        <w:t>consultation,</w:t>
      </w:r>
      <w:r>
        <w:rPr>
          <w:rStyle w:val="Style1Char"/>
          <w:color w:val="auto"/>
          <w:szCs w:val="24"/>
          <w:shd w:val="clear" w:color="auto" w:fill="auto"/>
        </w:rPr>
        <w:t xml:space="preserve"> there were reports of “</w:t>
      </w:r>
      <w:r w:rsidR="007562D7" w:rsidRPr="006A458F">
        <w:rPr>
          <w:rStyle w:val="Style1Char"/>
          <w:color w:val="auto"/>
          <w:szCs w:val="24"/>
          <w:shd w:val="clear" w:color="auto" w:fill="auto"/>
        </w:rPr>
        <w:t>ill-treatment and abuse on grounds of all kinds of disability, from physical disability, to mental disability and mental illness. Individuals with disabilities and mental illness gave compelling descriptions of the types of hate they have been faced with because of their disability.”</w:t>
      </w:r>
      <w:r w:rsidR="0062282C">
        <w:rPr>
          <w:rStyle w:val="FootnoteReference"/>
        </w:rPr>
        <w:footnoteReference w:id="120"/>
      </w:r>
      <w:r w:rsidR="007562D7" w:rsidRPr="006A458F">
        <w:rPr>
          <w:rStyle w:val="Style1Char"/>
          <w:color w:val="auto"/>
          <w:szCs w:val="24"/>
          <w:shd w:val="clear" w:color="auto" w:fill="auto"/>
        </w:rPr>
        <w:t xml:space="preserve"> </w:t>
      </w:r>
    </w:p>
    <w:p w14:paraId="42116A5D" w14:textId="462124FB" w:rsidR="00E361BB" w:rsidRDefault="00E361BB" w:rsidP="00E361BB">
      <w:pPr>
        <w:pStyle w:val="Heading2"/>
      </w:pPr>
      <w:bookmarkStart w:id="72" w:name="_Toc100231231"/>
      <w:r>
        <w:t>Sexual violence data</w:t>
      </w:r>
      <w:bookmarkEnd w:id="72"/>
    </w:p>
    <w:p w14:paraId="5B453C51" w14:textId="03522918" w:rsidR="00AE44DE" w:rsidRDefault="0046258D" w:rsidP="00E361BB">
      <w:pPr>
        <w:pStyle w:val="Heading3"/>
      </w:pPr>
      <w:r>
        <w:t xml:space="preserve">National </w:t>
      </w:r>
      <w:r w:rsidR="00945484">
        <w:t>s</w:t>
      </w:r>
      <w:r>
        <w:t xml:space="preserve">exual </w:t>
      </w:r>
      <w:r w:rsidR="00945484">
        <w:t>v</w:t>
      </w:r>
      <w:r>
        <w:t xml:space="preserve">iolence </w:t>
      </w:r>
      <w:r w:rsidR="00945484">
        <w:t>s</w:t>
      </w:r>
      <w:r>
        <w:t>urvey</w:t>
      </w:r>
      <w:r w:rsidR="0062282C">
        <w:t>s 2002 and 2022</w:t>
      </w:r>
    </w:p>
    <w:p w14:paraId="7B7112BB" w14:textId="63E75D07" w:rsidR="0046258D" w:rsidRDefault="00C14FAF" w:rsidP="00C14F8C">
      <w:r>
        <w:t>The</w:t>
      </w:r>
      <w:r w:rsidR="0046258D">
        <w:t xml:space="preserve"> 2002</w:t>
      </w:r>
      <w:r>
        <w:t xml:space="preserve"> S</w:t>
      </w:r>
      <w:r w:rsidR="001A41C9">
        <w:t>exual Abuse and Violence in Ireland (S</w:t>
      </w:r>
      <w:r>
        <w:t>AVI</w:t>
      </w:r>
      <w:r w:rsidR="001A41C9">
        <w:t>)</w:t>
      </w:r>
      <w:r>
        <w:t xml:space="preserve"> report was the first national study in Ireland to estimate the prevalence of sexual violence experienced by Irish women and men from childhood through adulthood.</w:t>
      </w:r>
      <w:r>
        <w:rPr>
          <w:rStyle w:val="FootnoteReference"/>
        </w:rPr>
        <w:footnoteReference w:id="121"/>
      </w:r>
      <w:r w:rsidR="007365AB">
        <w:t xml:space="preserve"> </w:t>
      </w:r>
      <w:r w:rsidR="00426838">
        <w:t>Participants were not asked if they had a disability.</w:t>
      </w:r>
      <w:r w:rsidR="002D2FC3">
        <w:t xml:space="preserve"> </w:t>
      </w:r>
      <w:r w:rsidR="002D2FC3" w:rsidRPr="00B85BBD">
        <w:t>The study found that 42% of women and 28% of men had experienced</w:t>
      </w:r>
      <w:r w:rsidR="002D2FC3">
        <w:t xml:space="preserve"> sexual abuse or assault over their lifetime. Those who had experienced sexual abuse or assault were more likely to experience mental health issues than those who had not. The disclosure of sexual violence to professionals such as the Guards, doctors or therapists was very low at 6%</w:t>
      </w:r>
      <w:r w:rsidR="00C0542E">
        <w:t xml:space="preserve"> and 8%</w:t>
      </w:r>
      <w:r w:rsidR="002D2FC3">
        <w:t xml:space="preserve"> of those who experience</w:t>
      </w:r>
      <w:r w:rsidR="00C0542E">
        <w:t>d</w:t>
      </w:r>
      <w:r w:rsidR="002D2FC3">
        <w:t xml:space="preserve"> sexual assault or abuse in adulthood </w:t>
      </w:r>
      <w:r w:rsidR="00C0542E">
        <w:t xml:space="preserve">and in </w:t>
      </w:r>
      <w:r w:rsidR="002D2FC3">
        <w:t>childhood</w:t>
      </w:r>
      <w:r w:rsidR="00C0542E">
        <w:t>, respectively</w:t>
      </w:r>
      <w:r w:rsidR="002D2FC3">
        <w:t xml:space="preserve">. </w:t>
      </w:r>
      <w:r w:rsidR="00426838">
        <w:t xml:space="preserve">The findings from </w:t>
      </w:r>
      <w:r w:rsidR="00C0542E">
        <w:t>this survey</w:t>
      </w:r>
      <w:r w:rsidR="00426838">
        <w:t xml:space="preserve"> were considered</w:t>
      </w:r>
      <w:r w:rsidR="00C0542E">
        <w:t xml:space="preserve"> broadly representative but the </w:t>
      </w:r>
      <w:r w:rsidR="00426838">
        <w:t>authors acknowledged the limitations of the study</w:t>
      </w:r>
      <w:r w:rsidR="00C0542E">
        <w:t xml:space="preserve"> in</w:t>
      </w:r>
      <w:r w:rsidR="00426838">
        <w:t xml:space="preserve"> reflecting the experiences of </w:t>
      </w:r>
      <w:r w:rsidR="002D2FC3">
        <w:t xml:space="preserve">marginalised groups. Instead, they included chapters </w:t>
      </w:r>
      <w:r w:rsidR="00C0542E">
        <w:t>on</w:t>
      </w:r>
      <w:r w:rsidR="002D2FC3">
        <w:t xml:space="preserve"> the challenges </w:t>
      </w:r>
      <w:r w:rsidR="00C0542E">
        <w:t>of</w:t>
      </w:r>
      <w:r w:rsidR="002D2FC3">
        <w:t xml:space="preserve"> disclosure and management of sexual violence for these groups, including those with learning disabilities and those with psychiatric problems</w:t>
      </w:r>
      <w:r w:rsidR="00C14F8C">
        <w:t xml:space="preserve">. </w:t>
      </w:r>
      <w:r w:rsidR="0046258D">
        <w:t>At present the CSO are developing a new national survey on the prevalence of sexual violence in Ireland. This survey will include a variable to identify whether a participant has a disability. It will take place in 2022 and results will be made available between 2023 and 2024.</w:t>
      </w:r>
    </w:p>
    <w:p w14:paraId="2E83DB2F" w14:textId="53B6E090" w:rsidR="000B6BCD" w:rsidRDefault="000B6BCD" w:rsidP="000B6BCD">
      <w:pPr>
        <w:pStyle w:val="Heading3"/>
      </w:pPr>
      <w:r>
        <w:t>National survey on students’ sexual violence and harassment experiences in higher education institutions</w:t>
      </w:r>
      <w:r w:rsidR="0062282C">
        <w:t xml:space="preserve"> 2020</w:t>
      </w:r>
    </w:p>
    <w:p w14:paraId="79051F1A" w14:textId="6849F324" w:rsidR="00E361BB" w:rsidRDefault="00E361BB" w:rsidP="00C14F8C">
      <w:r>
        <w:t>In 2020, a national survey on students’ sexual violence and harassment experiences in higher education institutions was conducted by NUI Galway’s Active* Consent Programme in partnership with the Union of Students in Ireland (USI</w:t>
      </w:r>
      <w:r w:rsidR="00DB11AA">
        <w:t>)</w:t>
      </w:r>
      <w:r>
        <w:t>.</w:t>
      </w:r>
      <w:r w:rsidR="00DB11AA">
        <w:rPr>
          <w:rStyle w:val="FootnoteReference"/>
        </w:rPr>
        <w:footnoteReference w:id="122"/>
      </w:r>
      <w:r>
        <w:t xml:space="preserve"> A total of 6,026 students completed the survey</w:t>
      </w:r>
      <w:r w:rsidR="00C8615A">
        <w:t xml:space="preserve"> and 14.7% of these</w:t>
      </w:r>
      <w:r w:rsidR="00447230">
        <w:t xml:space="preserve"> respondents</w:t>
      </w:r>
      <w:r w:rsidR="00C8615A">
        <w:t xml:space="preserve"> had a disability. </w:t>
      </w:r>
      <w:r>
        <w:t xml:space="preserve">This study found that </w:t>
      </w:r>
      <w:r w:rsidR="00DB11AA">
        <w:t xml:space="preserve">students with a disability </w:t>
      </w:r>
      <w:r>
        <w:t>reported higher rates of negative experiences across all measures of sexu</w:t>
      </w:r>
      <w:r w:rsidR="00447230">
        <w:t xml:space="preserve">al misconduct and harassment </w:t>
      </w:r>
      <w:r w:rsidR="00DB11AA" w:rsidRPr="00DB11AA">
        <w:t>compared with student</w:t>
      </w:r>
      <w:r w:rsidR="00DB11AA">
        <w:t>s who did not have a disability (see Table 1).</w:t>
      </w:r>
      <w:r w:rsidR="00CB2876">
        <w:t xml:space="preserve"> Table 1 shows that </w:t>
      </w:r>
      <w:r w:rsidR="001D43C0">
        <w:t>the three most prevalent experiences for those with disabilities were sexist hostility (76.5%), sexual hostility (69.0%) and u</w:t>
      </w:r>
      <w:r w:rsidR="001D43C0" w:rsidRPr="001D43C0">
        <w:t>nwanted sexual touching, completed or attempted penetration</w:t>
      </w:r>
      <w:r w:rsidR="001D43C0">
        <w:t xml:space="preserve"> (55.7%). T</w:t>
      </w:r>
      <w:r w:rsidR="00CB2876">
        <w:t xml:space="preserve">he </w:t>
      </w:r>
      <w:r w:rsidR="001D43C0">
        <w:t>largest</w:t>
      </w:r>
      <w:r w:rsidR="00CB2876">
        <w:t xml:space="preserve"> gap</w:t>
      </w:r>
      <w:r w:rsidR="001D43C0">
        <w:t>s</w:t>
      </w:r>
      <w:r w:rsidR="00CB2876">
        <w:t xml:space="preserve"> between students with and without disabilities </w:t>
      </w:r>
      <w:r w:rsidR="00D848E1">
        <w:t>were</w:t>
      </w:r>
      <w:r w:rsidR="00CB2876">
        <w:t xml:space="preserve"> with regard to experiencing force or threat of force (31.8% of those with disabilities </w:t>
      </w:r>
      <w:r w:rsidR="001D43C0">
        <w:t>compared to</w:t>
      </w:r>
      <w:r w:rsidR="00CB2876">
        <w:t xml:space="preserve"> 17.3% of those without) and u</w:t>
      </w:r>
      <w:r w:rsidR="00CB2876" w:rsidRPr="00CB2876">
        <w:t>nwanted sexual touching, penetration, or attempted penetration</w:t>
      </w:r>
      <w:r w:rsidR="00CB2876">
        <w:t xml:space="preserve"> (</w:t>
      </w:r>
      <w:r w:rsidR="001D43C0">
        <w:t xml:space="preserve">55.7% </w:t>
      </w:r>
      <w:r w:rsidR="007B68A7">
        <w:t xml:space="preserve">of those with disabilities </w:t>
      </w:r>
      <w:r w:rsidR="001D43C0" w:rsidRPr="001D43C0">
        <w:t xml:space="preserve">compared to </w:t>
      </w:r>
      <w:r w:rsidR="001D43C0">
        <w:t>41.5</w:t>
      </w:r>
      <w:r w:rsidR="001D43C0" w:rsidRPr="001D43C0">
        <w:t>% of those without</w:t>
      </w:r>
      <w:r w:rsidR="001D43C0">
        <w:t xml:space="preserve"> disabilities). </w:t>
      </w:r>
    </w:p>
    <w:p w14:paraId="00795021" w14:textId="0B4C1358" w:rsidR="000B6BCD" w:rsidRDefault="00C8615A" w:rsidP="008817A5">
      <w:pPr>
        <w:pStyle w:val="TableTitle"/>
        <w:jc w:val="left"/>
      </w:pPr>
      <w:r>
        <w:t xml:space="preserve">Table </w:t>
      </w:r>
      <w:r w:rsidR="00F428AE">
        <w:t>1</w:t>
      </w:r>
      <w:r>
        <w:t xml:space="preserve"> </w:t>
      </w:r>
      <w:r w:rsidR="00F428AE">
        <w:t>–</w:t>
      </w:r>
      <w:r w:rsidR="00C23264">
        <w:t xml:space="preserve"> </w:t>
      </w:r>
      <w:r w:rsidR="00F428AE">
        <w:t>Experiences of s</w:t>
      </w:r>
      <w:r w:rsidR="00F428AE" w:rsidRPr="00F428AE">
        <w:t xml:space="preserve">exual </w:t>
      </w:r>
      <w:r w:rsidR="00F428AE">
        <w:t>m</w:t>
      </w:r>
      <w:r w:rsidR="00F428AE" w:rsidRPr="00F428AE">
        <w:t xml:space="preserve">isconduct and </w:t>
      </w:r>
      <w:r w:rsidR="00F428AE">
        <w:t>h</w:t>
      </w:r>
      <w:r w:rsidR="00F428AE" w:rsidRPr="00F428AE">
        <w:t xml:space="preserve">arassment by </w:t>
      </w:r>
      <w:r w:rsidR="003A57DC">
        <w:t>students with and without a d</w:t>
      </w:r>
      <w:r w:rsidR="00C23264">
        <w:t xml:space="preserve">isability </w:t>
      </w:r>
      <w:r w:rsidR="003A57DC">
        <w:t>in NUIG’</w:t>
      </w:r>
      <w:r w:rsidR="00C23264">
        <w:t xml:space="preserve">s Sexual Experiences Survey </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812"/>
        <w:gridCol w:w="1418"/>
        <w:gridCol w:w="1410"/>
      </w:tblGrid>
      <w:tr w:rsidR="00C8615A" w:rsidRPr="00C8615A" w14:paraId="6F379FD7" w14:textId="77777777" w:rsidTr="006D4F00">
        <w:trPr>
          <w:tblHeader/>
        </w:trPr>
        <w:tc>
          <w:tcPr>
            <w:tcW w:w="5812" w:type="dxa"/>
            <w:tcBorders>
              <w:bottom w:val="single" w:sz="12" w:space="0" w:color="000000"/>
            </w:tcBorders>
            <w:shd w:val="clear" w:color="auto" w:fill="auto"/>
          </w:tcPr>
          <w:p w14:paraId="6FD0B197" w14:textId="77CDF365" w:rsidR="00C8615A" w:rsidRPr="00C8615A" w:rsidRDefault="006D4F00" w:rsidP="00632BB8">
            <w:pPr>
              <w:pStyle w:val="TableHead"/>
            </w:pPr>
            <w:r w:rsidRPr="006D4F00">
              <w:t>Experience of sexual misconduct (by any perpetrator tactic)</w:t>
            </w:r>
          </w:p>
        </w:tc>
        <w:tc>
          <w:tcPr>
            <w:tcW w:w="1418" w:type="dxa"/>
            <w:tcBorders>
              <w:bottom w:val="single" w:sz="12" w:space="0" w:color="000000"/>
            </w:tcBorders>
            <w:shd w:val="clear" w:color="auto" w:fill="auto"/>
          </w:tcPr>
          <w:p w14:paraId="3439D542" w14:textId="375DC471" w:rsidR="00C8615A" w:rsidRPr="00C8615A" w:rsidRDefault="006D4F00" w:rsidP="00632BB8">
            <w:pPr>
              <w:pStyle w:val="TableHead"/>
              <w:jc w:val="right"/>
            </w:pPr>
            <w:r>
              <w:t>Students with a disability</w:t>
            </w:r>
          </w:p>
        </w:tc>
        <w:tc>
          <w:tcPr>
            <w:tcW w:w="1410" w:type="dxa"/>
            <w:tcBorders>
              <w:bottom w:val="single" w:sz="12" w:space="0" w:color="000000"/>
            </w:tcBorders>
            <w:shd w:val="clear" w:color="auto" w:fill="auto"/>
          </w:tcPr>
          <w:p w14:paraId="29B711EE" w14:textId="540A0E25" w:rsidR="00C8615A" w:rsidRPr="00C8615A" w:rsidRDefault="006D4F00" w:rsidP="00632BB8">
            <w:pPr>
              <w:pStyle w:val="TableHead"/>
              <w:jc w:val="right"/>
            </w:pPr>
            <w:r>
              <w:t>Students without a disability</w:t>
            </w:r>
          </w:p>
        </w:tc>
      </w:tr>
      <w:tr w:rsidR="00C8615A" w:rsidRPr="00C8615A" w14:paraId="43246E7A" w14:textId="77777777" w:rsidTr="006D4F00">
        <w:tc>
          <w:tcPr>
            <w:tcW w:w="5812" w:type="dxa"/>
            <w:tcBorders>
              <w:top w:val="single" w:sz="12" w:space="0" w:color="000000"/>
            </w:tcBorders>
            <w:shd w:val="clear" w:color="auto" w:fill="auto"/>
          </w:tcPr>
          <w:p w14:paraId="43FBE6C7" w14:textId="49A381E7" w:rsidR="00C8615A" w:rsidRPr="00632BB8" w:rsidRDefault="009B50F0" w:rsidP="00632BB8">
            <w:pPr>
              <w:pStyle w:val="TableRowHead"/>
              <w:rPr>
                <w:rFonts w:ascii="Gill Sans MT" w:hAnsi="Gill Sans MT"/>
                <w:b w:val="0"/>
                <w:szCs w:val="26"/>
              </w:rPr>
            </w:pPr>
            <w:r w:rsidRPr="00632BB8">
              <w:rPr>
                <w:rFonts w:ascii="Gill Sans MT" w:hAnsi="Gill Sans MT"/>
                <w:b w:val="0"/>
                <w:szCs w:val="26"/>
              </w:rPr>
              <w:t>Unwanted sexual touching, completed or attempted penetration</w:t>
            </w:r>
          </w:p>
        </w:tc>
        <w:tc>
          <w:tcPr>
            <w:tcW w:w="1418" w:type="dxa"/>
            <w:tcBorders>
              <w:top w:val="single" w:sz="12" w:space="0" w:color="000000"/>
            </w:tcBorders>
            <w:shd w:val="clear" w:color="auto" w:fill="auto"/>
          </w:tcPr>
          <w:p w14:paraId="31D13AE2" w14:textId="48C8D198" w:rsidR="00C8615A" w:rsidRPr="00C8615A" w:rsidRDefault="00632BB8" w:rsidP="003A57DC">
            <w:pPr>
              <w:pStyle w:val="TableCell"/>
              <w:jc w:val="right"/>
            </w:pPr>
            <w:r>
              <w:t>55.7</w:t>
            </w:r>
          </w:p>
        </w:tc>
        <w:tc>
          <w:tcPr>
            <w:tcW w:w="1410" w:type="dxa"/>
            <w:tcBorders>
              <w:top w:val="single" w:sz="12" w:space="0" w:color="000000"/>
            </w:tcBorders>
            <w:shd w:val="clear" w:color="auto" w:fill="auto"/>
          </w:tcPr>
          <w:p w14:paraId="42CCBABB" w14:textId="1F7249A5" w:rsidR="00C8615A" w:rsidRPr="00C8615A" w:rsidRDefault="00632BB8" w:rsidP="003A57DC">
            <w:pPr>
              <w:pStyle w:val="TableCell"/>
              <w:jc w:val="right"/>
            </w:pPr>
            <w:r>
              <w:t>41.5</w:t>
            </w:r>
          </w:p>
        </w:tc>
      </w:tr>
      <w:tr w:rsidR="00C8615A" w:rsidRPr="00C8615A" w14:paraId="22F6D71D" w14:textId="77777777" w:rsidTr="006D4F00">
        <w:tc>
          <w:tcPr>
            <w:tcW w:w="5812" w:type="dxa"/>
            <w:shd w:val="clear" w:color="auto" w:fill="auto"/>
          </w:tcPr>
          <w:p w14:paraId="67AF104A" w14:textId="2EF0DBA3" w:rsidR="00C8615A" w:rsidRPr="00632BB8" w:rsidRDefault="009B50F0" w:rsidP="00632BB8">
            <w:pPr>
              <w:pStyle w:val="TableRowHead"/>
              <w:rPr>
                <w:rFonts w:ascii="Gill Sans MT" w:hAnsi="Gill Sans MT"/>
                <w:b w:val="0"/>
                <w:szCs w:val="26"/>
              </w:rPr>
            </w:pPr>
            <w:r w:rsidRPr="00632BB8">
              <w:rPr>
                <w:rFonts w:ascii="Gill Sans MT" w:hAnsi="Gill Sans MT"/>
                <w:b w:val="0"/>
                <w:szCs w:val="26"/>
              </w:rPr>
              <w:t>Completed or attempted oral, vaginal, or anal penetration</w:t>
            </w:r>
          </w:p>
        </w:tc>
        <w:tc>
          <w:tcPr>
            <w:tcW w:w="1418" w:type="dxa"/>
            <w:shd w:val="clear" w:color="auto" w:fill="auto"/>
          </w:tcPr>
          <w:p w14:paraId="4210DC25" w14:textId="79AC27F1" w:rsidR="00C8615A" w:rsidRPr="00C8615A" w:rsidRDefault="00632BB8" w:rsidP="003A57DC">
            <w:pPr>
              <w:pStyle w:val="TableCell"/>
              <w:jc w:val="right"/>
            </w:pPr>
            <w:r>
              <w:t>48.4</w:t>
            </w:r>
          </w:p>
        </w:tc>
        <w:tc>
          <w:tcPr>
            <w:tcW w:w="1410" w:type="dxa"/>
            <w:shd w:val="clear" w:color="auto" w:fill="auto"/>
          </w:tcPr>
          <w:p w14:paraId="1BDA5B8C" w14:textId="550DD663" w:rsidR="00C8615A" w:rsidRPr="00C8615A" w:rsidRDefault="00632BB8" w:rsidP="003A57DC">
            <w:pPr>
              <w:pStyle w:val="TableCell"/>
              <w:jc w:val="right"/>
            </w:pPr>
            <w:r>
              <w:t>34.2</w:t>
            </w:r>
          </w:p>
        </w:tc>
      </w:tr>
      <w:tr w:rsidR="00C8615A" w:rsidRPr="00C8615A" w14:paraId="3FD6C2B7" w14:textId="77777777" w:rsidTr="00632BB8">
        <w:tc>
          <w:tcPr>
            <w:tcW w:w="5812" w:type="dxa"/>
            <w:tcBorders>
              <w:bottom w:val="single" w:sz="6" w:space="0" w:color="000000"/>
            </w:tcBorders>
            <w:shd w:val="clear" w:color="auto" w:fill="auto"/>
          </w:tcPr>
          <w:p w14:paraId="72A7316C" w14:textId="616B2F19" w:rsidR="00C8615A" w:rsidRPr="00632BB8" w:rsidRDefault="009B50F0" w:rsidP="00632BB8">
            <w:pPr>
              <w:pStyle w:val="TableRowHead"/>
              <w:rPr>
                <w:rFonts w:ascii="Gill Sans MT" w:hAnsi="Gill Sans MT"/>
                <w:b w:val="0"/>
                <w:szCs w:val="26"/>
              </w:rPr>
            </w:pPr>
            <w:r w:rsidRPr="00632BB8">
              <w:rPr>
                <w:rFonts w:ascii="Gill Sans MT" w:hAnsi="Gill Sans MT"/>
                <w:b w:val="0"/>
                <w:szCs w:val="26"/>
              </w:rPr>
              <w:t>Completed oral, vaginal, or anal penetration</w:t>
            </w:r>
          </w:p>
        </w:tc>
        <w:tc>
          <w:tcPr>
            <w:tcW w:w="1418" w:type="dxa"/>
            <w:tcBorders>
              <w:bottom w:val="single" w:sz="6" w:space="0" w:color="000000"/>
            </w:tcBorders>
            <w:shd w:val="clear" w:color="auto" w:fill="auto"/>
          </w:tcPr>
          <w:p w14:paraId="131FFDCA" w14:textId="01958D87" w:rsidR="00C8615A" w:rsidRPr="00C8615A" w:rsidRDefault="00632BB8" w:rsidP="003A57DC">
            <w:pPr>
              <w:pStyle w:val="TableCell"/>
              <w:jc w:val="right"/>
            </w:pPr>
            <w:r>
              <w:t>38.8</w:t>
            </w:r>
          </w:p>
        </w:tc>
        <w:tc>
          <w:tcPr>
            <w:tcW w:w="1410" w:type="dxa"/>
            <w:tcBorders>
              <w:bottom w:val="single" w:sz="6" w:space="0" w:color="000000"/>
            </w:tcBorders>
            <w:shd w:val="clear" w:color="auto" w:fill="auto"/>
          </w:tcPr>
          <w:p w14:paraId="4D57E41B" w14:textId="46B810FE" w:rsidR="00C8615A" w:rsidRPr="00C8615A" w:rsidRDefault="00632BB8" w:rsidP="003A57DC">
            <w:pPr>
              <w:pStyle w:val="TableCell"/>
              <w:jc w:val="right"/>
            </w:pPr>
            <w:r>
              <w:t>25.8</w:t>
            </w:r>
          </w:p>
        </w:tc>
      </w:tr>
      <w:tr w:rsidR="00C8615A" w:rsidRPr="00C8615A" w14:paraId="6958335C" w14:textId="77777777" w:rsidTr="00632BB8">
        <w:tc>
          <w:tcPr>
            <w:tcW w:w="5812" w:type="dxa"/>
            <w:tcBorders>
              <w:top w:val="single" w:sz="6" w:space="0" w:color="000000"/>
            </w:tcBorders>
            <w:shd w:val="clear" w:color="auto" w:fill="auto"/>
          </w:tcPr>
          <w:p w14:paraId="34A55B5D" w14:textId="565F85A9" w:rsidR="00C8615A" w:rsidRPr="00632BB8" w:rsidRDefault="000B21A1" w:rsidP="00632BB8">
            <w:pPr>
              <w:pStyle w:val="TableRowHead"/>
              <w:rPr>
                <w:rFonts w:ascii="Gill Sans MT" w:hAnsi="Gill Sans MT"/>
                <w:b w:val="0"/>
                <w:szCs w:val="26"/>
              </w:rPr>
            </w:pPr>
            <w:r w:rsidRPr="000B21A1">
              <w:rPr>
                <w:rFonts w:ascii="Gill Sans MT" w:hAnsi="Gill Sans MT"/>
                <w:szCs w:val="26"/>
              </w:rPr>
              <w:t>Exposure to each perpetrator tactic:</w:t>
            </w:r>
            <w:r>
              <w:rPr>
                <w:rFonts w:ascii="Gill Sans MT" w:hAnsi="Gill Sans MT"/>
                <w:b w:val="0"/>
                <w:szCs w:val="26"/>
              </w:rPr>
              <w:t xml:space="preserve"> </w:t>
            </w:r>
            <w:r w:rsidR="009B50F0" w:rsidRPr="00632BB8">
              <w:rPr>
                <w:rFonts w:ascii="Gill Sans MT" w:hAnsi="Gill Sans MT"/>
                <w:b w:val="0"/>
                <w:szCs w:val="26"/>
              </w:rPr>
              <w:t>Acts of coercion</w:t>
            </w:r>
          </w:p>
        </w:tc>
        <w:tc>
          <w:tcPr>
            <w:tcW w:w="1418" w:type="dxa"/>
            <w:tcBorders>
              <w:top w:val="single" w:sz="6" w:space="0" w:color="000000"/>
            </w:tcBorders>
            <w:shd w:val="clear" w:color="auto" w:fill="auto"/>
          </w:tcPr>
          <w:p w14:paraId="46AEDC25" w14:textId="018ECB84" w:rsidR="00C8615A" w:rsidRPr="00C8615A" w:rsidRDefault="009B50F0" w:rsidP="006D4F00">
            <w:pPr>
              <w:pStyle w:val="TableCell"/>
              <w:jc w:val="right"/>
            </w:pPr>
            <w:r w:rsidRPr="009B50F0">
              <w:t>44.5</w:t>
            </w:r>
          </w:p>
        </w:tc>
        <w:tc>
          <w:tcPr>
            <w:tcW w:w="1410" w:type="dxa"/>
            <w:tcBorders>
              <w:top w:val="single" w:sz="6" w:space="0" w:color="000000"/>
            </w:tcBorders>
            <w:shd w:val="clear" w:color="auto" w:fill="auto"/>
          </w:tcPr>
          <w:p w14:paraId="3D405DB8" w14:textId="06D603F7" w:rsidR="00C8615A" w:rsidRPr="00C8615A" w:rsidRDefault="009B50F0" w:rsidP="006D4F00">
            <w:pPr>
              <w:pStyle w:val="TableCell"/>
              <w:jc w:val="right"/>
            </w:pPr>
            <w:r w:rsidRPr="009B50F0">
              <w:t>30.3</w:t>
            </w:r>
          </w:p>
        </w:tc>
      </w:tr>
      <w:tr w:rsidR="00C8615A" w:rsidRPr="00C8615A" w14:paraId="46DD36DF" w14:textId="77777777" w:rsidTr="006D4F00">
        <w:tc>
          <w:tcPr>
            <w:tcW w:w="5812" w:type="dxa"/>
            <w:shd w:val="clear" w:color="auto" w:fill="auto"/>
          </w:tcPr>
          <w:p w14:paraId="77B73041" w14:textId="59397E5A" w:rsidR="00C8615A" w:rsidRPr="00632BB8" w:rsidRDefault="000B21A1" w:rsidP="00632BB8">
            <w:pPr>
              <w:pStyle w:val="TableRowHead"/>
              <w:rPr>
                <w:rFonts w:ascii="Gill Sans MT" w:hAnsi="Gill Sans MT"/>
                <w:b w:val="0"/>
                <w:szCs w:val="26"/>
              </w:rPr>
            </w:pPr>
            <w:r w:rsidRPr="000B21A1">
              <w:rPr>
                <w:rFonts w:ascii="Gill Sans MT" w:hAnsi="Gill Sans MT"/>
                <w:szCs w:val="26"/>
              </w:rPr>
              <w:t>Exposure to each perpetrator tactic:</w:t>
            </w:r>
            <w:r>
              <w:rPr>
                <w:rFonts w:ascii="Gill Sans MT" w:hAnsi="Gill Sans MT"/>
                <w:b w:val="0"/>
                <w:szCs w:val="26"/>
              </w:rPr>
              <w:t xml:space="preserve"> </w:t>
            </w:r>
            <w:r w:rsidR="009B50F0" w:rsidRPr="00632BB8">
              <w:rPr>
                <w:rFonts w:ascii="Gill Sans MT" w:hAnsi="Gill Sans MT"/>
                <w:b w:val="0"/>
                <w:szCs w:val="26"/>
              </w:rPr>
              <w:t>Incapacitation</w:t>
            </w:r>
          </w:p>
        </w:tc>
        <w:tc>
          <w:tcPr>
            <w:tcW w:w="1418" w:type="dxa"/>
            <w:shd w:val="clear" w:color="auto" w:fill="auto"/>
          </w:tcPr>
          <w:p w14:paraId="49C313AA" w14:textId="4BA42A6D" w:rsidR="00C8615A" w:rsidRPr="00C8615A" w:rsidRDefault="00632BB8" w:rsidP="006D4F00">
            <w:pPr>
              <w:pStyle w:val="TableCell"/>
              <w:jc w:val="right"/>
            </w:pPr>
            <w:r>
              <w:t>43.6</w:t>
            </w:r>
          </w:p>
        </w:tc>
        <w:tc>
          <w:tcPr>
            <w:tcW w:w="1410" w:type="dxa"/>
            <w:shd w:val="clear" w:color="auto" w:fill="auto"/>
          </w:tcPr>
          <w:p w14:paraId="5BD649E1" w14:textId="2620F1DB" w:rsidR="00C8615A" w:rsidRPr="00C8615A" w:rsidRDefault="00632BB8" w:rsidP="006D4F00">
            <w:pPr>
              <w:pStyle w:val="TableCell"/>
              <w:jc w:val="right"/>
            </w:pPr>
            <w:r>
              <w:t>31.8</w:t>
            </w:r>
          </w:p>
        </w:tc>
      </w:tr>
      <w:tr w:rsidR="00C8615A" w:rsidRPr="00C8615A" w14:paraId="1433E191" w14:textId="77777777" w:rsidTr="00632BB8">
        <w:tc>
          <w:tcPr>
            <w:tcW w:w="5812" w:type="dxa"/>
            <w:tcBorders>
              <w:bottom w:val="single" w:sz="6" w:space="0" w:color="000000"/>
            </w:tcBorders>
            <w:shd w:val="clear" w:color="auto" w:fill="auto"/>
          </w:tcPr>
          <w:p w14:paraId="2F8EE5B3" w14:textId="513CE1FA" w:rsidR="00C8615A" w:rsidRPr="00632BB8" w:rsidRDefault="000B21A1" w:rsidP="00632BB8">
            <w:pPr>
              <w:pStyle w:val="TableRowHead"/>
              <w:rPr>
                <w:rFonts w:ascii="Gill Sans MT" w:hAnsi="Gill Sans MT"/>
                <w:b w:val="0"/>
                <w:szCs w:val="26"/>
              </w:rPr>
            </w:pPr>
            <w:r w:rsidRPr="000B21A1">
              <w:rPr>
                <w:rFonts w:ascii="Gill Sans MT" w:hAnsi="Gill Sans MT"/>
                <w:szCs w:val="26"/>
              </w:rPr>
              <w:t>Exposure to each perpetrator tactic:</w:t>
            </w:r>
            <w:r>
              <w:rPr>
                <w:rFonts w:ascii="Gill Sans MT" w:hAnsi="Gill Sans MT"/>
                <w:b w:val="0"/>
                <w:szCs w:val="26"/>
              </w:rPr>
              <w:t xml:space="preserve"> </w:t>
            </w:r>
            <w:r w:rsidR="009B50F0" w:rsidRPr="00632BB8">
              <w:rPr>
                <w:rFonts w:ascii="Gill Sans MT" w:hAnsi="Gill Sans MT"/>
                <w:b w:val="0"/>
                <w:szCs w:val="26"/>
              </w:rPr>
              <w:t>Force or threat of force</w:t>
            </w:r>
          </w:p>
        </w:tc>
        <w:tc>
          <w:tcPr>
            <w:tcW w:w="1418" w:type="dxa"/>
            <w:tcBorders>
              <w:bottom w:val="single" w:sz="6" w:space="0" w:color="000000"/>
            </w:tcBorders>
            <w:shd w:val="clear" w:color="auto" w:fill="auto"/>
          </w:tcPr>
          <w:p w14:paraId="180ED1F5" w14:textId="2B3CDEAF" w:rsidR="00C8615A" w:rsidRPr="00C8615A" w:rsidRDefault="00632BB8" w:rsidP="006D4F00">
            <w:pPr>
              <w:pStyle w:val="TableCell"/>
              <w:jc w:val="right"/>
            </w:pPr>
            <w:r>
              <w:t>31.8</w:t>
            </w:r>
          </w:p>
        </w:tc>
        <w:tc>
          <w:tcPr>
            <w:tcW w:w="1410" w:type="dxa"/>
            <w:tcBorders>
              <w:bottom w:val="single" w:sz="6" w:space="0" w:color="000000"/>
            </w:tcBorders>
            <w:shd w:val="clear" w:color="auto" w:fill="auto"/>
          </w:tcPr>
          <w:p w14:paraId="0B9953E3" w14:textId="35EB52F6" w:rsidR="00C8615A" w:rsidRPr="00C8615A" w:rsidRDefault="00632BB8" w:rsidP="006D4F00">
            <w:pPr>
              <w:pStyle w:val="TableCell"/>
              <w:jc w:val="right"/>
            </w:pPr>
            <w:r>
              <w:t>17.3</w:t>
            </w:r>
          </w:p>
        </w:tc>
      </w:tr>
      <w:tr w:rsidR="00C8615A" w:rsidRPr="00C8615A" w14:paraId="6C41BCFD" w14:textId="77777777" w:rsidTr="00632BB8">
        <w:tc>
          <w:tcPr>
            <w:tcW w:w="5812" w:type="dxa"/>
            <w:tcBorders>
              <w:top w:val="single" w:sz="6" w:space="0" w:color="000000"/>
            </w:tcBorders>
            <w:shd w:val="clear" w:color="auto" w:fill="auto"/>
          </w:tcPr>
          <w:p w14:paraId="47E37BD8" w14:textId="30FA7733" w:rsidR="00C8615A" w:rsidRPr="00632BB8" w:rsidRDefault="000B21A1" w:rsidP="00632BB8">
            <w:pPr>
              <w:pStyle w:val="TableRowHead"/>
              <w:rPr>
                <w:rFonts w:ascii="Gill Sans MT" w:hAnsi="Gill Sans MT"/>
                <w:b w:val="0"/>
                <w:szCs w:val="26"/>
              </w:rPr>
            </w:pPr>
            <w:r w:rsidRPr="000B21A1">
              <w:rPr>
                <w:rFonts w:ascii="Gill Sans MT" w:hAnsi="Gill Sans MT"/>
                <w:szCs w:val="26"/>
              </w:rPr>
              <w:t>Experience of sexual misconduct, through incapacitation or force (or threat of force):</w:t>
            </w:r>
            <w:r>
              <w:rPr>
                <w:rFonts w:ascii="Gill Sans MT" w:hAnsi="Gill Sans MT"/>
                <w:b w:val="0"/>
                <w:szCs w:val="26"/>
              </w:rPr>
              <w:t xml:space="preserve"> </w:t>
            </w:r>
            <w:r w:rsidR="009B50F0" w:rsidRPr="00632BB8">
              <w:rPr>
                <w:rFonts w:ascii="Gill Sans MT" w:hAnsi="Gill Sans MT"/>
                <w:b w:val="0"/>
                <w:szCs w:val="26"/>
              </w:rPr>
              <w:t>Unwanted sexual touching, penetration, or attempted penetration</w:t>
            </w:r>
          </w:p>
        </w:tc>
        <w:tc>
          <w:tcPr>
            <w:tcW w:w="1418" w:type="dxa"/>
            <w:tcBorders>
              <w:top w:val="single" w:sz="6" w:space="0" w:color="000000"/>
            </w:tcBorders>
            <w:shd w:val="clear" w:color="auto" w:fill="auto"/>
          </w:tcPr>
          <w:p w14:paraId="7D12E32F" w14:textId="3B70CF1B" w:rsidR="00C8615A" w:rsidRPr="00C8615A" w:rsidRDefault="00967787" w:rsidP="006D4F00">
            <w:pPr>
              <w:pStyle w:val="TableCell"/>
              <w:jc w:val="right"/>
            </w:pPr>
            <w:r>
              <w:t>51.0</w:t>
            </w:r>
          </w:p>
        </w:tc>
        <w:tc>
          <w:tcPr>
            <w:tcW w:w="1410" w:type="dxa"/>
            <w:tcBorders>
              <w:top w:val="single" w:sz="6" w:space="0" w:color="000000"/>
            </w:tcBorders>
            <w:shd w:val="clear" w:color="auto" w:fill="auto"/>
          </w:tcPr>
          <w:p w14:paraId="58A27A7C" w14:textId="29C5DD36" w:rsidR="00C8615A" w:rsidRPr="00C8615A" w:rsidRDefault="00967787" w:rsidP="006D4F00">
            <w:pPr>
              <w:pStyle w:val="TableCell"/>
              <w:jc w:val="right"/>
            </w:pPr>
            <w:r>
              <w:t>36.6</w:t>
            </w:r>
          </w:p>
        </w:tc>
      </w:tr>
      <w:tr w:rsidR="00C8615A" w:rsidRPr="00C8615A" w14:paraId="505F319D" w14:textId="77777777" w:rsidTr="006D4F00">
        <w:tc>
          <w:tcPr>
            <w:tcW w:w="5812" w:type="dxa"/>
            <w:shd w:val="clear" w:color="auto" w:fill="auto"/>
          </w:tcPr>
          <w:p w14:paraId="30FC1CDD" w14:textId="0F833BDA" w:rsidR="00C8615A" w:rsidRPr="00632BB8" w:rsidRDefault="000B21A1" w:rsidP="00632BB8">
            <w:pPr>
              <w:pStyle w:val="TableRowHead"/>
              <w:rPr>
                <w:rFonts w:ascii="Gill Sans MT" w:hAnsi="Gill Sans MT"/>
                <w:b w:val="0"/>
                <w:szCs w:val="26"/>
              </w:rPr>
            </w:pPr>
            <w:r w:rsidRPr="00632BB8">
              <w:rPr>
                <w:rFonts w:ascii="Gill Sans MT" w:hAnsi="Gill Sans MT"/>
                <w:szCs w:val="26"/>
              </w:rPr>
              <w:t>Experience of sexual misconduct, through incapacitation or force (or threat of force)</w:t>
            </w:r>
            <w:r>
              <w:rPr>
                <w:rFonts w:ascii="Gill Sans MT" w:hAnsi="Gill Sans MT"/>
                <w:szCs w:val="26"/>
              </w:rPr>
              <w:t xml:space="preserve">: </w:t>
            </w:r>
            <w:r w:rsidR="009B50F0" w:rsidRPr="00632BB8">
              <w:rPr>
                <w:rFonts w:ascii="Gill Sans MT" w:hAnsi="Gill Sans MT"/>
                <w:b w:val="0"/>
                <w:szCs w:val="26"/>
              </w:rPr>
              <w:t>Completed or attempted oral, vaginal, or anal penetration</w:t>
            </w:r>
          </w:p>
        </w:tc>
        <w:tc>
          <w:tcPr>
            <w:tcW w:w="1418" w:type="dxa"/>
            <w:shd w:val="clear" w:color="auto" w:fill="auto"/>
          </w:tcPr>
          <w:p w14:paraId="52EC13F0" w14:textId="6DB79341" w:rsidR="00C8615A" w:rsidRPr="00C8615A" w:rsidRDefault="00967787" w:rsidP="006D4F00">
            <w:pPr>
              <w:pStyle w:val="TableCell"/>
              <w:jc w:val="right"/>
            </w:pPr>
            <w:r>
              <w:t>40.8</w:t>
            </w:r>
          </w:p>
        </w:tc>
        <w:tc>
          <w:tcPr>
            <w:tcW w:w="1410" w:type="dxa"/>
            <w:shd w:val="clear" w:color="auto" w:fill="auto"/>
          </w:tcPr>
          <w:p w14:paraId="45C5CD3B" w14:textId="408D5522" w:rsidR="00C8615A" w:rsidRPr="00C8615A" w:rsidRDefault="00365EAB" w:rsidP="006D4F00">
            <w:pPr>
              <w:pStyle w:val="TableCell"/>
              <w:jc w:val="right"/>
            </w:pPr>
            <w:r>
              <w:t>27.3</w:t>
            </w:r>
          </w:p>
        </w:tc>
      </w:tr>
      <w:tr w:rsidR="00C8615A" w:rsidRPr="00C8615A" w14:paraId="0D5D4DE2" w14:textId="77777777" w:rsidTr="00365EAB">
        <w:tc>
          <w:tcPr>
            <w:tcW w:w="5812" w:type="dxa"/>
            <w:tcBorders>
              <w:bottom w:val="single" w:sz="6" w:space="0" w:color="000000"/>
            </w:tcBorders>
            <w:shd w:val="clear" w:color="auto" w:fill="auto"/>
          </w:tcPr>
          <w:p w14:paraId="6EFF446D" w14:textId="094DB20D" w:rsidR="00C8615A" w:rsidRPr="00632BB8" w:rsidRDefault="000B21A1" w:rsidP="00632BB8">
            <w:pPr>
              <w:pStyle w:val="TableRowHead"/>
              <w:rPr>
                <w:rFonts w:ascii="Gill Sans MT" w:hAnsi="Gill Sans MT"/>
                <w:b w:val="0"/>
                <w:szCs w:val="26"/>
              </w:rPr>
            </w:pPr>
            <w:r w:rsidRPr="00632BB8">
              <w:rPr>
                <w:rFonts w:ascii="Gill Sans MT" w:hAnsi="Gill Sans MT"/>
                <w:szCs w:val="26"/>
              </w:rPr>
              <w:t>Experience of sexual misconduct, through incapacitation or force (or threat of force)</w:t>
            </w:r>
            <w:r>
              <w:rPr>
                <w:rFonts w:ascii="Gill Sans MT" w:hAnsi="Gill Sans MT"/>
                <w:szCs w:val="26"/>
              </w:rPr>
              <w:t xml:space="preserve">: </w:t>
            </w:r>
            <w:r w:rsidR="009B50F0" w:rsidRPr="00632BB8">
              <w:rPr>
                <w:rFonts w:ascii="Gill Sans MT" w:hAnsi="Gill Sans MT"/>
                <w:b w:val="0"/>
                <w:szCs w:val="26"/>
              </w:rPr>
              <w:t>Completed oral, vaginal, or anal penetration</w:t>
            </w:r>
          </w:p>
        </w:tc>
        <w:tc>
          <w:tcPr>
            <w:tcW w:w="1418" w:type="dxa"/>
            <w:tcBorders>
              <w:bottom w:val="single" w:sz="6" w:space="0" w:color="000000"/>
            </w:tcBorders>
            <w:shd w:val="clear" w:color="auto" w:fill="auto"/>
          </w:tcPr>
          <w:p w14:paraId="51F0F51E" w14:textId="337E9353" w:rsidR="00C8615A" w:rsidRPr="00C8615A" w:rsidRDefault="00365EAB" w:rsidP="006D4F00">
            <w:pPr>
              <w:pStyle w:val="TableCell"/>
              <w:jc w:val="right"/>
            </w:pPr>
            <w:r>
              <w:t>33.4</w:t>
            </w:r>
          </w:p>
        </w:tc>
        <w:tc>
          <w:tcPr>
            <w:tcW w:w="1410" w:type="dxa"/>
            <w:tcBorders>
              <w:bottom w:val="single" w:sz="6" w:space="0" w:color="000000"/>
            </w:tcBorders>
            <w:shd w:val="clear" w:color="auto" w:fill="auto"/>
          </w:tcPr>
          <w:p w14:paraId="23F872EA" w14:textId="37CF2AAE" w:rsidR="00C8615A" w:rsidRPr="00C8615A" w:rsidRDefault="00365EAB" w:rsidP="006D4F00">
            <w:pPr>
              <w:pStyle w:val="TableCell"/>
              <w:jc w:val="right"/>
            </w:pPr>
            <w:r>
              <w:t>21.0</w:t>
            </w:r>
          </w:p>
        </w:tc>
      </w:tr>
      <w:tr w:rsidR="00C8615A" w:rsidRPr="00C8615A" w14:paraId="089E5E1C" w14:textId="77777777" w:rsidTr="00365EAB">
        <w:tc>
          <w:tcPr>
            <w:tcW w:w="5812" w:type="dxa"/>
            <w:tcBorders>
              <w:top w:val="single" w:sz="6" w:space="0" w:color="000000"/>
            </w:tcBorders>
            <w:shd w:val="clear" w:color="auto" w:fill="auto"/>
          </w:tcPr>
          <w:p w14:paraId="3E6A8FC0" w14:textId="54ACD151" w:rsidR="00C8615A" w:rsidRPr="00632BB8" w:rsidRDefault="000B21A1" w:rsidP="00632BB8">
            <w:pPr>
              <w:pStyle w:val="TableRowHead"/>
              <w:rPr>
                <w:rFonts w:ascii="Gill Sans MT" w:hAnsi="Gill Sans MT"/>
                <w:b w:val="0"/>
                <w:szCs w:val="26"/>
              </w:rPr>
            </w:pPr>
            <w:r w:rsidRPr="00365EAB">
              <w:rPr>
                <w:rFonts w:ascii="Gill Sans MT" w:hAnsi="Gill Sans MT"/>
                <w:szCs w:val="26"/>
              </w:rPr>
              <w:t>Experience of different forms of sexual harassment</w:t>
            </w:r>
            <w:r>
              <w:rPr>
                <w:rFonts w:ascii="Gill Sans MT" w:hAnsi="Gill Sans MT"/>
                <w:b w:val="0"/>
                <w:szCs w:val="26"/>
              </w:rPr>
              <w:t xml:space="preserve">: </w:t>
            </w:r>
            <w:r w:rsidR="009B50F0" w:rsidRPr="00632BB8">
              <w:rPr>
                <w:rFonts w:ascii="Gill Sans MT" w:hAnsi="Gill Sans MT"/>
                <w:b w:val="0"/>
                <w:szCs w:val="26"/>
              </w:rPr>
              <w:t>Sexist hostility</w:t>
            </w:r>
          </w:p>
        </w:tc>
        <w:tc>
          <w:tcPr>
            <w:tcW w:w="1418" w:type="dxa"/>
            <w:tcBorders>
              <w:top w:val="single" w:sz="6" w:space="0" w:color="000000"/>
            </w:tcBorders>
            <w:shd w:val="clear" w:color="auto" w:fill="auto"/>
          </w:tcPr>
          <w:p w14:paraId="191992D1" w14:textId="6814B500" w:rsidR="00C8615A" w:rsidRPr="00C8615A" w:rsidRDefault="0013663C" w:rsidP="006D4F00">
            <w:pPr>
              <w:pStyle w:val="TableCell"/>
              <w:jc w:val="right"/>
            </w:pPr>
            <w:r>
              <w:t>76.5</w:t>
            </w:r>
          </w:p>
        </w:tc>
        <w:tc>
          <w:tcPr>
            <w:tcW w:w="1410" w:type="dxa"/>
            <w:tcBorders>
              <w:top w:val="single" w:sz="6" w:space="0" w:color="000000"/>
            </w:tcBorders>
            <w:shd w:val="clear" w:color="auto" w:fill="auto"/>
          </w:tcPr>
          <w:p w14:paraId="05221C25" w14:textId="366B9579" w:rsidR="00C8615A" w:rsidRPr="00C8615A" w:rsidRDefault="0013663C" w:rsidP="006D4F00">
            <w:pPr>
              <w:pStyle w:val="TableCell"/>
              <w:jc w:val="right"/>
            </w:pPr>
            <w:r>
              <w:t>65.6</w:t>
            </w:r>
          </w:p>
        </w:tc>
      </w:tr>
      <w:tr w:rsidR="00C8615A" w:rsidRPr="00C8615A" w14:paraId="541E4974" w14:textId="77777777" w:rsidTr="006D4F00">
        <w:tc>
          <w:tcPr>
            <w:tcW w:w="5812" w:type="dxa"/>
            <w:shd w:val="clear" w:color="auto" w:fill="auto"/>
          </w:tcPr>
          <w:p w14:paraId="3E8D0128" w14:textId="34761613" w:rsidR="00C8615A" w:rsidRPr="00632BB8" w:rsidRDefault="000B21A1" w:rsidP="00632BB8">
            <w:pPr>
              <w:pStyle w:val="TableRowHead"/>
              <w:rPr>
                <w:rFonts w:ascii="Gill Sans MT" w:hAnsi="Gill Sans MT"/>
                <w:b w:val="0"/>
                <w:szCs w:val="26"/>
              </w:rPr>
            </w:pPr>
            <w:r w:rsidRPr="00365EAB">
              <w:rPr>
                <w:rFonts w:ascii="Gill Sans MT" w:hAnsi="Gill Sans MT"/>
                <w:szCs w:val="26"/>
              </w:rPr>
              <w:t>Experience of different forms of sexual harassment</w:t>
            </w:r>
            <w:r>
              <w:rPr>
                <w:rFonts w:ascii="Gill Sans MT" w:hAnsi="Gill Sans MT"/>
                <w:b w:val="0"/>
                <w:szCs w:val="26"/>
              </w:rPr>
              <w:t xml:space="preserve">: </w:t>
            </w:r>
            <w:r w:rsidR="003A7229" w:rsidRPr="00632BB8">
              <w:rPr>
                <w:rFonts w:ascii="Gill Sans MT" w:hAnsi="Gill Sans MT"/>
                <w:b w:val="0"/>
                <w:szCs w:val="26"/>
              </w:rPr>
              <w:t>Sexual hostility</w:t>
            </w:r>
          </w:p>
        </w:tc>
        <w:tc>
          <w:tcPr>
            <w:tcW w:w="1418" w:type="dxa"/>
            <w:shd w:val="clear" w:color="auto" w:fill="auto"/>
          </w:tcPr>
          <w:p w14:paraId="42724315" w14:textId="4467A56A" w:rsidR="00C8615A" w:rsidRPr="00C8615A" w:rsidRDefault="0013663C" w:rsidP="006D4F00">
            <w:pPr>
              <w:pStyle w:val="TableCell"/>
              <w:jc w:val="right"/>
            </w:pPr>
            <w:r>
              <w:t>69.0</w:t>
            </w:r>
          </w:p>
        </w:tc>
        <w:tc>
          <w:tcPr>
            <w:tcW w:w="1410" w:type="dxa"/>
            <w:shd w:val="clear" w:color="auto" w:fill="auto"/>
          </w:tcPr>
          <w:p w14:paraId="34845785" w14:textId="5FE21E41" w:rsidR="00C8615A" w:rsidRPr="00C8615A" w:rsidRDefault="0013663C" w:rsidP="006D4F00">
            <w:pPr>
              <w:pStyle w:val="TableCell"/>
              <w:jc w:val="right"/>
            </w:pPr>
            <w:r>
              <w:t>56.0</w:t>
            </w:r>
          </w:p>
        </w:tc>
      </w:tr>
      <w:tr w:rsidR="00C8615A" w:rsidRPr="00C8615A" w14:paraId="5E87CAC9" w14:textId="77777777" w:rsidTr="006D4F00">
        <w:tc>
          <w:tcPr>
            <w:tcW w:w="5812" w:type="dxa"/>
            <w:shd w:val="clear" w:color="auto" w:fill="auto"/>
          </w:tcPr>
          <w:p w14:paraId="28F4D390" w14:textId="0B0CC5EA" w:rsidR="00C8615A" w:rsidRPr="00632BB8" w:rsidRDefault="000B21A1" w:rsidP="00632BB8">
            <w:pPr>
              <w:pStyle w:val="TableRowHead"/>
              <w:rPr>
                <w:rFonts w:ascii="Gill Sans MT" w:hAnsi="Gill Sans MT"/>
                <w:b w:val="0"/>
                <w:szCs w:val="26"/>
              </w:rPr>
            </w:pPr>
            <w:r w:rsidRPr="00365EAB">
              <w:rPr>
                <w:rFonts w:ascii="Gill Sans MT" w:hAnsi="Gill Sans MT"/>
                <w:szCs w:val="26"/>
              </w:rPr>
              <w:t>Experience of different forms of sexual harassment</w:t>
            </w:r>
            <w:r>
              <w:rPr>
                <w:rFonts w:ascii="Gill Sans MT" w:hAnsi="Gill Sans MT"/>
                <w:b w:val="0"/>
                <w:szCs w:val="26"/>
              </w:rPr>
              <w:t xml:space="preserve">: </w:t>
            </w:r>
            <w:r w:rsidR="003A7229" w:rsidRPr="00632BB8">
              <w:rPr>
                <w:rFonts w:ascii="Gill Sans MT" w:hAnsi="Gill Sans MT"/>
                <w:b w:val="0"/>
                <w:szCs w:val="26"/>
              </w:rPr>
              <w:t>Unwanted sexual relationship</w:t>
            </w:r>
          </w:p>
        </w:tc>
        <w:tc>
          <w:tcPr>
            <w:tcW w:w="1418" w:type="dxa"/>
            <w:shd w:val="clear" w:color="auto" w:fill="auto"/>
          </w:tcPr>
          <w:p w14:paraId="53650EC8" w14:textId="6D2E6E19" w:rsidR="00C8615A" w:rsidRPr="00C8615A" w:rsidRDefault="0013663C" w:rsidP="006D4F00">
            <w:pPr>
              <w:pStyle w:val="TableCell"/>
              <w:jc w:val="right"/>
            </w:pPr>
            <w:r>
              <w:t>42.0</w:t>
            </w:r>
          </w:p>
        </w:tc>
        <w:tc>
          <w:tcPr>
            <w:tcW w:w="1410" w:type="dxa"/>
            <w:shd w:val="clear" w:color="auto" w:fill="auto"/>
          </w:tcPr>
          <w:p w14:paraId="66F4F5D5" w14:textId="1E0DA362" w:rsidR="00C8615A" w:rsidRPr="00C8615A" w:rsidRDefault="0013663C" w:rsidP="006D4F00">
            <w:pPr>
              <w:pStyle w:val="TableCell"/>
              <w:jc w:val="right"/>
            </w:pPr>
            <w:r>
              <w:t>36.5</w:t>
            </w:r>
          </w:p>
        </w:tc>
      </w:tr>
      <w:tr w:rsidR="00C8615A" w:rsidRPr="00C8615A" w14:paraId="2540FBED" w14:textId="77777777" w:rsidTr="006D4F00">
        <w:tc>
          <w:tcPr>
            <w:tcW w:w="5812" w:type="dxa"/>
            <w:shd w:val="clear" w:color="auto" w:fill="auto"/>
          </w:tcPr>
          <w:p w14:paraId="1A7B7C21" w14:textId="62412464" w:rsidR="00C8615A" w:rsidRPr="00632BB8" w:rsidRDefault="000B21A1" w:rsidP="00632BB8">
            <w:pPr>
              <w:pStyle w:val="TableRowHead"/>
              <w:rPr>
                <w:rFonts w:ascii="Gill Sans MT" w:hAnsi="Gill Sans MT"/>
                <w:b w:val="0"/>
                <w:szCs w:val="26"/>
              </w:rPr>
            </w:pPr>
            <w:r w:rsidRPr="00365EAB">
              <w:rPr>
                <w:rFonts w:ascii="Gill Sans MT" w:hAnsi="Gill Sans MT"/>
                <w:szCs w:val="26"/>
              </w:rPr>
              <w:t>Experience of different forms of sexual harassment</w:t>
            </w:r>
            <w:r>
              <w:rPr>
                <w:rFonts w:ascii="Gill Sans MT" w:hAnsi="Gill Sans MT"/>
                <w:b w:val="0"/>
                <w:szCs w:val="26"/>
              </w:rPr>
              <w:t xml:space="preserve">: </w:t>
            </w:r>
            <w:r w:rsidR="003A7229" w:rsidRPr="00632BB8">
              <w:rPr>
                <w:rFonts w:ascii="Gill Sans MT" w:hAnsi="Gill Sans MT"/>
                <w:b w:val="0"/>
                <w:szCs w:val="26"/>
              </w:rPr>
              <w:t>Electronic communication</w:t>
            </w:r>
          </w:p>
        </w:tc>
        <w:tc>
          <w:tcPr>
            <w:tcW w:w="1418" w:type="dxa"/>
            <w:shd w:val="clear" w:color="auto" w:fill="auto"/>
          </w:tcPr>
          <w:p w14:paraId="0E55C22D" w14:textId="0FDC1855" w:rsidR="00C8615A" w:rsidRPr="00C8615A" w:rsidRDefault="0013663C" w:rsidP="006D4F00">
            <w:pPr>
              <w:pStyle w:val="TableCell"/>
              <w:jc w:val="right"/>
            </w:pPr>
            <w:r>
              <w:t>39.5</w:t>
            </w:r>
          </w:p>
        </w:tc>
        <w:tc>
          <w:tcPr>
            <w:tcW w:w="1410" w:type="dxa"/>
            <w:shd w:val="clear" w:color="auto" w:fill="auto"/>
          </w:tcPr>
          <w:p w14:paraId="0B06F711" w14:textId="17EBFBDA" w:rsidR="00C8615A" w:rsidRPr="00C8615A" w:rsidRDefault="0013663C" w:rsidP="006D4F00">
            <w:pPr>
              <w:pStyle w:val="TableCell"/>
              <w:jc w:val="right"/>
            </w:pPr>
            <w:r>
              <w:t>28.3</w:t>
            </w:r>
          </w:p>
        </w:tc>
      </w:tr>
    </w:tbl>
    <w:p w14:paraId="66229315" w14:textId="77777777" w:rsidR="005C180E" w:rsidRDefault="005C180E">
      <w:pPr>
        <w:spacing w:after="0"/>
        <w:rPr>
          <w:shd w:val="clear" w:color="auto" w:fill="FFFFFF"/>
        </w:rPr>
      </w:pPr>
      <w:r>
        <w:rPr>
          <w:shd w:val="clear" w:color="auto" w:fill="FFFFFF"/>
        </w:rPr>
        <w:br w:type="page"/>
      </w:r>
    </w:p>
    <w:p w14:paraId="161984FC" w14:textId="4641CD56" w:rsidR="00830C9C" w:rsidRDefault="00C62AD8" w:rsidP="005D66C1">
      <w:pPr>
        <w:pStyle w:val="Heading3"/>
        <w:spacing w:before="240"/>
        <w:rPr>
          <w:shd w:val="clear" w:color="auto" w:fill="FFFFFF"/>
        </w:rPr>
      </w:pPr>
      <w:r>
        <w:rPr>
          <w:shd w:val="clear" w:color="auto" w:fill="FFFFFF"/>
        </w:rPr>
        <w:t>National s</w:t>
      </w:r>
      <w:r w:rsidR="004075FF">
        <w:rPr>
          <w:shd w:val="clear" w:color="auto" w:fill="FFFFFF"/>
        </w:rPr>
        <w:t>u</w:t>
      </w:r>
      <w:r w:rsidR="00C750EF">
        <w:rPr>
          <w:shd w:val="clear" w:color="auto" w:fill="FFFFFF"/>
        </w:rPr>
        <w:t xml:space="preserve">rvey on staff and student experiences of sexual violence and sexual harassment in Irish </w:t>
      </w:r>
      <w:r>
        <w:rPr>
          <w:shd w:val="clear" w:color="auto" w:fill="FFFFFF"/>
        </w:rPr>
        <w:t>h</w:t>
      </w:r>
      <w:r w:rsidR="00C750EF">
        <w:rPr>
          <w:shd w:val="clear" w:color="auto" w:fill="FFFFFF"/>
        </w:rPr>
        <w:t xml:space="preserve">igher </w:t>
      </w:r>
      <w:r>
        <w:rPr>
          <w:shd w:val="clear" w:color="auto" w:fill="FFFFFF"/>
        </w:rPr>
        <w:t>e</w:t>
      </w:r>
      <w:r w:rsidR="00C750EF">
        <w:rPr>
          <w:shd w:val="clear" w:color="auto" w:fill="FFFFFF"/>
        </w:rPr>
        <w:t xml:space="preserve">ducation </w:t>
      </w:r>
      <w:r>
        <w:rPr>
          <w:shd w:val="clear" w:color="auto" w:fill="FFFFFF"/>
        </w:rPr>
        <w:t>i</w:t>
      </w:r>
      <w:r w:rsidR="00C750EF">
        <w:rPr>
          <w:shd w:val="clear" w:color="auto" w:fill="FFFFFF"/>
        </w:rPr>
        <w:t>nstitutions 2021</w:t>
      </w:r>
    </w:p>
    <w:p w14:paraId="3B232799" w14:textId="11C4A7FD" w:rsidR="00971C30" w:rsidRPr="00C750EF" w:rsidRDefault="002A36B0" w:rsidP="006A719B">
      <w:r>
        <w:t xml:space="preserve">In April 2021, the Minister </w:t>
      </w:r>
      <w:r w:rsidRPr="002A36B0">
        <w:t>for Further and Higher Education, Research, Innovation and Science</w:t>
      </w:r>
      <w:r>
        <w:t xml:space="preserve"> launched a national survey</w:t>
      </w:r>
      <w:r w:rsidR="00A63FA5">
        <w:t xml:space="preserve"> into </w:t>
      </w:r>
      <w:r w:rsidRPr="002A36B0">
        <w:t>staff and student experiences of sexual violence and sexual harassment in Irish Higher Education Institutions</w:t>
      </w:r>
      <w:r>
        <w:t>.</w:t>
      </w:r>
      <w:r w:rsidR="00C10AB4">
        <w:rPr>
          <w:rStyle w:val="FootnoteReference"/>
        </w:rPr>
        <w:footnoteReference w:id="123"/>
      </w:r>
      <w:r>
        <w:t xml:space="preserve"> </w:t>
      </w:r>
      <w:r w:rsidR="00E7296C">
        <w:t xml:space="preserve">Out of </w:t>
      </w:r>
      <w:r w:rsidR="007F4D6E">
        <w:t>7,901 students</w:t>
      </w:r>
      <w:r w:rsidR="00E7296C">
        <w:t xml:space="preserve"> who completed the survey, </w:t>
      </w:r>
      <w:r w:rsidR="003209F5">
        <w:t>almost one fifth (19</w:t>
      </w:r>
      <w:r w:rsidR="00E7296C">
        <w:t>%) reported that they had a disability.</w:t>
      </w:r>
      <w:r w:rsidR="000C0FEC">
        <w:rPr>
          <w:rStyle w:val="FootnoteReference"/>
        </w:rPr>
        <w:footnoteReference w:id="124"/>
      </w:r>
      <w:r w:rsidR="00E7296C">
        <w:t xml:space="preserve"> The most common disability was a mental health difficulty (62%), while a further 13</w:t>
      </w:r>
      <w:r w:rsidR="003D53AE">
        <w:t>%</w:t>
      </w:r>
      <w:r w:rsidR="00E7296C">
        <w:t xml:space="preserve"> reported having ASD, Asperger’s Syndrome, ADD or ADHD</w:t>
      </w:r>
      <w:r w:rsidR="003D53AE">
        <w:t>.</w:t>
      </w:r>
      <w:r w:rsidR="00E7296C">
        <w:t xml:space="preserve"> Eight percent had an ongoing physical illness, the same percentage had a specific learning disability, </w:t>
      </w:r>
      <w:r w:rsidR="00C04622">
        <w:t xml:space="preserve">5% had a physical or mobility related disability, 1% were deaf or hard of hearing, 1% had a visual impairment or were blind and 2% of students preferred not to say their disability. There was limited analysis in the report on the experiences of those with disabilities but the authors did note that females with </w:t>
      </w:r>
      <w:r w:rsidR="00971C30">
        <w:t>a disability</w:t>
      </w:r>
      <w:r w:rsidR="00C04622">
        <w:t xml:space="preserve"> reported higher rates of sexual violence and harassment</w:t>
      </w:r>
      <w:r w:rsidR="000C0FEC">
        <w:t xml:space="preserve"> than those with</w:t>
      </w:r>
      <w:r w:rsidR="00971C30">
        <w:t>out a disability</w:t>
      </w:r>
      <w:r w:rsidR="000C0FEC">
        <w:t>. Specifically, they experienced higher rates of sexual touching through coercion (43% vs 30%), of sexual touching through incapacitation, force or the threat of force (52% vs 38%), and of non-consensual vaginal penetration through coercion (30% vs 16%).</w:t>
      </w:r>
      <w:r w:rsidR="003209F5">
        <w:t xml:space="preserve"> Out of 3,516 staff members of higher education institutions who completed the survey, 6% reporting having </w:t>
      </w:r>
      <w:r w:rsidR="00620196">
        <w:t xml:space="preserve">a </w:t>
      </w:r>
      <w:r w:rsidR="003209F5">
        <w:t>disability</w:t>
      </w:r>
      <w:r w:rsidR="0005669A">
        <w:rPr>
          <w:rStyle w:val="FootnoteReference"/>
        </w:rPr>
        <w:footnoteReference w:id="125"/>
      </w:r>
      <w:r w:rsidR="0005669A">
        <w:t xml:space="preserve">. </w:t>
      </w:r>
      <w:r w:rsidR="00620196">
        <w:t xml:space="preserve">This report did not provide an analysis on the experiences of those staff members with disabilities. </w:t>
      </w:r>
    </w:p>
    <w:p w14:paraId="09984976" w14:textId="5BC455B9" w:rsidR="00E361BB" w:rsidRDefault="00C5597B" w:rsidP="005269CC">
      <w:pPr>
        <w:pStyle w:val="Heading3"/>
      </w:pPr>
      <w:r>
        <w:t>Support s</w:t>
      </w:r>
      <w:r w:rsidR="00E361BB">
        <w:t>ervice</w:t>
      </w:r>
      <w:r>
        <w:t>s</w:t>
      </w:r>
      <w:r w:rsidR="00E361BB">
        <w:t xml:space="preserve"> data</w:t>
      </w:r>
    </w:p>
    <w:p w14:paraId="748D5AD5" w14:textId="07214B0F" w:rsidR="00396884" w:rsidRDefault="00396884" w:rsidP="005269CC">
      <w:pPr>
        <w:pStyle w:val="Heading4"/>
        <w:rPr>
          <w:lang w:eastAsia="en-IE"/>
        </w:rPr>
      </w:pPr>
      <w:r>
        <w:rPr>
          <w:lang w:eastAsia="en-IE"/>
        </w:rPr>
        <w:t>Rape Crisis Network Ireland</w:t>
      </w:r>
    </w:p>
    <w:p w14:paraId="2156728A" w14:textId="7A37541E" w:rsidR="00145540" w:rsidRDefault="00133C6F" w:rsidP="0063486E">
      <w:pPr>
        <w:rPr>
          <w:lang w:eastAsia="en-IE"/>
        </w:rPr>
      </w:pPr>
      <w:r>
        <w:rPr>
          <w:lang w:eastAsia="en-IE"/>
        </w:rPr>
        <w:t xml:space="preserve">The </w:t>
      </w:r>
      <w:r w:rsidR="000140A0">
        <w:rPr>
          <w:lang w:eastAsia="en-IE"/>
        </w:rPr>
        <w:t>percentage</w:t>
      </w:r>
      <w:r>
        <w:rPr>
          <w:lang w:eastAsia="en-IE"/>
        </w:rPr>
        <w:t xml:space="preserve"> of survivors with a disability attending Rape Crisis Centres </w:t>
      </w:r>
      <w:r w:rsidR="00B651FC">
        <w:rPr>
          <w:lang w:eastAsia="en-IE"/>
        </w:rPr>
        <w:t xml:space="preserve">(RCCs) </w:t>
      </w:r>
      <w:r>
        <w:rPr>
          <w:lang w:eastAsia="en-IE"/>
        </w:rPr>
        <w:t xml:space="preserve">in Ireland </w:t>
      </w:r>
      <w:r w:rsidR="00D025ED">
        <w:rPr>
          <w:lang w:eastAsia="en-IE"/>
        </w:rPr>
        <w:t xml:space="preserve">since 2011 has </w:t>
      </w:r>
      <w:r>
        <w:rPr>
          <w:lang w:eastAsia="en-IE"/>
        </w:rPr>
        <w:t xml:space="preserve">ranged </w:t>
      </w:r>
      <w:r w:rsidR="00D025ED">
        <w:rPr>
          <w:lang w:eastAsia="en-IE"/>
        </w:rPr>
        <w:t>between 6 and 8%.</w:t>
      </w:r>
      <w:r w:rsidR="00D025ED">
        <w:rPr>
          <w:rStyle w:val="FootnoteReference"/>
          <w:lang w:eastAsia="en-IE"/>
        </w:rPr>
        <w:footnoteReference w:id="126"/>
      </w:r>
      <w:r w:rsidR="00D025ED">
        <w:rPr>
          <w:lang w:eastAsia="en-IE"/>
        </w:rPr>
        <w:t xml:space="preserve"> </w:t>
      </w:r>
      <w:r w:rsidR="0063486E">
        <w:rPr>
          <w:lang w:eastAsia="en-IE"/>
        </w:rPr>
        <w:t>In 20</w:t>
      </w:r>
      <w:r w:rsidR="00E87843">
        <w:rPr>
          <w:lang w:eastAsia="en-IE"/>
        </w:rPr>
        <w:t>20</w:t>
      </w:r>
      <w:r w:rsidR="0063486E">
        <w:rPr>
          <w:lang w:eastAsia="en-IE"/>
        </w:rPr>
        <w:t xml:space="preserve">, </w:t>
      </w:r>
      <w:r w:rsidR="00E87843">
        <w:rPr>
          <w:lang w:eastAsia="en-IE"/>
        </w:rPr>
        <w:t>7</w:t>
      </w:r>
      <w:r w:rsidR="0063486E">
        <w:rPr>
          <w:lang w:eastAsia="en-IE"/>
        </w:rPr>
        <w:t>% (n=</w:t>
      </w:r>
      <w:r w:rsidR="00E87843">
        <w:rPr>
          <w:lang w:eastAsia="en-IE"/>
        </w:rPr>
        <w:t>75</w:t>
      </w:r>
      <w:r w:rsidR="0063486E">
        <w:rPr>
          <w:lang w:eastAsia="en-IE"/>
        </w:rPr>
        <w:t xml:space="preserve">) of survivors attending </w:t>
      </w:r>
      <w:r w:rsidR="00B651FC">
        <w:rPr>
          <w:lang w:eastAsia="en-IE"/>
        </w:rPr>
        <w:t>RCCs</w:t>
      </w:r>
      <w:r w:rsidR="0063486E">
        <w:rPr>
          <w:lang w:eastAsia="en-IE"/>
        </w:rPr>
        <w:t xml:space="preserve"> for counselling and support had a disability of some kind.</w:t>
      </w:r>
      <w:r w:rsidR="0063486E" w:rsidRPr="00432376">
        <w:rPr>
          <w:rStyle w:val="FootnoteReference"/>
          <w:szCs w:val="22"/>
          <w:lang w:eastAsia="en-IE"/>
        </w:rPr>
        <w:footnoteReference w:id="127"/>
      </w:r>
      <w:r w:rsidR="0063486E" w:rsidRPr="00432376">
        <w:rPr>
          <w:sz w:val="22"/>
          <w:szCs w:val="22"/>
          <w:lang w:eastAsia="en-IE"/>
        </w:rPr>
        <w:t xml:space="preserve"> </w:t>
      </w:r>
      <w:r w:rsidR="007D41AB">
        <w:rPr>
          <w:szCs w:val="26"/>
          <w:lang w:eastAsia="en-IE"/>
        </w:rPr>
        <w:t>This figure is</w:t>
      </w:r>
      <w:r w:rsidR="00145540" w:rsidRPr="00145540">
        <w:rPr>
          <w:szCs w:val="26"/>
          <w:lang w:eastAsia="en-IE"/>
        </w:rPr>
        <w:t xml:space="preserve"> an underestimate of those with disabilities attending RCCs as data on psychological/mental health or emotional condition</w:t>
      </w:r>
      <w:r w:rsidR="00A405D9">
        <w:rPr>
          <w:szCs w:val="26"/>
          <w:lang w:eastAsia="en-IE"/>
        </w:rPr>
        <w:t>s</w:t>
      </w:r>
      <w:r w:rsidR="00145540" w:rsidRPr="00145540">
        <w:rPr>
          <w:szCs w:val="26"/>
          <w:lang w:eastAsia="en-IE"/>
        </w:rPr>
        <w:t xml:space="preserve"> is not collected</w:t>
      </w:r>
      <w:r w:rsidR="00A405D9">
        <w:rPr>
          <w:szCs w:val="26"/>
          <w:lang w:eastAsia="en-IE"/>
        </w:rPr>
        <w:t xml:space="preserve"> on those attending</w:t>
      </w:r>
      <w:r w:rsidR="00145540" w:rsidRPr="00145540">
        <w:rPr>
          <w:szCs w:val="26"/>
          <w:lang w:eastAsia="en-IE"/>
        </w:rPr>
        <w:t>.</w:t>
      </w:r>
      <w:r w:rsidR="00145540" w:rsidRPr="00145540">
        <w:rPr>
          <w:sz w:val="28"/>
          <w:szCs w:val="22"/>
          <w:lang w:eastAsia="en-IE"/>
        </w:rPr>
        <w:t xml:space="preserve"> </w:t>
      </w:r>
      <w:r w:rsidR="007D41AB">
        <w:rPr>
          <w:lang w:eastAsia="en-IE"/>
        </w:rPr>
        <w:t>In 2020</w:t>
      </w:r>
      <w:r w:rsidR="0063486E">
        <w:rPr>
          <w:lang w:eastAsia="en-IE"/>
        </w:rPr>
        <w:t>, chronic illness was the most commonly disclosed disability (3</w:t>
      </w:r>
      <w:r w:rsidR="00E87843">
        <w:rPr>
          <w:lang w:eastAsia="en-IE"/>
        </w:rPr>
        <w:t>5</w:t>
      </w:r>
      <w:r w:rsidR="0063486E">
        <w:rPr>
          <w:lang w:eastAsia="en-IE"/>
        </w:rPr>
        <w:t>%), followed by a</w:t>
      </w:r>
      <w:r w:rsidR="00E87843">
        <w:rPr>
          <w:lang w:eastAsia="en-IE"/>
        </w:rPr>
        <w:t>n</w:t>
      </w:r>
      <w:r w:rsidR="0063486E">
        <w:rPr>
          <w:lang w:eastAsia="en-IE"/>
        </w:rPr>
        <w:t xml:space="preserve"> </w:t>
      </w:r>
      <w:r w:rsidR="00E87843">
        <w:rPr>
          <w:lang w:eastAsia="en-IE"/>
        </w:rPr>
        <w:t xml:space="preserve">intellectual disability (19%), a learning </w:t>
      </w:r>
      <w:r w:rsidR="0063486E">
        <w:rPr>
          <w:lang w:eastAsia="en-IE"/>
        </w:rPr>
        <w:t>disability (15%), a physical disability (1</w:t>
      </w:r>
      <w:r w:rsidR="00E87843">
        <w:rPr>
          <w:lang w:eastAsia="en-IE"/>
        </w:rPr>
        <w:t>3</w:t>
      </w:r>
      <w:r w:rsidR="0063486E">
        <w:rPr>
          <w:lang w:eastAsia="en-IE"/>
        </w:rPr>
        <w:t xml:space="preserve">%), </w:t>
      </w:r>
      <w:r w:rsidR="00A405D9">
        <w:rPr>
          <w:lang w:eastAsia="en-IE"/>
        </w:rPr>
        <w:t xml:space="preserve">being </w:t>
      </w:r>
      <w:r w:rsidR="00145540">
        <w:rPr>
          <w:lang w:eastAsia="en-IE"/>
        </w:rPr>
        <w:t>deaf or hard of hearing</w:t>
      </w:r>
      <w:r w:rsidR="0063486E" w:rsidRPr="00E87843">
        <w:rPr>
          <w:lang w:eastAsia="en-IE"/>
        </w:rPr>
        <w:t xml:space="preserve"> (</w:t>
      </w:r>
      <w:r w:rsidR="00145540">
        <w:rPr>
          <w:lang w:eastAsia="en-IE"/>
        </w:rPr>
        <w:t>8</w:t>
      </w:r>
      <w:r w:rsidR="0063486E" w:rsidRPr="00E87843">
        <w:rPr>
          <w:lang w:eastAsia="en-IE"/>
        </w:rPr>
        <w:t xml:space="preserve">%), </w:t>
      </w:r>
      <w:r w:rsidR="00A405D9">
        <w:rPr>
          <w:lang w:eastAsia="en-IE"/>
        </w:rPr>
        <w:t xml:space="preserve">being </w:t>
      </w:r>
      <w:r w:rsidR="00145540">
        <w:rPr>
          <w:lang w:eastAsia="en-IE"/>
        </w:rPr>
        <w:t xml:space="preserve">blind or visually impaired (5%) </w:t>
      </w:r>
      <w:r w:rsidR="0063486E" w:rsidRPr="00E87843">
        <w:rPr>
          <w:lang w:eastAsia="en-IE"/>
        </w:rPr>
        <w:t>and</w:t>
      </w:r>
      <w:r w:rsidR="0063486E">
        <w:rPr>
          <w:lang w:eastAsia="en-IE"/>
        </w:rPr>
        <w:t xml:space="preserve"> </w:t>
      </w:r>
      <w:r w:rsidR="00A405D9">
        <w:rPr>
          <w:lang w:eastAsia="en-IE"/>
        </w:rPr>
        <w:t>using a wheelchair</w:t>
      </w:r>
      <w:r w:rsidR="0063486E">
        <w:rPr>
          <w:lang w:eastAsia="en-IE"/>
        </w:rPr>
        <w:t xml:space="preserve"> (</w:t>
      </w:r>
      <w:r w:rsidR="00E87843">
        <w:rPr>
          <w:lang w:eastAsia="en-IE"/>
        </w:rPr>
        <w:t>5</w:t>
      </w:r>
      <w:r w:rsidR="0063486E">
        <w:rPr>
          <w:lang w:eastAsia="en-IE"/>
        </w:rPr>
        <w:t xml:space="preserve">%). </w:t>
      </w:r>
    </w:p>
    <w:p w14:paraId="4EB0917D" w14:textId="33E6339A" w:rsidR="0063486E" w:rsidRDefault="0063486E" w:rsidP="0063486E">
      <w:pPr>
        <w:rPr>
          <w:lang w:eastAsia="en-IE"/>
        </w:rPr>
      </w:pPr>
      <w:r>
        <w:rPr>
          <w:lang w:eastAsia="en-IE"/>
        </w:rPr>
        <w:t>Rape Crisis Network Ireland reported some key points about this group (albeit with a caveat that the numbers are small):</w:t>
      </w:r>
    </w:p>
    <w:p w14:paraId="66CA4458" w14:textId="0875893C" w:rsidR="0063486E" w:rsidRDefault="0063486E" w:rsidP="0063486E">
      <w:pPr>
        <w:pStyle w:val="ListBullet"/>
        <w:numPr>
          <w:ilvl w:val="0"/>
          <w:numId w:val="1"/>
        </w:numPr>
        <w:spacing w:before="0"/>
        <w:rPr>
          <w:lang w:eastAsia="en-IE"/>
        </w:rPr>
      </w:pPr>
      <w:r>
        <w:rPr>
          <w:lang w:eastAsia="en-IE"/>
        </w:rPr>
        <w:t>The majority of survivors with disabilities attending RCCs were female</w:t>
      </w:r>
      <w:r w:rsidR="00763B34">
        <w:rPr>
          <w:lang w:eastAsia="en-IE"/>
        </w:rPr>
        <w:t>,</w:t>
      </w:r>
    </w:p>
    <w:p w14:paraId="78ACDF4C" w14:textId="79F67703" w:rsidR="0063486E" w:rsidRDefault="0063486E" w:rsidP="0063486E">
      <w:pPr>
        <w:pStyle w:val="ListBullet"/>
        <w:numPr>
          <w:ilvl w:val="0"/>
          <w:numId w:val="1"/>
        </w:numPr>
        <w:spacing w:before="0"/>
        <w:rPr>
          <w:lang w:eastAsia="en-IE"/>
        </w:rPr>
      </w:pPr>
      <w:r>
        <w:rPr>
          <w:lang w:eastAsia="en-IE"/>
        </w:rPr>
        <w:t xml:space="preserve">There was a spread of age groups, with the highest number being in the </w:t>
      </w:r>
      <w:r w:rsidR="00E87843">
        <w:rPr>
          <w:lang w:eastAsia="en-IE"/>
        </w:rPr>
        <w:t>40-49</w:t>
      </w:r>
      <w:r>
        <w:rPr>
          <w:lang w:eastAsia="en-IE"/>
        </w:rPr>
        <w:t xml:space="preserve"> age group</w:t>
      </w:r>
      <w:r w:rsidR="00763B34">
        <w:rPr>
          <w:lang w:eastAsia="en-IE"/>
        </w:rPr>
        <w:t>,</w:t>
      </w:r>
    </w:p>
    <w:p w14:paraId="52FB4C9A" w14:textId="18AFDAA8" w:rsidR="0063486E" w:rsidRDefault="0063486E" w:rsidP="0063486E">
      <w:pPr>
        <w:pStyle w:val="ListBullet"/>
        <w:numPr>
          <w:ilvl w:val="0"/>
          <w:numId w:val="1"/>
        </w:numPr>
        <w:spacing w:before="0"/>
        <w:rPr>
          <w:lang w:eastAsia="en-IE"/>
        </w:rPr>
      </w:pPr>
      <w:r>
        <w:rPr>
          <w:lang w:eastAsia="en-IE"/>
        </w:rPr>
        <w:t>Perpetrators of sexual violence against people with a disability were most commonly within their circle of trust</w:t>
      </w:r>
      <w:r w:rsidR="00763B34">
        <w:rPr>
          <w:lang w:eastAsia="en-IE"/>
        </w:rPr>
        <w:t>, and</w:t>
      </w:r>
    </w:p>
    <w:p w14:paraId="0DB69327" w14:textId="60A22369" w:rsidR="0063486E" w:rsidRDefault="0063486E" w:rsidP="0063486E">
      <w:pPr>
        <w:pStyle w:val="ListBullet"/>
        <w:numPr>
          <w:ilvl w:val="0"/>
          <w:numId w:val="1"/>
        </w:numPr>
        <w:spacing w:before="0"/>
        <w:rPr>
          <w:lang w:eastAsia="en-IE"/>
        </w:rPr>
      </w:pPr>
      <w:r>
        <w:rPr>
          <w:lang w:eastAsia="en-IE"/>
        </w:rPr>
        <w:t>The sexual violence was usually perpetrated within the survivor</w:t>
      </w:r>
      <w:r>
        <w:rPr>
          <w:rFonts w:hint="eastAsia"/>
          <w:lang w:eastAsia="en-IE"/>
        </w:rPr>
        <w:t>’</w:t>
      </w:r>
      <w:r>
        <w:rPr>
          <w:lang w:eastAsia="en-IE"/>
        </w:rPr>
        <w:t>s or perpetrator</w:t>
      </w:r>
      <w:r>
        <w:rPr>
          <w:rFonts w:hint="eastAsia"/>
          <w:lang w:eastAsia="en-IE"/>
        </w:rPr>
        <w:t>’</w:t>
      </w:r>
      <w:r>
        <w:rPr>
          <w:lang w:eastAsia="en-IE"/>
        </w:rPr>
        <w:t>s homes</w:t>
      </w:r>
      <w:r w:rsidR="00763B34">
        <w:rPr>
          <w:lang w:eastAsia="en-IE"/>
        </w:rPr>
        <w:t>.</w:t>
      </w:r>
    </w:p>
    <w:p w14:paraId="1E202EF7" w14:textId="62F4200E" w:rsidR="00AE2D74" w:rsidRDefault="00A405D9" w:rsidP="0063486E">
      <w:pPr>
        <w:shd w:val="clear" w:color="auto" w:fill="FFFFFF"/>
        <w:spacing w:after="120"/>
        <w:textAlignment w:val="baseline"/>
        <w:rPr>
          <w:rFonts w:cs="Arial"/>
          <w:color w:val="000000"/>
          <w:szCs w:val="26"/>
          <w:lang w:eastAsia="en-IE"/>
        </w:rPr>
      </w:pPr>
      <w:r>
        <w:rPr>
          <w:lang w:eastAsia="en-IE"/>
        </w:rPr>
        <w:t>Previous</w:t>
      </w:r>
      <w:r w:rsidR="0063486E">
        <w:rPr>
          <w:lang w:eastAsia="en-IE"/>
        </w:rPr>
        <w:t xml:space="preserve"> </w:t>
      </w:r>
      <w:r w:rsidR="0063486E" w:rsidRPr="00A2777F">
        <w:rPr>
          <w:lang w:eastAsia="en-IE"/>
        </w:rPr>
        <w:t xml:space="preserve">research funded by the </w:t>
      </w:r>
      <w:r w:rsidR="0063486E">
        <w:rPr>
          <w:lang w:eastAsia="en-IE"/>
        </w:rPr>
        <w:t>NDA</w:t>
      </w:r>
      <w:r>
        <w:rPr>
          <w:szCs w:val="26"/>
        </w:rPr>
        <w:t xml:space="preserve"> found that</w:t>
      </w:r>
      <w:r w:rsidR="0063486E">
        <w:rPr>
          <w:szCs w:val="26"/>
        </w:rPr>
        <w:t xml:space="preserve"> </w:t>
      </w:r>
      <w:r w:rsidR="0063486E" w:rsidRPr="00A2777F">
        <w:rPr>
          <w:lang w:eastAsia="en-IE"/>
        </w:rPr>
        <w:t xml:space="preserve">197 </w:t>
      </w:r>
      <w:r w:rsidR="00B651FC">
        <w:rPr>
          <w:lang w:eastAsia="en-IE"/>
        </w:rPr>
        <w:t>people</w:t>
      </w:r>
      <w:r w:rsidR="0063486E" w:rsidRPr="00A2777F">
        <w:rPr>
          <w:lang w:eastAsia="en-IE"/>
        </w:rPr>
        <w:t xml:space="preserve"> with disabilities attended </w:t>
      </w:r>
      <w:r w:rsidR="0063486E">
        <w:rPr>
          <w:lang w:eastAsia="en-IE"/>
        </w:rPr>
        <w:t xml:space="preserve">RCCs between </w:t>
      </w:r>
      <w:r w:rsidR="0063486E" w:rsidRPr="00A2777F">
        <w:rPr>
          <w:lang w:eastAsia="en-IE"/>
        </w:rPr>
        <w:t>2008 and 2010</w:t>
      </w:r>
      <w:r w:rsidR="0063486E">
        <w:rPr>
          <w:lang w:eastAsia="en-IE"/>
        </w:rPr>
        <w:t>.</w:t>
      </w:r>
      <w:r w:rsidRPr="00A405D9">
        <w:rPr>
          <w:rStyle w:val="FootnoteReference"/>
          <w:lang w:eastAsia="en-IE"/>
        </w:rPr>
        <w:t xml:space="preserve"> </w:t>
      </w:r>
      <w:r>
        <w:rPr>
          <w:rStyle w:val="FootnoteReference"/>
          <w:lang w:eastAsia="en-IE"/>
        </w:rPr>
        <w:footnoteReference w:id="128"/>
      </w:r>
      <w:r w:rsidR="0063486E">
        <w:rPr>
          <w:rFonts w:cs="Arial"/>
          <w:color w:val="000000"/>
          <w:szCs w:val="26"/>
          <w:lang w:eastAsia="en-IE"/>
        </w:rPr>
        <w:t xml:space="preserve"> </w:t>
      </w:r>
      <w:r w:rsidR="0063486E" w:rsidRPr="00A2777F">
        <w:rPr>
          <w:rFonts w:cs="Arial"/>
          <w:color w:val="000000"/>
          <w:szCs w:val="26"/>
          <w:lang w:eastAsia="en-IE"/>
        </w:rPr>
        <w:t xml:space="preserve">While there were similarities between the details of the sexual violence reported by those with disabilities and by others </w:t>
      </w:r>
      <w:r w:rsidR="00B651FC">
        <w:rPr>
          <w:rFonts w:cs="Arial"/>
          <w:color w:val="000000"/>
          <w:szCs w:val="26"/>
          <w:lang w:eastAsia="en-IE"/>
        </w:rPr>
        <w:t>who contacted</w:t>
      </w:r>
      <w:r w:rsidR="0063486E" w:rsidRPr="00A2777F">
        <w:rPr>
          <w:rFonts w:cs="Arial"/>
          <w:color w:val="000000"/>
          <w:szCs w:val="26"/>
          <w:lang w:eastAsia="en-IE"/>
        </w:rPr>
        <w:t xml:space="preserve"> </w:t>
      </w:r>
      <w:r w:rsidR="0063486E">
        <w:rPr>
          <w:rFonts w:cs="Arial"/>
          <w:color w:val="000000"/>
          <w:szCs w:val="26"/>
          <w:lang w:eastAsia="en-IE"/>
        </w:rPr>
        <w:t>RCCs</w:t>
      </w:r>
      <w:r w:rsidR="0063486E" w:rsidRPr="00A2777F">
        <w:rPr>
          <w:rFonts w:cs="Arial"/>
          <w:color w:val="000000"/>
          <w:szCs w:val="26"/>
          <w:lang w:eastAsia="en-IE"/>
        </w:rPr>
        <w:t xml:space="preserve"> for counselling and support, several clear differences were highlighted</w:t>
      </w:r>
      <w:r w:rsidR="00B651FC">
        <w:rPr>
          <w:rFonts w:cs="Arial"/>
          <w:color w:val="000000"/>
          <w:szCs w:val="26"/>
          <w:lang w:eastAsia="en-IE"/>
        </w:rPr>
        <w:t>:</w:t>
      </w:r>
      <w:r w:rsidR="0063486E" w:rsidRPr="00756DF4">
        <w:rPr>
          <w:rFonts w:cs="Arial"/>
          <w:color w:val="000000"/>
          <w:szCs w:val="26"/>
          <w:lang w:eastAsia="en-IE"/>
        </w:rPr>
        <w:t xml:space="preserve"> </w:t>
      </w:r>
    </w:p>
    <w:p w14:paraId="4F511DDF" w14:textId="2EC2CE65" w:rsidR="0063486E" w:rsidRPr="00A2777F" w:rsidRDefault="0063486E" w:rsidP="00AE2D74">
      <w:pPr>
        <w:pStyle w:val="ListBullet"/>
        <w:rPr>
          <w:lang w:eastAsia="en-IE"/>
        </w:rPr>
      </w:pPr>
      <w:r w:rsidRPr="00A2777F">
        <w:rPr>
          <w:lang w:eastAsia="en-IE"/>
        </w:rPr>
        <w:t xml:space="preserve">Survivors with disabilities were more likely to disclose having been abused solely as adults, and less likely to report having </w:t>
      </w:r>
      <w:r w:rsidR="00B651FC">
        <w:rPr>
          <w:lang w:eastAsia="en-IE"/>
        </w:rPr>
        <w:t>been solely abused as children,</w:t>
      </w:r>
    </w:p>
    <w:p w14:paraId="75F3D3FE" w14:textId="0A0CCD69" w:rsidR="0063486E" w:rsidRPr="00A2777F" w:rsidRDefault="0063486E" w:rsidP="00595A14">
      <w:pPr>
        <w:pStyle w:val="ListBullet"/>
        <w:rPr>
          <w:lang w:eastAsia="en-IE"/>
        </w:rPr>
      </w:pPr>
      <w:r w:rsidRPr="00A2777F">
        <w:rPr>
          <w:lang w:eastAsia="en-IE"/>
        </w:rPr>
        <w:t>Women with disabilities were more vulnerable to sexual violence as they got older, in contrast to other survivors</w:t>
      </w:r>
      <w:r w:rsidR="00B651FC">
        <w:rPr>
          <w:lang w:eastAsia="en-IE"/>
        </w:rPr>
        <w:t>, and</w:t>
      </w:r>
    </w:p>
    <w:p w14:paraId="2618AB44" w14:textId="59CD4AE2" w:rsidR="0063486E" w:rsidRPr="00A2777F" w:rsidRDefault="0063486E" w:rsidP="00595A14">
      <w:pPr>
        <w:pStyle w:val="ListBullet"/>
      </w:pPr>
      <w:r w:rsidRPr="00A2777F">
        <w:rPr>
          <w:lang w:eastAsia="en-IE"/>
        </w:rPr>
        <w:t>Survivors with disabilities were more likely than others to have experienced multiple incidents of sexual violence</w:t>
      </w:r>
      <w:r w:rsidR="00B651FC">
        <w:rPr>
          <w:lang w:eastAsia="en-IE"/>
        </w:rPr>
        <w:t>.</w:t>
      </w:r>
    </w:p>
    <w:p w14:paraId="1B6F0A13" w14:textId="2A9BA67C" w:rsidR="0063486E" w:rsidRDefault="0063486E" w:rsidP="0063486E">
      <w:pPr>
        <w:shd w:val="clear" w:color="auto" w:fill="FFFFFF"/>
        <w:spacing w:after="150"/>
        <w:textAlignment w:val="baseline"/>
        <w:rPr>
          <w:szCs w:val="26"/>
        </w:rPr>
      </w:pPr>
      <w:r w:rsidRPr="00A2777F">
        <w:rPr>
          <w:rFonts w:cs="Arial"/>
          <w:color w:val="000000"/>
          <w:szCs w:val="26"/>
          <w:lang w:eastAsia="en-IE"/>
        </w:rPr>
        <w:t xml:space="preserve">The top barriers to </w:t>
      </w:r>
      <w:r w:rsidR="00B651FC">
        <w:rPr>
          <w:rFonts w:cs="Arial"/>
          <w:color w:val="000000"/>
          <w:szCs w:val="26"/>
          <w:lang w:eastAsia="en-IE"/>
        </w:rPr>
        <w:t xml:space="preserve">disclosing sexual violence by those with disabilities were fear of being blamed, fear of not being believed, </w:t>
      </w:r>
      <w:r w:rsidRPr="00A2777F">
        <w:rPr>
          <w:rFonts w:cs="Arial"/>
          <w:color w:val="000000"/>
          <w:szCs w:val="26"/>
          <w:lang w:eastAsia="en-IE"/>
        </w:rPr>
        <w:t>or fear of the legal process. About a quarter</w:t>
      </w:r>
      <w:r>
        <w:rPr>
          <w:rFonts w:cs="Arial"/>
          <w:color w:val="000000"/>
          <w:szCs w:val="26"/>
          <w:lang w:eastAsia="en-IE"/>
        </w:rPr>
        <w:t xml:space="preserve"> of respondents with disabilities</w:t>
      </w:r>
      <w:r w:rsidRPr="00A2777F">
        <w:rPr>
          <w:rFonts w:cs="Arial"/>
          <w:color w:val="000000"/>
          <w:szCs w:val="26"/>
          <w:lang w:eastAsia="en-IE"/>
        </w:rPr>
        <w:t xml:space="preserve"> mentioned fear of losing support as a factor in not disclosing abuse.</w:t>
      </w:r>
      <w:r w:rsidRPr="00A2777F">
        <w:rPr>
          <w:szCs w:val="26"/>
        </w:rPr>
        <w:t xml:space="preserve"> </w:t>
      </w:r>
    </w:p>
    <w:p w14:paraId="0655798A" w14:textId="340386A8" w:rsidR="00195421" w:rsidRDefault="00195421" w:rsidP="00195421">
      <w:pPr>
        <w:pStyle w:val="Heading4"/>
      </w:pPr>
      <w:r>
        <w:t xml:space="preserve">Sexual </w:t>
      </w:r>
      <w:r w:rsidR="003C0628">
        <w:t>a</w:t>
      </w:r>
      <w:r>
        <w:t xml:space="preserve">ssault </w:t>
      </w:r>
      <w:r w:rsidR="003C0628">
        <w:t>t</w:t>
      </w:r>
      <w:r>
        <w:t xml:space="preserve">reatment </w:t>
      </w:r>
      <w:r w:rsidR="003C0628">
        <w:t>u</w:t>
      </w:r>
      <w:r>
        <w:t>nits</w:t>
      </w:r>
    </w:p>
    <w:p w14:paraId="7E226A17" w14:textId="2989AF61" w:rsidR="00195421" w:rsidRDefault="00810A2D" w:rsidP="00195421">
      <w:r>
        <w:t>In Ireland there are six Sexual Assault Treatment Units</w:t>
      </w:r>
      <w:r w:rsidR="004B6975">
        <w:t xml:space="preserve"> (SATUs)</w:t>
      </w:r>
      <w:r>
        <w:t xml:space="preserve"> that provide care for those aged 14 and over who have experienced recent or historic rape/sexual assault. </w:t>
      </w:r>
      <w:r w:rsidR="004B6975">
        <w:t>In 2020, 734 people attended an SATU, a 22% decrease from the number attending in 2019 (when 943 people attended).</w:t>
      </w:r>
      <w:r w:rsidR="00F0675B">
        <w:rPr>
          <w:rStyle w:val="FootnoteReference"/>
        </w:rPr>
        <w:footnoteReference w:id="129"/>
      </w:r>
      <w:r w:rsidR="0033690E">
        <w:t xml:space="preserve"> One quarter of these patients were children under the age of 18 (n=186).</w:t>
      </w:r>
      <w:r w:rsidR="004B6975">
        <w:t xml:space="preserve"> While there is data collected on whether those attending have a disability, this is not </w:t>
      </w:r>
      <w:r w:rsidR="00A405D9">
        <w:t>included in the SATU</w:t>
      </w:r>
      <w:r w:rsidR="00144C08">
        <w:t>’</w:t>
      </w:r>
      <w:r w:rsidR="00A405D9">
        <w:t>s annual report</w:t>
      </w:r>
      <w:r w:rsidR="004B6975">
        <w:t xml:space="preserve">. </w:t>
      </w:r>
      <w:r w:rsidR="00381E3C">
        <w:t>Planning is currently underway to examine how data on disability is collected and reported on by SATUs.</w:t>
      </w:r>
    </w:p>
    <w:p w14:paraId="2B86FDF6" w14:textId="43A87A90" w:rsidR="00B741EE" w:rsidRDefault="00B741EE" w:rsidP="001E699E">
      <w:r>
        <w:t xml:space="preserve">A recent retrospective chart analysis of </w:t>
      </w:r>
      <w:r w:rsidRPr="001E699E">
        <w:t>2,042 patients who attended SATUs between 2018 and 2020 found that over half of them (56%) reported previous and current mental health concerns at their first SATU visit.</w:t>
      </w:r>
      <w:r w:rsidR="00F0675B">
        <w:rPr>
          <w:rStyle w:val="FootnoteReference"/>
        </w:rPr>
        <w:footnoteReference w:id="130"/>
      </w:r>
      <w:r w:rsidRPr="001E699E">
        <w:t xml:space="preserve"> Almost one quarter had previous mental health concerns (23%) and one third had a mental health concern at the time of their attendance. </w:t>
      </w:r>
      <w:r w:rsidR="00102162">
        <w:t xml:space="preserve">Of </w:t>
      </w:r>
      <w:r w:rsidR="00A07239">
        <w:t>relevance to this Article</w:t>
      </w:r>
      <w:r w:rsidR="00102162">
        <w:t>, is that the</w:t>
      </w:r>
      <w:r w:rsidRPr="001E699E">
        <w:t xml:space="preserve"> authors </w:t>
      </w:r>
      <w:r w:rsidR="00102162">
        <w:t>concluded</w:t>
      </w:r>
      <w:r w:rsidRPr="001E699E">
        <w:t xml:space="preserve"> that “there was a dearth of information regarding how SATUs responded to the needs of this cohort”</w:t>
      </w:r>
      <w:r w:rsidR="001E699E">
        <w:rPr>
          <w:rStyle w:val="FootnoteReference"/>
        </w:rPr>
        <w:footnoteReference w:id="131"/>
      </w:r>
      <w:r w:rsidRPr="001E699E">
        <w:t>.</w:t>
      </w:r>
    </w:p>
    <w:p w14:paraId="0112F49D" w14:textId="3EEF9054" w:rsidR="00211EE3" w:rsidRDefault="00211EE3" w:rsidP="00211EE3">
      <w:pPr>
        <w:pStyle w:val="Heading4"/>
      </w:pPr>
      <w:r w:rsidRPr="00211EE3">
        <w:t xml:space="preserve">Child </w:t>
      </w:r>
      <w:r w:rsidR="00A405D9">
        <w:t>s</w:t>
      </w:r>
      <w:r w:rsidRPr="00211EE3">
        <w:t xml:space="preserve">exual </w:t>
      </w:r>
      <w:r w:rsidR="00A405D9">
        <w:t>abuse services</w:t>
      </w:r>
    </w:p>
    <w:p w14:paraId="593A5FF1" w14:textId="5E7A6577" w:rsidR="00164233" w:rsidRDefault="005D6EE4" w:rsidP="003F0688">
      <w:r>
        <w:t xml:space="preserve">In </w:t>
      </w:r>
      <w:r w:rsidR="000C77A0">
        <w:t>Ireland,</w:t>
      </w:r>
      <w:r>
        <w:t xml:space="preserve"> there are forensic </w:t>
      </w:r>
      <w:r w:rsidR="00E82864">
        <w:t>services and assessment and therapy services for children who</w:t>
      </w:r>
      <w:r>
        <w:t xml:space="preserve"> are victims of rape, sexual assault or suspect</w:t>
      </w:r>
      <w:r w:rsidR="009F7230">
        <w:t>ed child abuse</w:t>
      </w:r>
      <w:r w:rsidR="00E82864">
        <w:t>.</w:t>
      </w:r>
      <w:r w:rsidR="009F7230">
        <w:t xml:space="preserve"> </w:t>
      </w:r>
      <w:r w:rsidR="00164233">
        <w:t>A new model of supporting children, the Barnahus model, was introduced in Galway in 2019.</w:t>
      </w:r>
      <w:r w:rsidR="00F0675B">
        <w:rPr>
          <w:rStyle w:val="FootnoteReference"/>
        </w:rPr>
        <w:footnoteReference w:id="132"/>
      </w:r>
      <w:r w:rsidR="00164233">
        <w:t xml:space="preserve"> This is a child-centred </w:t>
      </w:r>
      <w:r w:rsidR="00164233" w:rsidRPr="009F7230">
        <w:t>m</w:t>
      </w:r>
      <w:r w:rsidR="00164233">
        <w:t xml:space="preserve">ulti-agency integrated service for </w:t>
      </w:r>
      <w:r w:rsidR="00164233" w:rsidRPr="009F7230">
        <w:t>children who have experienced sexual abuse, and their families.</w:t>
      </w:r>
      <w:r w:rsidR="00164233">
        <w:t xml:space="preserve"> It incorporates </w:t>
      </w:r>
      <w:r w:rsidR="00164233" w:rsidRPr="009F7230">
        <w:t>health, medical, therapeutic and policing services</w:t>
      </w:r>
      <w:r w:rsidR="00164233">
        <w:t>.</w:t>
      </w:r>
      <w:r w:rsidR="00164233">
        <w:rPr>
          <w:rStyle w:val="FootnoteReference"/>
        </w:rPr>
        <w:footnoteReference w:id="133"/>
      </w:r>
      <w:r w:rsidR="00164233">
        <w:t xml:space="preserve"> </w:t>
      </w:r>
      <w:r w:rsidR="00164233">
        <w:rPr>
          <w:rStyle w:val="FootnoteReference"/>
        </w:rPr>
        <w:footnoteReference w:id="134"/>
      </w:r>
      <w:r w:rsidR="00164233">
        <w:t xml:space="preserve"> A second Barnahus location is currently being planned for the south of Ireland.</w:t>
      </w:r>
      <w:r w:rsidR="00164233">
        <w:rPr>
          <w:rStyle w:val="FootnoteReference"/>
        </w:rPr>
        <w:footnoteReference w:id="135"/>
      </w:r>
    </w:p>
    <w:p w14:paraId="51F7CE72" w14:textId="5365749A" w:rsidR="002E5502" w:rsidRPr="00195421" w:rsidRDefault="003F0688" w:rsidP="003F0688">
      <w:r>
        <w:t>There are no national statistics published on the numbers of</w:t>
      </w:r>
      <w:r w:rsidR="00164233">
        <w:t xml:space="preserve"> children seeking forensic services </w:t>
      </w:r>
      <w:r w:rsidR="0033690E">
        <w:t>or</w:t>
      </w:r>
      <w:r w:rsidR="00164233">
        <w:t xml:space="preserve"> assessment and therapy services</w:t>
      </w:r>
      <w:r w:rsidR="0033690E">
        <w:t xml:space="preserve"> and it is not clear if all services routinely collect disability data on children</w:t>
      </w:r>
      <w:r>
        <w:t>.</w:t>
      </w:r>
      <w:r w:rsidR="0033690E">
        <w:t xml:space="preserve"> Of </w:t>
      </w:r>
      <w:r w:rsidR="000F134F">
        <w:t>concern</w:t>
      </w:r>
      <w:r w:rsidR="0033690E">
        <w:t>, it</w:t>
      </w:r>
      <w:r>
        <w:t xml:space="preserve"> was recently reported that in one of </w:t>
      </w:r>
      <w:r w:rsidR="002E5502">
        <w:t xml:space="preserve">the </w:t>
      </w:r>
      <w:r>
        <w:t>assessment and therapy services in Dublin, there was a significant increase in the referrals to their service in 2021 (65 up until May 14</w:t>
      </w:r>
      <w:r w:rsidRPr="003F0688">
        <w:rPr>
          <w:vertAlign w:val="superscript"/>
        </w:rPr>
        <w:t>th</w:t>
      </w:r>
      <w:r>
        <w:t xml:space="preserve"> 2021) compared to 2019 (87 for the full year).</w:t>
      </w:r>
      <w:r>
        <w:rPr>
          <w:rStyle w:val="FootnoteReference"/>
        </w:rPr>
        <w:footnoteReference w:id="136"/>
      </w:r>
      <w:r w:rsidR="002E5502">
        <w:t xml:space="preserve"> </w:t>
      </w:r>
    </w:p>
    <w:p w14:paraId="6C98F16D" w14:textId="3D59C23C" w:rsidR="002C36CF" w:rsidRDefault="002C36CF" w:rsidP="00943F66">
      <w:pPr>
        <w:pStyle w:val="Heading2"/>
      </w:pPr>
      <w:bookmarkStart w:id="73" w:name="_Toc100231232"/>
      <w:r w:rsidRPr="002C36CF">
        <w:t>Domestic violence</w:t>
      </w:r>
      <w:r w:rsidR="0063486E">
        <w:t xml:space="preserve"> data</w:t>
      </w:r>
      <w:bookmarkEnd w:id="73"/>
    </w:p>
    <w:p w14:paraId="377D450C" w14:textId="45A96F8E" w:rsidR="00324F9F" w:rsidRDefault="00324F9F" w:rsidP="00324F9F">
      <w:pPr>
        <w:pStyle w:val="Heading3"/>
      </w:pPr>
      <w:r>
        <w:t>National domestic abuse study</w:t>
      </w:r>
      <w:r w:rsidR="0038420E">
        <w:t xml:space="preserve"> 2005</w:t>
      </w:r>
    </w:p>
    <w:p w14:paraId="07F7DDA3" w14:textId="0B9634C8" w:rsidR="00324F9F" w:rsidRPr="00324F9F" w:rsidRDefault="00324F9F" w:rsidP="00324F9F">
      <w:r>
        <w:t>What appears to be the last national study of domestic abuse in Ireland</w:t>
      </w:r>
      <w:r w:rsidR="000C77A0">
        <w:t>,</w:t>
      </w:r>
      <w:r>
        <w:t xml:space="preserve"> was conducted in 2005 by the National Crime Council and the Economic and Social Research Institute.</w:t>
      </w:r>
      <w:r w:rsidR="00F0675B">
        <w:rPr>
          <w:rStyle w:val="FootnoteReference"/>
        </w:rPr>
        <w:footnoteReference w:id="137"/>
      </w:r>
      <w:r>
        <w:t xml:space="preserve"> This study found that when controlling for a range of variables, those who had a longstanding </w:t>
      </w:r>
      <w:r w:rsidRPr="00CD354F">
        <w:t>physical or mental health problem, illness or disability</w:t>
      </w:r>
      <w:r>
        <w:t xml:space="preserve"> which did not severely hamper their daily activities were 58% more likely to have experienced domestic abuse than those with no illness or disability. Those with a longstanding condition who were severely hampered in their daily activities were 186%</w:t>
      </w:r>
      <w:r w:rsidRPr="00C47542">
        <w:t xml:space="preserve"> </w:t>
      </w:r>
      <w:r>
        <w:t xml:space="preserve">more likely to have experienced domestic abuse than those with no illness or disability. For women with a longstanding condition, the more hampered they were in their daily activities the more at risk they were of severe abuse. </w:t>
      </w:r>
      <w:r w:rsidR="0038420E">
        <w:t>There was also</w:t>
      </w:r>
      <w:r>
        <w:t xml:space="preserve"> some evidence </w:t>
      </w:r>
      <w:r w:rsidR="0038420E">
        <w:t xml:space="preserve">to suggest that </w:t>
      </w:r>
      <w:r>
        <w:t xml:space="preserve">men who were severely hampered by a longstanding condition may have experienced higher levels of abuse than other men less hampered by their condition </w:t>
      </w:r>
      <w:r w:rsidR="0038420E">
        <w:t>and</w:t>
      </w:r>
      <w:r>
        <w:t xml:space="preserve"> men without any longstanding condition. </w:t>
      </w:r>
    </w:p>
    <w:p w14:paraId="58301974" w14:textId="4F76D4C8" w:rsidR="0063486E" w:rsidRDefault="0063486E" w:rsidP="0063486E">
      <w:pPr>
        <w:pStyle w:val="Heading3"/>
      </w:pPr>
      <w:r>
        <w:t>Service provider data</w:t>
      </w:r>
    </w:p>
    <w:p w14:paraId="683C17B4" w14:textId="69B4E734" w:rsidR="00E2785E" w:rsidRPr="00E2785E" w:rsidRDefault="00E2785E" w:rsidP="00E2785E">
      <w:pPr>
        <w:pStyle w:val="Heading4"/>
      </w:pPr>
      <w:r>
        <w:t>Safe Ireland</w:t>
      </w:r>
    </w:p>
    <w:p w14:paraId="21A8FA78" w14:textId="0FA24590" w:rsidR="00B8481D" w:rsidRPr="00B8481D" w:rsidRDefault="00B8481D" w:rsidP="00B8481D">
      <w:r>
        <w:t>Safe Ireland is the national development and co-ordination body with responsibility for domestic violence and coercive control.</w:t>
      </w:r>
      <w:r>
        <w:rPr>
          <w:rStyle w:val="FootnoteReference"/>
        </w:rPr>
        <w:footnoteReference w:id="138"/>
      </w:r>
      <w:r>
        <w:t xml:space="preserve"> </w:t>
      </w:r>
      <w:r w:rsidR="009C645A">
        <w:t>Safe Ireland’s</w:t>
      </w:r>
      <w:r>
        <w:t xml:space="preserve"> national statistics on women and children seeking help from domestic violence services </w:t>
      </w:r>
      <w:r w:rsidR="000132F5">
        <w:t xml:space="preserve">do </w:t>
      </w:r>
      <w:r>
        <w:t xml:space="preserve">not disaggregate by factors such as disability. </w:t>
      </w:r>
    </w:p>
    <w:p w14:paraId="2E54D665" w14:textId="564C3217" w:rsidR="00B46652" w:rsidRDefault="00B46652" w:rsidP="00B46652">
      <w:pPr>
        <w:pStyle w:val="Heading4"/>
      </w:pPr>
      <w:r>
        <w:t>Women’s Aid</w:t>
      </w:r>
    </w:p>
    <w:p w14:paraId="36D798C2" w14:textId="0579F4CF" w:rsidR="00A30DD8" w:rsidRDefault="00637D26" w:rsidP="00783A4E">
      <w:r>
        <w:t xml:space="preserve">Women’s Aid </w:t>
      </w:r>
      <w:r w:rsidR="000F134F">
        <w:t xml:space="preserve">state they </w:t>
      </w:r>
      <w:r>
        <w:t xml:space="preserve">do not actively collect data </w:t>
      </w:r>
      <w:r w:rsidR="000A2E50">
        <w:t xml:space="preserve">on factors such as disability </w:t>
      </w:r>
      <w:r>
        <w:t xml:space="preserve">from those who </w:t>
      </w:r>
      <w:r w:rsidR="000A2E50">
        <w:t>call</w:t>
      </w:r>
      <w:r>
        <w:t xml:space="preserve"> their Helpline as </w:t>
      </w:r>
      <w:r w:rsidR="000A2E50">
        <w:t>its</w:t>
      </w:r>
      <w:r>
        <w:t xml:space="preserve"> primary purpose is a support service.</w:t>
      </w:r>
      <w:r w:rsidR="000F134F">
        <w:rPr>
          <w:rStyle w:val="FootnoteReference"/>
        </w:rPr>
        <w:footnoteReference w:id="139"/>
      </w:r>
      <w:r>
        <w:t xml:space="preserve"> However, if someone discloses</w:t>
      </w:r>
      <w:r w:rsidR="006B579A">
        <w:t xml:space="preserve"> that are they are from a marginalised group</w:t>
      </w:r>
      <w:r w:rsidR="000414B4">
        <w:t xml:space="preserve">, such as that they have a disability </w:t>
      </w:r>
      <w:r>
        <w:t xml:space="preserve">or are from an </w:t>
      </w:r>
      <w:r w:rsidR="000A2E50">
        <w:t>ethnic</w:t>
      </w:r>
      <w:r>
        <w:t xml:space="preserve"> </w:t>
      </w:r>
      <w:r w:rsidR="000A2E50">
        <w:t>minority</w:t>
      </w:r>
      <w:r>
        <w:t>, this</w:t>
      </w:r>
      <w:r w:rsidR="000414B4">
        <w:t xml:space="preserve"> data</w:t>
      </w:r>
      <w:r>
        <w:t xml:space="preserve"> </w:t>
      </w:r>
      <w:r w:rsidR="0038420E">
        <w:t>is</w:t>
      </w:r>
      <w:r>
        <w:t xml:space="preserve"> collected. Less than 4% of those who called the helpline in 2020 </w:t>
      </w:r>
      <w:r w:rsidR="000A2E50">
        <w:t>volunteered</w:t>
      </w:r>
      <w:r>
        <w:t xml:space="preserve"> </w:t>
      </w:r>
      <w:r w:rsidR="006B579A">
        <w:t xml:space="preserve">information </w:t>
      </w:r>
      <w:r>
        <w:t xml:space="preserve">that </w:t>
      </w:r>
      <w:r w:rsidR="000A2E50">
        <w:t>they were from</w:t>
      </w:r>
      <w:r>
        <w:t xml:space="preserve"> a marginalised group, and </w:t>
      </w:r>
      <w:r w:rsidR="000A2E50">
        <w:t>only</w:t>
      </w:r>
      <w:r>
        <w:t xml:space="preserve"> 2%</w:t>
      </w:r>
      <w:r w:rsidR="000414B4">
        <w:t xml:space="preserve"> of these</w:t>
      </w:r>
      <w:r>
        <w:t xml:space="preserve"> were disabled</w:t>
      </w:r>
      <w:r w:rsidR="000414B4">
        <w:t>.</w:t>
      </w:r>
      <w:r w:rsidR="00A30DD8">
        <w:t xml:space="preserve"> In their </w:t>
      </w:r>
      <w:r w:rsidR="00585D77">
        <w:t>face-to-face</w:t>
      </w:r>
      <w:r w:rsidR="00A30DD8">
        <w:t xml:space="preserve"> service, no data on those with disabilities is presented</w:t>
      </w:r>
      <w:r w:rsidR="000414B4">
        <w:t xml:space="preserve"> in their annual report</w:t>
      </w:r>
      <w:r w:rsidR="00A30DD8">
        <w:t xml:space="preserve">. </w:t>
      </w:r>
    </w:p>
    <w:p w14:paraId="1FCA909D" w14:textId="139867E2" w:rsidR="00371503" w:rsidRDefault="00314F19" w:rsidP="009727A5">
      <w:pPr>
        <w:pStyle w:val="Heading4"/>
      </w:pPr>
      <w:r w:rsidRPr="00314F19">
        <w:t>Men</w:t>
      </w:r>
      <w:r>
        <w:t>’</w:t>
      </w:r>
      <w:r w:rsidRPr="00314F19">
        <w:t>s</w:t>
      </w:r>
      <w:r>
        <w:t xml:space="preserve"> Aid</w:t>
      </w:r>
    </w:p>
    <w:p w14:paraId="357F3D03" w14:textId="0C004CE1" w:rsidR="00783A4E" w:rsidRDefault="003A4BD8" w:rsidP="00D979B6">
      <w:r>
        <w:t>Men’s Aid do provide support to m</w:t>
      </w:r>
      <w:r w:rsidR="00783A4E">
        <w:t>ale victims with various</w:t>
      </w:r>
      <w:r>
        <w:t xml:space="preserve"> disabilities, </w:t>
      </w:r>
      <w:r w:rsidR="00783A4E">
        <w:t>but</w:t>
      </w:r>
      <w:r>
        <w:t xml:space="preserve"> they</w:t>
      </w:r>
      <w:r w:rsidR="00783A4E">
        <w:t xml:space="preserve"> have indicated that </w:t>
      </w:r>
      <w:r w:rsidR="00783A4E" w:rsidRPr="00783A4E">
        <w:t xml:space="preserve">due to minimal funding </w:t>
      </w:r>
      <w:r w:rsidR="00783A4E">
        <w:t>they</w:t>
      </w:r>
      <w:r w:rsidR="00783A4E" w:rsidRPr="00783A4E">
        <w:t xml:space="preserve"> do not have the resources to provide data </w:t>
      </w:r>
      <w:r w:rsidR="00783A4E">
        <w:t>on same</w:t>
      </w:r>
      <w:r w:rsidR="00783A4E" w:rsidRPr="00783A4E">
        <w:t>.</w:t>
      </w:r>
      <w:r w:rsidR="00783A4E">
        <w:rPr>
          <w:rStyle w:val="FootnoteReference"/>
        </w:rPr>
        <w:footnoteReference w:id="140"/>
      </w:r>
    </w:p>
    <w:p w14:paraId="6B2759FA" w14:textId="14B9AAC1" w:rsidR="001F09F3" w:rsidRDefault="00C81381" w:rsidP="00C81381">
      <w:pPr>
        <w:pStyle w:val="Heading4"/>
      </w:pPr>
      <w:r>
        <w:t>M</w:t>
      </w:r>
      <w:r w:rsidR="003A4BD8">
        <w:t>en’s</w:t>
      </w:r>
      <w:r>
        <w:t xml:space="preserve"> Development Network </w:t>
      </w:r>
    </w:p>
    <w:p w14:paraId="0EC4DDE0" w14:textId="1202F849" w:rsidR="003A4BD8" w:rsidRDefault="003A4BD8" w:rsidP="003A4BD8">
      <w:r>
        <w:t xml:space="preserve">The Men’s Development Network work directly with persons with disabilities across </w:t>
      </w:r>
      <w:r w:rsidR="00986AEF">
        <w:t>their</w:t>
      </w:r>
      <w:r>
        <w:t xml:space="preserve"> transforming masculinities work in health, development and client support services. However, at present they do not collect data or information on persons with disabilities.</w:t>
      </w:r>
      <w:r>
        <w:rPr>
          <w:rStyle w:val="FootnoteReference"/>
        </w:rPr>
        <w:footnoteReference w:id="141"/>
      </w:r>
      <w:r>
        <w:t xml:space="preserve"> </w:t>
      </w:r>
    </w:p>
    <w:p w14:paraId="1DD279F7" w14:textId="113971AF" w:rsidR="00F01F70" w:rsidRDefault="00F01F70" w:rsidP="00F01F70">
      <w:pPr>
        <w:pStyle w:val="Heading2"/>
      </w:pPr>
      <w:bookmarkStart w:id="74" w:name="_Toc100231233"/>
      <w:r>
        <w:t>Forced contraception</w:t>
      </w:r>
      <w:r w:rsidR="00142926">
        <w:t xml:space="preserve"> data</w:t>
      </w:r>
      <w:bookmarkEnd w:id="74"/>
    </w:p>
    <w:p w14:paraId="6FB8605E" w14:textId="53D6C089" w:rsidR="00986AEF" w:rsidRPr="005215F6" w:rsidRDefault="00F01F70" w:rsidP="00F01F70">
      <w:r>
        <w:t xml:space="preserve">There is no national data on forced contraception of people with disabilities in Ireland. </w:t>
      </w:r>
      <w:r w:rsidR="005215F6">
        <w:t>However, i</w:t>
      </w:r>
      <w:r w:rsidR="00986AEF">
        <w:t xml:space="preserve">n a statement to the </w:t>
      </w:r>
      <w:r w:rsidR="00986AEF" w:rsidRPr="00692B63">
        <w:t>Joint Oireachtas Committee on Disability Matters</w:t>
      </w:r>
      <w:r w:rsidR="00986AEF">
        <w:t xml:space="preserve"> in 2021 it was noted that the Re(al) Productive Justice: Gender and Disability project currently underway in NUI Galway has identified </w:t>
      </w:r>
      <w:r w:rsidR="005215F6">
        <w:t>“</w:t>
      </w:r>
      <w:r w:rsidR="005215F6" w:rsidRPr="005215F6">
        <w:t>historic and contemporary use of long-term contraceptives without informed consent”</w:t>
      </w:r>
      <w:r w:rsidR="004374DA">
        <w:t>.</w:t>
      </w:r>
      <w:r w:rsidR="005215F6">
        <w:rPr>
          <w:rStyle w:val="FootnoteReference"/>
        </w:rPr>
        <w:footnoteReference w:id="142"/>
      </w:r>
    </w:p>
    <w:p w14:paraId="3E80159C" w14:textId="08988A80" w:rsidR="00F21CFA" w:rsidRDefault="00F21CFA" w:rsidP="00F21CFA">
      <w:pPr>
        <w:pStyle w:val="Heading2"/>
      </w:pPr>
      <w:bookmarkStart w:id="75" w:name="_Toc100231234"/>
      <w:r>
        <w:t>F</w:t>
      </w:r>
      <w:r w:rsidR="009727A5">
        <w:t xml:space="preserve">emale </w:t>
      </w:r>
      <w:r w:rsidR="007A44C4">
        <w:t>g</w:t>
      </w:r>
      <w:r w:rsidR="009727A5">
        <w:t xml:space="preserve">enital </w:t>
      </w:r>
      <w:r w:rsidR="007A44C4">
        <w:t>m</w:t>
      </w:r>
      <w:r w:rsidR="009727A5">
        <w:t>utilation</w:t>
      </w:r>
      <w:r w:rsidR="00142926">
        <w:t xml:space="preserve"> data</w:t>
      </w:r>
      <w:bookmarkEnd w:id="75"/>
    </w:p>
    <w:p w14:paraId="00F058BA" w14:textId="012112D6" w:rsidR="00414317" w:rsidRDefault="00414317" w:rsidP="00414317">
      <w:r>
        <w:t>Using</w:t>
      </w:r>
      <w:r w:rsidR="00482FD6">
        <w:t xml:space="preserve"> 2016</w:t>
      </w:r>
      <w:r>
        <w:t xml:space="preserve"> Irish census data and international data on the prevalence of Female Genital Mutilation (FGM), </w:t>
      </w:r>
      <w:r w:rsidR="00482FD6">
        <w:t>AKIDWA</w:t>
      </w:r>
      <w:r>
        <w:t xml:space="preserve"> estimate that almost 6,000 women in Ireland have undergone this practice.</w:t>
      </w:r>
      <w:r w:rsidRPr="00414317">
        <w:rPr>
          <w:rStyle w:val="FootnoteReference"/>
        </w:rPr>
        <w:t xml:space="preserve"> </w:t>
      </w:r>
      <w:r>
        <w:rPr>
          <w:rStyle w:val="FootnoteReference"/>
        </w:rPr>
        <w:footnoteReference w:id="143"/>
      </w:r>
      <w:r>
        <w:t xml:space="preserve"> Although this estimate is not disaggregated by disability, the procedure itself can be disabling and FGM can have negative long-term physical, emotional and psychological impacts on women and girls.</w:t>
      </w:r>
      <w:r w:rsidR="000F134F">
        <w:rPr>
          <w:rStyle w:val="FootnoteReference"/>
        </w:rPr>
        <w:footnoteReference w:id="144"/>
      </w:r>
      <w:r>
        <w:t xml:space="preserve"> In particular, FGM can result in adverse obstetric outcomes for women and babies</w:t>
      </w:r>
      <w:r>
        <w:rPr>
          <w:rStyle w:val="FootnoteReference"/>
        </w:rPr>
        <w:footnoteReference w:id="145"/>
      </w:r>
      <w:r>
        <w:t xml:space="preserve">. </w:t>
      </w:r>
    </w:p>
    <w:p w14:paraId="4B362B8B" w14:textId="07829D8D" w:rsidR="0049623C" w:rsidRDefault="007A44C4" w:rsidP="0049623C">
      <w:pPr>
        <w:pStyle w:val="Heading2"/>
      </w:pPr>
      <w:bookmarkStart w:id="76" w:name="_Toc100231235"/>
      <w:r>
        <w:t>Human t</w:t>
      </w:r>
      <w:r w:rsidR="0049623C">
        <w:t>rafficking</w:t>
      </w:r>
      <w:r w:rsidR="00142926">
        <w:t xml:space="preserve"> data</w:t>
      </w:r>
      <w:bookmarkEnd w:id="76"/>
    </w:p>
    <w:p w14:paraId="2BCD4E1A" w14:textId="2FB05E0D" w:rsidR="00A93032" w:rsidRDefault="00100A2B" w:rsidP="00100A2B">
      <w:r w:rsidRPr="00C857EC">
        <w:t xml:space="preserve">In 2019, </w:t>
      </w:r>
      <w:r w:rsidR="001C25DF">
        <w:t>A</w:t>
      </w:r>
      <w:r>
        <w:t xml:space="preserve">n Garda </w:t>
      </w:r>
      <w:r w:rsidR="00523325">
        <w:t xml:space="preserve">Síochána </w:t>
      </w:r>
      <w:r w:rsidRPr="00C857EC">
        <w:t>identified 42 victims of human trafficking in Ireland.</w:t>
      </w:r>
      <w:r>
        <w:rPr>
          <w:rStyle w:val="FootnoteReference"/>
        </w:rPr>
        <w:footnoteReference w:id="146"/>
      </w:r>
      <w:r w:rsidRPr="00C857EC">
        <w:t xml:space="preserve"> The majority of these were victims of sexual exploitation. The </w:t>
      </w:r>
      <w:r>
        <w:t>Department of Justice at the time</w:t>
      </w:r>
      <w:r w:rsidRPr="00C857EC">
        <w:t xml:space="preserve"> acknowledge</w:t>
      </w:r>
      <w:r>
        <w:t>d</w:t>
      </w:r>
      <w:r w:rsidRPr="00C857EC">
        <w:t xml:space="preserve"> that </w:t>
      </w:r>
      <w:r>
        <w:t>this was</w:t>
      </w:r>
      <w:r w:rsidRPr="00C857EC">
        <w:t xml:space="preserve"> likely to be a significant underestim</w:t>
      </w:r>
      <w:r w:rsidR="00A93032">
        <w:t>ation. Indeed, in 2019</w:t>
      </w:r>
      <w:r w:rsidR="00603C4D">
        <w:t>,</w:t>
      </w:r>
      <w:r w:rsidR="00A93032">
        <w:t xml:space="preserve"> Ruhama </w:t>
      </w:r>
      <w:r w:rsidRPr="00C857EC">
        <w:t>worked with 415 women from 44 nationalities</w:t>
      </w:r>
      <w:r w:rsidR="00A93032">
        <w:t>,</w:t>
      </w:r>
      <w:r w:rsidRPr="00C857EC">
        <w:t xml:space="preserve"> and 116 of these women were victims of trafficking.</w:t>
      </w:r>
      <w:r w:rsidR="0038420E">
        <w:rPr>
          <w:rStyle w:val="FootnoteReference"/>
        </w:rPr>
        <w:footnoteReference w:id="147"/>
      </w:r>
      <w:r w:rsidRPr="00C857EC">
        <w:t xml:space="preserve"> </w:t>
      </w:r>
      <w:r w:rsidR="00A93032">
        <w:t xml:space="preserve">Additionally, a </w:t>
      </w:r>
      <w:r w:rsidR="00964CCE">
        <w:t>report into human trafficking and exploitation into the island of Ireland</w:t>
      </w:r>
      <w:r w:rsidRPr="00C857EC">
        <w:t xml:space="preserve"> </w:t>
      </w:r>
      <w:r w:rsidR="00A93032">
        <w:t>found that between 2014 and 2019, the number of adults and children trafficked into Ireland (north and south) was higher than those identified in official records.</w:t>
      </w:r>
      <w:r w:rsidR="0038420E">
        <w:rPr>
          <w:rStyle w:val="FootnoteReference"/>
        </w:rPr>
        <w:footnoteReference w:id="148"/>
      </w:r>
      <w:r w:rsidR="00A93032">
        <w:t xml:space="preserve"> The number of adults and children trafficked into the Republic of Ireland was found to be at least 38% higher than official records. </w:t>
      </w:r>
    </w:p>
    <w:p w14:paraId="78315E7E" w14:textId="29643CC1" w:rsidR="0049623C" w:rsidRDefault="00100A2B" w:rsidP="004940FA">
      <w:r w:rsidRPr="00C857EC">
        <w:t>While numbers of people with disabilities</w:t>
      </w:r>
      <w:r w:rsidR="00A93032">
        <w:t xml:space="preserve"> found to be victims of human trafficking</w:t>
      </w:r>
      <w:r w:rsidRPr="00C857EC">
        <w:t xml:space="preserve"> are not specifically reported on, the issue of disability is consistently </w:t>
      </w:r>
      <w:r w:rsidR="00A93032">
        <w:t>mentioned in Ruhama’s annual reports.</w:t>
      </w:r>
      <w:r w:rsidR="000132F5">
        <w:rPr>
          <w:rStyle w:val="FootnoteReference"/>
        </w:rPr>
        <w:footnoteReference w:id="149"/>
      </w:r>
      <w:r w:rsidR="00A93032">
        <w:t xml:space="preserve"> They note that their organisation</w:t>
      </w:r>
      <w:r w:rsidRPr="00C857EC">
        <w:t xml:space="preserve"> regularly </w:t>
      </w:r>
      <w:r w:rsidR="00585D77" w:rsidRPr="00C857EC">
        <w:t>encounters</w:t>
      </w:r>
      <w:r w:rsidRPr="00C857EC">
        <w:t xml:space="preserve"> women who are suffering from a range of mental health issues including anxiety, depression, disassociation, </w:t>
      </w:r>
      <w:r w:rsidR="00535B8C">
        <w:t>post-traumatic stress disorder</w:t>
      </w:r>
      <w:r w:rsidRPr="00C857EC">
        <w:t xml:space="preserve"> and suicidal ideation.</w:t>
      </w:r>
      <w:r w:rsidR="00535B8C">
        <w:rPr>
          <w:rStyle w:val="FootnoteReference"/>
        </w:rPr>
        <w:footnoteReference w:id="150"/>
      </w:r>
      <w:r w:rsidRPr="00C857EC">
        <w:t xml:space="preserve"> Furthermore, the Human Trafficking and Exploitation project reported that</w:t>
      </w:r>
      <w:r w:rsidR="0039193B">
        <w:t xml:space="preserve"> some trafficking victims have disabilities, such as </w:t>
      </w:r>
      <w:r w:rsidRPr="00C857EC">
        <w:t>un</w:t>
      </w:r>
      <w:r w:rsidR="0039193B">
        <w:t xml:space="preserve">diagnosed learning disabilities, which can hinder help-seeking </w:t>
      </w:r>
      <w:r w:rsidR="00585D77">
        <w:t>behaviour,</w:t>
      </w:r>
      <w:r w:rsidR="0039193B">
        <w:t xml:space="preserve"> as some individuals may not recognise that they have been trafficked.</w:t>
      </w:r>
      <w:r w:rsidR="00535B8C">
        <w:rPr>
          <w:rStyle w:val="FootnoteReference"/>
        </w:rPr>
        <w:footnoteReference w:id="151"/>
      </w:r>
      <w:r w:rsidR="008D531E" w:rsidRPr="008D531E">
        <w:t xml:space="preserve"> </w:t>
      </w:r>
      <w:r w:rsidR="008D531E">
        <w:t xml:space="preserve">IHREC </w:t>
      </w:r>
      <w:r w:rsidR="00585D77">
        <w:t>is</w:t>
      </w:r>
      <w:r w:rsidR="008D531E">
        <w:t xml:space="preserve"> designated as the National Rapporteur on the Trafficking of Human Beings in Ireland. In their recent report to the Council of Europe Group of Experts on Action against Trafficking in Human Beings (GRETA) they outlined progress in Ireland and highlighted current issues.</w:t>
      </w:r>
      <w:r w:rsidR="000132F5">
        <w:rPr>
          <w:rStyle w:val="FootnoteReference"/>
        </w:rPr>
        <w:footnoteReference w:id="152"/>
      </w:r>
      <w:r w:rsidR="008D531E">
        <w:t xml:space="preserve"> Data collection was flagged as a serious issue, and it was noted that the importance of collecting data on disability has not been considered</w:t>
      </w:r>
      <w:r w:rsidR="007415F4">
        <w:t xml:space="preserve"> by data collectors</w:t>
      </w:r>
      <w:r w:rsidR="0098457D">
        <w:t>.</w:t>
      </w:r>
    </w:p>
    <w:p w14:paraId="18AFDAC4" w14:textId="6E7C0A59" w:rsidR="000D0214" w:rsidRDefault="00EE03E5" w:rsidP="00A2539F">
      <w:pPr>
        <w:pStyle w:val="Heading2"/>
      </w:pPr>
      <w:bookmarkStart w:id="77" w:name="_Toc100231236"/>
      <w:r>
        <w:t>Exploitative s</w:t>
      </w:r>
      <w:r w:rsidR="00474CE3">
        <w:t>ham marriages</w:t>
      </w:r>
      <w:r w:rsidR="00142926">
        <w:t xml:space="preserve"> data</w:t>
      </w:r>
      <w:bookmarkEnd w:id="77"/>
    </w:p>
    <w:p w14:paraId="07717DF5" w14:textId="55B06687" w:rsidR="00EE03E5" w:rsidRDefault="00B63322" w:rsidP="00EE03E5">
      <w:r>
        <w:t xml:space="preserve">Ireland has been identified as being a destination country for </w:t>
      </w:r>
      <w:r w:rsidR="00180FB4">
        <w:t>‘</w:t>
      </w:r>
      <w:r>
        <w:t>sham marriages</w:t>
      </w:r>
      <w:r w:rsidR="00180FB4">
        <w:t>’ or ‘marriages of convenience’</w:t>
      </w:r>
      <w:r>
        <w:t xml:space="preserve"> between EU and non-EU nationals.</w:t>
      </w:r>
      <w:r w:rsidR="00180FB4">
        <w:rPr>
          <w:rStyle w:val="FootnoteReference"/>
        </w:rPr>
        <w:footnoteReference w:id="153"/>
      </w:r>
      <w:r>
        <w:t xml:space="preserve"> </w:t>
      </w:r>
      <w:r w:rsidRPr="00B63322">
        <w:t>After joining the EU</w:t>
      </w:r>
      <w:r>
        <w:t>,</w:t>
      </w:r>
      <w:r w:rsidRPr="00B63322">
        <w:t xml:space="preserve"> both Latvia and Estonia identified significant numbers of their citizens entering into marriages in Ireland with non-EU nationals</w:t>
      </w:r>
      <w:r w:rsidR="00CF07C7">
        <w:t>.</w:t>
      </w:r>
      <w:r w:rsidR="00A716A7">
        <w:t xml:space="preserve"> </w:t>
      </w:r>
      <w:r w:rsidR="00CF07C7">
        <w:t>T</w:t>
      </w:r>
      <w:r w:rsidR="00A716A7">
        <w:t xml:space="preserve">he large majority of their citizens </w:t>
      </w:r>
      <w:r w:rsidR="00CF07C7">
        <w:t>were</w:t>
      </w:r>
      <w:r w:rsidR="00A716A7">
        <w:t xml:space="preserve"> women and the </w:t>
      </w:r>
      <w:r w:rsidR="00CF07C7">
        <w:t>non-EU nationals were</w:t>
      </w:r>
      <w:r w:rsidR="00A716A7">
        <w:t xml:space="preserve"> men</w:t>
      </w:r>
      <w:r w:rsidRPr="00B63322">
        <w:t xml:space="preserve">. Both countries </w:t>
      </w:r>
      <w:r>
        <w:t>also</w:t>
      </w:r>
      <w:r w:rsidRPr="00B63322">
        <w:t xml:space="preserve"> noted that there were possible indicators of human trafficking apparent in these marriages.</w:t>
      </w:r>
      <w:r w:rsidR="00BA6FC3">
        <w:t xml:space="preserve"> </w:t>
      </w:r>
      <w:r>
        <w:t xml:space="preserve">In 2015, the Immigrant Council of Ireland Independent Law Centre (ICI) took part in an EU funded </w:t>
      </w:r>
      <w:r w:rsidR="000D0214">
        <w:t xml:space="preserve">research project </w:t>
      </w:r>
      <w:r w:rsidR="00180FB4">
        <w:t>examining</w:t>
      </w:r>
      <w:r w:rsidR="000D0214">
        <w:t xml:space="preserve"> the links between sham marriages and human trafficking in five EU countries - Latvia, Lithuania, Estonia, the Slovak Republic and Ireland – with Ireland </w:t>
      </w:r>
      <w:r w:rsidR="000D0214" w:rsidRPr="003A4BD8">
        <w:t>being the only ‘destination</w:t>
      </w:r>
      <w:r w:rsidR="00BA6FC3">
        <w:t>’</w:t>
      </w:r>
      <w:r w:rsidR="000D0214" w:rsidRPr="003A4BD8">
        <w:t xml:space="preserve"> country.</w:t>
      </w:r>
      <w:r w:rsidR="0098457D">
        <w:rPr>
          <w:rStyle w:val="FootnoteReference"/>
        </w:rPr>
        <w:footnoteReference w:id="154"/>
      </w:r>
      <w:r w:rsidR="000D0214" w:rsidRPr="003A4BD8">
        <w:t xml:space="preserve"> </w:t>
      </w:r>
      <w:r w:rsidRPr="003A4BD8">
        <w:t xml:space="preserve">This study used the </w:t>
      </w:r>
      <w:r w:rsidR="001908AE" w:rsidRPr="003A4BD8">
        <w:t>term exploitative sham marriages</w:t>
      </w:r>
      <w:r w:rsidRPr="003A4BD8">
        <w:t xml:space="preserve"> </w:t>
      </w:r>
      <w:r w:rsidR="003A4BD8" w:rsidRPr="003A4BD8">
        <w:t>“</w:t>
      </w:r>
      <w:r w:rsidRPr="003A4BD8">
        <w:t>to express the potential for or presence of exploitation in the context of the sham.</w:t>
      </w:r>
      <w:r w:rsidR="003A4BD8" w:rsidRPr="003A4BD8">
        <w:t>”</w:t>
      </w:r>
      <w:r w:rsidR="00BA6FC3">
        <w:rPr>
          <w:rStyle w:val="FootnoteReference"/>
        </w:rPr>
        <w:footnoteReference w:id="155"/>
      </w:r>
      <w:r w:rsidR="004E04D4" w:rsidRPr="003A4BD8">
        <w:t xml:space="preserve"> </w:t>
      </w:r>
      <w:r w:rsidR="00A716A7" w:rsidRPr="003A4BD8">
        <w:t>An</w:t>
      </w:r>
      <w:r w:rsidR="00A716A7">
        <w:t xml:space="preserve"> examination of case studies </w:t>
      </w:r>
      <w:r w:rsidR="00BA6FC3">
        <w:t xml:space="preserve">found </w:t>
      </w:r>
      <w:r w:rsidR="00A716A7">
        <w:t xml:space="preserve">common risk factors for women exploited into a sham marriage, with family breakdown and extreme poverty being the most common. The authors also </w:t>
      </w:r>
      <w:r w:rsidR="00BA6FC3">
        <w:t>noted with concern the amount</w:t>
      </w:r>
      <w:r w:rsidR="00A716A7" w:rsidRPr="00A716A7">
        <w:t xml:space="preserve"> o</w:t>
      </w:r>
      <w:r w:rsidR="00A716A7">
        <w:t xml:space="preserve">f women </w:t>
      </w:r>
      <w:r w:rsidR="00BA6FC3">
        <w:t>with</w:t>
      </w:r>
      <w:r w:rsidR="00A716A7">
        <w:t xml:space="preserve"> </w:t>
      </w:r>
      <w:r w:rsidR="00BA6FC3">
        <w:t>mental disabilities</w:t>
      </w:r>
      <w:r w:rsidR="00A716A7">
        <w:t xml:space="preserve"> in these case studies. Other data from this study found that </w:t>
      </w:r>
      <w:r w:rsidR="001602D1">
        <w:t>four</w:t>
      </w:r>
      <w:r w:rsidR="00A716A7">
        <w:t xml:space="preserve"> of the marriages flagged as concerning by the Latvian embassy in 2012 were of women with disabilities.</w:t>
      </w:r>
      <w:r w:rsidR="00BA6FC3">
        <w:rPr>
          <w:rStyle w:val="FootnoteReference"/>
        </w:rPr>
        <w:footnoteReference w:id="156"/>
      </w:r>
      <w:r w:rsidR="00A716A7">
        <w:t xml:space="preserve"> </w:t>
      </w:r>
      <w:r w:rsidR="00A76E5F">
        <w:t xml:space="preserve">The report </w:t>
      </w:r>
      <w:r w:rsidR="00100A2B">
        <w:t xml:space="preserve">highlighted areas where </w:t>
      </w:r>
      <w:r w:rsidR="00A76E5F">
        <w:t xml:space="preserve">the Irish government’s response to women who had been exploited into sham </w:t>
      </w:r>
      <w:r w:rsidR="003A4BD8">
        <w:t>marriages</w:t>
      </w:r>
      <w:r w:rsidR="00A76E5F">
        <w:t xml:space="preserve"> and who had sought help</w:t>
      </w:r>
      <w:r w:rsidR="00100A2B">
        <w:t xml:space="preserve"> could be improved</w:t>
      </w:r>
      <w:r w:rsidR="00A76E5F">
        <w:t>.</w:t>
      </w:r>
      <w:r w:rsidR="00F810EA">
        <w:rPr>
          <w:rStyle w:val="FootnoteReference"/>
        </w:rPr>
        <w:footnoteReference w:id="157"/>
      </w:r>
    </w:p>
    <w:p w14:paraId="592B625E" w14:textId="29FF575C" w:rsidR="002C36CF" w:rsidRDefault="002C36CF" w:rsidP="00DA2582">
      <w:pPr>
        <w:pStyle w:val="Heading2"/>
      </w:pPr>
      <w:bookmarkStart w:id="78" w:name="_Toc100231237"/>
      <w:r>
        <w:t>Reports of abuse and safeguarding concerns</w:t>
      </w:r>
      <w:r w:rsidR="001F09F3">
        <w:t xml:space="preserve"> in health and social care settings</w:t>
      </w:r>
      <w:bookmarkEnd w:id="78"/>
    </w:p>
    <w:p w14:paraId="43C73353" w14:textId="2EB774C7" w:rsidR="004771EC" w:rsidRDefault="005B4563" w:rsidP="00050116">
      <w:pPr>
        <w:pStyle w:val="Heading3"/>
      </w:pPr>
      <w:r>
        <w:t xml:space="preserve">HIQA </w:t>
      </w:r>
    </w:p>
    <w:p w14:paraId="277AE4C3" w14:textId="4C1FCC1F" w:rsidR="00195589" w:rsidRPr="004771EC" w:rsidRDefault="005B4563" w:rsidP="00195589">
      <w:r w:rsidRPr="005B4563">
        <w:t>HIQA’s 2020 annual report on inspections of disability settings</w:t>
      </w:r>
      <w:r>
        <w:t xml:space="preserve"> includes a summary of their inspections as well as information on the 28,426 mandatory notifications they received of incidents, events or changes that happened in the centre.</w:t>
      </w:r>
      <w:r w:rsidR="00BC0122">
        <w:rPr>
          <w:rStyle w:val="FootnoteReference"/>
        </w:rPr>
        <w:footnoteReference w:id="158"/>
      </w:r>
      <w:r>
        <w:t xml:space="preserve"> In 2020, the largest proportion of these mandatory notifications </w:t>
      </w:r>
      <w:r w:rsidR="00195589">
        <w:t xml:space="preserve">(27%, n=6,227) </w:t>
      </w:r>
      <w:r w:rsidR="00FE186D">
        <w:t>related</w:t>
      </w:r>
      <w:r>
        <w:t xml:space="preserve"> to</w:t>
      </w:r>
      <w:r w:rsidR="00FE186D">
        <w:t xml:space="preserve"> an</w:t>
      </w:r>
      <w:r w:rsidR="00FE186D" w:rsidRPr="00FE186D">
        <w:t xml:space="preserve"> allegation, suspected or confirmed, of abuse of </w:t>
      </w:r>
      <w:r w:rsidR="00FE186D">
        <w:t>a</w:t>
      </w:r>
      <w:r w:rsidR="00FE186D" w:rsidRPr="00FE186D">
        <w:t xml:space="preserve"> resident</w:t>
      </w:r>
      <w:r w:rsidR="00FE186D">
        <w:t xml:space="preserve">. </w:t>
      </w:r>
      <w:r w:rsidR="00195589">
        <w:t>HIQA noted that “Many of these notifications continued to relate to altercations between residents in centres and do not necessarily mean that there is an immediate risk of abuse to residents in the centre.”</w:t>
      </w:r>
      <w:r w:rsidR="00DC16D7">
        <w:rPr>
          <w:rStyle w:val="FootnoteReference"/>
        </w:rPr>
        <w:footnoteReference w:id="159"/>
      </w:r>
      <w:r w:rsidR="008658BC">
        <w:t xml:space="preserve"> They also indicated they had referred a service provider to the National Safeguarding Office over concerns about neglect and institutional abuse due to very poor living conditions. </w:t>
      </w:r>
      <w:r w:rsidR="00B436AB">
        <w:t>As noted earlier, congregated settings had lower safeguarding compliance rates than non-</w:t>
      </w:r>
      <w:r w:rsidR="00F8625B">
        <w:t>congregated</w:t>
      </w:r>
      <w:r w:rsidR="00B436AB">
        <w:t xml:space="preserve"> settings, putting </w:t>
      </w:r>
      <w:r w:rsidR="00F8625B">
        <w:t xml:space="preserve">the people living in </w:t>
      </w:r>
      <w:r w:rsidR="00B436AB">
        <w:t xml:space="preserve">them at increased risk. </w:t>
      </w:r>
      <w:r w:rsidR="00050116">
        <w:t>HIQA noted that some providers in these congregated settings</w:t>
      </w:r>
      <w:r w:rsidR="00630A65">
        <w:t xml:space="preserve"> failed to show they had the ability </w:t>
      </w:r>
      <w:r w:rsidR="00050116">
        <w:t>to</w:t>
      </w:r>
      <w:r w:rsidR="00630A65">
        <w:t xml:space="preserve"> appropriately and effectively</w:t>
      </w:r>
      <w:r w:rsidR="00050116">
        <w:t xml:space="preserve"> identify </w:t>
      </w:r>
      <w:r w:rsidR="00630A65">
        <w:t xml:space="preserve">and </w:t>
      </w:r>
      <w:r w:rsidR="00050116">
        <w:t xml:space="preserve">respond </w:t>
      </w:r>
      <w:r w:rsidR="00630A65">
        <w:t>to safeguarding concerns</w:t>
      </w:r>
      <w:r w:rsidR="00050116">
        <w:t xml:space="preserve">. </w:t>
      </w:r>
      <w:r w:rsidR="00B436AB">
        <w:t xml:space="preserve"> </w:t>
      </w:r>
    </w:p>
    <w:p w14:paraId="3F64928F" w14:textId="17EA8D49" w:rsidR="002A021A" w:rsidRDefault="002A021A" w:rsidP="00A42CBF">
      <w:pPr>
        <w:pStyle w:val="Heading3"/>
      </w:pPr>
      <w:r>
        <w:t>Mental Health Commission</w:t>
      </w:r>
    </w:p>
    <w:p w14:paraId="5AD73044" w14:textId="1FBE2DC4" w:rsidR="00DF79A3" w:rsidRDefault="002A021A">
      <w:r>
        <w:t xml:space="preserve">The Mental Health Commission receives information from mental health services on Serious Reportable Offences. In 2020, </w:t>
      </w:r>
      <w:r w:rsidR="00134978">
        <w:t>nine</w:t>
      </w:r>
      <w:r>
        <w:t xml:space="preserve"> of the 46 Serious Reportable Offences received related to sexual assault on a patient or other person.</w:t>
      </w:r>
      <w:r w:rsidR="00BC0122">
        <w:rPr>
          <w:rStyle w:val="FootnoteReference"/>
        </w:rPr>
        <w:footnoteReference w:id="160"/>
      </w:r>
      <w:r>
        <w:t xml:space="preserve"> Such notifications are reviewed and followed up as appropriate to ensure actions have been taken to safeguard all residents </w:t>
      </w:r>
      <w:r w:rsidR="00C711AD">
        <w:t>or to incorporate learnings from incidents into practice.</w:t>
      </w:r>
      <w:r>
        <w:t xml:space="preserve"> </w:t>
      </w:r>
    </w:p>
    <w:p w14:paraId="47AEB7B2" w14:textId="4F983B48" w:rsidR="001F09F3" w:rsidRDefault="001F09F3">
      <w:pPr>
        <w:pStyle w:val="Heading3"/>
      </w:pPr>
      <w:r w:rsidRPr="0079025B">
        <w:t xml:space="preserve">National </w:t>
      </w:r>
      <w:r w:rsidR="00440372">
        <w:t>S</w:t>
      </w:r>
      <w:r w:rsidRPr="0079025B">
        <w:t xml:space="preserve">afeguarding </w:t>
      </w:r>
      <w:r w:rsidR="00440372">
        <w:t>O</w:t>
      </w:r>
      <w:r w:rsidRPr="0079025B">
        <w:t>ffice</w:t>
      </w:r>
    </w:p>
    <w:p w14:paraId="490F8F25" w14:textId="0724A89B" w:rsidR="001843DC" w:rsidRPr="003D5F88" w:rsidRDefault="0002162E" w:rsidP="001843DC">
      <w:r>
        <w:t xml:space="preserve">Since 2016, the HSE’s National Safeguarding Office has received 51,524 reports on </w:t>
      </w:r>
      <w:r w:rsidR="003E3241">
        <w:t>concerns of abuse</w:t>
      </w:r>
      <w:r w:rsidR="00440372">
        <w:t xml:space="preserve"> in social care services</w:t>
      </w:r>
      <w:r>
        <w:t>.</w:t>
      </w:r>
      <w:r w:rsidR="006A2594">
        <w:rPr>
          <w:rStyle w:val="FootnoteReference"/>
        </w:rPr>
        <w:footnoteReference w:id="161"/>
      </w:r>
      <w:r>
        <w:t xml:space="preserve"> </w:t>
      </w:r>
      <w:r w:rsidR="005A119A">
        <w:t>Over that time, the largest proportion of reports have related to adults aged 18-64 in a service setting.</w:t>
      </w:r>
      <w:r w:rsidR="003E3241">
        <w:t xml:space="preserve"> </w:t>
      </w:r>
      <w:r>
        <w:t xml:space="preserve">In 2020, </w:t>
      </w:r>
      <w:r w:rsidR="002777A7">
        <w:t>there were 10,216 concerns reported,</w:t>
      </w:r>
      <w:r>
        <w:t xml:space="preserve"> </w:t>
      </w:r>
      <w:r w:rsidR="008B3361">
        <w:t xml:space="preserve">a 9% decrease on the 2019 figure. This decrease is largely attributed to the impact of Covid-19 on service provision and fewer opportunities for staff to witness potential abuse rather than a real decrease in concern. In 2020, </w:t>
      </w:r>
      <w:r>
        <w:t>there were 11,847 types of abuse alleged.</w:t>
      </w:r>
      <w:r>
        <w:rPr>
          <w:rStyle w:val="FootnoteReference"/>
        </w:rPr>
        <w:footnoteReference w:id="162"/>
      </w:r>
      <w:r>
        <w:t xml:space="preserve"> The most frequent concerns raised for those </w:t>
      </w:r>
      <w:r w:rsidR="002777A7">
        <w:t xml:space="preserve">aged </w:t>
      </w:r>
      <w:r>
        <w:t>18</w:t>
      </w:r>
      <w:r w:rsidR="002777A7">
        <w:t>-</w:t>
      </w:r>
      <w:r>
        <w:t xml:space="preserve">64 and those </w:t>
      </w:r>
      <w:r w:rsidR="002777A7">
        <w:t xml:space="preserve">aged </w:t>
      </w:r>
      <w:r>
        <w:t>65</w:t>
      </w:r>
      <w:r w:rsidR="002777A7">
        <w:t xml:space="preserve"> and over</w:t>
      </w:r>
      <w:r>
        <w:t xml:space="preserve"> was psychological and physical abuse. There were higher rates of financial and negligence concerns raised with </w:t>
      </w:r>
      <w:r w:rsidR="008B3361">
        <w:t>regards</w:t>
      </w:r>
      <w:r>
        <w:t xml:space="preserve"> to those 65 and over. </w:t>
      </w:r>
      <w:r w:rsidR="003D5F88">
        <w:t xml:space="preserve">Each report of abuse is reviewed and it is decided whether there is reasonable grounds for </w:t>
      </w:r>
      <w:r w:rsidR="00612DCB">
        <w:t>concern</w:t>
      </w:r>
      <w:r w:rsidR="003D5F88">
        <w:t xml:space="preserve">, no grounds for </w:t>
      </w:r>
      <w:r w:rsidR="00612DCB">
        <w:t>concern</w:t>
      </w:r>
      <w:r w:rsidR="003D5F88">
        <w:t xml:space="preserve">, or more information is needed to make a decision. Since 2016, the </w:t>
      </w:r>
      <w:r w:rsidR="00612DCB">
        <w:t>percentage</w:t>
      </w:r>
      <w:r w:rsidR="00D322B2">
        <w:t xml:space="preserve"> of reports designated as having reasonable grounds</w:t>
      </w:r>
      <w:r w:rsidR="00612DCB">
        <w:t xml:space="preserve"> for concern</w:t>
      </w:r>
      <w:r w:rsidR="00D322B2">
        <w:t xml:space="preserve"> has increased from 47% to 65% in 2020</w:t>
      </w:r>
      <w:r w:rsidR="00612DCB">
        <w:t xml:space="preserve"> (see Table </w:t>
      </w:r>
      <w:r w:rsidR="00440372">
        <w:t>2</w:t>
      </w:r>
      <w:r w:rsidR="00612DCB">
        <w:t>)</w:t>
      </w:r>
      <w:r w:rsidR="00D322B2">
        <w:t xml:space="preserve">. </w:t>
      </w:r>
      <w:r w:rsidR="001843DC">
        <w:t>This is reported as being likely due to increased confidence of those conducting preliminary screenings.</w:t>
      </w:r>
      <w:r w:rsidR="001843DC">
        <w:rPr>
          <w:rStyle w:val="FootnoteReference"/>
        </w:rPr>
        <w:footnoteReference w:id="163"/>
      </w:r>
      <w:r w:rsidR="001843DC">
        <w:t xml:space="preserve"> </w:t>
      </w:r>
    </w:p>
    <w:p w14:paraId="0A302E4D" w14:textId="525B41DF" w:rsidR="003D5F88" w:rsidRDefault="00612DCB" w:rsidP="003D5F88">
      <w:pPr>
        <w:pStyle w:val="TableTitle"/>
      </w:pPr>
      <w:r>
        <w:t xml:space="preserve">Table </w:t>
      </w:r>
      <w:r w:rsidR="00440372">
        <w:t>2</w:t>
      </w:r>
      <w:r>
        <w:t xml:space="preserve"> - </w:t>
      </w:r>
      <w:r w:rsidR="00B734CB">
        <w:t>Concerns of abuse reported</w:t>
      </w:r>
      <w:r>
        <w:t xml:space="preserve"> to</w:t>
      </w:r>
      <w:r w:rsidR="00B734CB">
        <w:t xml:space="preserve"> National Safeguarding Office 2016-2020 and outcomes</w:t>
      </w:r>
    </w:p>
    <w:tbl>
      <w:tblPr>
        <w:tblW w:w="80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276"/>
        <w:gridCol w:w="1418"/>
        <w:gridCol w:w="2126"/>
        <w:gridCol w:w="1984"/>
        <w:gridCol w:w="1276"/>
      </w:tblGrid>
      <w:tr w:rsidR="003D5F88" w:rsidRPr="00976629" w14:paraId="618472EE" w14:textId="77777777" w:rsidTr="00440372">
        <w:trPr>
          <w:tblHeader/>
        </w:trPr>
        <w:tc>
          <w:tcPr>
            <w:tcW w:w="1276" w:type="dxa"/>
            <w:tcBorders>
              <w:bottom w:val="single" w:sz="12" w:space="0" w:color="000000"/>
            </w:tcBorders>
            <w:shd w:val="clear" w:color="auto" w:fill="auto"/>
          </w:tcPr>
          <w:p w14:paraId="756CE9A2" w14:textId="3DE127D2" w:rsidR="003D5F88" w:rsidRPr="00976629" w:rsidRDefault="008E6EA2" w:rsidP="002D7051">
            <w:pPr>
              <w:pStyle w:val="TableHead"/>
              <w:jc w:val="right"/>
            </w:pPr>
            <w:r>
              <w:t>Year</w:t>
            </w:r>
          </w:p>
        </w:tc>
        <w:tc>
          <w:tcPr>
            <w:tcW w:w="1418" w:type="dxa"/>
            <w:tcBorders>
              <w:bottom w:val="single" w:sz="12" w:space="0" w:color="000000"/>
            </w:tcBorders>
            <w:shd w:val="clear" w:color="auto" w:fill="auto"/>
          </w:tcPr>
          <w:p w14:paraId="6E4BD0E4" w14:textId="77777777" w:rsidR="003D5F88" w:rsidRPr="00976629" w:rsidRDefault="003D5F88" w:rsidP="005B59EB">
            <w:pPr>
              <w:pStyle w:val="TableHead"/>
              <w:jc w:val="right"/>
            </w:pPr>
            <w:r>
              <w:t>N</w:t>
            </w:r>
          </w:p>
        </w:tc>
        <w:tc>
          <w:tcPr>
            <w:tcW w:w="2126" w:type="dxa"/>
            <w:tcBorders>
              <w:bottom w:val="single" w:sz="12" w:space="0" w:color="000000"/>
            </w:tcBorders>
          </w:tcPr>
          <w:p w14:paraId="6D99A5C0" w14:textId="77777777" w:rsidR="003D5F88" w:rsidRPr="00976629" w:rsidRDefault="003D5F88" w:rsidP="00440372">
            <w:pPr>
              <w:pStyle w:val="TableHead"/>
              <w:jc w:val="right"/>
            </w:pPr>
            <w:r>
              <w:t>Reasonable grounds</w:t>
            </w:r>
          </w:p>
        </w:tc>
        <w:tc>
          <w:tcPr>
            <w:tcW w:w="1984" w:type="dxa"/>
            <w:tcBorders>
              <w:bottom w:val="single" w:sz="12" w:space="0" w:color="000000"/>
            </w:tcBorders>
          </w:tcPr>
          <w:p w14:paraId="3A789862" w14:textId="77777777" w:rsidR="003D5F88" w:rsidRPr="00976629" w:rsidRDefault="003D5F88" w:rsidP="00440372">
            <w:pPr>
              <w:pStyle w:val="TableHead"/>
              <w:jc w:val="right"/>
            </w:pPr>
            <w:r>
              <w:t>More information needed</w:t>
            </w:r>
          </w:p>
        </w:tc>
        <w:tc>
          <w:tcPr>
            <w:tcW w:w="1276" w:type="dxa"/>
            <w:tcBorders>
              <w:bottom w:val="single" w:sz="12" w:space="0" w:color="000000"/>
            </w:tcBorders>
          </w:tcPr>
          <w:p w14:paraId="3F7AB527" w14:textId="77777777" w:rsidR="003D5F88" w:rsidRPr="00976629" w:rsidRDefault="003D5F88" w:rsidP="00440372">
            <w:pPr>
              <w:pStyle w:val="TableHead"/>
              <w:jc w:val="right"/>
            </w:pPr>
            <w:r>
              <w:t>No grounds</w:t>
            </w:r>
          </w:p>
        </w:tc>
      </w:tr>
      <w:tr w:rsidR="003D5F88" w:rsidRPr="00976629" w14:paraId="2C29234A" w14:textId="77777777" w:rsidTr="00440372">
        <w:tc>
          <w:tcPr>
            <w:tcW w:w="1276" w:type="dxa"/>
            <w:tcBorders>
              <w:top w:val="single" w:sz="12" w:space="0" w:color="000000"/>
            </w:tcBorders>
            <w:shd w:val="clear" w:color="auto" w:fill="auto"/>
          </w:tcPr>
          <w:p w14:paraId="313A0587" w14:textId="77777777" w:rsidR="003D5F88" w:rsidRPr="00612DCB" w:rsidRDefault="003D5F88" w:rsidP="002D7051">
            <w:pPr>
              <w:pStyle w:val="TableRowHead"/>
              <w:jc w:val="right"/>
              <w:rPr>
                <w:rFonts w:ascii="Gill Sans MT" w:hAnsi="Gill Sans MT"/>
              </w:rPr>
            </w:pPr>
            <w:r w:rsidRPr="00612DCB">
              <w:rPr>
                <w:rFonts w:ascii="Gill Sans MT" w:hAnsi="Gill Sans MT"/>
              </w:rPr>
              <w:t>2016</w:t>
            </w:r>
          </w:p>
        </w:tc>
        <w:tc>
          <w:tcPr>
            <w:tcW w:w="1418" w:type="dxa"/>
            <w:tcBorders>
              <w:top w:val="single" w:sz="12" w:space="0" w:color="000000"/>
            </w:tcBorders>
            <w:shd w:val="clear" w:color="auto" w:fill="auto"/>
          </w:tcPr>
          <w:p w14:paraId="19F2E98E" w14:textId="4DEA2B57" w:rsidR="003D5F88" w:rsidRPr="00976629" w:rsidRDefault="003D5F88" w:rsidP="00612DCB">
            <w:pPr>
              <w:pStyle w:val="TableCell"/>
              <w:jc w:val="right"/>
            </w:pPr>
            <w:r>
              <w:t>8</w:t>
            </w:r>
            <w:r w:rsidR="00612DCB">
              <w:t>,</w:t>
            </w:r>
            <w:r>
              <w:t>033</w:t>
            </w:r>
          </w:p>
        </w:tc>
        <w:tc>
          <w:tcPr>
            <w:tcW w:w="2126" w:type="dxa"/>
            <w:tcBorders>
              <w:top w:val="single" w:sz="12" w:space="0" w:color="000000"/>
            </w:tcBorders>
          </w:tcPr>
          <w:p w14:paraId="16F6BA70" w14:textId="77777777" w:rsidR="003D5F88" w:rsidRDefault="003D5F88" w:rsidP="00612DCB">
            <w:pPr>
              <w:pStyle w:val="TableCell"/>
              <w:jc w:val="right"/>
            </w:pPr>
            <w:r>
              <w:t>47%</w:t>
            </w:r>
          </w:p>
        </w:tc>
        <w:tc>
          <w:tcPr>
            <w:tcW w:w="1984" w:type="dxa"/>
            <w:tcBorders>
              <w:top w:val="single" w:sz="12" w:space="0" w:color="000000"/>
            </w:tcBorders>
          </w:tcPr>
          <w:p w14:paraId="125B29F7" w14:textId="77777777" w:rsidR="003D5F88" w:rsidRDefault="003D5F88" w:rsidP="00612DCB">
            <w:pPr>
              <w:pStyle w:val="TableCell"/>
              <w:jc w:val="right"/>
            </w:pPr>
            <w:r>
              <w:t>20%</w:t>
            </w:r>
          </w:p>
        </w:tc>
        <w:tc>
          <w:tcPr>
            <w:tcW w:w="1276" w:type="dxa"/>
            <w:tcBorders>
              <w:top w:val="single" w:sz="12" w:space="0" w:color="000000"/>
            </w:tcBorders>
          </w:tcPr>
          <w:p w14:paraId="4E65A2F3" w14:textId="77777777" w:rsidR="003D5F88" w:rsidRDefault="003D5F88" w:rsidP="00612DCB">
            <w:pPr>
              <w:pStyle w:val="TableCell"/>
              <w:jc w:val="right"/>
            </w:pPr>
            <w:r>
              <w:t>34%</w:t>
            </w:r>
          </w:p>
        </w:tc>
      </w:tr>
      <w:tr w:rsidR="003D5F88" w:rsidRPr="00976629" w14:paraId="1E7D23D6" w14:textId="77777777" w:rsidTr="00440372">
        <w:tc>
          <w:tcPr>
            <w:tcW w:w="1276" w:type="dxa"/>
            <w:shd w:val="clear" w:color="auto" w:fill="auto"/>
          </w:tcPr>
          <w:p w14:paraId="413B8DA6" w14:textId="77777777" w:rsidR="003D5F88" w:rsidRPr="00612DCB" w:rsidRDefault="003D5F88" w:rsidP="002D7051">
            <w:pPr>
              <w:pStyle w:val="TableRowHead"/>
              <w:jc w:val="right"/>
              <w:rPr>
                <w:rFonts w:ascii="Gill Sans MT" w:hAnsi="Gill Sans MT"/>
              </w:rPr>
            </w:pPr>
            <w:r w:rsidRPr="00612DCB">
              <w:rPr>
                <w:rFonts w:ascii="Gill Sans MT" w:hAnsi="Gill Sans MT"/>
              </w:rPr>
              <w:t>2017</w:t>
            </w:r>
          </w:p>
        </w:tc>
        <w:tc>
          <w:tcPr>
            <w:tcW w:w="1418" w:type="dxa"/>
            <w:shd w:val="clear" w:color="auto" w:fill="auto"/>
          </w:tcPr>
          <w:p w14:paraId="24B5E2E3" w14:textId="324FDD7B" w:rsidR="003D5F88" w:rsidRPr="00976629" w:rsidRDefault="003D5F88" w:rsidP="00612DCB">
            <w:pPr>
              <w:pStyle w:val="TableCell"/>
              <w:jc w:val="right"/>
            </w:pPr>
            <w:r>
              <w:t>10</w:t>
            </w:r>
            <w:r w:rsidR="00612DCB">
              <w:t>,</w:t>
            </w:r>
            <w:r>
              <w:t>280</w:t>
            </w:r>
          </w:p>
        </w:tc>
        <w:tc>
          <w:tcPr>
            <w:tcW w:w="2126" w:type="dxa"/>
          </w:tcPr>
          <w:p w14:paraId="70CDE02D" w14:textId="77777777" w:rsidR="003D5F88" w:rsidRDefault="003D5F88" w:rsidP="00612DCB">
            <w:pPr>
              <w:pStyle w:val="TableCell"/>
              <w:jc w:val="right"/>
            </w:pPr>
            <w:r>
              <w:t>54%</w:t>
            </w:r>
          </w:p>
        </w:tc>
        <w:tc>
          <w:tcPr>
            <w:tcW w:w="1984" w:type="dxa"/>
          </w:tcPr>
          <w:p w14:paraId="251E03A7" w14:textId="77777777" w:rsidR="003D5F88" w:rsidRDefault="003D5F88" w:rsidP="00612DCB">
            <w:pPr>
              <w:pStyle w:val="TableCell"/>
              <w:jc w:val="right"/>
            </w:pPr>
            <w:r>
              <w:t>15%</w:t>
            </w:r>
          </w:p>
        </w:tc>
        <w:tc>
          <w:tcPr>
            <w:tcW w:w="1276" w:type="dxa"/>
          </w:tcPr>
          <w:p w14:paraId="0B7EE753" w14:textId="77777777" w:rsidR="003D5F88" w:rsidRDefault="003D5F88" w:rsidP="00612DCB">
            <w:pPr>
              <w:pStyle w:val="TableCell"/>
              <w:jc w:val="right"/>
            </w:pPr>
            <w:r>
              <w:t>31%</w:t>
            </w:r>
          </w:p>
        </w:tc>
      </w:tr>
      <w:tr w:rsidR="003D5F88" w:rsidRPr="00976629" w14:paraId="3781B1AE" w14:textId="77777777" w:rsidTr="00440372">
        <w:tc>
          <w:tcPr>
            <w:tcW w:w="1276" w:type="dxa"/>
            <w:shd w:val="clear" w:color="auto" w:fill="auto"/>
          </w:tcPr>
          <w:p w14:paraId="41D48390" w14:textId="77777777" w:rsidR="003D5F88" w:rsidRPr="00612DCB" w:rsidRDefault="003D5F88" w:rsidP="002D7051">
            <w:pPr>
              <w:pStyle w:val="TableRowHead"/>
              <w:jc w:val="right"/>
              <w:rPr>
                <w:rFonts w:ascii="Gill Sans MT" w:hAnsi="Gill Sans MT"/>
              </w:rPr>
            </w:pPr>
            <w:r w:rsidRPr="00612DCB">
              <w:rPr>
                <w:rFonts w:ascii="Gill Sans MT" w:hAnsi="Gill Sans MT"/>
              </w:rPr>
              <w:t>2018</w:t>
            </w:r>
          </w:p>
        </w:tc>
        <w:tc>
          <w:tcPr>
            <w:tcW w:w="1418" w:type="dxa"/>
            <w:shd w:val="clear" w:color="auto" w:fill="auto"/>
          </w:tcPr>
          <w:p w14:paraId="10C7F558" w14:textId="4B26D3A8" w:rsidR="003D5F88" w:rsidRPr="00976629" w:rsidRDefault="003D5F88" w:rsidP="00612DCB">
            <w:pPr>
              <w:pStyle w:val="TableCell"/>
              <w:jc w:val="right"/>
            </w:pPr>
            <w:r>
              <w:t>11</w:t>
            </w:r>
            <w:r w:rsidR="00612DCB">
              <w:t>,</w:t>
            </w:r>
            <w:r>
              <w:t>780</w:t>
            </w:r>
          </w:p>
        </w:tc>
        <w:tc>
          <w:tcPr>
            <w:tcW w:w="2126" w:type="dxa"/>
          </w:tcPr>
          <w:p w14:paraId="621BF620" w14:textId="77777777" w:rsidR="003D5F88" w:rsidRDefault="003D5F88" w:rsidP="00612DCB">
            <w:pPr>
              <w:pStyle w:val="TableCell"/>
              <w:jc w:val="right"/>
            </w:pPr>
            <w:r>
              <w:t>62%</w:t>
            </w:r>
          </w:p>
        </w:tc>
        <w:tc>
          <w:tcPr>
            <w:tcW w:w="1984" w:type="dxa"/>
          </w:tcPr>
          <w:p w14:paraId="65BE1C90" w14:textId="77777777" w:rsidR="003D5F88" w:rsidRDefault="003D5F88" w:rsidP="00612DCB">
            <w:pPr>
              <w:pStyle w:val="TableCell"/>
              <w:jc w:val="right"/>
            </w:pPr>
            <w:r>
              <w:t>9%</w:t>
            </w:r>
          </w:p>
        </w:tc>
        <w:tc>
          <w:tcPr>
            <w:tcW w:w="1276" w:type="dxa"/>
          </w:tcPr>
          <w:p w14:paraId="495AB294" w14:textId="77777777" w:rsidR="003D5F88" w:rsidRDefault="003D5F88" w:rsidP="00612DCB">
            <w:pPr>
              <w:pStyle w:val="TableCell"/>
              <w:jc w:val="right"/>
            </w:pPr>
            <w:r>
              <w:t>30%</w:t>
            </w:r>
          </w:p>
        </w:tc>
      </w:tr>
      <w:tr w:rsidR="003D5F88" w:rsidRPr="00976629" w14:paraId="3C67108A" w14:textId="77777777" w:rsidTr="00440372">
        <w:tc>
          <w:tcPr>
            <w:tcW w:w="1276" w:type="dxa"/>
            <w:shd w:val="clear" w:color="auto" w:fill="auto"/>
          </w:tcPr>
          <w:p w14:paraId="058A38DB" w14:textId="77777777" w:rsidR="003D5F88" w:rsidRPr="00612DCB" w:rsidRDefault="003D5F88" w:rsidP="002D7051">
            <w:pPr>
              <w:pStyle w:val="TableRowHead"/>
              <w:jc w:val="right"/>
              <w:rPr>
                <w:rFonts w:ascii="Gill Sans MT" w:hAnsi="Gill Sans MT"/>
              </w:rPr>
            </w:pPr>
            <w:r w:rsidRPr="00612DCB">
              <w:rPr>
                <w:rFonts w:ascii="Gill Sans MT" w:hAnsi="Gill Sans MT"/>
              </w:rPr>
              <w:t>2019</w:t>
            </w:r>
          </w:p>
        </w:tc>
        <w:tc>
          <w:tcPr>
            <w:tcW w:w="1418" w:type="dxa"/>
            <w:shd w:val="clear" w:color="auto" w:fill="auto"/>
          </w:tcPr>
          <w:p w14:paraId="22B3D877" w14:textId="52B83766" w:rsidR="003D5F88" w:rsidRPr="00976629" w:rsidRDefault="003D5F88" w:rsidP="00612DCB">
            <w:pPr>
              <w:pStyle w:val="TableCell"/>
              <w:jc w:val="right"/>
            </w:pPr>
            <w:r>
              <w:t>11</w:t>
            </w:r>
            <w:r w:rsidR="00612DCB">
              <w:t>,</w:t>
            </w:r>
            <w:r>
              <w:t>215</w:t>
            </w:r>
          </w:p>
        </w:tc>
        <w:tc>
          <w:tcPr>
            <w:tcW w:w="2126" w:type="dxa"/>
          </w:tcPr>
          <w:p w14:paraId="68841BD4" w14:textId="77777777" w:rsidR="003D5F88" w:rsidRDefault="003D5F88" w:rsidP="00612DCB">
            <w:pPr>
              <w:pStyle w:val="TableCell"/>
              <w:jc w:val="right"/>
            </w:pPr>
            <w:r>
              <w:t>67%</w:t>
            </w:r>
          </w:p>
        </w:tc>
        <w:tc>
          <w:tcPr>
            <w:tcW w:w="1984" w:type="dxa"/>
          </w:tcPr>
          <w:p w14:paraId="2F2C829C" w14:textId="77777777" w:rsidR="003D5F88" w:rsidRDefault="003D5F88" w:rsidP="00612DCB">
            <w:pPr>
              <w:pStyle w:val="TableCell"/>
              <w:jc w:val="right"/>
            </w:pPr>
            <w:r>
              <w:t>8%</w:t>
            </w:r>
          </w:p>
        </w:tc>
        <w:tc>
          <w:tcPr>
            <w:tcW w:w="1276" w:type="dxa"/>
          </w:tcPr>
          <w:p w14:paraId="599B7868" w14:textId="77777777" w:rsidR="003D5F88" w:rsidRDefault="003D5F88" w:rsidP="00612DCB">
            <w:pPr>
              <w:pStyle w:val="TableCell"/>
              <w:jc w:val="right"/>
            </w:pPr>
            <w:r>
              <w:t>25%</w:t>
            </w:r>
          </w:p>
        </w:tc>
      </w:tr>
      <w:tr w:rsidR="003D5F88" w:rsidRPr="00976629" w14:paraId="28544928" w14:textId="77777777" w:rsidTr="00440372">
        <w:tc>
          <w:tcPr>
            <w:tcW w:w="1276" w:type="dxa"/>
            <w:shd w:val="clear" w:color="auto" w:fill="auto"/>
          </w:tcPr>
          <w:p w14:paraId="58F2410B" w14:textId="77777777" w:rsidR="003D5F88" w:rsidRPr="00612DCB" w:rsidRDefault="003D5F88" w:rsidP="002D7051">
            <w:pPr>
              <w:pStyle w:val="TableRowHead"/>
              <w:jc w:val="right"/>
              <w:rPr>
                <w:rFonts w:ascii="Gill Sans MT" w:hAnsi="Gill Sans MT"/>
              </w:rPr>
            </w:pPr>
            <w:r w:rsidRPr="00612DCB">
              <w:rPr>
                <w:rFonts w:ascii="Gill Sans MT" w:hAnsi="Gill Sans MT"/>
              </w:rPr>
              <w:t>2020</w:t>
            </w:r>
          </w:p>
        </w:tc>
        <w:tc>
          <w:tcPr>
            <w:tcW w:w="1418" w:type="dxa"/>
            <w:shd w:val="clear" w:color="auto" w:fill="auto"/>
          </w:tcPr>
          <w:p w14:paraId="60B624B3" w14:textId="70F7B8DB" w:rsidR="003D5F88" w:rsidRPr="00976629" w:rsidRDefault="003D5F88" w:rsidP="00612DCB">
            <w:pPr>
              <w:pStyle w:val="TableCell"/>
              <w:jc w:val="right"/>
            </w:pPr>
            <w:r>
              <w:t>10</w:t>
            </w:r>
            <w:r w:rsidR="00612DCB">
              <w:t>,</w:t>
            </w:r>
            <w:r>
              <w:t>216</w:t>
            </w:r>
          </w:p>
        </w:tc>
        <w:tc>
          <w:tcPr>
            <w:tcW w:w="2126" w:type="dxa"/>
          </w:tcPr>
          <w:p w14:paraId="46AAE1D6" w14:textId="77777777" w:rsidR="003D5F88" w:rsidRDefault="003D5F88" w:rsidP="00612DCB">
            <w:pPr>
              <w:pStyle w:val="TableCell"/>
              <w:jc w:val="right"/>
            </w:pPr>
            <w:r>
              <w:t>65%</w:t>
            </w:r>
          </w:p>
        </w:tc>
        <w:tc>
          <w:tcPr>
            <w:tcW w:w="1984" w:type="dxa"/>
          </w:tcPr>
          <w:p w14:paraId="24A69D6B" w14:textId="77777777" w:rsidR="003D5F88" w:rsidRDefault="003D5F88" w:rsidP="00612DCB">
            <w:pPr>
              <w:pStyle w:val="TableCell"/>
              <w:jc w:val="right"/>
            </w:pPr>
            <w:r>
              <w:t>9%</w:t>
            </w:r>
          </w:p>
        </w:tc>
        <w:tc>
          <w:tcPr>
            <w:tcW w:w="1276" w:type="dxa"/>
          </w:tcPr>
          <w:p w14:paraId="26F1E112" w14:textId="77777777" w:rsidR="003D5F88" w:rsidRDefault="003D5F88" w:rsidP="00612DCB">
            <w:pPr>
              <w:pStyle w:val="TableCell"/>
              <w:jc w:val="right"/>
            </w:pPr>
            <w:r>
              <w:t>26%</w:t>
            </w:r>
          </w:p>
        </w:tc>
      </w:tr>
    </w:tbl>
    <w:p w14:paraId="1DAAE9BA" w14:textId="651B7974" w:rsidR="001F09F3" w:rsidRDefault="001F09F3" w:rsidP="00612DCB">
      <w:pPr>
        <w:pStyle w:val="Heading3"/>
        <w:spacing w:before="120"/>
      </w:pPr>
      <w:r w:rsidRPr="00BB7C9C">
        <w:t xml:space="preserve">Confidential </w:t>
      </w:r>
      <w:r w:rsidR="00440372">
        <w:t>R</w:t>
      </w:r>
      <w:r w:rsidRPr="00BB7C9C">
        <w:t>ecipient</w:t>
      </w:r>
    </w:p>
    <w:p w14:paraId="2037E41C" w14:textId="2F8DC937" w:rsidR="003802CD" w:rsidRDefault="001220A6" w:rsidP="001F09F3">
      <w:r>
        <w:t>Since 2015 there have been 1,061 concerns reported to</w:t>
      </w:r>
      <w:r w:rsidR="003802CD">
        <w:t xml:space="preserve"> the </w:t>
      </w:r>
      <w:r w:rsidR="00612DCB">
        <w:t>C</w:t>
      </w:r>
      <w:r w:rsidR="003802CD">
        <w:t xml:space="preserve">onfidential </w:t>
      </w:r>
      <w:r w:rsidR="00612DCB">
        <w:t>Recipient</w:t>
      </w:r>
      <w:r>
        <w:t>.</w:t>
      </w:r>
      <w:r w:rsidR="0098457D">
        <w:rPr>
          <w:rStyle w:val="FootnoteReference"/>
        </w:rPr>
        <w:footnoteReference w:id="164"/>
      </w:r>
      <w:r>
        <w:t xml:space="preserve"> The numbers have tended to fluctuate each year (see Table </w:t>
      </w:r>
      <w:r w:rsidR="00440372">
        <w:t>3</w:t>
      </w:r>
      <w:r>
        <w:t>)</w:t>
      </w:r>
      <w:r w:rsidR="003802CD">
        <w:t xml:space="preserve">. </w:t>
      </w:r>
      <w:r w:rsidR="00612DCB">
        <w:t xml:space="preserve">There was a total of 320 </w:t>
      </w:r>
      <w:r>
        <w:t>reports</w:t>
      </w:r>
      <w:r w:rsidR="00612DCB">
        <w:t xml:space="preserve"> made </w:t>
      </w:r>
      <w:r w:rsidR="00153DE6">
        <w:t>in 2019 and 2020.</w:t>
      </w:r>
      <w:r w:rsidR="003802CD">
        <w:t xml:space="preserve"> </w:t>
      </w:r>
      <w:r w:rsidR="00612DCB">
        <w:t>Over one third of these</w:t>
      </w:r>
      <w:r>
        <w:t xml:space="preserve"> </w:t>
      </w:r>
      <w:r w:rsidR="00160783">
        <w:t xml:space="preserve">complaints </w:t>
      </w:r>
      <w:r w:rsidR="003A4BD8">
        <w:t>related</w:t>
      </w:r>
      <w:r w:rsidR="00160783">
        <w:t xml:space="preserve"> to safeguarding conc</w:t>
      </w:r>
      <w:r w:rsidR="00EA3554">
        <w:t>erns</w:t>
      </w:r>
      <w:r>
        <w:t xml:space="preserve"> (37%, n=119)</w:t>
      </w:r>
      <w:r w:rsidR="00EA3554">
        <w:t xml:space="preserve"> and the majority of these (36%</w:t>
      </w:r>
      <w:r>
        <w:t>, n=43</w:t>
      </w:r>
      <w:r w:rsidR="00EA3554">
        <w:t xml:space="preserve">) related to </w:t>
      </w:r>
      <w:r w:rsidR="00512FC8">
        <w:t>alleged</w:t>
      </w:r>
      <w:r w:rsidR="00EA3554">
        <w:t xml:space="preserve"> abuse, mostly physical abuse</w:t>
      </w:r>
      <w:r>
        <w:t>,</w:t>
      </w:r>
      <w:r w:rsidR="00EA3554">
        <w:t xml:space="preserve"> and mostly peer on peer abuse.</w:t>
      </w:r>
      <w:r w:rsidR="0098457D">
        <w:rPr>
          <w:rStyle w:val="FootnoteReference"/>
        </w:rPr>
        <w:footnoteReference w:id="165"/>
      </w:r>
    </w:p>
    <w:p w14:paraId="6069A9C5" w14:textId="281597F6" w:rsidR="001220A6" w:rsidRDefault="00440372" w:rsidP="001220A6">
      <w:pPr>
        <w:pStyle w:val="TableTitle"/>
      </w:pPr>
      <w:r>
        <w:t xml:space="preserve">Table 3 - </w:t>
      </w:r>
      <w:r w:rsidR="001220A6">
        <w:t>Annual number of concerns made to Confidential Recipient 2015-2020</w:t>
      </w:r>
    </w:p>
    <w:tbl>
      <w:tblPr>
        <w:tblW w:w="793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760"/>
        <w:gridCol w:w="4178"/>
      </w:tblGrid>
      <w:tr w:rsidR="003802CD" w:rsidRPr="00976629" w14:paraId="377487F6" w14:textId="77777777" w:rsidTr="003802CD">
        <w:trPr>
          <w:tblHeader/>
        </w:trPr>
        <w:tc>
          <w:tcPr>
            <w:tcW w:w="3760" w:type="dxa"/>
            <w:tcBorders>
              <w:bottom w:val="single" w:sz="12" w:space="0" w:color="000000"/>
            </w:tcBorders>
            <w:shd w:val="clear" w:color="auto" w:fill="auto"/>
          </w:tcPr>
          <w:p w14:paraId="39D2254D" w14:textId="0C71D07D" w:rsidR="003802CD" w:rsidRPr="00976629" w:rsidRDefault="001220A6" w:rsidP="002D7051">
            <w:pPr>
              <w:pStyle w:val="TableHead"/>
              <w:jc w:val="right"/>
            </w:pPr>
            <w:r>
              <w:t>Year</w:t>
            </w:r>
          </w:p>
        </w:tc>
        <w:tc>
          <w:tcPr>
            <w:tcW w:w="4178" w:type="dxa"/>
            <w:tcBorders>
              <w:bottom w:val="single" w:sz="12" w:space="0" w:color="000000"/>
            </w:tcBorders>
            <w:shd w:val="clear" w:color="auto" w:fill="auto"/>
          </w:tcPr>
          <w:p w14:paraId="4DEDD0EA" w14:textId="77777777" w:rsidR="003802CD" w:rsidRPr="00976629" w:rsidRDefault="003802CD" w:rsidP="00440372">
            <w:pPr>
              <w:pStyle w:val="TableHead"/>
              <w:jc w:val="right"/>
            </w:pPr>
            <w:r>
              <w:t>N</w:t>
            </w:r>
          </w:p>
        </w:tc>
      </w:tr>
      <w:tr w:rsidR="003802CD" w:rsidRPr="00976629" w14:paraId="1972FD53" w14:textId="77777777" w:rsidTr="003802CD">
        <w:tc>
          <w:tcPr>
            <w:tcW w:w="3760" w:type="dxa"/>
            <w:tcBorders>
              <w:top w:val="single" w:sz="12" w:space="0" w:color="000000"/>
            </w:tcBorders>
            <w:shd w:val="clear" w:color="auto" w:fill="auto"/>
          </w:tcPr>
          <w:p w14:paraId="0C90B1E0" w14:textId="3BA7B26D" w:rsidR="003802CD" w:rsidRPr="003938C9" w:rsidRDefault="003802CD" w:rsidP="002D7051">
            <w:pPr>
              <w:pStyle w:val="TableRowHead"/>
              <w:jc w:val="right"/>
              <w:rPr>
                <w:rFonts w:ascii="Gill Sans MT" w:hAnsi="Gill Sans MT"/>
              </w:rPr>
            </w:pPr>
            <w:r w:rsidRPr="003938C9">
              <w:rPr>
                <w:rFonts w:ascii="Gill Sans MT" w:hAnsi="Gill Sans MT"/>
              </w:rPr>
              <w:t>2015</w:t>
            </w:r>
          </w:p>
        </w:tc>
        <w:tc>
          <w:tcPr>
            <w:tcW w:w="4178" w:type="dxa"/>
            <w:tcBorders>
              <w:top w:val="single" w:sz="12" w:space="0" w:color="000000"/>
            </w:tcBorders>
            <w:shd w:val="clear" w:color="auto" w:fill="auto"/>
          </w:tcPr>
          <w:p w14:paraId="2604991F" w14:textId="17DC165B" w:rsidR="003802CD" w:rsidRPr="00976629" w:rsidRDefault="003802CD" w:rsidP="00440372">
            <w:pPr>
              <w:pStyle w:val="TableCell"/>
              <w:jc w:val="right"/>
            </w:pPr>
            <w:r>
              <w:t>119</w:t>
            </w:r>
          </w:p>
        </w:tc>
      </w:tr>
      <w:tr w:rsidR="003802CD" w:rsidRPr="00976629" w14:paraId="1BEFB28B" w14:textId="77777777" w:rsidTr="003802CD">
        <w:tc>
          <w:tcPr>
            <w:tcW w:w="3760" w:type="dxa"/>
            <w:shd w:val="clear" w:color="auto" w:fill="auto"/>
          </w:tcPr>
          <w:p w14:paraId="6B6D226E" w14:textId="3CB7838F" w:rsidR="003802CD" w:rsidRPr="003938C9" w:rsidRDefault="003802CD" w:rsidP="002D7051">
            <w:pPr>
              <w:pStyle w:val="TableRowHead"/>
              <w:jc w:val="right"/>
              <w:rPr>
                <w:rFonts w:ascii="Gill Sans MT" w:hAnsi="Gill Sans MT"/>
              </w:rPr>
            </w:pPr>
            <w:r w:rsidRPr="003938C9">
              <w:rPr>
                <w:rFonts w:ascii="Gill Sans MT" w:hAnsi="Gill Sans MT"/>
              </w:rPr>
              <w:t>2016</w:t>
            </w:r>
          </w:p>
        </w:tc>
        <w:tc>
          <w:tcPr>
            <w:tcW w:w="4178" w:type="dxa"/>
            <w:shd w:val="clear" w:color="auto" w:fill="auto"/>
          </w:tcPr>
          <w:p w14:paraId="54CEC886" w14:textId="638487F7" w:rsidR="003802CD" w:rsidRPr="00976629" w:rsidRDefault="003802CD" w:rsidP="00440372">
            <w:pPr>
              <w:pStyle w:val="TableCell"/>
              <w:jc w:val="right"/>
            </w:pPr>
            <w:r>
              <w:t>220</w:t>
            </w:r>
          </w:p>
        </w:tc>
      </w:tr>
      <w:tr w:rsidR="003802CD" w:rsidRPr="00976629" w14:paraId="2C8F4009" w14:textId="77777777" w:rsidTr="003802CD">
        <w:tc>
          <w:tcPr>
            <w:tcW w:w="3760" w:type="dxa"/>
            <w:shd w:val="clear" w:color="auto" w:fill="auto"/>
          </w:tcPr>
          <w:p w14:paraId="55A14D9F" w14:textId="0FCFC5DF" w:rsidR="003802CD" w:rsidRPr="003938C9" w:rsidRDefault="003802CD" w:rsidP="002D7051">
            <w:pPr>
              <w:pStyle w:val="TableRowHead"/>
              <w:jc w:val="right"/>
              <w:rPr>
                <w:rFonts w:ascii="Gill Sans MT" w:hAnsi="Gill Sans MT"/>
              </w:rPr>
            </w:pPr>
            <w:r w:rsidRPr="003938C9">
              <w:rPr>
                <w:rFonts w:ascii="Gill Sans MT" w:hAnsi="Gill Sans MT"/>
              </w:rPr>
              <w:t>2017</w:t>
            </w:r>
          </w:p>
        </w:tc>
        <w:tc>
          <w:tcPr>
            <w:tcW w:w="4178" w:type="dxa"/>
            <w:shd w:val="clear" w:color="auto" w:fill="auto"/>
          </w:tcPr>
          <w:p w14:paraId="282B9F69" w14:textId="447D214C" w:rsidR="003802CD" w:rsidRPr="00976629" w:rsidRDefault="003802CD" w:rsidP="00440372">
            <w:pPr>
              <w:pStyle w:val="TableCell"/>
              <w:jc w:val="right"/>
            </w:pPr>
            <w:r>
              <w:t>196</w:t>
            </w:r>
          </w:p>
        </w:tc>
      </w:tr>
      <w:tr w:rsidR="003802CD" w:rsidRPr="00976629" w14:paraId="0FEE8501" w14:textId="77777777" w:rsidTr="003802CD">
        <w:trPr>
          <w:trHeight w:val="65"/>
        </w:trPr>
        <w:tc>
          <w:tcPr>
            <w:tcW w:w="3760" w:type="dxa"/>
            <w:shd w:val="clear" w:color="auto" w:fill="auto"/>
          </w:tcPr>
          <w:p w14:paraId="0E98584A" w14:textId="16FFF5CB" w:rsidR="003802CD" w:rsidRPr="003938C9" w:rsidRDefault="003802CD" w:rsidP="002D7051">
            <w:pPr>
              <w:pStyle w:val="TableRowHead"/>
              <w:jc w:val="right"/>
              <w:rPr>
                <w:rFonts w:ascii="Gill Sans MT" w:hAnsi="Gill Sans MT"/>
              </w:rPr>
            </w:pPr>
            <w:r w:rsidRPr="003938C9">
              <w:rPr>
                <w:rFonts w:ascii="Gill Sans MT" w:hAnsi="Gill Sans MT"/>
              </w:rPr>
              <w:t>2018</w:t>
            </w:r>
          </w:p>
        </w:tc>
        <w:tc>
          <w:tcPr>
            <w:tcW w:w="4178" w:type="dxa"/>
            <w:shd w:val="clear" w:color="auto" w:fill="auto"/>
          </w:tcPr>
          <w:p w14:paraId="057FB925" w14:textId="43B92FEB" w:rsidR="003802CD" w:rsidRPr="00976629" w:rsidRDefault="003802CD" w:rsidP="00440372">
            <w:pPr>
              <w:pStyle w:val="TableCell"/>
              <w:jc w:val="right"/>
            </w:pPr>
            <w:r>
              <w:t>206</w:t>
            </w:r>
          </w:p>
        </w:tc>
      </w:tr>
      <w:tr w:rsidR="003802CD" w:rsidRPr="00976629" w14:paraId="6F0D856B" w14:textId="77777777" w:rsidTr="003802CD">
        <w:tc>
          <w:tcPr>
            <w:tcW w:w="3760" w:type="dxa"/>
            <w:shd w:val="clear" w:color="auto" w:fill="auto"/>
          </w:tcPr>
          <w:p w14:paraId="4C71328E" w14:textId="5E85721B" w:rsidR="003802CD" w:rsidRPr="003938C9" w:rsidRDefault="003802CD" w:rsidP="002D7051">
            <w:pPr>
              <w:pStyle w:val="TableRowHead"/>
              <w:jc w:val="right"/>
              <w:rPr>
                <w:rFonts w:ascii="Gill Sans MT" w:hAnsi="Gill Sans MT"/>
              </w:rPr>
            </w:pPr>
            <w:r w:rsidRPr="003938C9">
              <w:rPr>
                <w:rFonts w:ascii="Gill Sans MT" w:hAnsi="Gill Sans MT"/>
              </w:rPr>
              <w:t>2019</w:t>
            </w:r>
          </w:p>
        </w:tc>
        <w:tc>
          <w:tcPr>
            <w:tcW w:w="4178" w:type="dxa"/>
            <w:shd w:val="clear" w:color="auto" w:fill="auto"/>
          </w:tcPr>
          <w:p w14:paraId="2DAD5E75" w14:textId="5E437F2F" w:rsidR="003802CD" w:rsidRPr="00976629" w:rsidRDefault="003802CD" w:rsidP="00440372">
            <w:pPr>
              <w:pStyle w:val="TableCell"/>
              <w:jc w:val="right"/>
            </w:pPr>
            <w:r>
              <w:t>155</w:t>
            </w:r>
          </w:p>
        </w:tc>
      </w:tr>
      <w:tr w:rsidR="003802CD" w:rsidRPr="00976629" w14:paraId="5F51F4F5" w14:textId="77777777" w:rsidTr="003802CD">
        <w:tc>
          <w:tcPr>
            <w:tcW w:w="3760" w:type="dxa"/>
            <w:shd w:val="clear" w:color="auto" w:fill="auto"/>
          </w:tcPr>
          <w:p w14:paraId="00AFA3E9" w14:textId="40B25160" w:rsidR="003802CD" w:rsidRPr="003938C9" w:rsidRDefault="003802CD" w:rsidP="002D7051">
            <w:pPr>
              <w:pStyle w:val="TableRowHead"/>
              <w:jc w:val="right"/>
              <w:rPr>
                <w:rFonts w:ascii="Gill Sans MT" w:hAnsi="Gill Sans MT"/>
              </w:rPr>
            </w:pPr>
            <w:r w:rsidRPr="003938C9">
              <w:rPr>
                <w:rFonts w:ascii="Gill Sans MT" w:hAnsi="Gill Sans MT"/>
              </w:rPr>
              <w:t>2020</w:t>
            </w:r>
          </w:p>
        </w:tc>
        <w:tc>
          <w:tcPr>
            <w:tcW w:w="4178" w:type="dxa"/>
            <w:shd w:val="clear" w:color="auto" w:fill="auto"/>
          </w:tcPr>
          <w:p w14:paraId="6D2FD6D7" w14:textId="140225F6" w:rsidR="003802CD" w:rsidRDefault="003802CD" w:rsidP="00440372">
            <w:pPr>
              <w:pStyle w:val="TableCell"/>
              <w:jc w:val="right"/>
            </w:pPr>
            <w:r>
              <w:t>165</w:t>
            </w:r>
          </w:p>
        </w:tc>
      </w:tr>
    </w:tbl>
    <w:p w14:paraId="4C1FC64A" w14:textId="7ECDD751" w:rsidR="00F01F70" w:rsidRDefault="00F01F70" w:rsidP="001220A6">
      <w:pPr>
        <w:pStyle w:val="Heading3"/>
        <w:spacing w:before="120"/>
      </w:pPr>
      <w:r>
        <w:t>High profile national cases</w:t>
      </w:r>
    </w:p>
    <w:p w14:paraId="7A06DEA5" w14:textId="77777777" w:rsidR="00F01F70" w:rsidRDefault="00F01F70" w:rsidP="00F01F70">
      <w:pPr>
        <w:pStyle w:val="Heading4"/>
      </w:pPr>
      <w:r>
        <w:t>Aras Attracta</w:t>
      </w:r>
    </w:p>
    <w:p w14:paraId="74985101" w14:textId="44C9FEF7" w:rsidR="00F01F70" w:rsidRPr="00270A4D" w:rsidRDefault="00F01F70" w:rsidP="00F01F70">
      <w:r>
        <w:t>In 2014, the national broadcaster RT</w:t>
      </w:r>
      <w:r w:rsidR="00DB4405">
        <w:t>É</w:t>
      </w:r>
      <w:r>
        <w:t xml:space="preserve"> </w:t>
      </w:r>
      <w:r w:rsidR="000A2944">
        <w:t xml:space="preserve">aired a </w:t>
      </w:r>
      <w:r>
        <w:t>Prime Time</w:t>
      </w:r>
      <w:r w:rsidR="000A2944">
        <w:rPr>
          <w:rStyle w:val="FootnoteReference"/>
        </w:rPr>
        <w:footnoteReference w:id="166"/>
      </w:r>
      <w:r>
        <w:t xml:space="preserve"> investigation into abuse at a residential care </w:t>
      </w:r>
      <w:r w:rsidR="00640E3B">
        <w:t>facility for</w:t>
      </w:r>
      <w:r w:rsidR="000D37B7">
        <w:t xml:space="preserve"> people with intellectual disabilities</w:t>
      </w:r>
      <w:r>
        <w:t xml:space="preserve"> in Mayo. Undercover footage showed a number of staff members physically and psychologically abusing and neglecting residents in the facility. A subsequent investigation by </w:t>
      </w:r>
      <w:r w:rsidR="00DD067D">
        <w:t xml:space="preserve">An Garda </w:t>
      </w:r>
      <w:r w:rsidR="00523325">
        <w:t xml:space="preserve">Síochána </w:t>
      </w:r>
      <w:r>
        <w:t>resulted in criminal charges against 6 people, 5 of whom were found guilty</w:t>
      </w:r>
      <w:r>
        <w:rPr>
          <w:rStyle w:val="FootnoteReference"/>
        </w:rPr>
        <w:footnoteReference w:id="167"/>
      </w:r>
      <w:r>
        <w:t>. The abuse of these residents led to the launch of the</w:t>
      </w:r>
      <w:r w:rsidRPr="00993D99">
        <w:t xml:space="preserve"> </w:t>
      </w:r>
      <w:r>
        <w:t xml:space="preserve">HSE’s </w:t>
      </w:r>
      <w:r w:rsidRPr="00993D99">
        <w:t>Safeguarding Vulnerable Persons at Risk of Abuse - National Policy and Procedures</w:t>
      </w:r>
      <w:r>
        <w:t xml:space="preserve"> and the establishment of the National Safeguarding Office.</w:t>
      </w:r>
    </w:p>
    <w:p w14:paraId="12689751" w14:textId="40485FDC" w:rsidR="00F01F70" w:rsidRPr="008D5924" w:rsidRDefault="00105983" w:rsidP="00F01F70">
      <w:pPr>
        <w:pStyle w:val="Heading4"/>
      </w:pPr>
      <w:r>
        <w:t>Grace c</w:t>
      </w:r>
      <w:r w:rsidR="00F01F70" w:rsidRPr="008D5924">
        <w:t>ase</w:t>
      </w:r>
    </w:p>
    <w:p w14:paraId="5181ACF5" w14:textId="54C73F6A" w:rsidR="00F01F70" w:rsidRPr="008D5924" w:rsidRDefault="00F01F70" w:rsidP="00F01F70">
      <w:r w:rsidRPr="008D5924">
        <w:t xml:space="preserve">The Commission of Investigation (Certain matters relative to a disability service in the South East and related matters) was established </w:t>
      </w:r>
      <w:r w:rsidR="0097314E">
        <w:t>in</w:t>
      </w:r>
      <w:r w:rsidRPr="008D5924">
        <w:t xml:space="preserve"> 2017.</w:t>
      </w:r>
      <w:r w:rsidRPr="008D5924">
        <w:rPr>
          <w:rStyle w:val="FootnoteReference"/>
        </w:rPr>
        <w:footnoteReference w:id="168"/>
      </w:r>
      <w:r w:rsidRPr="008D5924">
        <w:t xml:space="preserve"> It is investigating the care of a woman with intellectual disabilities in a foster home in the Southeast of Ireland, and her alle</w:t>
      </w:r>
      <w:r w:rsidR="00DB4405">
        <w:t xml:space="preserve">ged physical and sexual abuse. </w:t>
      </w:r>
      <w:r w:rsidRPr="008D5924">
        <w:t>Grace</w:t>
      </w:r>
      <w:r w:rsidR="00DB4405">
        <w:rPr>
          <w:rStyle w:val="FootnoteReference"/>
        </w:rPr>
        <w:footnoteReference w:id="169"/>
      </w:r>
      <w:r w:rsidRPr="008D5924">
        <w:t xml:space="preserve"> was placed with the foster family in 1989 and remained in the home until 2009, despite a 1995 decision by the South Eastern Health Board to </w:t>
      </w:r>
      <w:r w:rsidR="0097314E">
        <w:t>stop</w:t>
      </w:r>
      <w:r w:rsidRPr="008D5924">
        <w:t xml:space="preserve"> using the family for placements and to remove other vulnerable young people. Two interim reports from the Commission have suggested repeated and systemic failings in Grace’s care despite abuse concerns.</w:t>
      </w:r>
      <w:r w:rsidRPr="008D5924">
        <w:rPr>
          <w:rStyle w:val="FootnoteReference"/>
        </w:rPr>
        <w:footnoteReference w:id="170"/>
      </w:r>
      <w:r w:rsidRPr="008D5924">
        <w:t xml:space="preserve"> </w:t>
      </w:r>
      <w:r w:rsidR="0097314E">
        <w:t>The Commission</w:t>
      </w:r>
      <w:r w:rsidR="0097314E" w:rsidRPr="008D5924">
        <w:t xml:space="preserve"> has recently been granted a final extension and will complete its work by July 2022.</w:t>
      </w:r>
    </w:p>
    <w:p w14:paraId="76D5051F" w14:textId="77777777" w:rsidR="00F01F70" w:rsidRDefault="00F01F70" w:rsidP="00F01F70">
      <w:pPr>
        <w:pStyle w:val="Heading4"/>
        <w:rPr>
          <w:highlight w:val="magenta"/>
        </w:rPr>
      </w:pPr>
      <w:r w:rsidRPr="00D334F4">
        <w:t>Brandon case</w:t>
      </w:r>
    </w:p>
    <w:p w14:paraId="4D7A6008" w14:textId="5E8BCF1C" w:rsidR="00642872" w:rsidRDefault="00F01F70" w:rsidP="004B435B">
      <w:r>
        <w:t xml:space="preserve">An investigation by the </w:t>
      </w:r>
      <w:r w:rsidRPr="005073E7">
        <w:t>HSE’s Nat</w:t>
      </w:r>
      <w:r w:rsidR="00E54256">
        <w:t>ional Independent Review Panel</w:t>
      </w:r>
      <w:r>
        <w:t xml:space="preserve"> </w:t>
      </w:r>
      <w:r w:rsidR="007415F4">
        <w:t xml:space="preserve">(NIRP) </w:t>
      </w:r>
      <w:r w:rsidR="00102225">
        <w:t>has</w:t>
      </w:r>
      <w:r>
        <w:t xml:space="preserve"> found that at least 18 people with intellectual disabilities in care settings </w:t>
      </w:r>
      <w:r w:rsidR="00E54256">
        <w:t xml:space="preserve">in Donegal </w:t>
      </w:r>
      <w:r>
        <w:t xml:space="preserve">were sexually abused </w:t>
      </w:r>
      <w:r w:rsidR="00DB4405">
        <w:t xml:space="preserve">by </w:t>
      </w:r>
      <w:r w:rsidR="00105983">
        <w:t>Brandon</w:t>
      </w:r>
      <w:r w:rsidR="00105983">
        <w:rPr>
          <w:rStyle w:val="FootnoteReference"/>
        </w:rPr>
        <w:footnoteReference w:id="171"/>
      </w:r>
      <w:r w:rsidR="00105983">
        <w:t xml:space="preserve">, </w:t>
      </w:r>
      <w:r w:rsidR="00DB4405">
        <w:t>another resident</w:t>
      </w:r>
      <w:r w:rsidR="00105983">
        <w:t xml:space="preserve">, </w:t>
      </w:r>
      <w:r w:rsidR="00DB4405">
        <w:t>on multiple occasions by</w:t>
      </w:r>
      <w:r>
        <w:t xml:space="preserve"> between 2003 and 2016.</w:t>
      </w:r>
      <w:r w:rsidR="00152045">
        <w:rPr>
          <w:rStyle w:val="FootnoteReference"/>
        </w:rPr>
        <w:footnoteReference w:id="172"/>
      </w:r>
      <w:r>
        <w:t xml:space="preserve"> </w:t>
      </w:r>
      <w:r w:rsidR="00152045">
        <w:t xml:space="preserve">A Look Back Review into Brandon’s behaviour found that between 2003 and 2011 Brandon “engaged in a vast number of highly abusive and sexually intrusive behaviours” against other residents. NIRP identified case </w:t>
      </w:r>
      <w:r w:rsidR="00585D77">
        <w:t>notes that also indicated inappropriate behaviour occurring from 1997</w:t>
      </w:r>
      <w:r w:rsidR="00152045">
        <w:t xml:space="preserve"> and while there are no written reports of his behaviour from 2011 onwards, they are records to suggest he continued to engage in this behaviour until he was moved to a nursing home in 2016. </w:t>
      </w:r>
      <w:r w:rsidR="00101E34">
        <w:t xml:space="preserve">Staff and management were fully aware of this abuse occurring, but </w:t>
      </w:r>
      <w:r w:rsidR="00E54256">
        <w:t>victims’ family members were only informed about the abuse in December 2018</w:t>
      </w:r>
      <w:r>
        <w:t>.</w:t>
      </w:r>
      <w:r>
        <w:rPr>
          <w:rStyle w:val="FootnoteReference"/>
        </w:rPr>
        <w:footnoteReference w:id="173"/>
      </w:r>
      <w:r w:rsidR="00E54256">
        <w:t xml:space="preserve"> </w:t>
      </w:r>
      <w:r w:rsidR="00E123FA">
        <w:t xml:space="preserve">Both NIRP and previous HIQA inspections identified failings regarding the governance and management of this particular service. </w:t>
      </w:r>
      <w:r w:rsidR="00642872">
        <w:t xml:space="preserve">The review team </w:t>
      </w:r>
      <w:r w:rsidR="003B1357">
        <w:t>believed</w:t>
      </w:r>
      <w:r w:rsidR="00642872">
        <w:t xml:space="preserve"> a key contributing factor enabling this abuse to continue was the clinical-like environment of the se</w:t>
      </w:r>
      <w:r w:rsidR="00E123FA">
        <w:t xml:space="preserve">tting which treated residents as patients and promoted a situation where they were completely reliant on staff to protect them. </w:t>
      </w:r>
      <w:r w:rsidR="00403672">
        <w:t>Brandon spent 20 years in this service and there was never a holistic assessment of his needs or a more specialised placement considered for him. NIRP</w:t>
      </w:r>
      <w:r w:rsidR="00E123FA">
        <w:t xml:space="preserve"> also found the work environment to be challenging for staff working there, who regularly reported Brandon’s behaviour to management but nothing was done to appropriately manage the situation. </w:t>
      </w:r>
      <w:r w:rsidR="005E6EC3">
        <w:t xml:space="preserve">In some </w:t>
      </w:r>
      <w:r w:rsidR="00585D77">
        <w:t>instances,</w:t>
      </w:r>
      <w:r w:rsidR="005E6EC3">
        <w:t xml:space="preserve"> Brandon was moved to another residence, which just exposed other residents and staff to his inappropriate behaviour. While the service had plenty of policies and procedures in place, NIRP found little evidence of staffing being adequately trained to use or implement these policies and procedures.</w:t>
      </w:r>
      <w:r w:rsidR="009F689D">
        <w:rPr>
          <w:rStyle w:val="FootnoteReference"/>
        </w:rPr>
        <w:footnoteReference w:id="174"/>
      </w:r>
      <w:r w:rsidR="005E6EC3">
        <w:t xml:space="preserve"> </w:t>
      </w:r>
    </w:p>
    <w:p w14:paraId="412F9DD2" w14:textId="77777777" w:rsidR="00B94415" w:rsidRDefault="00B94415" w:rsidP="00B94415">
      <w:pPr>
        <w:pStyle w:val="Heading2"/>
      </w:pPr>
      <w:bookmarkStart w:id="79" w:name="_Toc100231238"/>
      <w:r>
        <w:t>Financial abuse data</w:t>
      </w:r>
      <w:bookmarkEnd w:id="79"/>
    </w:p>
    <w:p w14:paraId="3C1F7E6A" w14:textId="0869BA59" w:rsidR="00F01F70" w:rsidRDefault="00C35CDB" w:rsidP="00B22F3E">
      <w:r>
        <w:t>The HSE defines financial abuse as “an act or acts where a person is deprived of control of their finances or personal possessions or exploited financially by another person or persons.”</w:t>
      </w:r>
      <w:r>
        <w:rPr>
          <w:rStyle w:val="FootnoteReference"/>
        </w:rPr>
        <w:footnoteReference w:id="175"/>
      </w:r>
      <w:r>
        <w:t xml:space="preserve"> </w:t>
      </w:r>
      <w:r w:rsidR="007D3503">
        <w:t>An example of this is a recent inspection by HIQA of a centre for people with disabilities which found residents’ money was being spent without receipts and on household items such as wall paint and bulbs against provider policy.</w:t>
      </w:r>
      <w:r w:rsidR="007D3503">
        <w:rPr>
          <w:rStyle w:val="FootnoteReference"/>
        </w:rPr>
        <w:footnoteReference w:id="176"/>
      </w:r>
      <w:r w:rsidR="007D3503">
        <w:t xml:space="preserve"> </w:t>
      </w:r>
      <w:r w:rsidR="00F63911">
        <w:t>Research</w:t>
      </w:r>
      <w:r>
        <w:t xml:space="preserve"> and data on</w:t>
      </w:r>
      <w:r w:rsidR="00F63911">
        <w:t xml:space="preserve"> financial abuse can often focus on older people but some people with disabilities may</w:t>
      </w:r>
      <w:r w:rsidR="00F1651B">
        <w:t xml:space="preserve"> also</w:t>
      </w:r>
      <w:r w:rsidR="00F63911">
        <w:t xml:space="preserve"> be at increased risk of financial abuse, especially if they are dependent on others for their care.</w:t>
      </w:r>
      <w:r w:rsidR="0063119C">
        <w:t xml:space="preserve"> </w:t>
      </w:r>
      <w:r w:rsidR="005D71B1">
        <w:t>Since 2016, annual</w:t>
      </w:r>
      <w:r w:rsidR="008A19CA">
        <w:t>ly</w:t>
      </w:r>
      <w:r w:rsidR="005D71B1">
        <w:t xml:space="preserve"> around one in ten</w:t>
      </w:r>
      <w:r w:rsidR="008A19CA">
        <w:rPr>
          <w:rStyle w:val="FootnoteReference"/>
        </w:rPr>
        <w:footnoteReference w:id="177"/>
      </w:r>
      <w:r w:rsidR="005D71B1">
        <w:t xml:space="preserve"> of abuse allegations received by the National Safeguarding Office</w:t>
      </w:r>
      <w:r w:rsidR="008A19CA">
        <w:t xml:space="preserve"> related to financial abuse.</w:t>
      </w:r>
      <w:r w:rsidR="008A19CA">
        <w:rPr>
          <w:rStyle w:val="FootnoteReference"/>
        </w:rPr>
        <w:footnoteReference w:id="178"/>
      </w:r>
      <w:r w:rsidR="008A19CA">
        <w:t xml:space="preserve"> </w:t>
      </w:r>
      <w:r w:rsidR="008A19CA">
        <w:rPr>
          <w:rStyle w:val="FootnoteReference"/>
        </w:rPr>
        <w:footnoteReference w:id="179"/>
      </w:r>
      <w:r w:rsidR="008A19CA">
        <w:t xml:space="preserve"> </w:t>
      </w:r>
      <w:r w:rsidR="008A19CA">
        <w:rPr>
          <w:rStyle w:val="FootnoteReference"/>
        </w:rPr>
        <w:footnoteReference w:id="180"/>
      </w:r>
      <w:r w:rsidR="008A19CA">
        <w:t xml:space="preserve"> </w:t>
      </w:r>
      <w:r w:rsidR="008A19CA">
        <w:rPr>
          <w:rStyle w:val="FootnoteReference"/>
        </w:rPr>
        <w:footnoteReference w:id="181"/>
      </w:r>
      <w:r w:rsidR="008A19CA">
        <w:t xml:space="preserve"> </w:t>
      </w:r>
      <w:r w:rsidR="008A19CA">
        <w:rPr>
          <w:rStyle w:val="FootnoteReference"/>
        </w:rPr>
        <w:footnoteReference w:id="182"/>
      </w:r>
      <w:r w:rsidR="008A19CA">
        <w:t xml:space="preserve"> In each year</w:t>
      </w:r>
      <w:r w:rsidR="007D3503">
        <w:t>,</w:t>
      </w:r>
      <w:r w:rsidR="008A19CA">
        <w:t xml:space="preserve"> financial abuse allegations were more prevalent in reports regarding those aged 65 and over than those under 65.</w:t>
      </w:r>
      <w:r w:rsidR="0063119C">
        <w:t xml:space="preserve"> </w:t>
      </w:r>
      <w:r w:rsidR="00862D64">
        <w:t>Sage Advocacy</w:t>
      </w:r>
      <w:r w:rsidR="0063119C">
        <w:t xml:space="preserve"> </w:t>
      </w:r>
      <w:r w:rsidR="00862D64">
        <w:t>reported an increase in referrals to their support and advocacy service of financial abuse and domestic violence of adults aged 65 and over between 2019 and 2020</w:t>
      </w:r>
      <w:r w:rsidR="00862D64">
        <w:rPr>
          <w:rStyle w:val="FootnoteReference"/>
        </w:rPr>
        <w:footnoteReference w:id="183"/>
      </w:r>
      <w:r w:rsidR="00862D64">
        <w:t xml:space="preserve">. They receive referrals </w:t>
      </w:r>
      <w:r w:rsidR="00862D64" w:rsidRPr="003F7338">
        <w:t>for vulnerable adults, older people and healthcare patients</w:t>
      </w:r>
      <w:r w:rsidR="00862D64">
        <w:t xml:space="preserve"> and t</w:t>
      </w:r>
      <w:r w:rsidR="0063119C">
        <w:t xml:space="preserve">heir definition of vulnerable adults is broad and includes those with disabilities, mental illness, dementia and people who come under the provisions of the Assisted Decision-Making (Capacity) Act 2015. </w:t>
      </w:r>
      <w:r w:rsidR="0063119C" w:rsidRPr="0063119C">
        <w:t>A 2019 RED C survey commissioned by the Banking and Payments Federation Ireland and Safeguarding Ireland found one in five adults aged 18 and over had experienced or were experiencing financial abuse.</w:t>
      </w:r>
      <w:r w:rsidR="00A41415">
        <w:rPr>
          <w:rStyle w:val="FootnoteReference"/>
        </w:rPr>
        <w:footnoteReference w:id="184"/>
      </w:r>
      <w:r w:rsidR="0063119C">
        <w:t xml:space="preserve"> In this survey, younger age groups appeared to be more at risk of financial abuse.</w:t>
      </w:r>
      <w:r w:rsidR="00A41415">
        <w:t xml:space="preserve"> </w:t>
      </w:r>
      <w:r w:rsidR="0063119C">
        <w:t>This</w:t>
      </w:r>
      <w:r w:rsidR="0063119C" w:rsidRPr="0063119C">
        <w:t xml:space="preserve"> survey </w:t>
      </w:r>
      <w:r w:rsidR="0063119C">
        <w:t>did not collect</w:t>
      </w:r>
      <w:r w:rsidR="0063119C" w:rsidRPr="0063119C">
        <w:t xml:space="preserve"> information on whether participants had a disability.</w:t>
      </w:r>
      <w:r w:rsidR="00A41415">
        <w:t xml:space="preserve"> </w:t>
      </w:r>
      <w:r w:rsidR="0063119C" w:rsidRPr="00AC3CAE">
        <w:t xml:space="preserve">A 2018 study into the experience of staff </w:t>
      </w:r>
      <w:r w:rsidR="0063119C">
        <w:t>in five banks in Ireland of the financial abuse of vulnerable adults found that 67% of 900 survey respondents had previously suspected one of their customers to be a victim of financial abuse.</w:t>
      </w:r>
      <w:r w:rsidR="00F12374">
        <w:rPr>
          <w:rStyle w:val="FootnoteReference"/>
        </w:rPr>
        <w:footnoteReference w:id="185"/>
      </w:r>
      <w:r w:rsidR="0063119C">
        <w:t xml:space="preserve"> This study also heard examples of financial abuse within banks which included victims who had capacity issues, those who found it hard to identify suspicious financial activity as well as those aged over 65.</w:t>
      </w:r>
      <w:r w:rsidR="007D3503">
        <w:t xml:space="preserve"> </w:t>
      </w:r>
      <w:r w:rsidR="00433156">
        <w:t>Child abuse or welfare referrals</w:t>
      </w:r>
    </w:p>
    <w:p w14:paraId="1F417E4E" w14:textId="1464FAD9" w:rsidR="00F01F70" w:rsidRDefault="00F01F70" w:rsidP="00F01F70">
      <w:r>
        <w:t xml:space="preserve">The most recent </w:t>
      </w:r>
      <w:r w:rsidR="003A4BD8">
        <w:t>data</w:t>
      </w:r>
      <w:r>
        <w:t xml:space="preserve"> available online from </w:t>
      </w:r>
      <w:r w:rsidR="003A4BD8">
        <w:t>Tusla</w:t>
      </w:r>
      <w:r>
        <w:t xml:space="preserve"> indicates that in Q3 2020, there were 69,712 </w:t>
      </w:r>
      <w:r w:rsidR="003A4BD8">
        <w:t>referrals</w:t>
      </w:r>
      <w:r>
        <w:t xml:space="preserve"> made regarding concerns </w:t>
      </w:r>
      <w:r w:rsidR="003F25EA">
        <w:t xml:space="preserve">around child abuse or </w:t>
      </w:r>
      <w:r w:rsidR="003A4BD8">
        <w:t>welfare.</w:t>
      </w:r>
      <w:r w:rsidR="00447AEF">
        <w:rPr>
          <w:rStyle w:val="FootnoteReference"/>
        </w:rPr>
        <w:footnoteReference w:id="186"/>
      </w:r>
      <w:r w:rsidR="003A4BD8">
        <w:t xml:space="preserve"> No</w:t>
      </w:r>
      <w:r>
        <w:t xml:space="preserve"> data is published on the children these referrals have been made about.</w:t>
      </w:r>
    </w:p>
    <w:p w14:paraId="536EF26A" w14:textId="34EA4A77" w:rsidR="00CB57A7" w:rsidRPr="0096264E" w:rsidRDefault="00CB57A7" w:rsidP="00CB57A7">
      <w:pPr>
        <w:pStyle w:val="Heading2"/>
      </w:pPr>
      <w:bookmarkStart w:id="80" w:name="_Toc64897782"/>
      <w:bookmarkStart w:id="81" w:name="_Toc100231239"/>
      <w:r w:rsidRPr="0096264E">
        <w:t>Bullying</w:t>
      </w:r>
      <w:bookmarkEnd w:id="80"/>
      <w:r w:rsidRPr="0096264E">
        <w:t xml:space="preserve"> of children with disabilities/illnesses</w:t>
      </w:r>
      <w:bookmarkEnd w:id="81"/>
    </w:p>
    <w:p w14:paraId="28831297" w14:textId="41131EB9" w:rsidR="00767DCD" w:rsidRPr="00BC0122" w:rsidRDefault="002C6165" w:rsidP="00BC0122">
      <w:r w:rsidRPr="00D42162">
        <w:t>Analysis</w:t>
      </w:r>
      <w:r w:rsidR="00B22F3E" w:rsidRPr="003029B6">
        <w:t xml:space="preserve"> by the NDA</w:t>
      </w:r>
      <w:r w:rsidRPr="00BC0122">
        <w:t xml:space="preserve"> of data from the Child Cohort of the </w:t>
      </w:r>
      <w:r w:rsidR="00E54A4F" w:rsidRPr="00BC0122">
        <w:t>Growing up in Ireland</w:t>
      </w:r>
      <w:r w:rsidRPr="00BC0122">
        <w:t xml:space="preserve"> study found </w:t>
      </w:r>
      <w:r w:rsidR="00E54A4F" w:rsidRPr="00BC0122">
        <w:t>that 9 year olds with</w:t>
      </w:r>
      <w:r w:rsidR="00E54A4F">
        <w:t xml:space="preserve"> </w:t>
      </w:r>
      <w:r w:rsidR="00E54A4F" w:rsidRPr="00D42162">
        <w:t>disabilities (in 2007/2008) were more</w:t>
      </w:r>
      <w:r w:rsidR="00E54A4F">
        <w:t xml:space="preserve"> </w:t>
      </w:r>
      <w:r w:rsidR="00E54A4F" w:rsidRPr="00D42162">
        <w:t>likely</w:t>
      </w:r>
      <w:r w:rsidR="00E54A4F">
        <w:t xml:space="preserve"> </w:t>
      </w:r>
      <w:r w:rsidR="00E54A4F" w:rsidRPr="00D42162">
        <w:t xml:space="preserve">than non-disabled </w:t>
      </w:r>
      <w:r w:rsidR="00E54A4F" w:rsidRPr="00D0271E">
        <w:t>9 year olds to be bullied. On occasions, they were also more likely to bully others.</w:t>
      </w:r>
      <w:r w:rsidR="00E54A4F" w:rsidRPr="005857ED">
        <w:rPr>
          <w:rStyle w:val="FootnoteReference"/>
          <w:rFonts w:ascii="Gill Sans MT" w:hAnsi="Gill Sans MT"/>
          <w:bCs/>
          <w:iCs/>
          <w:szCs w:val="22"/>
        </w:rPr>
        <w:footnoteReference w:id="187"/>
      </w:r>
      <w:r w:rsidR="00E54A4F" w:rsidRPr="00D42162">
        <w:t xml:space="preserve"> </w:t>
      </w:r>
      <w:r w:rsidR="006132DA" w:rsidRPr="003029B6">
        <w:t xml:space="preserve">(This analysis was included in </w:t>
      </w:r>
      <w:r w:rsidR="006132DA" w:rsidRPr="00BC0122">
        <w:t>a 2015 NDA report on preventing school bullying of children with special educational needs or disability. It was published online by the Department of Education and the NDA and disseminated to participating schools and other stakeholders</w:t>
      </w:r>
      <w:r w:rsidR="006132DA" w:rsidRPr="00833F2E">
        <w:t>).</w:t>
      </w:r>
      <w:r w:rsidR="006132DA" w:rsidRPr="005857ED">
        <w:rPr>
          <w:rStyle w:val="FootnoteReference"/>
          <w:bCs/>
          <w:iCs/>
          <w:szCs w:val="22"/>
        </w:rPr>
        <w:footnoteReference w:id="188"/>
      </w:r>
      <w:r w:rsidR="00833F2E" w:rsidRPr="005857ED">
        <w:rPr>
          <w:sz w:val="24"/>
        </w:rPr>
        <w:t xml:space="preserve"> </w:t>
      </w:r>
      <w:r w:rsidR="0034407C" w:rsidRPr="00833F2E">
        <w:t>In</w:t>
      </w:r>
      <w:r w:rsidR="0034407C" w:rsidRPr="00D42162">
        <w:t xml:space="preserve"> the same group of children at aged 13, children with </w:t>
      </w:r>
      <w:r w:rsidR="0034407C" w:rsidRPr="003029B6">
        <w:t>disabilities experienced more bullying episodes than those without disabilities.</w:t>
      </w:r>
      <w:r w:rsidR="0034407C" w:rsidRPr="005857ED">
        <w:rPr>
          <w:rStyle w:val="FootnoteReference"/>
          <w:bCs/>
          <w:iCs/>
          <w:szCs w:val="22"/>
        </w:rPr>
        <w:footnoteReference w:id="189"/>
      </w:r>
      <w:r w:rsidR="0034407C" w:rsidRPr="00D42162">
        <w:t xml:space="preserve"> </w:t>
      </w:r>
      <w:r w:rsidR="00B1745C" w:rsidRPr="003029B6">
        <w:t xml:space="preserve">A longitudinal analysis of data </w:t>
      </w:r>
      <w:r w:rsidR="000B56AD" w:rsidRPr="00BC0122">
        <w:t>on the same children found that those identified as having a special education</w:t>
      </w:r>
      <w:r w:rsidR="00E45448" w:rsidRPr="00BC0122">
        <w:t>al</w:t>
      </w:r>
      <w:r w:rsidR="000B56AD" w:rsidRPr="00BC0122">
        <w:t xml:space="preserve"> need who were bullied at age 9 were more likely to be bullied at age 13.</w:t>
      </w:r>
      <w:r w:rsidR="000B56AD" w:rsidRPr="005857ED">
        <w:rPr>
          <w:rStyle w:val="FootnoteReference"/>
          <w:bCs/>
          <w:iCs/>
          <w:szCs w:val="22"/>
        </w:rPr>
        <w:footnoteReference w:id="190"/>
      </w:r>
      <w:r w:rsidR="000B56AD" w:rsidRPr="005857ED">
        <w:rPr>
          <w:sz w:val="22"/>
          <w:szCs w:val="22"/>
        </w:rPr>
        <w:t xml:space="preserve"> </w:t>
      </w:r>
      <w:r w:rsidR="000B56AD" w:rsidRPr="00D42162">
        <w:t xml:space="preserve">In addition, those bullied at age 9 had poorer wellbeing at age 13. </w:t>
      </w:r>
      <w:r w:rsidR="0034407C" w:rsidRPr="003029B6">
        <w:t xml:space="preserve">In </w:t>
      </w:r>
      <w:r w:rsidR="00CB57A7" w:rsidRPr="00BC0122">
        <w:t>2014,</w:t>
      </w:r>
      <w:r w:rsidR="00E54A4F" w:rsidRPr="00BC0122">
        <w:t xml:space="preserve"> data from the Health Behaviour in School Aged Children study found that</w:t>
      </w:r>
      <w:r w:rsidR="00CB57A7" w:rsidRPr="00BC0122">
        <w:t xml:space="preserve"> 32% of children with a disability and/or chronic illness aged 10–17 reported that they </w:t>
      </w:r>
      <w:r w:rsidR="00E54A4F" w:rsidRPr="00BC0122">
        <w:t>had been</w:t>
      </w:r>
      <w:r w:rsidR="00CB57A7" w:rsidRPr="00BC0122">
        <w:t xml:space="preserve"> bullied at school at least once in the </w:t>
      </w:r>
      <w:r w:rsidR="00E54A4F" w:rsidRPr="00BC0122">
        <w:t>previous</w:t>
      </w:r>
      <w:r w:rsidR="00CB57A7" w:rsidRPr="00BC0122">
        <w:t xml:space="preserve"> couple of months</w:t>
      </w:r>
      <w:r w:rsidR="00CB57A7" w:rsidRPr="00984232">
        <w:t>.</w:t>
      </w:r>
      <w:r w:rsidR="00CB57A7" w:rsidRPr="005857ED">
        <w:rPr>
          <w:rStyle w:val="FootnoteReference"/>
          <w:bCs/>
          <w:iCs/>
          <w:szCs w:val="22"/>
        </w:rPr>
        <w:footnoteReference w:id="191"/>
      </w:r>
      <w:r w:rsidR="00CB57A7" w:rsidRPr="005857ED">
        <w:rPr>
          <w:sz w:val="22"/>
          <w:szCs w:val="22"/>
        </w:rPr>
        <w:t xml:space="preserve"> </w:t>
      </w:r>
      <w:r w:rsidR="00CB57A7" w:rsidRPr="00984232">
        <w:t>T</w:t>
      </w:r>
      <w:r w:rsidR="00CB57A7" w:rsidRPr="0096264E">
        <w:t xml:space="preserve">his </w:t>
      </w:r>
      <w:r w:rsidR="00E54A4F">
        <w:t>was compared to 25</w:t>
      </w:r>
      <w:r w:rsidR="00CB57A7" w:rsidRPr="0096264E">
        <w:t>% of children without a disability or chronic illness.</w:t>
      </w:r>
      <w:r w:rsidR="00391C82" w:rsidRPr="0096264E">
        <w:t xml:space="preserve"> </w:t>
      </w:r>
    </w:p>
    <w:p w14:paraId="0C154E2F" w14:textId="48269F8D" w:rsidR="003F25EA" w:rsidRDefault="003F25EA" w:rsidP="00DF2740">
      <w:pPr>
        <w:pStyle w:val="Heading1"/>
      </w:pPr>
      <w:bookmarkStart w:id="82" w:name="_Toc100231240"/>
      <w:r>
        <w:t>Conclusion</w:t>
      </w:r>
      <w:bookmarkEnd w:id="82"/>
    </w:p>
    <w:p w14:paraId="3DE07438" w14:textId="3466025B" w:rsidR="005A3C10" w:rsidRDefault="005A3C10" w:rsidP="005A3C10">
      <w:r w:rsidRPr="00B17EB3">
        <w:t xml:space="preserve">This document provides a general overview of information on the Irish context in relation to Article </w:t>
      </w:r>
      <w:r>
        <w:t>16</w:t>
      </w:r>
      <w:r w:rsidRPr="00B17EB3">
        <w:t xml:space="preserve"> of the UNCRPD.</w:t>
      </w:r>
      <w:r>
        <w:t xml:space="preserve"> Ireland has a strong legislative </w:t>
      </w:r>
      <w:r w:rsidR="0051344E">
        <w:t>structure that</w:t>
      </w:r>
      <w:r>
        <w:t xml:space="preserve"> </w:t>
      </w:r>
      <w:r w:rsidRPr="00A86301">
        <w:t>criminalises, protects against and prevents violence, abuse and exploitation, inclusive of peo</w:t>
      </w:r>
      <w:r>
        <w:t xml:space="preserve">ple with disabilities. This includes </w:t>
      </w:r>
      <w:r w:rsidR="0051344E">
        <w:t xml:space="preserve">legislation </w:t>
      </w:r>
      <w:r w:rsidR="0051344E" w:rsidRPr="008F65D1">
        <w:t>that</w:t>
      </w:r>
      <w:r w:rsidRPr="008F65D1">
        <w:t xml:space="preserve"> mandates reporting of abuse against children and vulnerable </w:t>
      </w:r>
      <w:r>
        <w:t>adults. There are national plans to deal with many areas of relevance to Article 16, including domestic, sexual, gender-based violence and human trafficking. There are mechanisms in place to safeguard children from abuse and to safeguard people with disabilities in certain settings. There are national procedures for bullying in schools and sex education curricula that includes learning on personal safety</w:t>
      </w:r>
      <w:r w:rsidR="00C03D0E">
        <w:t>, a</w:t>
      </w:r>
      <w:r>
        <w:t xml:space="preserve">nd there are services and supports for victims of exploitation, violence and abuse. </w:t>
      </w:r>
    </w:p>
    <w:p w14:paraId="66D7518C" w14:textId="77777777" w:rsidR="005A3C10" w:rsidRDefault="005A3C10" w:rsidP="005A3C10">
      <w:r>
        <w:t>However, what</w:t>
      </w:r>
      <w:r w:rsidRPr="00066EA4">
        <w:t xml:space="preserve"> is lacking in Ireland is robust national data</w:t>
      </w:r>
      <w:r>
        <w:t xml:space="preserve"> and information to help us truly understand the situation</w:t>
      </w:r>
      <w:r w:rsidRPr="00066EA4">
        <w:t xml:space="preserve"> with regard to Article</w:t>
      </w:r>
      <w:r>
        <w:t xml:space="preserve"> 16. We do not have enough information to consider the effectiveness of the aforementioned structures and processes in protecting and supporting people, inclusive of those with disabilities, and on how appropriate and accessible existing reporting mechanisms, services and supports are for disabled people.</w:t>
      </w:r>
      <w:r w:rsidRPr="007E6407">
        <w:t xml:space="preserve"> </w:t>
      </w:r>
      <w:r>
        <w:t xml:space="preserve">Many of the sources used in this report refer to the increased vulnerability of people with disabilities to exploitation, violence and abuse. However, we do not have enough national data, or appropriately disaggregated data to support or refute this. </w:t>
      </w:r>
      <w:r w:rsidRPr="007E6407">
        <w:t xml:space="preserve">In the absence of reliable national administrative data, this document has relied on data from NGOs, </w:t>
      </w:r>
      <w:r>
        <w:t xml:space="preserve">survey data, </w:t>
      </w:r>
      <w:r w:rsidRPr="007E6407">
        <w:t xml:space="preserve">anecdotal evidence from a range of sources and numbers </w:t>
      </w:r>
      <w:r>
        <w:t>of a</w:t>
      </w:r>
      <w:r w:rsidRPr="007E6407">
        <w:t>buse or welfare</w:t>
      </w:r>
      <w:r>
        <w:t xml:space="preserve"> concerns reported.</w:t>
      </w:r>
    </w:p>
    <w:p w14:paraId="0CC3C82E" w14:textId="19A7BB38" w:rsidR="005A3C10" w:rsidRPr="005A3C10" w:rsidRDefault="005A3C10" w:rsidP="005A3C10">
      <w:r w:rsidRPr="00560DBB">
        <w:t>As previously noted, the establishment of a ‘gold standard’ of data collection and analysis of domestic and sexual violence as proposed in Ireland’s Second National Strategy on Domestic, Sexual and Gender-Based Violence would fill many gaps in our knowledge of the violence, exploitation or abuse of people with disabilities in Ireland.</w:t>
      </w:r>
      <w:r>
        <w:t xml:space="preserve"> In addition, research and consultation with people with disabilities is also critical in exploring </w:t>
      </w:r>
      <w:r w:rsidR="00C03D0E">
        <w:t xml:space="preserve">how violence, exploitation or abuse may manifest differently in their lives, </w:t>
      </w:r>
      <w:r>
        <w:t xml:space="preserve">their knowledge of services available to them and their experiences of seeking supports and services if they are victims of exploitation, violence and abuse. More </w:t>
      </w:r>
      <w:r w:rsidR="00C47E6E">
        <w:t xml:space="preserve">research, more </w:t>
      </w:r>
      <w:r>
        <w:t xml:space="preserve">data, and data disaggregated by key intersectional variables including disability is critical. People with disabilities are consistently referred to as being at increased risk for exploitation, violence and abuse. However, without the necessary data and information, the experiences of people with disabilities are not visible, and as such the true extent of the problem in Ireland is not known. </w:t>
      </w:r>
    </w:p>
    <w:sectPr w:rsidR="005A3C10" w:rsidRPr="005A3C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C9F7" w14:textId="77777777" w:rsidR="009201C0" w:rsidRDefault="009201C0">
      <w:r>
        <w:separator/>
      </w:r>
    </w:p>
  </w:endnote>
  <w:endnote w:type="continuationSeparator" w:id="0">
    <w:p w14:paraId="4441AFCE" w14:textId="77777777" w:rsidR="009201C0" w:rsidRDefault="0092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LT Pro">
    <w:altName w:val="Sabon LT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Condense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E3A8" w14:textId="683B9688" w:rsidR="009201C0" w:rsidRDefault="009201C0">
    <w:pPr>
      <w:pStyle w:val="Footer"/>
    </w:pPr>
    <w:r>
      <w:tab/>
    </w:r>
    <w:r>
      <w:tab/>
    </w:r>
    <w:r>
      <w:fldChar w:fldCharType="begin"/>
    </w:r>
    <w:r>
      <w:instrText xml:space="preserve"> PAGE  \* Arabic  \* MERGEFORMAT </w:instrText>
    </w:r>
    <w:r>
      <w:fldChar w:fldCharType="separate"/>
    </w:r>
    <w:r w:rsidR="00E045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AC9B9" w14:textId="77777777" w:rsidR="009201C0" w:rsidRDefault="009201C0">
      <w:r>
        <w:separator/>
      </w:r>
    </w:p>
  </w:footnote>
  <w:footnote w:type="continuationSeparator" w:id="0">
    <w:p w14:paraId="42B3A57B" w14:textId="77777777" w:rsidR="009201C0" w:rsidRDefault="009201C0">
      <w:r>
        <w:continuationSeparator/>
      </w:r>
    </w:p>
  </w:footnote>
  <w:footnote w:id="1">
    <w:p w14:paraId="138823CC" w14:textId="54825746" w:rsidR="009201C0" w:rsidRDefault="009201C0">
      <w:pPr>
        <w:pStyle w:val="FootnoteText"/>
      </w:pPr>
      <w:r>
        <w:rPr>
          <w:rStyle w:val="FootnoteReference"/>
        </w:rPr>
        <w:footnoteRef/>
      </w:r>
      <w:r>
        <w:t xml:space="preserve"> For example, in 2021, the NDA </w:t>
      </w:r>
      <w:r w:rsidRPr="000D12A0">
        <w:t xml:space="preserve">hosted a virtual event to hear directly from </w:t>
      </w:r>
      <w:r>
        <w:t>people</w:t>
      </w:r>
      <w:r w:rsidRPr="000D12A0">
        <w:t xml:space="preserve"> with disabilities and their representative organisations on the theme of ‘Buil</w:t>
      </w:r>
      <w:r>
        <w:t xml:space="preserve">ding Back Better Post COVID-19’ and a number of roundtables and consultations have been held with Disabled Persons Organisations and others </w:t>
      </w:r>
      <w:r w:rsidRPr="006A75D4">
        <w:t>to discuss issues relevant to the lives of persons with disabilities.</w:t>
      </w:r>
    </w:p>
  </w:footnote>
  <w:footnote w:id="2">
    <w:p w14:paraId="221FE7F7" w14:textId="4114130A" w:rsidR="009201C0" w:rsidRPr="00926990" w:rsidRDefault="009201C0" w:rsidP="00926990">
      <w:pPr>
        <w:pStyle w:val="FootnoteText"/>
      </w:pPr>
      <w:r>
        <w:rPr>
          <w:rStyle w:val="FootnoteReference"/>
        </w:rPr>
        <w:footnoteRef/>
      </w:r>
      <w:r>
        <w:t xml:space="preserve"> OHCHR. (2020) </w:t>
      </w:r>
      <w:r w:rsidRPr="00926990">
        <w:rPr>
          <w:i/>
        </w:rPr>
        <w:t>Article 16:</w:t>
      </w:r>
      <w:r>
        <w:rPr>
          <w:i/>
        </w:rPr>
        <w:t xml:space="preserve"> </w:t>
      </w:r>
      <w:r w:rsidRPr="00926990">
        <w:rPr>
          <w:i/>
        </w:rPr>
        <w:t>Illustrative indicators on</w:t>
      </w:r>
      <w:r>
        <w:rPr>
          <w:i/>
        </w:rPr>
        <w:t xml:space="preserve"> </w:t>
      </w:r>
      <w:r w:rsidRPr="00926990">
        <w:rPr>
          <w:i/>
        </w:rPr>
        <w:t>freedom from violence,</w:t>
      </w:r>
      <w:r>
        <w:rPr>
          <w:i/>
        </w:rPr>
        <w:t xml:space="preserve"> </w:t>
      </w:r>
      <w:r w:rsidRPr="00926990">
        <w:rPr>
          <w:i/>
        </w:rPr>
        <w:t>exploitation and abuse</w:t>
      </w:r>
      <w:r>
        <w:rPr>
          <w:i/>
        </w:rPr>
        <w:t xml:space="preserve">. </w:t>
      </w:r>
      <w:r>
        <w:t xml:space="preserve">Available at </w:t>
      </w:r>
      <w:hyperlink r:id="rId1" w:history="1">
        <w:r w:rsidRPr="00441B22">
          <w:rPr>
            <w:rStyle w:val="Hyperlink"/>
          </w:rPr>
          <w:t>https://www.ohchr.org/Documents/Issues/Disability/SDG-CRPD-Resource/IndicatorsPDF/article-16-indicators-en.pdf</w:t>
        </w:r>
      </w:hyperlink>
      <w:r>
        <w:t xml:space="preserve"> </w:t>
      </w:r>
    </w:p>
  </w:footnote>
  <w:footnote w:id="3">
    <w:p w14:paraId="19072327" w14:textId="62A03A66" w:rsidR="009201C0" w:rsidRPr="00026E1C" w:rsidRDefault="009201C0">
      <w:pPr>
        <w:pStyle w:val="FootnoteText"/>
      </w:pPr>
      <w:r>
        <w:rPr>
          <w:rStyle w:val="FootnoteReference"/>
        </w:rPr>
        <w:footnoteRef/>
      </w:r>
      <w:r>
        <w:t xml:space="preserve"> NDA. (2020) </w:t>
      </w:r>
      <w:r w:rsidRPr="00026E1C">
        <w:rPr>
          <w:i/>
        </w:rPr>
        <w:t xml:space="preserve">Review of concluding observations on state reviews made by the Committee on the Rights of Persons with Disabilities. </w:t>
      </w:r>
      <w:r>
        <w:t>Unpublished document.</w:t>
      </w:r>
    </w:p>
  </w:footnote>
  <w:footnote w:id="4">
    <w:p w14:paraId="3588FAED" w14:textId="03BE3709" w:rsidR="009201C0" w:rsidRDefault="009201C0">
      <w:pPr>
        <w:pStyle w:val="FootnoteText"/>
      </w:pPr>
      <w:r>
        <w:rPr>
          <w:rStyle w:val="FootnoteReference"/>
        </w:rPr>
        <w:footnoteRef/>
      </w:r>
      <w:r>
        <w:t xml:space="preserve"> A</w:t>
      </w:r>
      <w:r>
        <w:rPr>
          <w:rFonts w:eastAsia="Gill Sans MT" w:cs="Arial"/>
          <w:szCs w:val="26"/>
        </w:rPr>
        <w:t>s of March 2021.</w:t>
      </w:r>
    </w:p>
  </w:footnote>
  <w:footnote w:id="5">
    <w:p w14:paraId="78B0DC0A" w14:textId="77777777" w:rsidR="009201C0" w:rsidRDefault="009201C0" w:rsidP="00E130DC">
      <w:pPr>
        <w:pStyle w:val="FootnoteText"/>
      </w:pPr>
      <w:r>
        <w:rPr>
          <w:rStyle w:val="FootnoteReference"/>
        </w:rPr>
        <w:footnoteRef/>
      </w:r>
      <w:r>
        <w:t xml:space="preserve"> NDA. (2019) </w:t>
      </w:r>
      <w:r w:rsidRPr="00405A4C">
        <w:rPr>
          <w:i/>
        </w:rPr>
        <w:t>UNCRPD initial progress assessment check. NDA stakeholder workshop 20/06/19</w:t>
      </w:r>
      <w:r>
        <w:t xml:space="preserve">. Unpublished document. </w:t>
      </w:r>
    </w:p>
  </w:footnote>
  <w:footnote w:id="6">
    <w:p w14:paraId="33F6611F" w14:textId="77777777" w:rsidR="009201C0" w:rsidRPr="00405A4C" w:rsidRDefault="009201C0" w:rsidP="00E130DC">
      <w:pPr>
        <w:pStyle w:val="FootnoteText"/>
      </w:pPr>
      <w:r>
        <w:rPr>
          <w:rStyle w:val="FootnoteReference"/>
        </w:rPr>
        <w:footnoteRef/>
      </w:r>
      <w:r>
        <w:t xml:space="preserve"> Department of Justice and Equality. (2019) </w:t>
      </w:r>
      <w:r w:rsidRPr="00405A4C">
        <w:rPr>
          <w:i/>
        </w:rPr>
        <w:t>13th November 2019 - Mid-</w:t>
      </w:r>
      <w:r>
        <w:rPr>
          <w:i/>
        </w:rPr>
        <w:t>t</w:t>
      </w:r>
      <w:r w:rsidRPr="00405A4C">
        <w:rPr>
          <w:i/>
        </w:rPr>
        <w:t xml:space="preserve">erm </w:t>
      </w:r>
      <w:r>
        <w:rPr>
          <w:i/>
        </w:rPr>
        <w:t>r</w:t>
      </w:r>
      <w:r w:rsidRPr="00405A4C">
        <w:rPr>
          <w:i/>
        </w:rPr>
        <w:t>eview of NDIS - Croke Park</w:t>
      </w:r>
      <w:r>
        <w:t xml:space="preserve">. Unpublished document. </w:t>
      </w:r>
    </w:p>
  </w:footnote>
  <w:footnote w:id="7">
    <w:p w14:paraId="0DF8B4E9" w14:textId="77777777" w:rsidR="009201C0" w:rsidRDefault="009201C0" w:rsidP="00E130DC">
      <w:pPr>
        <w:pStyle w:val="FootnoteText"/>
      </w:pPr>
      <w:r>
        <w:rPr>
          <w:rStyle w:val="FootnoteReference"/>
        </w:rPr>
        <w:footnoteRef/>
      </w:r>
      <w:r>
        <w:t xml:space="preserve"> NDA. (2020) </w:t>
      </w:r>
      <w:r w:rsidRPr="00405A4C">
        <w:rPr>
          <w:i/>
        </w:rPr>
        <w:t>Summary report of issues discussed at UNCRPD</w:t>
      </w:r>
      <w:r>
        <w:rPr>
          <w:i/>
        </w:rPr>
        <w:t xml:space="preserve"> f</w:t>
      </w:r>
      <w:r w:rsidRPr="00405A4C">
        <w:rPr>
          <w:i/>
        </w:rPr>
        <w:t>orum, NDA January 2020</w:t>
      </w:r>
      <w:r>
        <w:t xml:space="preserve">. Unpublished document. </w:t>
      </w:r>
    </w:p>
  </w:footnote>
  <w:footnote w:id="8">
    <w:p w14:paraId="00E303D1" w14:textId="51319725" w:rsidR="009201C0" w:rsidRDefault="009201C0" w:rsidP="000F1F32">
      <w:pPr>
        <w:pStyle w:val="FootnoteText"/>
      </w:pPr>
      <w:r>
        <w:rPr>
          <w:rStyle w:val="FootnoteReference"/>
        </w:rPr>
        <w:footnoteRef/>
      </w:r>
      <w:r>
        <w:t xml:space="preserve"> </w:t>
      </w:r>
      <w:r w:rsidRPr="00CD5CA2">
        <w:t>IHREC. (2020</w:t>
      </w:r>
      <w:r w:rsidRPr="002429A7">
        <w:t xml:space="preserve">) </w:t>
      </w:r>
      <w:r w:rsidRPr="00026E1C">
        <w:rPr>
          <w:i/>
        </w:rPr>
        <w:t>What does the law say? Equal status acts.</w:t>
      </w:r>
      <w:r w:rsidRPr="00CD5CA2">
        <w:t xml:space="preserve"> </w:t>
      </w:r>
      <w:r>
        <w:t>Available at</w:t>
      </w:r>
      <w:r w:rsidRPr="00CD5CA2">
        <w:t xml:space="preserve"> </w:t>
      </w:r>
      <w:hyperlink r:id="rId2" w:history="1">
        <w:r w:rsidRPr="00CD5CA2">
          <w:rPr>
            <w:rStyle w:val="Hyperlink"/>
          </w:rPr>
          <w:t>https://www.ihrec.ie/guides-and-tools/human-rights-and-equality-in-the-provision-of-good-and-services/what-does-the-law-say/equal-status-acts/</w:t>
        </w:r>
      </w:hyperlink>
    </w:p>
  </w:footnote>
  <w:footnote w:id="9">
    <w:p w14:paraId="2016119D" w14:textId="77C9D3E9" w:rsidR="009201C0" w:rsidRDefault="009201C0" w:rsidP="000F1F32">
      <w:pPr>
        <w:pStyle w:val="FootnoteText"/>
      </w:pPr>
      <w:r>
        <w:rPr>
          <w:rStyle w:val="FootnoteReference"/>
        </w:rPr>
        <w:footnoteRef/>
      </w:r>
      <w:r>
        <w:t xml:space="preserve"> IHREC. (2022) </w:t>
      </w:r>
      <w:r w:rsidRPr="00026E1C">
        <w:rPr>
          <w:i/>
        </w:rPr>
        <w:t>The employment equality acts 1998-2015 – A summary.</w:t>
      </w:r>
      <w:r>
        <w:t xml:space="preserve"> Available at </w:t>
      </w:r>
      <w:hyperlink r:id="rId3" w:history="1">
        <w:r w:rsidRPr="00441B22">
          <w:rPr>
            <w:rStyle w:val="Hyperlink"/>
          </w:rPr>
          <w:t>https://www.ihrec.ie/guides-and-tools/human-rights-and-equality-for-employers/what-does-the-law-say/eea-summary/</w:t>
        </w:r>
      </w:hyperlink>
      <w:r>
        <w:t xml:space="preserve"> </w:t>
      </w:r>
    </w:p>
  </w:footnote>
  <w:footnote w:id="10">
    <w:p w14:paraId="09AE7FB8" w14:textId="3B2EB558" w:rsidR="009201C0" w:rsidRDefault="009201C0" w:rsidP="000F1F32">
      <w:pPr>
        <w:pStyle w:val="FootnoteText"/>
      </w:pPr>
      <w:r>
        <w:rPr>
          <w:rStyle w:val="FootnoteReference"/>
        </w:rPr>
        <w:footnoteRef/>
      </w:r>
      <w:r>
        <w:t xml:space="preserve"> Government of Ireland. (2021)</w:t>
      </w:r>
      <w:r w:rsidRPr="00DB7B04">
        <w:t xml:space="preserve"> </w:t>
      </w:r>
      <w:r w:rsidRPr="00DB7B04">
        <w:rPr>
          <w:i/>
        </w:rPr>
        <w:t>Consultation on the review of the equality acts.</w:t>
      </w:r>
      <w:r>
        <w:t xml:space="preserve"> Available from </w:t>
      </w:r>
      <w:hyperlink r:id="rId4" w:history="1">
        <w:r w:rsidRPr="00441B22">
          <w:rPr>
            <w:rStyle w:val="Hyperlink"/>
          </w:rPr>
          <w:t>https://www.gov.ie/en/consultation/066b6-review-of-the-equality-acts/</w:t>
        </w:r>
      </w:hyperlink>
      <w:r>
        <w:t xml:space="preserve"> </w:t>
      </w:r>
    </w:p>
  </w:footnote>
  <w:footnote w:id="11">
    <w:p w14:paraId="488FB408" w14:textId="6B4332E9" w:rsidR="009201C0" w:rsidRPr="00D05359" w:rsidRDefault="009201C0" w:rsidP="00D05359">
      <w:pPr>
        <w:pStyle w:val="FootnoteText"/>
      </w:pPr>
      <w:r>
        <w:rPr>
          <w:rStyle w:val="FootnoteReference"/>
        </w:rPr>
        <w:footnoteRef/>
      </w:r>
      <w:r>
        <w:t xml:space="preserve"> Council of Europe. (2022) </w:t>
      </w:r>
      <w:r w:rsidRPr="00D05359">
        <w:rPr>
          <w:i/>
        </w:rPr>
        <w:t>Mid-term horizontal review of GREVIO baseline evaluation reports.</w:t>
      </w:r>
      <w:r>
        <w:rPr>
          <w:i/>
        </w:rPr>
        <w:t xml:space="preserve"> </w:t>
      </w:r>
      <w:r>
        <w:t xml:space="preserve">Available at </w:t>
      </w:r>
      <w:hyperlink r:id="rId5" w:history="1">
        <w:r w:rsidRPr="00441B22">
          <w:rPr>
            <w:rStyle w:val="Hyperlink"/>
          </w:rPr>
          <w:t>https://rm.coe.int/prems-010522-gbr-grevio-mid-term-horizontal-review-rev-february-2022/1680a58499</w:t>
        </w:r>
      </w:hyperlink>
      <w:r>
        <w:t xml:space="preserve"> </w:t>
      </w:r>
    </w:p>
  </w:footnote>
  <w:footnote w:id="12">
    <w:p w14:paraId="132C0660" w14:textId="5AB6AB2D" w:rsidR="009201C0" w:rsidRDefault="009201C0">
      <w:pPr>
        <w:pStyle w:val="FootnoteText"/>
      </w:pPr>
      <w:r>
        <w:rPr>
          <w:rStyle w:val="FootnoteReference"/>
        </w:rPr>
        <w:footnoteRef/>
      </w:r>
      <w:r>
        <w:t xml:space="preserve"> IHREC. (2019) </w:t>
      </w:r>
      <w:r>
        <w:rPr>
          <w:i/>
        </w:rPr>
        <w:t xml:space="preserve">Statement on ratification of COE convention on preventing and combatting violence against women and domestic violence. </w:t>
      </w:r>
      <w:r>
        <w:t xml:space="preserve">Available at </w:t>
      </w:r>
      <w:hyperlink r:id="rId6" w:history="1">
        <w:r w:rsidRPr="00441B22">
          <w:rPr>
            <w:rStyle w:val="Hyperlink"/>
          </w:rPr>
          <w:t>https://www.ihrec.ie/app/uploads/2019/06/Statement-on-Ratification-of-CoE-Convention-on-Preventing-and-Comating-Violence-Against-Women-and-Domestic-Violence.pdf</w:t>
        </w:r>
      </w:hyperlink>
      <w:r>
        <w:t xml:space="preserve"> </w:t>
      </w:r>
    </w:p>
  </w:footnote>
  <w:footnote w:id="13">
    <w:p w14:paraId="31B33440" w14:textId="27575CB1" w:rsidR="009201C0" w:rsidRDefault="009201C0">
      <w:pPr>
        <w:pStyle w:val="FootnoteText"/>
      </w:pPr>
      <w:r>
        <w:rPr>
          <w:rStyle w:val="FootnoteReference"/>
        </w:rPr>
        <w:footnoteRef/>
      </w:r>
      <w:r>
        <w:t xml:space="preserve"> RCNI. (2020) </w:t>
      </w:r>
      <w:r>
        <w:rPr>
          <w:i/>
        </w:rPr>
        <w:t xml:space="preserve">RCNI submission to UN special rapporteur on sexual violence. </w:t>
      </w:r>
      <w:r>
        <w:t xml:space="preserve">Available at </w:t>
      </w:r>
      <w:hyperlink r:id="rId7" w:history="1">
        <w:r w:rsidRPr="00441B22">
          <w:rPr>
            <w:rStyle w:val="Hyperlink"/>
          </w:rPr>
          <w:t>https://www.rcni.ie/wp-content/uploads/RCNI-submission-to-UN-Special-Rapporteur-on-Sexual-Violence-May-2020.pdf</w:t>
        </w:r>
      </w:hyperlink>
      <w:r>
        <w:t xml:space="preserve"> </w:t>
      </w:r>
    </w:p>
  </w:footnote>
  <w:footnote w:id="14">
    <w:p w14:paraId="24B2A95E" w14:textId="1EAD8159" w:rsidR="009201C0" w:rsidRDefault="009201C0" w:rsidP="00816C0B">
      <w:pPr>
        <w:pStyle w:val="FootnoteText"/>
      </w:pPr>
      <w:r>
        <w:rPr>
          <w:rStyle w:val="FootnoteReference"/>
        </w:rPr>
        <w:footnoteRef/>
      </w:r>
      <w:r>
        <w:t xml:space="preserve"> Department of Justice. (2020) </w:t>
      </w:r>
      <w:r w:rsidRPr="00816C0B">
        <w:rPr>
          <w:i/>
        </w:rPr>
        <w:t>Review of protections for vulnerable witnesses in the investigation and prosecution of sexual offences</w:t>
      </w:r>
      <w:r>
        <w:t xml:space="preserve"> p. 4</w:t>
      </w:r>
      <w:r w:rsidRPr="00816C0B">
        <w:rPr>
          <w:i/>
        </w:rPr>
        <w:t>.</w:t>
      </w:r>
      <w:r>
        <w:t xml:space="preserve"> Available at </w:t>
      </w:r>
      <w:hyperlink r:id="rId8" w:history="1">
        <w:r w:rsidRPr="003E1D19">
          <w:rPr>
            <w:rStyle w:val="Hyperlink"/>
          </w:rPr>
          <w:t>http://www.justice.ie/en/JELR/Review_of_Protections_for_Vulnerable_Witnesses_in%20the_Investigation_and_Prosecution_of_Sexual_Offences.pdf/Files/Review_of_Protections_for_Vulnerable_Witnesses_in%20the_Investigation_and_Prosecution_of_Sexual_Offences.pdf</w:t>
        </w:r>
      </w:hyperlink>
    </w:p>
  </w:footnote>
  <w:footnote w:id="15">
    <w:p w14:paraId="06CCA9C5" w14:textId="3AFE39BA" w:rsidR="009201C0" w:rsidRPr="0021316B" w:rsidRDefault="009201C0">
      <w:pPr>
        <w:pStyle w:val="FootnoteText"/>
      </w:pPr>
      <w:r>
        <w:rPr>
          <w:rStyle w:val="FootnoteReference"/>
        </w:rPr>
        <w:footnoteRef/>
      </w:r>
      <w:r>
        <w:t xml:space="preserve"> NDA. (2020) </w:t>
      </w:r>
      <w:r w:rsidRPr="0021316B">
        <w:rPr>
          <w:i/>
        </w:rPr>
        <w:t>NDA independent advice paper on the use of intermediaries in the Irish justice system</w:t>
      </w:r>
      <w:r>
        <w:rPr>
          <w:i/>
        </w:rPr>
        <w:t xml:space="preserve">. </w:t>
      </w:r>
      <w:r>
        <w:t xml:space="preserve">Available at </w:t>
      </w:r>
      <w:hyperlink r:id="rId9" w:history="1">
        <w:r w:rsidRPr="00441B22">
          <w:rPr>
            <w:rStyle w:val="Hyperlink"/>
          </w:rPr>
          <w:t>https://nda.ie/publications/justice-and-safeguarding/access-to-justice/nda-independent-advice-paper-on-the-use-of-intermediaries-in-the-irish-justice-system.html</w:t>
        </w:r>
      </w:hyperlink>
      <w:r>
        <w:t xml:space="preserve"> </w:t>
      </w:r>
    </w:p>
  </w:footnote>
  <w:footnote w:id="16">
    <w:p w14:paraId="188387F4" w14:textId="74B7EEDB" w:rsidR="009201C0" w:rsidRDefault="009201C0" w:rsidP="00E7268D">
      <w:pPr>
        <w:pStyle w:val="FootnoteText"/>
      </w:pPr>
      <w:r>
        <w:rPr>
          <w:rStyle w:val="FootnoteReference"/>
        </w:rPr>
        <w:footnoteRef/>
      </w:r>
      <w:r>
        <w:t xml:space="preserve"> Citizens Information. (2021) </w:t>
      </w:r>
      <w:r w:rsidRPr="00836AC6">
        <w:rPr>
          <w:i/>
        </w:rPr>
        <w:t>Human trafficking.</w:t>
      </w:r>
      <w:r>
        <w:t xml:space="preserve"> Available at </w:t>
      </w:r>
      <w:hyperlink r:id="rId10" w:history="1">
        <w:r w:rsidRPr="000F2AD4">
          <w:rPr>
            <w:rStyle w:val="Hyperlink"/>
          </w:rPr>
          <w:t>https://www.citizensinformation.ie/en/justice/crime_and_crime_prevention/anti_human_trafficking_initiative.html#</w:t>
        </w:r>
      </w:hyperlink>
      <w:r>
        <w:t xml:space="preserve"> </w:t>
      </w:r>
    </w:p>
  </w:footnote>
  <w:footnote w:id="17">
    <w:p w14:paraId="4062726A" w14:textId="659749A5" w:rsidR="009201C0" w:rsidRPr="00E3712F" w:rsidRDefault="009201C0" w:rsidP="00E3712F">
      <w:pPr>
        <w:pStyle w:val="FootnoteText"/>
      </w:pPr>
      <w:r>
        <w:rPr>
          <w:rStyle w:val="FootnoteReference"/>
        </w:rPr>
        <w:footnoteRef/>
      </w:r>
      <w:r>
        <w:t xml:space="preserve"> UN. (2017) </w:t>
      </w:r>
      <w:r w:rsidRPr="00E3712F">
        <w:rPr>
          <w:i/>
        </w:rPr>
        <w:t>Committee on the elimination of discrimination against women</w:t>
      </w:r>
      <w:r>
        <w:rPr>
          <w:i/>
        </w:rPr>
        <w:t>. C</w:t>
      </w:r>
      <w:r w:rsidRPr="00E3712F">
        <w:rPr>
          <w:i/>
        </w:rPr>
        <w:t>oncluding observations on the combined sixth and seventh periodic reports of Ireland</w:t>
      </w:r>
      <w:r>
        <w:rPr>
          <w:i/>
        </w:rPr>
        <w:t xml:space="preserve">. </w:t>
      </w:r>
      <w:r>
        <w:t xml:space="preserve">Available at </w:t>
      </w:r>
      <w:hyperlink r:id="rId11" w:history="1">
        <w:r w:rsidRPr="00441B22">
          <w:rPr>
            <w:rStyle w:val="Hyperlink"/>
          </w:rPr>
          <w:t>https://tbinternet.ohchr.org/_layouts/15/treatybodyexternal/Download.aspx?symbolno=CEDAW%2fC%2fIRL%2fCO%2f6-7&amp;Lang=en</w:t>
        </w:r>
      </w:hyperlink>
      <w:r>
        <w:t xml:space="preserve"> </w:t>
      </w:r>
    </w:p>
  </w:footnote>
  <w:footnote w:id="18">
    <w:p w14:paraId="014FF0AE" w14:textId="2EA6078C" w:rsidR="009201C0" w:rsidRDefault="009201C0" w:rsidP="00E3712F">
      <w:pPr>
        <w:pStyle w:val="FootnoteText"/>
      </w:pPr>
      <w:r>
        <w:rPr>
          <w:rStyle w:val="FootnoteReference"/>
        </w:rPr>
        <w:footnoteRef/>
      </w:r>
      <w:r>
        <w:t xml:space="preserve"> UN. (2020) </w:t>
      </w:r>
      <w:r w:rsidRPr="00E3712F">
        <w:rPr>
          <w:i/>
        </w:rPr>
        <w:t>Committee on the elimination of discrimination against women</w:t>
      </w:r>
      <w:r>
        <w:rPr>
          <w:i/>
        </w:rPr>
        <w:t xml:space="preserve">. General recommendation no.38 (2020) on trafficking in women and girls in the context of global migration. </w:t>
      </w:r>
      <w:r>
        <w:t xml:space="preserve">Available at </w:t>
      </w:r>
      <w:hyperlink r:id="rId12" w:history="1">
        <w:r w:rsidRPr="00811D57">
          <w:rPr>
            <w:rStyle w:val="Hyperlink"/>
          </w:rPr>
          <w:t>https://tbinternet.ohchr.org/_layouts/15/treatybodyexternal/Download.aspx?symbolno=CEDAW/C/GC/38&amp;Lang=en</w:t>
        </w:r>
      </w:hyperlink>
      <w:r>
        <w:t xml:space="preserve"> </w:t>
      </w:r>
    </w:p>
  </w:footnote>
  <w:footnote w:id="19">
    <w:p w14:paraId="5C7D8596" w14:textId="17C8B93E" w:rsidR="009201C0" w:rsidRDefault="009201C0">
      <w:pPr>
        <w:pStyle w:val="FootnoteText"/>
      </w:pPr>
      <w:r>
        <w:rPr>
          <w:rStyle w:val="FootnoteReference"/>
        </w:rPr>
        <w:footnoteRef/>
      </w:r>
      <w:r>
        <w:t xml:space="preserve"> UN. (2016). </w:t>
      </w:r>
      <w:r w:rsidRPr="0042512B">
        <w:rPr>
          <w:i/>
        </w:rPr>
        <w:t>Report of the working group on the universal periodic review.</w:t>
      </w:r>
      <w:r>
        <w:t xml:space="preserve"> Available at </w:t>
      </w:r>
      <w:hyperlink r:id="rId13" w:history="1">
        <w:r w:rsidRPr="0004162E">
          <w:rPr>
            <w:rStyle w:val="Hyperlink"/>
          </w:rPr>
          <w:t>https://www.ohchr.org/en/hr-bodies/upr/ie-index?msclkid=2b052193a9f011ec95819e85c5287c91</w:t>
        </w:r>
      </w:hyperlink>
    </w:p>
  </w:footnote>
  <w:footnote w:id="20">
    <w:p w14:paraId="1B854D2F" w14:textId="48039306" w:rsidR="009201C0" w:rsidRDefault="009201C0" w:rsidP="00D51FC1">
      <w:pPr>
        <w:pStyle w:val="FootnoteText"/>
      </w:pPr>
      <w:r>
        <w:rPr>
          <w:rStyle w:val="FootnoteReference"/>
        </w:rPr>
        <w:footnoteRef/>
      </w:r>
      <w:r>
        <w:t xml:space="preserve"> UN. (2021) </w:t>
      </w:r>
      <w:r w:rsidRPr="0042512B">
        <w:rPr>
          <w:i/>
        </w:rPr>
        <w:t>Working group on the universal periodic review. Summary of stakeholders’ submissions on Ireland.</w:t>
      </w:r>
      <w:r>
        <w:t xml:space="preserve"> Available at </w:t>
      </w:r>
      <w:hyperlink r:id="rId14" w:history="1">
        <w:r w:rsidRPr="0004162E">
          <w:rPr>
            <w:rStyle w:val="Hyperlink"/>
          </w:rPr>
          <w:t>https://www.ohchr.org/en/hr-bodies/upr/ie-index?msclkid=2b052193a9f011ec95819e85c5287c91</w:t>
        </w:r>
      </w:hyperlink>
      <w:r>
        <w:t xml:space="preserve">  </w:t>
      </w:r>
    </w:p>
  </w:footnote>
  <w:footnote w:id="21">
    <w:p w14:paraId="0F252009" w14:textId="25522D00" w:rsidR="009201C0" w:rsidRDefault="009201C0" w:rsidP="0042512B">
      <w:pPr>
        <w:pStyle w:val="FootnoteText"/>
      </w:pPr>
      <w:r>
        <w:rPr>
          <w:rStyle w:val="FootnoteReference"/>
        </w:rPr>
        <w:footnoteRef/>
      </w:r>
      <w:r>
        <w:t xml:space="preserve"> UN. (2021) </w:t>
      </w:r>
      <w:r w:rsidRPr="0042512B">
        <w:rPr>
          <w:i/>
        </w:rPr>
        <w:t>Working group on the universal periodic review. Compilation on Ireland. Report of the office of the united nations high commissioner for human rights.</w:t>
      </w:r>
      <w:r>
        <w:t xml:space="preserve"> Available at </w:t>
      </w:r>
      <w:hyperlink r:id="rId15" w:history="1">
        <w:r w:rsidRPr="0004162E">
          <w:rPr>
            <w:rStyle w:val="Hyperlink"/>
          </w:rPr>
          <w:t>https://www.ohchr.org/en/hr-bodies/upr/ie-index?msclkid=2b052193a9f011ec95819e85c5287c91</w:t>
        </w:r>
      </w:hyperlink>
    </w:p>
  </w:footnote>
  <w:footnote w:id="22">
    <w:p w14:paraId="6199A7FE" w14:textId="2898F11C" w:rsidR="009201C0" w:rsidRDefault="009201C0">
      <w:pPr>
        <w:pStyle w:val="FootnoteText"/>
      </w:pPr>
      <w:r>
        <w:rPr>
          <w:rStyle w:val="FootnoteReference"/>
        </w:rPr>
        <w:footnoteRef/>
      </w:r>
      <w:r>
        <w:t xml:space="preserve"> See </w:t>
      </w:r>
      <w:hyperlink r:id="rId16" w:history="1">
        <w:r w:rsidRPr="0004162E">
          <w:rPr>
            <w:rStyle w:val="Hyperlink"/>
          </w:rPr>
          <w:t>https://www.ohchr.org/en/hr-bodies/upr/ie-index?msclkid=2b052193a9f011ec95819e85c5287c91</w:t>
        </w:r>
      </w:hyperlink>
      <w:r>
        <w:t xml:space="preserve"> </w:t>
      </w:r>
    </w:p>
  </w:footnote>
  <w:footnote w:id="23">
    <w:p w14:paraId="34ADCBE3" w14:textId="261A578F" w:rsidR="009201C0" w:rsidRDefault="009201C0" w:rsidP="00327DD4">
      <w:pPr>
        <w:pStyle w:val="FootnoteText"/>
      </w:pPr>
      <w:r>
        <w:rPr>
          <w:rStyle w:val="FootnoteReference"/>
        </w:rPr>
        <w:footnoteRef/>
      </w:r>
      <w:r>
        <w:t xml:space="preserve"> Law Reform Commission. (2019) </w:t>
      </w:r>
      <w:r w:rsidRPr="00327DD4">
        <w:rPr>
          <w:i/>
        </w:rPr>
        <w:t xml:space="preserve">Issues </w:t>
      </w:r>
      <w:r>
        <w:rPr>
          <w:i/>
        </w:rPr>
        <w:t>p</w:t>
      </w:r>
      <w:r w:rsidRPr="00327DD4">
        <w:rPr>
          <w:i/>
        </w:rPr>
        <w:t xml:space="preserve">aper. </w:t>
      </w:r>
      <w:r>
        <w:rPr>
          <w:i/>
        </w:rPr>
        <w:t>A regulatory f</w:t>
      </w:r>
      <w:r w:rsidRPr="00327DD4">
        <w:rPr>
          <w:i/>
        </w:rPr>
        <w:t xml:space="preserve">ramework for </w:t>
      </w:r>
      <w:r>
        <w:rPr>
          <w:i/>
        </w:rPr>
        <w:t>adult s</w:t>
      </w:r>
      <w:r w:rsidRPr="00327DD4">
        <w:rPr>
          <w:i/>
        </w:rPr>
        <w:t>afeguarding</w:t>
      </w:r>
      <w:r>
        <w:t xml:space="preserve">. </w:t>
      </w:r>
      <w:r w:rsidRPr="00327DD4">
        <w:t xml:space="preserve">Available at </w:t>
      </w:r>
      <w:hyperlink r:id="rId17" w:history="1">
        <w:r w:rsidRPr="0004162E">
          <w:rPr>
            <w:rStyle w:val="Hyperlink"/>
          </w:rPr>
          <w:t>https://www.lawreform.ie/_fileupload/Issues%20Papers/LRC%20IP%2018-2019%20A%20Regulatory%20Framework%20For%20Adult%20Safegaurding.pdf</w:t>
        </w:r>
      </w:hyperlink>
      <w:r>
        <w:t xml:space="preserve"> </w:t>
      </w:r>
    </w:p>
  </w:footnote>
  <w:footnote w:id="24">
    <w:p w14:paraId="6CAE6305" w14:textId="6D848A1F" w:rsidR="009201C0" w:rsidRDefault="009201C0">
      <w:pPr>
        <w:pStyle w:val="FootnoteText"/>
      </w:pPr>
      <w:r>
        <w:rPr>
          <w:rStyle w:val="FootnoteReference"/>
        </w:rPr>
        <w:footnoteRef/>
      </w:r>
      <w:r>
        <w:t xml:space="preserve"> Law Reform Commission. (2019) </w:t>
      </w:r>
      <w:r w:rsidRPr="00327DD4">
        <w:rPr>
          <w:i/>
        </w:rPr>
        <w:t xml:space="preserve">Issues </w:t>
      </w:r>
      <w:r>
        <w:rPr>
          <w:i/>
        </w:rPr>
        <w:t>p</w:t>
      </w:r>
      <w:r w:rsidRPr="00327DD4">
        <w:rPr>
          <w:i/>
        </w:rPr>
        <w:t xml:space="preserve">aper. </w:t>
      </w:r>
      <w:r>
        <w:rPr>
          <w:i/>
        </w:rPr>
        <w:t>A regulatory f</w:t>
      </w:r>
      <w:r w:rsidRPr="00327DD4">
        <w:rPr>
          <w:i/>
        </w:rPr>
        <w:t xml:space="preserve">ramework for </w:t>
      </w:r>
      <w:r>
        <w:rPr>
          <w:i/>
        </w:rPr>
        <w:t>adult s</w:t>
      </w:r>
      <w:r w:rsidRPr="00327DD4">
        <w:rPr>
          <w:i/>
        </w:rPr>
        <w:t>afeguarding</w:t>
      </w:r>
      <w:r>
        <w:t xml:space="preserve">. </w:t>
      </w:r>
      <w:r w:rsidRPr="00327DD4">
        <w:t xml:space="preserve">Available at </w:t>
      </w:r>
      <w:hyperlink r:id="rId18" w:history="1">
        <w:r w:rsidRPr="0004162E">
          <w:rPr>
            <w:rStyle w:val="Hyperlink"/>
          </w:rPr>
          <w:t>https://www.lawreform.ie/_fileupload/Issues%20Papers/LRC%20IP%2018-2019%20A%20Regulatory%20Framework%20For%20Adult%20Safegaurding.pdf</w:t>
        </w:r>
      </w:hyperlink>
      <w:r>
        <w:t xml:space="preserve"> </w:t>
      </w:r>
    </w:p>
  </w:footnote>
  <w:footnote w:id="25">
    <w:p w14:paraId="1FDCBBD8" w14:textId="6F1261B0" w:rsidR="009201C0" w:rsidRPr="001C3574" w:rsidRDefault="009201C0" w:rsidP="00E87BC7">
      <w:pPr>
        <w:pStyle w:val="CommentText"/>
        <w:spacing w:after="120"/>
        <w:rPr>
          <w:rFonts w:ascii="Gill Sans MT" w:hAnsi="Gill Sans MT"/>
          <w:sz w:val="22"/>
          <w:szCs w:val="22"/>
          <w:lang w:val="en-IE"/>
        </w:rPr>
      </w:pPr>
      <w:r>
        <w:rPr>
          <w:rStyle w:val="FootnoteReference"/>
        </w:rPr>
        <w:footnoteRef/>
      </w:r>
      <w:r>
        <w:t xml:space="preserve"> </w:t>
      </w:r>
      <w:r>
        <w:rPr>
          <w:rFonts w:ascii="Gill Sans MT" w:hAnsi="Gill Sans MT"/>
          <w:sz w:val="22"/>
          <w:szCs w:val="22"/>
          <w:lang w:val="en-IE"/>
        </w:rPr>
        <w:t xml:space="preserve">Law Reform Commission. (2021) </w:t>
      </w:r>
      <w:r w:rsidRPr="001C3574">
        <w:rPr>
          <w:rFonts w:ascii="Gill Sans MT" w:hAnsi="Gill Sans MT"/>
          <w:i/>
          <w:sz w:val="22"/>
          <w:szCs w:val="22"/>
          <w:lang w:val="en-IE"/>
        </w:rPr>
        <w:t>Joint health committee discusses LRC project on a regulatory framework for adult safeguarding.</w:t>
      </w:r>
      <w:r>
        <w:rPr>
          <w:rFonts w:ascii="Gill Sans MT" w:hAnsi="Gill Sans MT"/>
          <w:sz w:val="22"/>
          <w:szCs w:val="22"/>
          <w:lang w:val="en-IE"/>
        </w:rPr>
        <w:t xml:space="preserve"> Available at </w:t>
      </w:r>
      <w:hyperlink r:id="rId19" w:history="1">
        <w:r w:rsidRPr="0004162E">
          <w:rPr>
            <w:rStyle w:val="Hyperlink"/>
            <w:rFonts w:ascii="Gill Sans MT" w:hAnsi="Gill Sans MT"/>
            <w:sz w:val="22"/>
            <w:szCs w:val="22"/>
            <w:lang w:val="en-IE"/>
          </w:rPr>
          <w:t>https://www.lawreform.ie/news/joint-health-committee-discusses-lrc-project-on-a-regulatory-framework-for-adult-safeguarding.889.html</w:t>
        </w:r>
      </w:hyperlink>
      <w:r>
        <w:rPr>
          <w:rFonts w:ascii="Gill Sans MT" w:hAnsi="Gill Sans MT"/>
          <w:sz w:val="22"/>
          <w:szCs w:val="22"/>
          <w:lang w:val="en-IE"/>
        </w:rPr>
        <w:t xml:space="preserve"> </w:t>
      </w:r>
    </w:p>
  </w:footnote>
  <w:footnote w:id="26">
    <w:p w14:paraId="0FD1FF9C" w14:textId="5C9C73FF" w:rsidR="009201C0" w:rsidRDefault="009201C0">
      <w:pPr>
        <w:pStyle w:val="FootnoteText"/>
      </w:pPr>
      <w:r>
        <w:rPr>
          <w:rStyle w:val="FootnoteReference"/>
        </w:rPr>
        <w:footnoteRef/>
      </w:r>
      <w:r>
        <w:t xml:space="preserve"> </w:t>
      </w:r>
      <w:r w:rsidRPr="00F94BEA">
        <w:t xml:space="preserve">Dáil Deb. </w:t>
      </w:r>
      <w:r>
        <w:t>16 Feb 2021</w:t>
      </w:r>
      <w:r w:rsidRPr="00F94BEA">
        <w:t xml:space="preserve">, </w:t>
      </w:r>
      <w:r w:rsidRPr="0053788B">
        <w:t>Ms Justice Mary Laffoy</w:t>
      </w:r>
      <w:r w:rsidRPr="00F94BEA">
        <w:t>.</w:t>
      </w:r>
      <w:r>
        <w:t xml:space="preserve"> Available at </w:t>
      </w:r>
      <w:hyperlink r:id="rId20" w:history="1">
        <w:r w:rsidRPr="0004162E">
          <w:rPr>
            <w:rStyle w:val="Hyperlink"/>
          </w:rPr>
          <w:t>https://www.oireachtas.ie/en/debates/debate/joint_committee_on_health/2021-02-16/2/</w:t>
        </w:r>
      </w:hyperlink>
      <w:r>
        <w:t xml:space="preserve"> </w:t>
      </w:r>
    </w:p>
  </w:footnote>
  <w:footnote w:id="27">
    <w:p w14:paraId="7274F90A" w14:textId="77777777" w:rsidR="009201C0" w:rsidRDefault="009201C0" w:rsidP="00E11E96">
      <w:pPr>
        <w:pStyle w:val="FootnoteText"/>
      </w:pPr>
      <w:r>
        <w:rPr>
          <w:rStyle w:val="FootnoteReference"/>
        </w:rPr>
        <w:footnoteRef/>
      </w:r>
      <w:r>
        <w:t xml:space="preserve"> For more information, see the website of the Department of Children and Youth Affairs at the following link: </w:t>
      </w:r>
      <w:hyperlink r:id="rId21" w:history="1">
        <w:r w:rsidRPr="0023731C">
          <w:rPr>
            <w:rStyle w:val="Hyperlink"/>
          </w:rPr>
          <w:t>https://www.gov.ie/en/publication/97d109-review-of-the-child-care-act-1991/</w:t>
        </w:r>
      </w:hyperlink>
    </w:p>
  </w:footnote>
  <w:footnote w:id="28">
    <w:p w14:paraId="5C8E374A" w14:textId="4DED1371" w:rsidR="009201C0" w:rsidRDefault="009201C0">
      <w:pPr>
        <w:pStyle w:val="FootnoteText"/>
      </w:pPr>
      <w:r>
        <w:rPr>
          <w:rStyle w:val="FootnoteReference"/>
        </w:rPr>
        <w:footnoteRef/>
      </w:r>
      <w:r>
        <w:t xml:space="preserve"> See </w:t>
      </w:r>
      <w:hyperlink r:id="rId22" w:history="1">
        <w:r w:rsidRPr="000F2AD4">
          <w:rPr>
            <w:rStyle w:val="Hyperlink"/>
          </w:rPr>
          <w:t>https://www.ihrec.ie/our-work/public-sector-duty/</w:t>
        </w:r>
      </w:hyperlink>
      <w:r>
        <w:t xml:space="preserve"> for more information and resources</w:t>
      </w:r>
    </w:p>
  </w:footnote>
  <w:footnote w:id="29">
    <w:p w14:paraId="3A1ED8D2" w14:textId="06E8D3FF" w:rsidR="009201C0" w:rsidRDefault="009201C0" w:rsidP="00915BFD">
      <w:pPr>
        <w:pStyle w:val="FootnoteText"/>
      </w:pPr>
      <w:r>
        <w:rPr>
          <w:rStyle w:val="FootnoteReference"/>
        </w:rPr>
        <w:footnoteRef/>
      </w:r>
      <w:r>
        <w:t xml:space="preserve"> Department of Health. (2019) </w:t>
      </w:r>
      <w:r w:rsidRPr="00915BFD">
        <w:rPr>
          <w:i/>
        </w:rPr>
        <w:t xml:space="preserve">The </w:t>
      </w:r>
      <w:r>
        <w:rPr>
          <w:i/>
        </w:rPr>
        <w:t>d</w:t>
      </w:r>
      <w:r w:rsidRPr="00915BFD">
        <w:rPr>
          <w:i/>
        </w:rPr>
        <w:t xml:space="preserve">eprivation of </w:t>
      </w:r>
      <w:r>
        <w:rPr>
          <w:i/>
        </w:rPr>
        <w:t>l</w:t>
      </w:r>
      <w:r w:rsidRPr="00915BFD">
        <w:rPr>
          <w:i/>
        </w:rPr>
        <w:t>iberty</w:t>
      </w:r>
      <w:r>
        <w:rPr>
          <w:i/>
        </w:rPr>
        <w:t xml:space="preserve"> s</w:t>
      </w:r>
      <w:r w:rsidRPr="00915BFD">
        <w:rPr>
          <w:i/>
        </w:rPr>
        <w:t xml:space="preserve">afeguard </w:t>
      </w:r>
      <w:r>
        <w:rPr>
          <w:i/>
        </w:rPr>
        <w:t>p</w:t>
      </w:r>
      <w:r w:rsidRPr="00915BFD">
        <w:rPr>
          <w:i/>
        </w:rPr>
        <w:t>roposals: Report</w:t>
      </w:r>
      <w:r>
        <w:rPr>
          <w:i/>
        </w:rPr>
        <w:t xml:space="preserve"> </w:t>
      </w:r>
      <w:r w:rsidRPr="00915BFD">
        <w:rPr>
          <w:i/>
        </w:rPr>
        <w:t xml:space="preserve">on the </w:t>
      </w:r>
      <w:r>
        <w:rPr>
          <w:i/>
        </w:rPr>
        <w:t>p</w:t>
      </w:r>
      <w:r w:rsidRPr="00915BFD">
        <w:rPr>
          <w:i/>
        </w:rPr>
        <w:t xml:space="preserve">ublic </w:t>
      </w:r>
      <w:r>
        <w:rPr>
          <w:i/>
        </w:rPr>
        <w:t>c</w:t>
      </w:r>
      <w:r w:rsidRPr="00915BFD">
        <w:rPr>
          <w:i/>
        </w:rPr>
        <w:t>onsultation</w:t>
      </w:r>
      <w:r>
        <w:rPr>
          <w:i/>
        </w:rPr>
        <w:t>.</w:t>
      </w:r>
      <w:r>
        <w:t xml:space="preserve"> Available at </w:t>
      </w:r>
      <w:hyperlink r:id="rId23" w:history="1">
        <w:r w:rsidRPr="00572B2F">
          <w:rPr>
            <w:rStyle w:val="Hyperlink"/>
          </w:rPr>
          <w:t>https://assets.gov.ie/43856/286eb5d2ebca4b088d65cfef7b5c23a2.pdf</w:t>
        </w:r>
      </w:hyperlink>
      <w:r>
        <w:t xml:space="preserve"> </w:t>
      </w:r>
    </w:p>
  </w:footnote>
  <w:footnote w:id="30">
    <w:p w14:paraId="12E28FDE" w14:textId="78659967" w:rsidR="009201C0" w:rsidRDefault="009201C0">
      <w:pPr>
        <w:pStyle w:val="FootnoteText"/>
      </w:pPr>
      <w:r>
        <w:rPr>
          <w:rStyle w:val="FootnoteReference"/>
        </w:rPr>
        <w:footnoteRef/>
      </w:r>
      <w:r>
        <w:t xml:space="preserve"> </w:t>
      </w:r>
      <w:r w:rsidRPr="00F24A32">
        <w:t>Houses of the Oireachtas</w:t>
      </w:r>
      <w:r>
        <w:t xml:space="preserve">. (2021) </w:t>
      </w:r>
      <w:r w:rsidRPr="00F24A32">
        <w:rPr>
          <w:i/>
        </w:rPr>
        <w:t>Press release. Joint committee on justice recommends special oireachtas committee examines topic of assisted dying following scrutiny of dying with dignity bill 2020.</w:t>
      </w:r>
      <w:r>
        <w:t xml:space="preserve"> Available at </w:t>
      </w:r>
      <w:hyperlink r:id="rId24" w:history="1">
        <w:r w:rsidRPr="00A67660">
          <w:rPr>
            <w:rStyle w:val="Hyperlink"/>
          </w:rPr>
          <w:t>https://www.oireachtas.ie/en/press-centre/press-releases/20210721-joint-committee-on-justice-recommends-special-oireachtas-committee-examines-topic-of-assisted-dying-following-scrutiny-of-dying-with-dignity-bill-2020/</w:t>
        </w:r>
      </w:hyperlink>
      <w:r>
        <w:t xml:space="preserve"> </w:t>
      </w:r>
    </w:p>
  </w:footnote>
  <w:footnote w:id="31">
    <w:p w14:paraId="35A4EC29" w14:textId="3044143B" w:rsidR="009201C0" w:rsidRDefault="009201C0" w:rsidP="00B143B3">
      <w:pPr>
        <w:pStyle w:val="FootnoteText"/>
      </w:pPr>
      <w:r>
        <w:rPr>
          <w:rStyle w:val="FootnoteReference"/>
        </w:rPr>
        <w:footnoteRef/>
      </w:r>
      <w:r>
        <w:t xml:space="preserve"> Cosc and the Department of Justice, Equality and Law Reform. (2010) </w:t>
      </w:r>
      <w:r w:rsidRPr="00B143B3">
        <w:rPr>
          <w:i/>
        </w:rPr>
        <w:t>National strategy on domestic, sexual and gender-based violence 2010-2014.</w:t>
      </w:r>
      <w:r>
        <w:t xml:space="preserve"> Available at </w:t>
      </w:r>
      <w:hyperlink r:id="rId25" w:history="1">
        <w:r w:rsidRPr="00C12464">
          <w:rPr>
            <w:rStyle w:val="Hyperlink"/>
          </w:rPr>
          <w:t>http://www.justice.ie/en/JELR/Final%20Electronic%20NS%20full%20doc%203%20March.pdf/Files/Final%20Electronic%20NS%20full%20doc%203%20March.pdf</w:t>
        </w:r>
      </w:hyperlink>
      <w:r>
        <w:t xml:space="preserve"> </w:t>
      </w:r>
    </w:p>
  </w:footnote>
  <w:footnote w:id="32">
    <w:p w14:paraId="1304A2E9" w14:textId="5CA8C43A" w:rsidR="009201C0" w:rsidRDefault="009201C0" w:rsidP="004459B2">
      <w:pPr>
        <w:pStyle w:val="FootnoteText"/>
      </w:pPr>
      <w:r>
        <w:rPr>
          <w:rStyle w:val="FootnoteReference"/>
        </w:rPr>
        <w:footnoteRef/>
      </w:r>
      <w:r>
        <w:t xml:space="preserve"> Cosc and the Department of Justice and Equality. (2016) </w:t>
      </w:r>
      <w:r w:rsidRPr="00B143B3">
        <w:rPr>
          <w:i/>
        </w:rPr>
        <w:t>Action plan. Second national strategy on domestic, sexual and gender-based violence 2016-2021.</w:t>
      </w:r>
      <w:r>
        <w:t xml:space="preserve"> Available at </w:t>
      </w:r>
      <w:hyperlink r:id="rId26" w:history="1">
        <w:r w:rsidRPr="00C12464">
          <w:rPr>
            <w:rStyle w:val="Hyperlink"/>
          </w:rPr>
          <w:t>http://www.justice.ie/en/JELR/Action%20Plan%20-%20Second%20National%20Strategy%20on%20Domestic,%20Sexual%20and%20Gender-based%20Violence%202016%20-%202021%20Version%201%20-%20January%202016.pdf/Files/Action%20Plan%20-%20Second%20National%20Strategy%20on%20Domestic,%20Sexual%20and%20Gender-based%20Violence%202016%20-%202021%20Version%201%20-%20January%202016.pdf</w:t>
        </w:r>
      </w:hyperlink>
    </w:p>
  </w:footnote>
  <w:footnote w:id="33">
    <w:p w14:paraId="33EA7918" w14:textId="4F2355F8" w:rsidR="009201C0" w:rsidRDefault="009201C0" w:rsidP="004459B2">
      <w:pPr>
        <w:pStyle w:val="FootnoteText"/>
      </w:pPr>
      <w:r>
        <w:rPr>
          <w:rStyle w:val="FootnoteReference"/>
        </w:rPr>
        <w:footnoteRef/>
      </w:r>
      <w:r>
        <w:t xml:space="preserve"> </w:t>
      </w:r>
      <w:r w:rsidRPr="00A86D29">
        <w:t xml:space="preserve">Minister of State at the Department of </w:t>
      </w:r>
      <w:r>
        <w:t>Justice</w:t>
      </w:r>
      <w:r w:rsidRPr="00A86D29">
        <w:t xml:space="preserve">, </w:t>
      </w:r>
      <w:r>
        <w:t>Deputy Hildegarde Naughton,</w:t>
      </w:r>
      <w:r w:rsidRPr="00A86D29">
        <w:t xml:space="preserve"> Parliamentary Question, </w:t>
      </w:r>
      <w:r>
        <w:t>13</w:t>
      </w:r>
      <w:r w:rsidRPr="00A86D29">
        <w:t xml:space="preserve"> </w:t>
      </w:r>
      <w:r>
        <w:t>July</w:t>
      </w:r>
      <w:r w:rsidRPr="00A86D29">
        <w:t xml:space="preserve"> 20</w:t>
      </w:r>
      <w:r>
        <w:t>21</w:t>
      </w:r>
      <w:r w:rsidRPr="00A86D29">
        <w:t xml:space="preserve">, </w:t>
      </w:r>
      <w:r w:rsidRPr="00B143B3">
        <w:t>37409/21</w:t>
      </w:r>
      <w:r w:rsidRPr="00A86D29">
        <w:t>.</w:t>
      </w:r>
      <w:r>
        <w:t xml:space="preserve"> Available at </w:t>
      </w:r>
      <w:hyperlink r:id="rId27" w:history="1">
        <w:r w:rsidRPr="00815BFC">
          <w:rPr>
            <w:rStyle w:val="Hyperlink"/>
          </w:rPr>
          <w:t>http://www.justice.ie/en/JELR/Pages/PQ-13-07-2021-550</w:t>
        </w:r>
      </w:hyperlink>
      <w:r>
        <w:t xml:space="preserve"> </w:t>
      </w:r>
    </w:p>
  </w:footnote>
  <w:footnote w:id="34">
    <w:p w14:paraId="58FF87B6" w14:textId="4912AC2D" w:rsidR="009201C0" w:rsidRDefault="009201C0" w:rsidP="00D26D0F">
      <w:pPr>
        <w:pStyle w:val="FootnoteText"/>
      </w:pPr>
      <w:r>
        <w:rPr>
          <w:rStyle w:val="FootnoteReference"/>
        </w:rPr>
        <w:footnoteRef/>
      </w:r>
      <w:r>
        <w:t xml:space="preserve"> Department of Justice. (2021) </w:t>
      </w:r>
      <w:r w:rsidRPr="00D26D0F">
        <w:rPr>
          <w:i/>
        </w:rPr>
        <w:t xml:space="preserve">Domestic, sexual and gender based violence: An audit of structures. </w:t>
      </w:r>
      <w:r>
        <w:t xml:space="preserve">Available at </w:t>
      </w:r>
      <w:hyperlink r:id="rId28" w:history="1">
        <w:r w:rsidRPr="00815BFC">
          <w:rPr>
            <w:rStyle w:val="Hyperlink"/>
          </w:rPr>
          <w:t>https://www.gov.ie/en/publication/0a048-domestic-sexual-and-gender-based-violence-an-audit-of-structures/</w:t>
        </w:r>
      </w:hyperlink>
      <w:r>
        <w:t xml:space="preserve"> </w:t>
      </w:r>
    </w:p>
  </w:footnote>
  <w:footnote w:id="35">
    <w:p w14:paraId="45346D41" w14:textId="3C8DC193" w:rsidR="009201C0" w:rsidRDefault="009201C0" w:rsidP="004A6F29">
      <w:pPr>
        <w:pStyle w:val="FootnoteText"/>
      </w:pPr>
      <w:r>
        <w:rPr>
          <w:rStyle w:val="FootnoteReference"/>
        </w:rPr>
        <w:footnoteRef/>
      </w:r>
      <w:r>
        <w:t xml:space="preserve"> Disabled Women’s Group NCWI. (2020) </w:t>
      </w:r>
      <w:r w:rsidRPr="00ED2681">
        <w:rPr>
          <w:i/>
        </w:rPr>
        <w:t xml:space="preserve">Submission to third national strategy on domestic, sexual and gender-based violence. </w:t>
      </w:r>
      <w:r>
        <w:t xml:space="preserve">Available at </w:t>
      </w:r>
      <w:hyperlink r:id="rId29" w:history="1">
        <w:r w:rsidRPr="00815BFC">
          <w:rPr>
            <w:rStyle w:val="Hyperlink"/>
          </w:rPr>
          <w:t>https://www.nwci.ie/images/uploads/Disabled_Womens_Group_-_3rd_National_Strategy_DSGBV_Submission_JUNE_2020.pdf</w:t>
        </w:r>
      </w:hyperlink>
      <w:r>
        <w:t xml:space="preserve"> </w:t>
      </w:r>
    </w:p>
  </w:footnote>
  <w:footnote w:id="36">
    <w:p w14:paraId="1393BF51" w14:textId="58651C1B" w:rsidR="009201C0" w:rsidRDefault="009201C0">
      <w:pPr>
        <w:pStyle w:val="FootnoteText"/>
      </w:pPr>
      <w:r>
        <w:rPr>
          <w:rStyle w:val="FootnoteReference"/>
        </w:rPr>
        <w:footnoteRef/>
      </w:r>
      <w:r>
        <w:t xml:space="preserve"> Department of Justice, Equality and Law Reform. (2009) </w:t>
      </w:r>
      <w:r w:rsidRPr="00BE64EB">
        <w:rPr>
          <w:i/>
        </w:rPr>
        <w:t>National action plan to prevent and combat trafficking of human beings.</w:t>
      </w:r>
      <w:r>
        <w:t xml:space="preserve"> Available at </w:t>
      </w:r>
      <w:hyperlink r:id="rId30" w:history="1">
        <w:r w:rsidRPr="00815BFC">
          <w:rPr>
            <w:rStyle w:val="Hyperlink"/>
          </w:rPr>
          <w:t>https://www.justice.ie/en/JELR/Final%20National%20Action%20Plan2.pdf/Files/Final%20National%20Action%20Plan2.pdf</w:t>
        </w:r>
      </w:hyperlink>
      <w:r>
        <w:t xml:space="preserve"> </w:t>
      </w:r>
    </w:p>
  </w:footnote>
  <w:footnote w:id="37">
    <w:p w14:paraId="1EA998EF" w14:textId="045AFE08" w:rsidR="009201C0" w:rsidRDefault="009201C0" w:rsidP="006A5571">
      <w:pPr>
        <w:pStyle w:val="FootnoteText"/>
      </w:pPr>
      <w:r>
        <w:rPr>
          <w:rStyle w:val="FootnoteReference"/>
        </w:rPr>
        <w:footnoteRef/>
      </w:r>
      <w:r>
        <w:t xml:space="preserve"> Department of Justice, Equality and Law Reform. (2016) </w:t>
      </w:r>
      <w:r w:rsidRPr="00E0170B">
        <w:rPr>
          <w:i/>
        </w:rPr>
        <w:t xml:space="preserve">Second </w:t>
      </w:r>
      <w:r>
        <w:rPr>
          <w:i/>
        </w:rPr>
        <w:t>n</w:t>
      </w:r>
      <w:r w:rsidRPr="00E0170B">
        <w:rPr>
          <w:i/>
        </w:rPr>
        <w:t xml:space="preserve">ational </w:t>
      </w:r>
      <w:r>
        <w:rPr>
          <w:i/>
        </w:rPr>
        <w:t>a</w:t>
      </w:r>
      <w:r w:rsidRPr="00E0170B">
        <w:rPr>
          <w:i/>
        </w:rPr>
        <w:t xml:space="preserve">ction </w:t>
      </w:r>
      <w:r>
        <w:rPr>
          <w:i/>
        </w:rPr>
        <w:t>p</w:t>
      </w:r>
      <w:r w:rsidRPr="00E0170B">
        <w:rPr>
          <w:i/>
        </w:rPr>
        <w:t xml:space="preserve">lan to </w:t>
      </w:r>
      <w:r>
        <w:rPr>
          <w:i/>
        </w:rPr>
        <w:t>p</w:t>
      </w:r>
      <w:r w:rsidRPr="00E0170B">
        <w:rPr>
          <w:i/>
        </w:rPr>
        <w:t xml:space="preserve">revent and </w:t>
      </w:r>
      <w:r>
        <w:rPr>
          <w:i/>
        </w:rPr>
        <w:t>combat h</w:t>
      </w:r>
      <w:r w:rsidRPr="00E0170B">
        <w:rPr>
          <w:i/>
        </w:rPr>
        <w:t xml:space="preserve">uman </w:t>
      </w:r>
      <w:r>
        <w:rPr>
          <w:i/>
        </w:rPr>
        <w:t>t</w:t>
      </w:r>
      <w:r w:rsidRPr="00E0170B">
        <w:rPr>
          <w:i/>
        </w:rPr>
        <w:t>rafficking in Ireland.</w:t>
      </w:r>
      <w:r>
        <w:t xml:space="preserve"> Available at </w:t>
      </w:r>
      <w:hyperlink r:id="rId31" w:history="1">
        <w:r w:rsidRPr="00815BFC">
          <w:rPr>
            <w:rStyle w:val="Hyperlink"/>
          </w:rPr>
          <w:t>http://www.justice.ie/en/JELR/Pages/Second_National_Action_Plan_to_Prevent_and_Combat_Human_Trafficking_in_Ireland</w:t>
        </w:r>
      </w:hyperlink>
      <w:r>
        <w:t xml:space="preserve"> </w:t>
      </w:r>
    </w:p>
  </w:footnote>
  <w:footnote w:id="38">
    <w:p w14:paraId="24F15867" w14:textId="2E214687" w:rsidR="009201C0" w:rsidRDefault="009201C0" w:rsidP="00FE242C">
      <w:pPr>
        <w:pStyle w:val="FootnoteText"/>
      </w:pPr>
      <w:r>
        <w:rPr>
          <w:rStyle w:val="FootnoteReference"/>
        </w:rPr>
        <w:footnoteRef/>
      </w:r>
      <w:r>
        <w:t xml:space="preserve"> GRETA. (2013) </w:t>
      </w:r>
      <w:r w:rsidRPr="00FE242C">
        <w:rPr>
          <w:i/>
        </w:rPr>
        <w:t xml:space="preserve">Report concerning the implementation </w:t>
      </w:r>
      <w:r>
        <w:rPr>
          <w:i/>
        </w:rPr>
        <w:t>of the c</w:t>
      </w:r>
      <w:r w:rsidRPr="00FE242C">
        <w:rPr>
          <w:i/>
        </w:rPr>
        <w:t xml:space="preserve">ouncil of </w:t>
      </w:r>
      <w:r>
        <w:rPr>
          <w:i/>
        </w:rPr>
        <w:t>europe c</w:t>
      </w:r>
      <w:r w:rsidRPr="00FE242C">
        <w:rPr>
          <w:i/>
        </w:rPr>
        <w:t xml:space="preserve">onvention on </w:t>
      </w:r>
      <w:r>
        <w:rPr>
          <w:i/>
        </w:rPr>
        <w:t>a</w:t>
      </w:r>
      <w:r w:rsidRPr="00FE242C">
        <w:rPr>
          <w:i/>
        </w:rPr>
        <w:t xml:space="preserve">ction against </w:t>
      </w:r>
      <w:r>
        <w:rPr>
          <w:i/>
        </w:rPr>
        <w:t>t</w:t>
      </w:r>
      <w:r w:rsidRPr="00FE242C">
        <w:rPr>
          <w:i/>
        </w:rPr>
        <w:t xml:space="preserve">rafficking in </w:t>
      </w:r>
      <w:r>
        <w:rPr>
          <w:i/>
        </w:rPr>
        <w:t>human b</w:t>
      </w:r>
      <w:r w:rsidRPr="00FE242C">
        <w:rPr>
          <w:i/>
        </w:rPr>
        <w:t>eings by Ireland</w:t>
      </w:r>
      <w:r>
        <w:rPr>
          <w:i/>
        </w:rPr>
        <w:t>.</w:t>
      </w:r>
      <w:r w:rsidRPr="00FE242C">
        <w:rPr>
          <w:i/>
        </w:rPr>
        <w:t xml:space="preserve"> First evaluation round</w:t>
      </w:r>
      <w:r>
        <w:t>. Available at</w:t>
      </w:r>
      <w:r w:rsidRPr="006A5571">
        <w:t xml:space="preserve"> </w:t>
      </w:r>
      <w:hyperlink r:id="rId32" w:history="1">
        <w:r w:rsidRPr="00815BFC">
          <w:rPr>
            <w:rStyle w:val="Hyperlink"/>
          </w:rPr>
          <w:t>https://rm.coe.int/1680631cbe</w:t>
        </w:r>
      </w:hyperlink>
      <w:r>
        <w:t xml:space="preserve"> </w:t>
      </w:r>
    </w:p>
  </w:footnote>
  <w:footnote w:id="39">
    <w:p w14:paraId="544CAB4D" w14:textId="7886861E" w:rsidR="009201C0" w:rsidRDefault="009201C0">
      <w:pPr>
        <w:pStyle w:val="FootnoteText"/>
      </w:pPr>
      <w:r>
        <w:rPr>
          <w:rStyle w:val="FootnoteReference"/>
        </w:rPr>
        <w:footnoteRef/>
      </w:r>
      <w:r>
        <w:t xml:space="preserve"> GRETA. (2017) </w:t>
      </w:r>
      <w:r w:rsidRPr="00FE242C">
        <w:rPr>
          <w:i/>
        </w:rPr>
        <w:t xml:space="preserve">Report concerning the implementation </w:t>
      </w:r>
      <w:r>
        <w:rPr>
          <w:i/>
        </w:rPr>
        <w:t>of the c</w:t>
      </w:r>
      <w:r w:rsidRPr="00FE242C">
        <w:rPr>
          <w:i/>
        </w:rPr>
        <w:t xml:space="preserve">ouncil of </w:t>
      </w:r>
      <w:r>
        <w:rPr>
          <w:i/>
        </w:rPr>
        <w:t>europe c</w:t>
      </w:r>
      <w:r w:rsidRPr="00FE242C">
        <w:rPr>
          <w:i/>
        </w:rPr>
        <w:t xml:space="preserve">onvention on </w:t>
      </w:r>
      <w:r>
        <w:rPr>
          <w:i/>
        </w:rPr>
        <w:t>a</w:t>
      </w:r>
      <w:r w:rsidRPr="00FE242C">
        <w:rPr>
          <w:i/>
        </w:rPr>
        <w:t xml:space="preserve">ction against </w:t>
      </w:r>
      <w:r>
        <w:rPr>
          <w:i/>
        </w:rPr>
        <w:t>t</w:t>
      </w:r>
      <w:r w:rsidRPr="00FE242C">
        <w:rPr>
          <w:i/>
        </w:rPr>
        <w:t xml:space="preserve">rafficking in </w:t>
      </w:r>
      <w:r>
        <w:rPr>
          <w:i/>
        </w:rPr>
        <w:t>human b</w:t>
      </w:r>
      <w:r w:rsidRPr="00FE242C">
        <w:rPr>
          <w:i/>
        </w:rPr>
        <w:t>eings by Ireland</w:t>
      </w:r>
      <w:r>
        <w:rPr>
          <w:i/>
        </w:rPr>
        <w:t>.</w:t>
      </w:r>
      <w:r w:rsidRPr="00FE242C">
        <w:rPr>
          <w:i/>
        </w:rPr>
        <w:t xml:space="preserve"> </w:t>
      </w:r>
      <w:r>
        <w:rPr>
          <w:i/>
        </w:rPr>
        <w:t>Second</w:t>
      </w:r>
      <w:r w:rsidRPr="00FE242C">
        <w:rPr>
          <w:i/>
        </w:rPr>
        <w:t xml:space="preserve"> evaluation round</w:t>
      </w:r>
      <w:r>
        <w:t>. Available at</w:t>
      </w:r>
      <w:r w:rsidRPr="006A5571">
        <w:t xml:space="preserve"> </w:t>
      </w:r>
      <w:hyperlink r:id="rId33" w:history="1">
        <w:r w:rsidRPr="00815BFC">
          <w:rPr>
            <w:rStyle w:val="Hyperlink"/>
          </w:rPr>
          <w:t>https://rm.coe.int/greta-2017-28-fgr-irl-en/168074b426</w:t>
        </w:r>
      </w:hyperlink>
      <w:r>
        <w:t xml:space="preserve"> </w:t>
      </w:r>
    </w:p>
  </w:footnote>
  <w:footnote w:id="40">
    <w:p w14:paraId="55F89517" w14:textId="3AF5E420" w:rsidR="009201C0" w:rsidRDefault="009201C0">
      <w:pPr>
        <w:pStyle w:val="FootnoteText"/>
      </w:pPr>
      <w:r>
        <w:rPr>
          <w:rStyle w:val="FootnoteReference"/>
        </w:rPr>
        <w:footnoteRef/>
      </w:r>
      <w:r>
        <w:t xml:space="preserve"> GRETA. (2017) </w:t>
      </w:r>
      <w:r w:rsidRPr="00FE242C">
        <w:rPr>
          <w:i/>
        </w:rPr>
        <w:t xml:space="preserve">Report concerning the implementation </w:t>
      </w:r>
      <w:r>
        <w:rPr>
          <w:i/>
        </w:rPr>
        <w:t>of the c</w:t>
      </w:r>
      <w:r w:rsidRPr="00FE242C">
        <w:rPr>
          <w:i/>
        </w:rPr>
        <w:t xml:space="preserve">ouncil of </w:t>
      </w:r>
      <w:r>
        <w:rPr>
          <w:i/>
        </w:rPr>
        <w:t>europe c</w:t>
      </w:r>
      <w:r w:rsidRPr="00FE242C">
        <w:rPr>
          <w:i/>
        </w:rPr>
        <w:t xml:space="preserve">onvention on </w:t>
      </w:r>
      <w:r>
        <w:rPr>
          <w:i/>
        </w:rPr>
        <w:t>a</w:t>
      </w:r>
      <w:r w:rsidRPr="00FE242C">
        <w:rPr>
          <w:i/>
        </w:rPr>
        <w:t xml:space="preserve">ction against </w:t>
      </w:r>
      <w:r>
        <w:rPr>
          <w:i/>
        </w:rPr>
        <w:t>t</w:t>
      </w:r>
      <w:r w:rsidRPr="00FE242C">
        <w:rPr>
          <w:i/>
        </w:rPr>
        <w:t xml:space="preserve">rafficking in </w:t>
      </w:r>
      <w:r>
        <w:rPr>
          <w:i/>
        </w:rPr>
        <w:t>human b</w:t>
      </w:r>
      <w:r w:rsidRPr="00FE242C">
        <w:rPr>
          <w:i/>
        </w:rPr>
        <w:t>eings by Ireland</w:t>
      </w:r>
      <w:r>
        <w:rPr>
          <w:i/>
        </w:rPr>
        <w:t>.</w:t>
      </w:r>
      <w:r w:rsidRPr="00FE242C">
        <w:rPr>
          <w:i/>
        </w:rPr>
        <w:t xml:space="preserve"> </w:t>
      </w:r>
      <w:r>
        <w:rPr>
          <w:i/>
        </w:rPr>
        <w:t>Second</w:t>
      </w:r>
      <w:r w:rsidRPr="00FE242C">
        <w:rPr>
          <w:i/>
        </w:rPr>
        <w:t xml:space="preserve"> evaluation round</w:t>
      </w:r>
      <w:r>
        <w:t>. Available at</w:t>
      </w:r>
      <w:r w:rsidRPr="006A5571">
        <w:t xml:space="preserve"> </w:t>
      </w:r>
      <w:hyperlink r:id="rId34" w:history="1">
        <w:r w:rsidRPr="00815BFC">
          <w:rPr>
            <w:rStyle w:val="Hyperlink"/>
          </w:rPr>
          <w:t>https://rm.coe.int/greta-2017-28-fgr-irl-en/168074b426</w:t>
        </w:r>
      </w:hyperlink>
    </w:p>
  </w:footnote>
  <w:footnote w:id="41">
    <w:p w14:paraId="3B5322DA" w14:textId="572382D9" w:rsidR="009201C0" w:rsidRDefault="009201C0" w:rsidP="00964CCE">
      <w:pPr>
        <w:pStyle w:val="FootnoteText"/>
      </w:pPr>
      <w:r>
        <w:rPr>
          <w:rStyle w:val="FootnoteReference"/>
        </w:rPr>
        <w:footnoteRef/>
      </w:r>
      <w:r>
        <w:t xml:space="preserve"> Conneely, A. (2021) </w:t>
      </w:r>
      <w:r w:rsidRPr="000D46CB">
        <w:t>Ireland on 'watchlist' in report on human trafficking</w:t>
      </w:r>
      <w:r>
        <w:t xml:space="preserve">. </w:t>
      </w:r>
      <w:r>
        <w:rPr>
          <w:i/>
        </w:rPr>
        <w:t xml:space="preserve">RTÉ news. </w:t>
      </w:r>
      <w:r>
        <w:t>[Online] 1</w:t>
      </w:r>
      <w:r w:rsidRPr="000D46CB">
        <w:rPr>
          <w:vertAlign w:val="superscript"/>
        </w:rPr>
        <w:t>st</w:t>
      </w:r>
      <w:r>
        <w:t xml:space="preserve"> July. Available at </w:t>
      </w:r>
      <w:hyperlink r:id="rId35" w:history="1">
        <w:r w:rsidRPr="00486570">
          <w:rPr>
            <w:rStyle w:val="Hyperlink"/>
          </w:rPr>
          <w:t>https://www.rte.ie/news/ireland/2021/0701/1232575-human-trafficking/</w:t>
        </w:r>
      </w:hyperlink>
      <w:r>
        <w:t xml:space="preserve"> </w:t>
      </w:r>
    </w:p>
  </w:footnote>
  <w:footnote w:id="42">
    <w:p w14:paraId="73B79535" w14:textId="022F9E6A" w:rsidR="009201C0" w:rsidRDefault="009201C0">
      <w:pPr>
        <w:pStyle w:val="FootnoteText"/>
      </w:pPr>
      <w:r>
        <w:rPr>
          <w:rStyle w:val="FootnoteReference"/>
        </w:rPr>
        <w:footnoteRef/>
      </w:r>
      <w:r>
        <w:t xml:space="preserve"> Department of Justice. (2021) </w:t>
      </w:r>
      <w:r w:rsidRPr="004C4C58">
        <w:rPr>
          <w:i/>
        </w:rPr>
        <w:t>Government approves proposal for a revised National Referral Mechanism to make it easier for human trafficking victims to come forward and receive supports</w:t>
      </w:r>
      <w:r>
        <w:t xml:space="preserve">. Available at </w:t>
      </w:r>
      <w:hyperlink r:id="rId36" w:history="1">
        <w:r w:rsidRPr="002758E2">
          <w:rPr>
            <w:rStyle w:val="Hyperlink"/>
          </w:rPr>
          <w:t>https://www.justice.ie/en/JELR/Pages/PR21000122</w:t>
        </w:r>
      </w:hyperlink>
      <w:r>
        <w:t xml:space="preserve"> </w:t>
      </w:r>
    </w:p>
  </w:footnote>
  <w:footnote w:id="43">
    <w:p w14:paraId="4B89BFAC" w14:textId="03A94551" w:rsidR="009201C0" w:rsidRDefault="009201C0" w:rsidP="00A22705">
      <w:pPr>
        <w:pStyle w:val="FootnoteText"/>
      </w:pPr>
      <w:r>
        <w:rPr>
          <w:rStyle w:val="FootnoteReference"/>
        </w:rPr>
        <w:footnoteRef/>
      </w:r>
      <w:r>
        <w:t xml:space="preserve"> HSE. (2014) </w:t>
      </w:r>
      <w:r w:rsidRPr="006A0127">
        <w:rPr>
          <w:i/>
        </w:rPr>
        <w:t>Safeguarding vulnerable persons at risk of abuse - national policy and procedures</w:t>
      </w:r>
      <w:r>
        <w:t>. Available at</w:t>
      </w:r>
      <w:r w:rsidRPr="009247C3">
        <w:t xml:space="preserve"> </w:t>
      </w:r>
      <w:hyperlink r:id="rId37" w:history="1">
        <w:r w:rsidRPr="002758E2">
          <w:rPr>
            <w:rStyle w:val="Hyperlink"/>
          </w:rPr>
          <w:t>https://www.hse.ie/eng/services/publications/corporate/personsatriskofabuse.pdf</w:t>
        </w:r>
      </w:hyperlink>
      <w:r>
        <w:t xml:space="preserve"> </w:t>
      </w:r>
    </w:p>
  </w:footnote>
  <w:footnote w:id="44">
    <w:p w14:paraId="607D06B8" w14:textId="3C84C8EF" w:rsidR="009201C0" w:rsidRPr="006203F8" w:rsidRDefault="009201C0" w:rsidP="006203F8">
      <w:pPr>
        <w:pStyle w:val="FootnoteText"/>
      </w:pPr>
      <w:r>
        <w:rPr>
          <w:rStyle w:val="FootnoteReference"/>
        </w:rPr>
        <w:footnoteRef/>
      </w:r>
      <w:r>
        <w:t xml:space="preserve"> Department of Children, Equality, Disability, Integration and Youth. (2021) </w:t>
      </w:r>
      <w:r w:rsidRPr="006203F8">
        <w:rPr>
          <w:i/>
        </w:rPr>
        <w:t>Initial report of Ireland under the convention on the rights of persons with disabilities.</w:t>
      </w:r>
      <w:r>
        <w:rPr>
          <w:i/>
        </w:rPr>
        <w:t xml:space="preserve"> </w:t>
      </w:r>
      <w:r>
        <w:t xml:space="preserve">Available at </w:t>
      </w:r>
      <w:hyperlink r:id="rId38" w:history="1">
        <w:r w:rsidRPr="002758E2">
          <w:rPr>
            <w:rStyle w:val="Hyperlink"/>
          </w:rPr>
          <w:t>file:///H:/Downloads/204196_138b7f87-c6e7-4176-bdd7-61b9e7fff6b9%20(1).pdf</w:t>
        </w:r>
      </w:hyperlink>
      <w:r>
        <w:t xml:space="preserve"> </w:t>
      </w:r>
    </w:p>
  </w:footnote>
  <w:footnote w:id="45">
    <w:p w14:paraId="72536B9C" w14:textId="1159DFAD" w:rsidR="009201C0" w:rsidRDefault="009201C0">
      <w:pPr>
        <w:pStyle w:val="FootnoteText"/>
      </w:pPr>
      <w:r>
        <w:rPr>
          <w:rStyle w:val="FootnoteReference"/>
        </w:rPr>
        <w:footnoteRef/>
      </w:r>
      <w:r>
        <w:t xml:space="preserve"> See </w:t>
      </w:r>
      <w:hyperlink r:id="rId39" w:history="1">
        <w:r w:rsidRPr="002758E2">
          <w:rPr>
            <w:rStyle w:val="Hyperlink"/>
          </w:rPr>
          <w:t>https://www.hse.ie/eng/about/who/socialcare/safeguardingvulnerableadults/safeguardingvuladts.html</w:t>
        </w:r>
      </w:hyperlink>
      <w:r>
        <w:t xml:space="preserve"> </w:t>
      </w:r>
    </w:p>
  </w:footnote>
  <w:footnote w:id="46">
    <w:p w14:paraId="22DD3E8F" w14:textId="18C0E3ED" w:rsidR="009201C0" w:rsidRDefault="009201C0" w:rsidP="00384B13">
      <w:pPr>
        <w:pStyle w:val="FootnoteText"/>
      </w:pPr>
      <w:r>
        <w:rPr>
          <w:rStyle w:val="FootnoteReference"/>
        </w:rPr>
        <w:footnoteRef/>
      </w:r>
      <w:r>
        <w:t xml:space="preserve"> National Safeguarding Office. (2021) </w:t>
      </w:r>
      <w:r w:rsidRPr="00384B13">
        <w:rPr>
          <w:i/>
        </w:rPr>
        <w:t>National safeguarding office annual report 2020.</w:t>
      </w:r>
      <w:r>
        <w:t xml:space="preserve"> Available at </w:t>
      </w:r>
      <w:hyperlink r:id="rId40" w:history="1">
        <w:r w:rsidRPr="002758E2">
          <w:rPr>
            <w:rStyle w:val="Hyperlink"/>
          </w:rPr>
          <w:t>https://www.hse.ie/eng/about/who/socialcare/safeguardingvulnerableadults/nationalsafeguardingofficereport2020.pdf</w:t>
        </w:r>
      </w:hyperlink>
      <w:r>
        <w:t xml:space="preserve">  </w:t>
      </w:r>
    </w:p>
  </w:footnote>
  <w:footnote w:id="47">
    <w:p w14:paraId="446CB6B2" w14:textId="264A848F" w:rsidR="009201C0" w:rsidRDefault="009201C0">
      <w:pPr>
        <w:pStyle w:val="FootnoteText"/>
      </w:pPr>
      <w:r>
        <w:rPr>
          <w:rStyle w:val="FootnoteReference"/>
        </w:rPr>
        <w:footnoteRef/>
      </w:r>
      <w:r>
        <w:t xml:space="preserve"> See </w:t>
      </w:r>
      <w:hyperlink r:id="rId41" w:history="1">
        <w:r w:rsidRPr="002758E2">
          <w:rPr>
            <w:rStyle w:val="Hyperlink"/>
          </w:rPr>
          <w:t>https://www.safeguardingireland.org/about/</w:t>
        </w:r>
      </w:hyperlink>
      <w:r>
        <w:t xml:space="preserve"> </w:t>
      </w:r>
    </w:p>
  </w:footnote>
  <w:footnote w:id="48">
    <w:p w14:paraId="11A17477" w14:textId="3C8E8BE3" w:rsidR="009201C0" w:rsidRDefault="009201C0" w:rsidP="00F839C1">
      <w:pPr>
        <w:pStyle w:val="FootnoteText"/>
      </w:pPr>
      <w:r>
        <w:rPr>
          <w:rStyle w:val="FootnoteReference"/>
        </w:rPr>
        <w:footnoteRef/>
      </w:r>
      <w:r>
        <w:t xml:space="preserve"> HSE. (Unknown year) </w:t>
      </w:r>
      <w:r w:rsidRPr="006050DE">
        <w:rPr>
          <w:i/>
        </w:rPr>
        <w:t>Confidential recipient - news features.</w:t>
      </w:r>
      <w:r>
        <w:t xml:space="preserve"> Available at </w:t>
      </w:r>
      <w:hyperlink r:id="rId42" w:history="1">
        <w:r w:rsidRPr="002758E2">
          <w:rPr>
            <w:rStyle w:val="Hyperlink"/>
          </w:rPr>
          <w:t>https://www.hse.ie/eng/services/news/newsfeatures/confidentialrecipient/</w:t>
        </w:r>
      </w:hyperlink>
      <w:r>
        <w:t xml:space="preserve"> </w:t>
      </w:r>
    </w:p>
  </w:footnote>
  <w:footnote w:id="49">
    <w:p w14:paraId="5CE8F7C4" w14:textId="676E67C2" w:rsidR="009201C0" w:rsidRDefault="009201C0" w:rsidP="001410ED">
      <w:pPr>
        <w:pStyle w:val="FootnoteText"/>
      </w:pPr>
      <w:r w:rsidRPr="008F5878">
        <w:rPr>
          <w:rStyle w:val="FootnoteReference"/>
        </w:rPr>
        <w:footnoteRef/>
      </w:r>
      <w:r w:rsidRPr="008F5878">
        <w:t xml:space="preserve"> </w:t>
      </w:r>
      <w:r>
        <w:t xml:space="preserve">HIQA &amp; MHC. (2019) </w:t>
      </w:r>
      <w:r w:rsidRPr="007D4F42">
        <w:rPr>
          <w:i/>
        </w:rPr>
        <w:t>National standards for adult safeguarding in health and social care services.</w:t>
      </w:r>
      <w:r>
        <w:t xml:space="preserve"> Available at </w:t>
      </w:r>
      <w:hyperlink r:id="rId43" w:history="1">
        <w:r w:rsidRPr="008F5878">
          <w:rPr>
            <w:rStyle w:val="Hyperlink"/>
          </w:rPr>
          <w:t>https://www.hiqa.ie/sites/default/files/2019-12/National-Standards-for-Adult-Safeguarding.pdf</w:t>
        </w:r>
      </w:hyperlink>
    </w:p>
  </w:footnote>
  <w:footnote w:id="50">
    <w:p w14:paraId="2F8667D4" w14:textId="23BB75B6" w:rsidR="009201C0" w:rsidRDefault="009201C0" w:rsidP="003113F6">
      <w:pPr>
        <w:pStyle w:val="FootnoteText"/>
      </w:pPr>
      <w:r>
        <w:rPr>
          <w:rStyle w:val="FootnoteReference"/>
        </w:rPr>
        <w:footnoteRef/>
      </w:r>
      <w:r>
        <w:t xml:space="preserve"> HIQA &amp; MHC. (2019) </w:t>
      </w:r>
      <w:r w:rsidRPr="003113F6">
        <w:rPr>
          <w:i/>
        </w:rPr>
        <w:t>Frequently asked questions (FAQ) about the national standards for adult safeguarding.</w:t>
      </w:r>
      <w:r>
        <w:t xml:space="preserve"> Available at</w:t>
      </w:r>
      <w:r w:rsidRPr="003B2DB3">
        <w:t xml:space="preserve"> </w:t>
      </w:r>
      <w:hyperlink r:id="rId44" w:history="1">
        <w:r w:rsidRPr="002758E2">
          <w:rPr>
            <w:rStyle w:val="Hyperlink"/>
          </w:rPr>
          <w:t>https://www.hiqa.ie/sites/default/files/2019-12/National-Standards-for-Adult-Safeguarding_FAQs.pdf</w:t>
        </w:r>
      </w:hyperlink>
      <w:r>
        <w:t xml:space="preserve"> </w:t>
      </w:r>
    </w:p>
  </w:footnote>
  <w:footnote w:id="51">
    <w:p w14:paraId="7AE89CF7" w14:textId="50B8241A" w:rsidR="009201C0" w:rsidRDefault="009201C0">
      <w:pPr>
        <w:pStyle w:val="FootnoteText"/>
      </w:pPr>
      <w:r>
        <w:rPr>
          <w:rStyle w:val="FootnoteReference"/>
        </w:rPr>
        <w:footnoteRef/>
      </w:r>
      <w:r>
        <w:t xml:space="preserve"> HIQA &amp; MHC. (2019) </w:t>
      </w:r>
      <w:r w:rsidRPr="003113F6">
        <w:rPr>
          <w:i/>
        </w:rPr>
        <w:t>Frequently asked questions (FAQ) about the national standards for adult safeguarding.</w:t>
      </w:r>
      <w:r>
        <w:t xml:space="preserve"> Available at</w:t>
      </w:r>
      <w:r w:rsidRPr="003B2DB3">
        <w:t xml:space="preserve"> </w:t>
      </w:r>
      <w:hyperlink r:id="rId45" w:history="1">
        <w:r w:rsidRPr="002758E2">
          <w:rPr>
            <w:rStyle w:val="Hyperlink"/>
          </w:rPr>
          <w:t>https://www.hiqa.ie/sites/default/files/2019-12/National-Standards-for-Adult-Safeguarding_FAQs.pdf</w:t>
        </w:r>
      </w:hyperlink>
    </w:p>
  </w:footnote>
  <w:footnote w:id="52">
    <w:p w14:paraId="7699F109" w14:textId="637E58B0" w:rsidR="009201C0" w:rsidRDefault="009201C0" w:rsidP="001410ED">
      <w:pPr>
        <w:pStyle w:val="FootnoteText"/>
      </w:pPr>
      <w:r>
        <w:rPr>
          <w:rStyle w:val="FootnoteReference"/>
        </w:rPr>
        <w:footnoteRef/>
      </w:r>
      <w:r>
        <w:t xml:space="preserve"> See </w:t>
      </w:r>
      <w:hyperlink r:id="rId46" w:history="1">
        <w:r w:rsidRPr="002758E2">
          <w:rPr>
            <w:rStyle w:val="Hyperlink"/>
          </w:rPr>
          <w:t>https://www.hiqa.ie/areas-we-work/disability-services</w:t>
        </w:r>
      </w:hyperlink>
      <w:r>
        <w:t xml:space="preserve"> </w:t>
      </w:r>
    </w:p>
  </w:footnote>
  <w:footnote w:id="53">
    <w:p w14:paraId="023B528D" w14:textId="47589C55" w:rsidR="009201C0" w:rsidRDefault="009201C0">
      <w:pPr>
        <w:pStyle w:val="FootnoteText"/>
      </w:pPr>
      <w:r>
        <w:rPr>
          <w:rStyle w:val="FootnoteReference"/>
        </w:rPr>
        <w:footnoteRef/>
      </w:r>
      <w:r>
        <w:t xml:space="preserve"> HIQA. (2021) </w:t>
      </w:r>
      <w:r w:rsidRPr="007301D6">
        <w:rPr>
          <w:i/>
        </w:rPr>
        <w:t>Overview report. Monitoring and regulation of disability services.</w:t>
      </w:r>
      <w:r>
        <w:t xml:space="preserve"> Available at </w:t>
      </w:r>
      <w:hyperlink r:id="rId47" w:history="1">
        <w:r w:rsidRPr="002758E2">
          <w:rPr>
            <w:rStyle w:val="Hyperlink"/>
          </w:rPr>
          <w:t>https://www.hiqa.ie/sites/default/files/2021-11/Overview-Report-Monitoring-and-Regulation-of-Disability-Services_0.pdf</w:t>
        </w:r>
      </w:hyperlink>
      <w:r>
        <w:t xml:space="preserve"> </w:t>
      </w:r>
    </w:p>
  </w:footnote>
  <w:footnote w:id="54">
    <w:p w14:paraId="0AC0E427" w14:textId="0DFFEAA0" w:rsidR="009201C0" w:rsidRDefault="009201C0" w:rsidP="001410ED">
      <w:pPr>
        <w:pStyle w:val="FootnoteText"/>
      </w:pPr>
      <w:r>
        <w:rPr>
          <w:rStyle w:val="FootnoteReference"/>
        </w:rPr>
        <w:footnoteRef/>
      </w:r>
      <w:r>
        <w:t xml:space="preserve"> See </w:t>
      </w:r>
      <w:hyperlink r:id="rId48" w:history="1">
        <w:r w:rsidRPr="00F71FB3">
          <w:rPr>
            <w:rStyle w:val="Hyperlink"/>
          </w:rPr>
          <w:t>https://www.hiqa.ie/reports-and-publications/inspection-reports</w:t>
        </w:r>
      </w:hyperlink>
      <w:r>
        <w:t xml:space="preserve"> </w:t>
      </w:r>
    </w:p>
  </w:footnote>
  <w:footnote w:id="55">
    <w:p w14:paraId="24FD65A4" w14:textId="46FB8CBD" w:rsidR="009201C0" w:rsidRDefault="009201C0" w:rsidP="001410ED">
      <w:pPr>
        <w:pStyle w:val="FootnoteText"/>
      </w:pPr>
      <w:r>
        <w:rPr>
          <w:rStyle w:val="FootnoteReference"/>
        </w:rPr>
        <w:footnoteRef/>
      </w:r>
      <w:r>
        <w:t xml:space="preserve"> See </w:t>
      </w:r>
      <w:hyperlink r:id="rId49" w:history="1">
        <w:r w:rsidRPr="002758E2">
          <w:rPr>
            <w:rStyle w:val="Hyperlink"/>
          </w:rPr>
          <w:t>https://www.mhcirl.ie/what-we-do/regulation/inspected-community-mental-health-services</w:t>
        </w:r>
      </w:hyperlink>
      <w:r>
        <w:t xml:space="preserve"> </w:t>
      </w:r>
    </w:p>
  </w:footnote>
  <w:footnote w:id="56">
    <w:p w14:paraId="08B318BE" w14:textId="2B24FA25" w:rsidR="009201C0" w:rsidRDefault="009201C0">
      <w:pPr>
        <w:pStyle w:val="FootnoteText"/>
      </w:pPr>
      <w:r>
        <w:rPr>
          <w:rStyle w:val="FootnoteReference"/>
        </w:rPr>
        <w:footnoteRef/>
      </w:r>
      <w:r>
        <w:t xml:space="preserve"> Department of Health. (2021) </w:t>
      </w:r>
      <w:r w:rsidRPr="00AA1068">
        <w:rPr>
          <w:i/>
        </w:rPr>
        <w:t>Minister for Health welcomes publication of two reports to inform health sector adult safeguarding policy</w:t>
      </w:r>
      <w:r>
        <w:t xml:space="preserve">. Available at </w:t>
      </w:r>
      <w:hyperlink r:id="rId50" w:history="1">
        <w:r w:rsidRPr="002758E2">
          <w:rPr>
            <w:rStyle w:val="Hyperlink"/>
          </w:rPr>
          <w:t>https://www.gov.ie/en/press-release/2c03d-minister-for-health-welcomes-publication-of-two-reports-to-inform-health-sector-adult-safeguarding-policy/</w:t>
        </w:r>
      </w:hyperlink>
      <w:r>
        <w:t xml:space="preserve"> </w:t>
      </w:r>
    </w:p>
  </w:footnote>
  <w:footnote w:id="57">
    <w:p w14:paraId="0B268C7E" w14:textId="64B3F296" w:rsidR="009201C0" w:rsidRDefault="009201C0" w:rsidP="001410ED">
      <w:pPr>
        <w:pStyle w:val="FootnoteText"/>
      </w:pPr>
      <w:r w:rsidRPr="004C1B78">
        <w:rPr>
          <w:rStyle w:val="FootnoteReference"/>
        </w:rPr>
        <w:footnoteRef/>
      </w:r>
      <w:r w:rsidRPr="004C1B78">
        <w:t xml:space="preserve"> </w:t>
      </w:r>
      <w:r>
        <w:t xml:space="preserve">Department of Children and Youth Affairs. (2017) </w:t>
      </w:r>
      <w:r w:rsidRPr="009C3F74">
        <w:rPr>
          <w:i/>
        </w:rPr>
        <w:t>Children first: National guidance for the protection and welfare of children.</w:t>
      </w:r>
      <w:r>
        <w:t xml:space="preserve"> Available at </w:t>
      </w:r>
      <w:hyperlink r:id="rId51" w:history="1">
        <w:r w:rsidRPr="004C1B78">
          <w:rPr>
            <w:rStyle w:val="Hyperlink"/>
          </w:rPr>
          <w:t>https://www.tusla.ie/uploads/content/Children_First_National_Guidance_2017.pdf</w:t>
        </w:r>
      </w:hyperlink>
    </w:p>
  </w:footnote>
  <w:footnote w:id="58">
    <w:p w14:paraId="0DB04F61" w14:textId="11B8C858" w:rsidR="009201C0" w:rsidRDefault="009201C0">
      <w:pPr>
        <w:pStyle w:val="FootnoteText"/>
      </w:pPr>
      <w:r>
        <w:rPr>
          <w:rStyle w:val="FootnoteReference"/>
        </w:rPr>
        <w:footnoteRef/>
      </w:r>
      <w:r>
        <w:t xml:space="preserve"> HIQA. (2012) </w:t>
      </w:r>
      <w:r w:rsidRPr="000E56D6">
        <w:rPr>
          <w:i/>
        </w:rPr>
        <w:t>National standards for the protection and welfare of children.</w:t>
      </w:r>
      <w:r>
        <w:t xml:space="preserve"> Available at </w:t>
      </w:r>
      <w:hyperlink r:id="rId52" w:history="1">
        <w:r w:rsidRPr="002758E2">
          <w:rPr>
            <w:rStyle w:val="Hyperlink"/>
          </w:rPr>
          <w:t>https://www.tusla.ie/uploads/content/Publications_Child-Protection-Welfare-Standards.pdf</w:t>
        </w:r>
      </w:hyperlink>
      <w:r>
        <w:t xml:space="preserve"> </w:t>
      </w:r>
    </w:p>
  </w:footnote>
  <w:footnote w:id="59">
    <w:p w14:paraId="28BECEA9" w14:textId="7EF4F514" w:rsidR="009201C0" w:rsidRDefault="009201C0">
      <w:pPr>
        <w:pStyle w:val="FootnoteText"/>
      </w:pPr>
      <w:r>
        <w:rPr>
          <w:rStyle w:val="FootnoteReference"/>
        </w:rPr>
        <w:footnoteRef/>
      </w:r>
      <w:r>
        <w:t xml:space="preserve"> HIQA. (2012) </w:t>
      </w:r>
      <w:r w:rsidRPr="000E56D6">
        <w:rPr>
          <w:i/>
        </w:rPr>
        <w:t>National standards for the protection and welfare of children</w:t>
      </w:r>
      <w:r>
        <w:t>, p. 11.</w:t>
      </w:r>
      <w:r w:rsidRPr="000E56D6">
        <w:rPr>
          <w:i/>
        </w:rPr>
        <w:t>.</w:t>
      </w:r>
      <w:r>
        <w:t xml:space="preserve"> Available at </w:t>
      </w:r>
      <w:hyperlink r:id="rId53" w:history="1">
        <w:r w:rsidRPr="002758E2">
          <w:rPr>
            <w:rStyle w:val="Hyperlink"/>
          </w:rPr>
          <w:t>https://www.tusla.ie/uploads/content/Publications_Child-Protection-Welfare-Standards.pdf</w:t>
        </w:r>
      </w:hyperlink>
    </w:p>
  </w:footnote>
  <w:footnote w:id="60">
    <w:p w14:paraId="737B4894" w14:textId="29671D7A" w:rsidR="009201C0" w:rsidRDefault="009201C0">
      <w:pPr>
        <w:pStyle w:val="FootnoteText"/>
      </w:pPr>
      <w:r>
        <w:rPr>
          <w:rStyle w:val="FootnoteReference"/>
        </w:rPr>
        <w:footnoteRef/>
      </w:r>
      <w:r>
        <w:t xml:space="preserve"> Department of Education and Skills. (2017) </w:t>
      </w:r>
      <w:r w:rsidRPr="00B2386B">
        <w:rPr>
          <w:i/>
        </w:rPr>
        <w:t>Child protection procedures for primary and post-primary schools</w:t>
      </w:r>
      <w:r>
        <w:t xml:space="preserve">. Available at </w:t>
      </w:r>
      <w:hyperlink r:id="rId54" w:history="1">
        <w:r w:rsidRPr="002758E2">
          <w:rPr>
            <w:rStyle w:val="Hyperlink"/>
          </w:rPr>
          <w:t>https://www.pdst.ie/sites/default/files/Child%20Protection%20Procedures%202017.pdf</w:t>
        </w:r>
      </w:hyperlink>
      <w:r>
        <w:t xml:space="preserve"> </w:t>
      </w:r>
    </w:p>
  </w:footnote>
  <w:footnote w:id="61">
    <w:p w14:paraId="1932F9FC" w14:textId="4102596C" w:rsidR="009201C0" w:rsidRDefault="009201C0">
      <w:pPr>
        <w:pStyle w:val="FootnoteText"/>
      </w:pPr>
      <w:r>
        <w:rPr>
          <w:rStyle w:val="FootnoteReference"/>
        </w:rPr>
        <w:footnoteRef/>
      </w:r>
      <w:r>
        <w:t xml:space="preserve"> See </w:t>
      </w:r>
      <w:hyperlink r:id="rId55" w:history="1">
        <w:r w:rsidRPr="002758E2">
          <w:rPr>
            <w:rStyle w:val="Hyperlink"/>
          </w:rPr>
          <w:t>http://www.staysafe.ie/</w:t>
        </w:r>
      </w:hyperlink>
      <w:r>
        <w:t xml:space="preserve"> </w:t>
      </w:r>
    </w:p>
  </w:footnote>
  <w:footnote w:id="62">
    <w:p w14:paraId="690EB0CE" w14:textId="36D68147" w:rsidR="009201C0" w:rsidRDefault="009201C0" w:rsidP="00946A13">
      <w:pPr>
        <w:pStyle w:val="FootnoteText"/>
      </w:pPr>
      <w:r>
        <w:rPr>
          <w:rStyle w:val="FootnoteReference"/>
        </w:rPr>
        <w:footnoteRef/>
      </w:r>
      <w:r>
        <w:t xml:space="preserve"> Department of Education and Skills. (2013) </w:t>
      </w:r>
      <w:r w:rsidRPr="000649AA">
        <w:rPr>
          <w:i/>
        </w:rPr>
        <w:t>Anti-bullying procedures for primary and post-primary schools</w:t>
      </w:r>
      <w:r>
        <w:t xml:space="preserve">. Available at </w:t>
      </w:r>
      <w:hyperlink r:id="rId56" w:history="1">
        <w:r w:rsidRPr="002758E2">
          <w:rPr>
            <w:rStyle w:val="Hyperlink"/>
          </w:rPr>
          <w:t>https://assets.gov.ie/24429/3b6f3db2de154ebaa1f69a0856c97c8e.pdf</w:t>
        </w:r>
      </w:hyperlink>
      <w:r>
        <w:t xml:space="preserve"> </w:t>
      </w:r>
    </w:p>
  </w:footnote>
  <w:footnote w:id="63">
    <w:p w14:paraId="00FE4558" w14:textId="393DFDB8" w:rsidR="009201C0" w:rsidRDefault="009201C0">
      <w:pPr>
        <w:pStyle w:val="FootnoteText"/>
      </w:pPr>
      <w:r>
        <w:rPr>
          <w:rStyle w:val="FootnoteReference"/>
        </w:rPr>
        <w:footnoteRef/>
      </w:r>
      <w:r>
        <w:t xml:space="preserve"> Government of Ireland. (1999) </w:t>
      </w:r>
      <w:r w:rsidRPr="00C16F61">
        <w:rPr>
          <w:i/>
        </w:rPr>
        <w:t>Social, personal and health education. Curriculum.</w:t>
      </w:r>
      <w:r>
        <w:t xml:space="preserve"> Available at </w:t>
      </w:r>
      <w:hyperlink r:id="rId57" w:history="1">
        <w:r w:rsidRPr="002758E2">
          <w:rPr>
            <w:rStyle w:val="Hyperlink"/>
          </w:rPr>
          <w:t>https://www.curriculumonline.ie/getmedia/462570f8-27cc-4f5b-a13e-d1e2de8c18d2/PSEC06_SPHE_curriculum.pdf</w:t>
        </w:r>
      </w:hyperlink>
      <w:r>
        <w:t xml:space="preserve"> </w:t>
      </w:r>
    </w:p>
  </w:footnote>
  <w:footnote w:id="64">
    <w:p w14:paraId="392E76DD" w14:textId="69B10648" w:rsidR="009201C0" w:rsidRDefault="009201C0">
      <w:pPr>
        <w:pStyle w:val="FootnoteText"/>
      </w:pPr>
      <w:r>
        <w:rPr>
          <w:rStyle w:val="FootnoteReference"/>
        </w:rPr>
        <w:footnoteRef/>
      </w:r>
      <w:r>
        <w:t xml:space="preserve"> Department of Education and Science. (2000) </w:t>
      </w:r>
      <w:r w:rsidRPr="002E6A78">
        <w:rPr>
          <w:i/>
        </w:rPr>
        <w:t>Social, personal and health education. Junior cycle.</w:t>
      </w:r>
      <w:r>
        <w:t xml:space="preserve"> Available at </w:t>
      </w:r>
      <w:hyperlink r:id="rId58" w:history="1">
        <w:r w:rsidRPr="002758E2">
          <w:rPr>
            <w:rStyle w:val="Hyperlink"/>
          </w:rPr>
          <w:t>file:///H:/Downloads/JCSEC24_SPHE_syllabus.pdf</w:t>
        </w:r>
      </w:hyperlink>
      <w:r>
        <w:t xml:space="preserve"> </w:t>
      </w:r>
    </w:p>
  </w:footnote>
  <w:footnote w:id="65">
    <w:p w14:paraId="0CE2A115" w14:textId="31BCA2FD" w:rsidR="009201C0" w:rsidRDefault="009201C0">
      <w:pPr>
        <w:pStyle w:val="FootnoteText"/>
      </w:pPr>
      <w:r>
        <w:rPr>
          <w:rStyle w:val="FootnoteReference"/>
        </w:rPr>
        <w:footnoteRef/>
      </w:r>
      <w:r>
        <w:t xml:space="preserve"> NCCA. (2011). </w:t>
      </w:r>
      <w:r w:rsidRPr="006165DA">
        <w:rPr>
          <w:i/>
        </w:rPr>
        <w:t>Social, personal and health education. Curriculum framework. Senior cycle.</w:t>
      </w:r>
      <w:r>
        <w:t xml:space="preserve"> Available at </w:t>
      </w:r>
      <w:hyperlink r:id="rId59" w:history="1">
        <w:r w:rsidRPr="002758E2">
          <w:rPr>
            <w:rStyle w:val="Hyperlink"/>
          </w:rPr>
          <w:t>https://ncca.ie/media/2688/sphe_framework.pdf</w:t>
        </w:r>
      </w:hyperlink>
      <w:r>
        <w:t xml:space="preserve"> </w:t>
      </w:r>
    </w:p>
  </w:footnote>
  <w:footnote w:id="66">
    <w:p w14:paraId="0F6333FB" w14:textId="3BD4DC7D" w:rsidR="009201C0" w:rsidRDefault="009201C0" w:rsidP="00914839">
      <w:pPr>
        <w:pStyle w:val="FootnoteText"/>
      </w:pPr>
      <w:r>
        <w:rPr>
          <w:rStyle w:val="FootnoteReference"/>
        </w:rPr>
        <w:footnoteRef/>
      </w:r>
      <w:r>
        <w:t xml:space="preserve"> NCCA. (2019) </w:t>
      </w:r>
      <w:r w:rsidRPr="00914839">
        <w:rPr>
          <w:i/>
        </w:rPr>
        <w:t>Report on the review of relationships and sexuality education (RSE) in primary and postprimary schools.</w:t>
      </w:r>
      <w:r>
        <w:t xml:space="preserve"> Available at</w:t>
      </w:r>
      <w:r w:rsidRPr="002A346F">
        <w:t xml:space="preserve"> </w:t>
      </w:r>
      <w:hyperlink r:id="rId60" w:history="1">
        <w:r w:rsidRPr="002758E2">
          <w:rPr>
            <w:rStyle w:val="Hyperlink"/>
          </w:rPr>
          <w:t>https://ncca.ie/media/4462/report-on-the-review-of-relationships-and-sexuality-education-rse-in-primary-and-post-primary-school.pdf</w:t>
        </w:r>
      </w:hyperlink>
      <w:r>
        <w:t xml:space="preserve"> </w:t>
      </w:r>
    </w:p>
  </w:footnote>
  <w:footnote w:id="67">
    <w:p w14:paraId="5D308DB1" w14:textId="77777777" w:rsidR="009201C0" w:rsidRDefault="009201C0" w:rsidP="007D13DC">
      <w:pPr>
        <w:pStyle w:val="FootnoteText"/>
      </w:pPr>
      <w:r>
        <w:rPr>
          <w:rStyle w:val="FootnoteReference"/>
        </w:rPr>
        <w:footnoteRef/>
      </w:r>
      <w:r>
        <w:t xml:space="preserve"> See </w:t>
      </w:r>
      <w:hyperlink r:id="rId61" w:history="1">
        <w:r w:rsidRPr="00DE1C25">
          <w:rPr>
            <w:rStyle w:val="Hyperlink"/>
          </w:rPr>
          <w:t>https://www.pdst.ie/sites/default/files/RSE%20for%20students%20with%20mild%20learning%20difficulties.pdf</w:t>
        </w:r>
      </w:hyperlink>
      <w:r>
        <w:t xml:space="preserve"> </w:t>
      </w:r>
    </w:p>
  </w:footnote>
  <w:footnote w:id="68">
    <w:p w14:paraId="384EB10A" w14:textId="014124B6" w:rsidR="009201C0" w:rsidRDefault="009201C0">
      <w:pPr>
        <w:pStyle w:val="FootnoteText"/>
      </w:pPr>
      <w:r>
        <w:rPr>
          <w:rStyle w:val="FootnoteReference"/>
        </w:rPr>
        <w:footnoteRef/>
      </w:r>
      <w:r>
        <w:t xml:space="preserve"> NCCA. (2007) </w:t>
      </w:r>
      <w:r w:rsidRPr="00DA475B">
        <w:rPr>
          <w:i/>
        </w:rPr>
        <w:t>Guidelines for teachers of students with general learning disabilities</w:t>
      </w:r>
      <w:r>
        <w:t>. Available at</w:t>
      </w:r>
      <w:r w:rsidRPr="00DA475B">
        <w:t xml:space="preserve"> </w:t>
      </w:r>
      <w:hyperlink r:id="rId62" w:history="1">
        <w:r w:rsidRPr="002758E2">
          <w:rPr>
            <w:rStyle w:val="Hyperlink"/>
          </w:rPr>
          <w:t>https://ncca.ie/media/1980/overview_guidelines.pdf</w:t>
        </w:r>
      </w:hyperlink>
      <w:r>
        <w:t xml:space="preserve"> </w:t>
      </w:r>
    </w:p>
  </w:footnote>
  <w:footnote w:id="69">
    <w:p w14:paraId="0EC3D53A" w14:textId="0395D0ED" w:rsidR="009201C0" w:rsidRDefault="009201C0" w:rsidP="00902A09">
      <w:pPr>
        <w:pStyle w:val="FootnoteText"/>
      </w:pPr>
      <w:r>
        <w:rPr>
          <w:rStyle w:val="FootnoteReference"/>
        </w:rPr>
        <w:footnoteRef/>
      </w:r>
      <w:r>
        <w:t xml:space="preserve"> NCCA. (2019) </w:t>
      </w:r>
      <w:r w:rsidRPr="00914839">
        <w:rPr>
          <w:i/>
        </w:rPr>
        <w:t>Report on the review of relationships and sexuality education (RSE) in primary and postprimary schools.</w:t>
      </w:r>
      <w:r>
        <w:t xml:space="preserve"> Available at</w:t>
      </w:r>
      <w:r w:rsidRPr="002A346F">
        <w:t xml:space="preserve"> </w:t>
      </w:r>
      <w:hyperlink r:id="rId63" w:history="1">
        <w:r w:rsidRPr="002758E2">
          <w:rPr>
            <w:rStyle w:val="Hyperlink"/>
          </w:rPr>
          <w:t>https://ncca.ie/media/4462/report-on-the-review-of-relationships-and-sexuality-education-rse-in-primary-and-post-primary-school.pdf</w:t>
        </w:r>
      </w:hyperlink>
    </w:p>
  </w:footnote>
  <w:footnote w:id="70">
    <w:p w14:paraId="68116BA3" w14:textId="2E1B6990" w:rsidR="009201C0" w:rsidRDefault="009201C0">
      <w:pPr>
        <w:pStyle w:val="FootnoteText"/>
      </w:pPr>
      <w:r>
        <w:rPr>
          <w:rStyle w:val="FootnoteReference"/>
        </w:rPr>
        <w:footnoteRef/>
      </w:r>
      <w:r>
        <w:t xml:space="preserve"> See </w:t>
      </w:r>
      <w:hyperlink r:id="rId64" w:history="1">
        <w:r w:rsidRPr="002758E2">
          <w:rPr>
            <w:rStyle w:val="Hyperlink"/>
          </w:rPr>
          <w:t>https://ncca.ie/en/senior-cycle/curriculum-developments/senior-cycle-social-personal-and-health-education-sphe/</w:t>
        </w:r>
      </w:hyperlink>
      <w:r>
        <w:t xml:space="preserve"> </w:t>
      </w:r>
    </w:p>
  </w:footnote>
  <w:footnote w:id="71">
    <w:p w14:paraId="584969DD" w14:textId="3D954CA7" w:rsidR="009201C0" w:rsidRDefault="009201C0">
      <w:pPr>
        <w:pStyle w:val="FootnoteText"/>
      </w:pPr>
      <w:r>
        <w:rPr>
          <w:rStyle w:val="FootnoteReference"/>
        </w:rPr>
        <w:footnoteRef/>
      </w:r>
      <w:r>
        <w:t xml:space="preserve"> Government of Ireland. (2020) </w:t>
      </w:r>
      <w:r w:rsidRPr="00712A28">
        <w:rPr>
          <w:i/>
        </w:rPr>
        <w:t>Framework for consent in higher education institutions HEIs: Safe, respectful, supportive and positive: Ending sexual harassment in Irish higher education institutions.</w:t>
      </w:r>
      <w:r>
        <w:t xml:space="preserve"> Available at </w:t>
      </w:r>
      <w:hyperlink r:id="rId65" w:history="1">
        <w:r w:rsidRPr="002758E2">
          <w:rPr>
            <w:rStyle w:val="Hyperlink"/>
          </w:rPr>
          <w:t>https://assets.gov.ie/24925/57c394e5439149d087ab589d0ff39c92.pdf</w:t>
        </w:r>
      </w:hyperlink>
      <w:r>
        <w:t xml:space="preserve"> </w:t>
      </w:r>
    </w:p>
  </w:footnote>
  <w:footnote w:id="72">
    <w:p w14:paraId="069BDE7B" w14:textId="55D31244" w:rsidR="009201C0" w:rsidRDefault="009201C0" w:rsidP="00DE6860">
      <w:pPr>
        <w:pStyle w:val="FootnoteText"/>
      </w:pPr>
      <w:r>
        <w:rPr>
          <w:rStyle w:val="FootnoteReference"/>
        </w:rPr>
        <w:footnoteRef/>
      </w:r>
      <w:r>
        <w:t xml:space="preserve"> Department of Justice. (2021) </w:t>
      </w:r>
      <w:r w:rsidRPr="00540530">
        <w:rPr>
          <w:i/>
        </w:rPr>
        <w:t>New online learning hub on sexual consent for third level education announced by Ministers Naughton and Harris</w:t>
      </w:r>
      <w:r>
        <w:t xml:space="preserve">. Available at </w:t>
      </w:r>
      <w:hyperlink r:id="rId66" w:history="1">
        <w:r w:rsidRPr="002758E2">
          <w:rPr>
            <w:rStyle w:val="Hyperlink"/>
          </w:rPr>
          <w:t>https://www.justice.ie/en/JELR/Pages/PR21000177</w:t>
        </w:r>
      </w:hyperlink>
      <w:r>
        <w:t xml:space="preserve"> </w:t>
      </w:r>
    </w:p>
  </w:footnote>
  <w:footnote w:id="73">
    <w:p w14:paraId="4ECFBA02" w14:textId="508285E0" w:rsidR="009201C0" w:rsidRDefault="009201C0" w:rsidP="00B1131B">
      <w:pPr>
        <w:pStyle w:val="FootnoteText"/>
      </w:pPr>
      <w:r>
        <w:rPr>
          <w:rStyle w:val="FootnoteReference"/>
        </w:rPr>
        <w:footnoteRef/>
      </w:r>
      <w:r>
        <w:t xml:space="preserve"> Department of Justice. (2021) </w:t>
      </w:r>
      <w:r w:rsidRPr="00B1131B">
        <w:rPr>
          <w:i/>
        </w:rPr>
        <w:t>Domestic, sexual and gender based violence: An audit of structures.</w:t>
      </w:r>
      <w:r>
        <w:t xml:space="preserve"> Available at </w:t>
      </w:r>
      <w:hyperlink r:id="rId67" w:history="1">
        <w:r w:rsidRPr="002758E2">
          <w:rPr>
            <w:rStyle w:val="Hyperlink"/>
          </w:rPr>
          <w:t>https://justice.ie/en/JELR/DSGBV_Audit_Report.pdf/Files/DSGBV_Audit_Report.pdf</w:t>
        </w:r>
      </w:hyperlink>
      <w:r>
        <w:t xml:space="preserve"> </w:t>
      </w:r>
    </w:p>
  </w:footnote>
  <w:footnote w:id="74">
    <w:p w14:paraId="108D5EEF" w14:textId="1075A1D0" w:rsidR="009201C0" w:rsidRDefault="009201C0">
      <w:pPr>
        <w:pStyle w:val="FootnoteText"/>
      </w:pPr>
      <w:r>
        <w:rPr>
          <w:rStyle w:val="FootnoteReference"/>
        </w:rPr>
        <w:footnoteRef/>
      </w:r>
      <w:r>
        <w:t xml:space="preserve"> Department of Justice. (2021) </w:t>
      </w:r>
      <w:r w:rsidRPr="00B1131B">
        <w:rPr>
          <w:i/>
        </w:rPr>
        <w:t>Domestic, sexual and gender based violence: An audit of structures.</w:t>
      </w:r>
      <w:r>
        <w:t xml:space="preserve"> p. 4. Available at </w:t>
      </w:r>
      <w:hyperlink r:id="rId68" w:history="1">
        <w:r w:rsidRPr="002758E2">
          <w:rPr>
            <w:rStyle w:val="Hyperlink"/>
          </w:rPr>
          <w:t>https://justice.ie/en/JELR/DSGBV_Audit_Report.pdf/Files/DSGBV_Audit_Report.pdf</w:t>
        </w:r>
      </w:hyperlink>
    </w:p>
  </w:footnote>
  <w:footnote w:id="75">
    <w:p w14:paraId="768702CF" w14:textId="0E383ECD" w:rsidR="009201C0" w:rsidRDefault="009201C0">
      <w:pPr>
        <w:pStyle w:val="FootnoteText"/>
      </w:pPr>
      <w:r>
        <w:rPr>
          <w:rStyle w:val="FootnoteReference"/>
        </w:rPr>
        <w:footnoteRef/>
      </w:r>
      <w:r>
        <w:t xml:space="preserve"> See </w:t>
      </w:r>
      <w:hyperlink r:id="rId69" w:history="1">
        <w:r w:rsidRPr="002758E2">
          <w:rPr>
            <w:rStyle w:val="Hyperlink"/>
          </w:rPr>
          <w:t>https://www.sexualviolence.ie/</w:t>
        </w:r>
      </w:hyperlink>
      <w:r>
        <w:t xml:space="preserve"> </w:t>
      </w:r>
    </w:p>
  </w:footnote>
  <w:footnote w:id="76">
    <w:p w14:paraId="667AA75A" w14:textId="3AE288D4" w:rsidR="009201C0" w:rsidRDefault="009201C0">
      <w:pPr>
        <w:pStyle w:val="FootnoteText"/>
      </w:pPr>
      <w:r>
        <w:rPr>
          <w:rStyle w:val="FootnoteReference"/>
        </w:rPr>
        <w:footnoteRef/>
      </w:r>
      <w:r>
        <w:t xml:space="preserve"> See </w:t>
      </w:r>
      <w:hyperlink r:id="rId70" w:history="1">
        <w:r w:rsidRPr="002758E2">
          <w:rPr>
            <w:rStyle w:val="Hyperlink"/>
          </w:rPr>
          <w:t>https://www.oneinfour.ie/</w:t>
        </w:r>
      </w:hyperlink>
      <w:r>
        <w:t xml:space="preserve"> </w:t>
      </w:r>
    </w:p>
  </w:footnote>
  <w:footnote w:id="77">
    <w:p w14:paraId="6527E582" w14:textId="56F9133B" w:rsidR="009201C0" w:rsidRDefault="009201C0">
      <w:pPr>
        <w:pStyle w:val="FootnoteText"/>
      </w:pPr>
      <w:r>
        <w:rPr>
          <w:rStyle w:val="FootnoteReference"/>
        </w:rPr>
        <w:footnoteRef/>
      </w:r>
      <w:r>
        <w:t xml:space="preserve"> See </w:t>
      </w:r>
      <w:hyperlink r:id="rId71" w:history="1">
        <w:r w:rsidRPr="002758E2">
          <w:rPr>
            <w:rStyle w:val="Hyperlink"/>
          </w:rPr>
          <w:t>https://www.ruhama.ie/</w:t>
        </w:r>
      </w:hyperlink>
      <w:r>
        <w:t xml:space="preserve"> </w:t>
      </w:r>
    </w:p>
  </w:footnote>
  <w:footnote w:id="78">
    <w:p w14:paraId="49A36645" w14:textId="4F916ED5" w:rsidR="009201C0" w:rsidRDefault="009201C0">
      <w:pPr>
        <w:pStyle w:val="FootnoteText"/>
      </w:pPr>
      <w:r>
        <w:rPr>
          <w:rStyle w:val="FootnoteReference"/>
        </w:rPr>
        <w:footnoteRef/>
      </w:r>
      <w:r>
        <w:t xml:space="preserve"> See </w:t>
      </w:r>
      <w:hyperlink r:id="rId72" w:history="1">
        <w:r w:rsidRPr="002758E2">
          <w:rPr>
            <w:rStyle w:val="Hyperlink"/>
          </w:rPr>
          <w:t>https://akidwa.ie/</w:t>
        </w:r>
      </w:hyperlink>
    </w:p>
  </w:footnote>
  <w:footnote w:id="79">
    <w:p w14:paraId="495E3D80" w14:textId="515B6FA5" w:rsidR="009201C0" w:rsidRDefault="009201C0">
      <w:pPr>
        <w:pStyle w:val="FootnoteText"/>
      </w:pPr>
      <w:r>
        <w:rPr>
          <w:rStyle w:val="FootnoteReference"/>
        </w:rPr>
        <w:footnoteRef/>
      </w:r>
      <w:r>
        <w:t xml:space="preserve"> See </w:t>
      </w:r>
      <w:hyperlink r:id="rId73" w:history="1">
        <w:r w:rsidRPr="002758E2">
          <w:rPr>
            <w:rStyle w:val="Hyperlink"/>
          </w:rPr>
          <w:t>https://advocacy.ie/</w:t>
        </w:r>
      </w:hyperlink>
      <w:r>
        <w:t xml:space="preserve"> </w:t>
      </w:r>
    </w:p>
  </w:footnote>
  <w:footnote w:id="80">
    <w:p w14:paraId="06A78DFE" w14:textId="66997F17" w:rsidR="009201C0" w:rsidRDefault="009201C0">
      <w:pPr>
        <w:pStyle w:val="FootnoteText"/>
      </w:pPr>
      <w:r>
        <w:rPr>
          <w:rStyle w:val="FootnoteReference"/>
        </w:rPr>
        <w:footnoteRef/>
      </w:r>
      <w:r>
        <w:t xml:space="preserve"> See </w:t>
      </w:r>
      <w:hyperlink r:id="rId74" w:history="1">
        <w:r w:rsidRPr="002758E2">
          <w:rPr>
            <w:rStyle w:val="Hyperlink"/>
          </w:rPr>
          <w:t>https://www.sageadvocacy.ie/</w:t>
        </w:r>
      </w:hyperlink>
      <w:r>
        <w:t xml:space="preserve"> </w:t>
      </w:r>
    </w:p>
  </w:footnote>
  <w:footnote w:id="81">
    <w:p w14:paraId="735D62A8" w14:textId="1F1DA192" w:rsidR="009201C0" w:rsidRDefault="009201C0">
      <w:pPr>
        <w:pStyle w:val="FootnoteText"/>
      </w:pPr>
      <w:r>
        <w:rPr>
          <w:rStyle w:val="FootnoteReference"/>
        </w:rPr>
        <w:footnoteRef/>
      </w:r>
      <w:r>
        <w:t xml:space="preserve"> See </w:t>
      </w:r>
      <w:hyperlink r:id="rId75" w:history="1">
        <w:r w:rsidRPr="002758E2">
          <w:rPr>
            <w:rStyle w:val="Hyperlink"/>
          </w:rPr>
          <w:t>https://www.childline.ie/</w:t>
        </w:r>
      </w:hyperlink>
    </w:p>
  </w:footnote>
  <w:footnote w:id="82">
    <w:p w14:paraId="5ADA5567" w14:textId="0D224AF0" w:rsidR="009201C0" w:rsidRDefault="009201C0">
      <w:pPr>
        <w:pStyle w:val="FootnoteText"/>
      </w:pPr>
      <w:r>
        <w:rPr>
          <w:rStyle w:val="FootnoteReference"/>
        </w:rPr>
        <w:footnoteRef/>
      </w:r>
      <w:r>
        <w:t xml:space="preserve"> See </w:t>
      </w:r>
      <w:hyperlink r:id="rId76" w:history="1">
        <w:r w:rsidRPr="002758E2">
          <w:rPr>
            <w:rStyle w:val="Hyperlink"/>
          </w:rPr>
          <w:t>https://www.ispcc.ie/teenline/</w:t>
        </w:r>
      </w:hyperlink>
      <w:r>
        <w:t xml:space="preserve"> </w:t>
      </w:r>
    </w:p>
  </w:footnote>
  <w:footnote w:id="83">
    <w:p w14:paraId="20E17C60" w14:textId="01AA5E57" w:rsidR="009201C0" w:rsidRDefault="009201C0">
      <w:pPr>
        <w:pStyle w:val="FootnoteText"/>
      </w:pPr>
      <w:r>
        <w:rPr>
          <w:rStyle w:val="FootnoteReference"/>
        </w:rPr>
        <w:footnoteRef/>
      </w:r>
      <w:r>
        <w:t xml:space="preserve"> See </w:t>
      </w:r>
      <w:hyperlink r:id="rId77" w:history="1">
        <w:r w:rsidRPr="002758E2">
          <w:rPr>
            <w:rStyle w:val="Hyperlink"/>
          </w:rPr>
          <w:t>https://jigsaw.ie/</w:t>
        </w:r>
      </w:hyperlink>
      <w:r>
        <w:t xml:space="preserve"> </w:t>
      </w:r>
    </w:p>
  </w:footnote>
  <w:footnote w:id="84">
    <w:p w14:paraId="33680091" w14:textId="03CC48ED" w:rsidR="009201C0" w:rsidRDefault="009201C0">
      <w:pPr>
        <w:pStyle w:val="FootnoteText"/>
      </w:pPr>
      <w:r>
        <w:rPr>
          <w:rStyle w:val="FootnoteReference"/>
        </w:rPr>
        <w:footnoteRef/>
      </w:r>
      <w:r>
        <w:t xml:space="preserve"> See </w:t>
      </w:r>
      <w:hyperlink r:id="rId78" w:history="1">
        <w:r w:rsidRPr="002758E2">
          <w:rPr>
            <w:rStyle w:val="Hyperlink"/>
          </w:rPr>
          <w:t>https://turn2me.ie/</w:t>
        </w:r>
      </w:hyperlink>
      <w:r>
        <w:t xml:space="preserve"> </w:t>
      </w:r>
    </w:p>
  </w:footnote>
  <w:footnote w:id="85">
    <w:p w14:paraId="1815C90E" w14:textId="1991345A" w:rsidR="009201C0" w:rsidRDefault="009201C0">
      <w:pPr>
        <w:pStyle w:val="FootnoteText"/>
      </w:pPr>
      <w:r>
        <w:rPr>
          <w:rStyle w:val="FootnoteReference"/>
        </w:rPr>
        <w:footnoteRef/>
      </w:r>
      <w:r>
        <w:t xml:space="preserve"> See </w:t>
      </w:r>
      <w:hyperlink r:id="rId79" w:history="1">
        <w:r w:rsidRPr="002758E2">
          <w:rPr>
            <w:rStyle w:val="Hyperlink"/>
          </w:rPr>
          <w:t>https://spunout.ie/</w:t>
        </w:r>
      </w:hyperlink>
      <w:r>
        <w:t xml:space="preserve"> </w:t>
      </w:r>
    </w:p>
  </w:footnote>
  <w:footnote w:id="86">
    <w:p w14:paraId="24DEBE2C" w14:textId="3B2C139C" w:rsidR="009201C0" w:rsidRDefault="009201C0" w:rsidP="008D34C9">
      <w:pPr>
        <w:pStyle w:val="FootnoteText"/>
      </w:pPr>
      <w:r>
        <w:rPr>
          <w:rStyle w:val="FootnoteReference"/>
        </w:rPr>
        <w:footnoteRef/>
      </w:r>
      <w:r>
        <w:t xml:space="preserve"> See </w:t>
      </w:r>
      <w:hyperlink r:id="rId80" w:history="1">
        <w:r w:rsidRPr="002758E2">
          <w:rPr>
            <w:rStyle w:val="Hyperlink"/>
          </w:rPr>
          <w:t>https://www.womensaid.ie/help/information-sign-language.html</w:t>
        </w:r>
      </w:hyperlink>
      <w:r>
        <w:t xml:space="preserve"> </w:t>
      </w:r>
    </w:p>
  </w:footnote>
  <w:footnote w:id="87">
    <w:p w14:paraId="3B6DC415" w14:textId="04108F87" w:rsidR="009201C0" w:rsidRDefault="009201C0" w:rsidP="001B5B5C">
      <w:pPr>
        <w:pStyle w:val="FootnoteText"/>
      </w:pPr>
      <w:r>
        <w:rPr>
          <w:rStyle w:val="FootnoteReference"/>
        </w:rPr>
        <w:footnoteRef/>
      </w:r>
      <w:r>
        <w:t xml:space="preserve"> NWCI. (2020) </w:t>
      </w:r>
      <w:r w:rsidRPr="001B5B5C">
        <w:rPr>
          <w:i/>
        </w:rPr>
        <w:t>Disabled women’s group submission to third national strategy on domestic, sexual and gender-based violence</w:t>
      </w:r>
      <w:r>
        <w:t>.</w:t>
      </w:r>
      <w:r w:rsidRPr="00441684">
        <w:t xml:space="preserve"> </w:t>
      </w:r>
      <w:r>
        <w:t xml:space="preserve">Available at </w:t>
      </w:r>
      <w:hyperlink r:id="rId81" w:history="1">
        <w:r w:rsidRPr="002758E2">
          <w:rPr>
            <w:rStyle w:val="Hyperlink"/>
          </w:rPr>
          <w:t>https://www.nwci.ie/images/uploads/Disabled_Womens_Group_-_3rd_National_Strategy_DSGBV_Submission_JUNE_2020.pdf</w:t>
        </w:r>
      </w:hyperlink>
      <w:r>
        <w:t xml:space="preserve"> </w:t>
      </w:r>
    </w:p>
  </w:footnote>
  <w:footnote w:id="88">
    <w:p w14:paraId="212B2C6D" w14:textId="393D7627" w:rsidR="009201C0" w:rsidRDefault="009201C0">
      <w:pPr>
        <w:pStyle w:val="FootnoteText"/>
      </w:pPr>
      <w:r>
        <w:rPr>
          <w:rStyle w:val="FootnoteReference"/>
        </w:rPr>
        <w:footnoteRef/>
      </w:r>
      <w:r>
        <w:t xml:space="preserve"> Black, R &amp; McCurry, C. (2021) ‘</w:t>
      </w:r>
      <w:r w:rsidRPr="001C4231">
        <w:t>Lack of refuge places for domestic violence victims must be addressed, Oireachtas committee hears</w:t>
      </w:r>
      <w:r>
        <w:t xml:space="preserve">’, </w:t>
      </w:r>
      <w:r w:rsidRPr="0071450D">
        <w:rPr>
          <w:i/>
        </w:rPr>
        <w:t>Irish Examiner</w:t>
      </w:r>
      <w:r>
        <w:t xml:space="preserve">, 03 November. Available at </w:t>
      </w:r>
      <w:hyperlink r:id="rId82" w:history="1">
        <w:r w:rsidRPr="002758E2">
          <w:rPr>
            <w:rStyle w:val="Hyperlink"/>
          </w:rPr>
          <w:t>https://www.irishexaminer.com/news/arid-40736565.html</w:t>
        </w:r>
      </w:hyperlink>
      <w:r>
        <w:t xml:space="preserve"> </w:t>
      </w:r>
    </w:p>
  </w:footnote>
  <w:footnote w:id="89">
    <w:p w14:paraId="036FD71B" w14:textId="5F299DC3" w:rsidR="009201C0" w:rsidRDefault="009201C0" w:rsidP="00F67513">
      <w:pPr>
        <w:pStyle w:val="FootnoteText"/>
      </w:pPr>
      <w:r>
        <w:rPr>
          <w:rStyle w:val="FootnoteReference"/>
        </w:rPr>
        <w:footnoteRef/>
      </w:r>
      <w:r>
        <w:t xml:space="preserve"> Women Against Violence Europe. (2021</w:t>
      </w:r>
      <w:r w:rsidRPr="00F67513">
        <w:rPr>
          <w:i/>
        </w:rPr>
        <w:t>). WAVE country report 2021.</w:t>
      </w:r>
      <w:r>
        <w:t xml:space="preserve"> Available at </w:t>
      </w:r>
      <w:hyperlink r:id="rId83" w:history="1">
        <w:r w:rsidRPr="002758E2">
          <w:rPr>
            <w:rStyle w:val="Hyperlink"/>
          </w:rPr>
          <w:t>https://wave-network.org/wp-content/uploads/2021/12/WAVE-Country-Report-2021.pdf</w:t>
        </w:r>
      </w:hyperlink>
      <w:r>
        <w:t xml:space="preserve"> </w:t>
      </w:r>
    </w:p>
  </w:footnote>
  <w:footnote w:id="90">
    <w:p w14:paraId="4D0E35FA" w14:textId="6B2FB09A" w:rsidR="009201C0" w:rsidRDefault="009201C0">
      <w:pPr>
        <w:pStyle w:val="FootnoteText"/>
      </w:pPr>
      <w:r>
        <w:rPr>
          <w:rStyle w:val="FootnoteReference"/>
        </w:rPr>
        <w:footnoteRef/>
      </w:r>
      <w:r>
        <w:t xml:space="preserve"> NWCI. (2020) </w:t>
      </w:r>
      <w:r w:rsidRPr="001B5B5C">
        <w:rPr>
          <w:i/>
        </w:rPr>
        <w:t>Disabled women’s group submission to third national strategy on domestic, sexual and gender-based violence</w:t>
      </w:r>
      <w:r>
        <w:t>.</w:t>
      </w:r>
      <w:r w:rsidRPr="00441684">
        <w:t xml:space="preserve"> </w:t>
      </w:r>
      <w:r>
        <w:t xml:space="preserve">Available at </w:t>
      </w:r>
      <w:hyperlink r:id="rId84" w:history="1">
        <w:r w:rsidRPr="002758E2">
          <w:rPr>
            <w:rStyle w:val="Hyperlink"/>
          </w:rPr>
          <w:t>https://www.nwci.ie/images/uploads/Disabled_Womens_Group_-_3rd_National_Strategy_DSGBV_Submission_JUNE_2020.pdf</w:t>
        </w:r>
      </w:hyperlink>
    </w:p>
  </w:footnote>
  <w:footnote w:id="91">
    <w:p w14:paraId="1E420622" w14:textId="686FC733" w:rsidR="009201C0" w:rsidRDefault="009201C0" w:rsidP="00B656D5">
      <w:pPr>
        <w:pStyle w:val="FootnoteText"/>
      </w:pPr>
      <w:r>
        <w:rPr>
          <w:rStyle w:val="FootnoteReference"/>
        </w:rPr>
        <w:footnoteRef/>
      </w:r>
      <w:r>
        <w:t xml:space="preserve"> </w:t>
      </w:r>
      <w:r w:rsidRPr="00B656D5">
        <w:rPr>
          <w:szCs w:val="22"/>
        </w:rPr>
        <w:t xml:space="preserve">Hasset, A. (2021) </w:t>
      </w:r>
      <w:r w:rsidRPr="00B656D5">
        <w:rPr>
          <w:i/>
          <w:szCs w:val="22"/>
        </w:rPr>
        <w:t>Joint oireachtas committee on disability matters. Nothing about us without us - achieving equal rights and equity for women with disabilities: Discussion</w:t>
      </w:r>
      <w:r w:rsidRPr="00B656D5">
        <w:rPr>
          <w:szCs w:val="22"/>
        </w:rPr>
        <w:t xml:space="preserve">. Available at  </w:t>
      </w:r>
      <w:hyperlink r:id="rId85" w:history="1">
        <w:r w:rsidRPr="00B656D5">
          <w:rPr>
            <w:rStyle w:val="Hyperlink"/>
            <w:szCs w:val="22"/>
          </w:rPr>
          <w:t>https://www.kildarestreet.com/committees/?id=2021-03-09a.879</w:t>
        </w:r>
      </w:hyperlink>
    </w:p>
  </w:footnote>
  <w:footnote w:id="92">
    <w:p w14:paraId="3875F50D" w14:textId="5B6E2ACB" w:rsidR="009201C0" w:rsidRDefault="009201C0">
      <w:pPr>
        <w:pStyle w:val="FootnoteText"/>
      </w:pPr>
      <w:r>
        <w:rPr>
          <w:rStyle w:val="FootnoteReference"/>
        </w:rPr>
        <w:footnoteRef/>
      </w:r>
      <w:r>
        <w:t xml:space="preserve"> The National Safeguarding Committee is a multi-agency and inter-sectoral</w:t>
      </w:r>
      <w:r w:rsidR="00ED2681">
        <w:t xml:space="preserve"> body with an independent chair</w:t>
      </w:r>
    </w:p>
  </w:footnote>
  <w:footnote w:id="93">
    <w:p w14:paraId="0A77E95A" w14:textId="6A13A3FA" w:rsidR="009201C0" w:rsidRDefault="009201C0" w:rsidP="002F0B40">
      <w:pPr>
        <w:pStyle w:val="FootnoteText"/>
      </w:pPr>
      <w:r>
        <w:rPr>
          <w:rStyle w:val="FootnoteReference"/>
        </w:rPr>
        <w:footnoteRef/>
      </w:r>
      <w:r>
        <w:t xml:space="preserve"> National Safeguarding Office. (2018) </w:t>
      </w:r>
      <w:r w:rsidRPr="002F0B40">
        <w:rPr>
          <w:i/>
        </w:rPr>
        <w:t>The national safeguarding office report 2017.</w:t>
      </w:r>
      <w:r>
        <w:t xml:space="preserve"> Available at</w:t>
      </w:r>
      <w:r w:rsidRPr="00A43937">
        <w:t xml:space="preserve"> </w:t>
      </w:r>
      <w:hyperlink r:id="rId86" w:history="1">
        <w:r w:rsidRPr="00DE4F14">
          <w:rPr>
            <w:rStyle w:val="Hyperlink"/>
          </w:rPr>
          <w:t>https://www.safeguardingireland.org/wp-content/uploads/2018/10/the-national-safeguarding-office-report-2017.pdf</w:t>
        </w:r>
      </w:hyperlink>
      <w:r>
        <w:t xml:space="preserve"> </w:t>
      </w:r>
    </w:p>
  </w:footnote>
  <w:footnote w:id="94">
    <w:p w14:paraId="41111A65" w14:textId="032B0D96" w:rsidR="009201C0" w:rsidRDefault="009201C0">
      <w:pPr>
        <w:pStyle w:val="FootnoteText"/>
      </w:pPr>
      <w:r>
        <w:rPr>
          <w:rStyle w:val="FootnoteReference"/>
        </w:rPr>
        <w:footnoteRef/>
      </w:r>
      <w:r>
        <w:t xml:space="preserve"> See </w:t>
      </w:r>
      <w:hyperlink r:id="rId87" w:history="1">
        <w:r w:rsidRPr="00DE4F14">
          <w:rPr>
            <w:rStyle w:val="Hyperlink"/>
          </w:rPr>
          <w:t>https://www.stillhere.ie/</w:t>
        </w:r>
      </w:hyperlink>
      <w:r>
        <w:t xml:space="preserve"> </w:t>
      </w:r>
    </w:p>
  </w:footnote>
  <w:footnote w:id="95">
    <w:p w14:paraId="4E719F54" w14:textId="433B7ED3" w:rsidR="009201C0" w:rsidRDefault="009201C0">
      <w:pPr>
        <w:pStyle w:val="FootnoteText"/>
      </w:pPr>
      <w:r>
        <w:rPr>
          <w:rStyle w:val="FootnoteReference"/>
        </w:rPr>
        <w:footnoteRef/>
      </w:r>
      <w:r>
        <w:t xml:space="preserve"> See </w:t>
      </w:r>
      <w:hyperlink r:id="rId88" w:history="1">
        <w:r w:rsidRPr="00DE4F14">
          <w:rPr>
            <w:rStyle w:val="Hyperlink"/>
          </w:rPr>
          <w:t>https://www.ruhama.ie/campaigns/get-the-full-picture-campaign/</w:t>
        </w:r>
      </w:hyperlink>
      <w:r>
        <w:t xml:space="preserve"> </w:t>
      </w:r>
    </w:p>
  </w:footnote>
  <w:footnote w:id="96">
    <w:p w14:paraId="1DC89ECA" w14:textId="3F21058B" w:rsidR="009201C0" w:rsidRDefault="009201C0">
      <w:pPr>
        <w:pStyle w:val="FootnoteText"/>
      </w:pPr>
      <w:r>
        <w:rPr>
          <w:rStyle w:val="FootnoteReference"/>
        </w:rPr>
        <w:footnoteRef/>
      </w:r>
      <w:r>
        <w:t xml:space="preserve"> See </w:t>
      </w:r>
      <w:hyperlink r:id="rId89" w:history="1">
        <w:r w:rsidRPr="00DE4F14">
          <w:rPr>
            <w:rStyle w:val="Hyperlink"/>
          </w:rPr>
          <w:t>https://www.toointoyou.ie/</w:t>
        </w:r>
      </w:hyperlink>
      <w:r>
        <w:t xml:space="preserve"> </w:t>
      </w:r>
    </w:p>
  </w:footnote>
  <w:footnote w:id="97">
    <w:p w14:paraId="11D1D56E" w14:textId="326F98F2" w:rsidR="009201C0" w:rsidRDefault="009201C0">
      <w:pPr>
        <w:pStyle w:val="FootnoteText"/>
      </w:pPr>
      <w:r>
        <w:rPr>
          <w:rStyle w:val="FootnoteReference"/>
        </w:rPr>
        <w:footnoteRef/>
      </w:r>
      <w:r>
        <w:t xml:space="preserve"> NWCI. (2020) </w:t>
      </w:r>
      <w:r w:rsidRPr="001B5B5C">
        <w:rPr>
          <w:i/>
        </w:rPr>
        <w:t>Disabled women’s group submission to third national strategy on domestic, sexual and gender-based violence</w:t>
      </w:r>
      <w:r>
        <w:t>.</w:t>
      </w:r>
      <w:r w:rsidRPr="00441684">
        <w:t xml:space="preserve"> </w:t>
      </w:r>
      <w:r>
        <w:t xml:space="preserve">Available at </w:t>
      </w:r>
      <w:hyperlink r:id="rId90" w:history="1">
        <w:r w:rsidRPr="002758E2">
          <w:rPr>
            <w:rStyle w:val="Hyperlink"/>
          </w:rPr>
          <w:t>https://www.nwci.ie/images/uploads/Disabled_Womens_Group_-_3rd_National_Strategy_DSGBV_Submission_JUNE_2020.pdf</w:t>
        </w:r>
      </w:hyperlink>
    </w:p>
  </w:footnote>
  <w:footnote w:id="98">
    <w:p w14:paraId="02172C50" w14:textId="073DBCE2" w:rsidR="009201C0" w:rsidRDefault="009201C0" w:rsidP="00967311">
      <w:pPr>
        <w:pStyle w:val="FootnoteText"/>
      </w:pPr>
      <w:r>
        <w:rPr>
          <w:rStyle w:val="FootnoteReference"/>
        </w:rPr>
        <w:footnoteRef/>
      </w:r>
      <w:r>
        <w:t xml:space="preserve"> </w:t>
      </w:r>
      <w:r w:rsidRPr="00B6376C">
        <w:t xml:space="preserve"> Commission of Investigation into Catholic Archdiocese of Dublin</w:t>
      </w:r>
      <w:r>
        <w:t xml:space="preserve">. (2009) </w:t>
      </w:r>
      <w:r>
        <w:rPr>
          <w:i/>
        </w:rPr>
        <w:t xml:space="preserve">Commission of Investigation. Report into the Catholic Archdiocese of Dublin. </w:t>
      </w:r>
      <w:r>
        <w:t xml:space="preserve">Available at </w:t>
      </w:r>
      <w:hyperlink r:id="rId91" w:history="1">
        <w:r w:rsidRPr="00802E92">
          <w:rPr>
            <w:rStyle w:val="Hyperlink"/>
          </w:rPr>
          <w:t>https://www.justice.ie/en/JELR/Pages/PB09000504</w:t>
        </w:r>
      </w:hyperlink>
      <w:r>
        <w:t xml:space="preserve"> </w:t>
      </w:r>
    </w:p>
  </w:footnote>
  <w:footnote w:id="99">
    <w:p w14:paraId="4E0B9815" w14:textId="11DF33E1" w:rsidR="009201C0" w:rsidRDefault="009201C0" w:rsidP="006A0C58">
      <w:pPr>
        <w:pStyle w:val="FootnoteText"/>
      </w:pPr>
      <w:r>
        <w:rPr>
          <w:rStyle w:val="FootnoteReference"/>
        </w:rPr>
        <w:footnoteRef/>
      </w:r>
      <w:r>
        <w:t xml:space="preserve"> Murphy, F. D, Buckley, H, Joyce, L. (1995) </w:t>
      </w:r>
      <w:r w:rsidRPr="006A0C58">
        <w:rPr>
          <w:i/>
        </w:rPr>
        <w:t>The ferns report</w:t>
      </w:r>
      <w:r>
        <w:t xml:space="preserve">. Available at </w:t>
      </w:r>
      <w:hyperlink r:id="rId92" w:history="1">
        <w:r w:rsidRPr="00DE4F14">
          <w:rPr>
            <w:rStyle w:val="Hyperlink"/>
          </w:rPr>
          <w:t>https://www.lenus.ie/bitstream/handle/10147/560434/thefernsreportoctober2005.pdf;jsessionid=28ADF4B7243568218710FAEC65F933FA?sequence=2</w:t>
        </w:r>
      </w:hyperlink>
      <w:r>
        <w:t xml:space="preserve"> </w:t>
      </w:r>
    </w:p>
  </w:footnote>
  <w:footnote w:id="100">
    <w:p w14:paraId="312B2D97" w14:textId="634F8D6E" w:rsidR="009201C0" w:rsidRDefault="009201C0" w:rsidP="00467A71">
      <w:pPr>
        <w:pStyle w:val="FootnoteText"/>
      </w:pPr>
      <w:r>
        <w:rPr>
          <w:rStyle w:val="FootnoteReference"/>
        </w:rPr>
        <w:footnoteRef/>
      </w:r>
      <w:r>
        <w:t xml:space="preserve"> </w:t>
      </w:r>
      <w:r w:rsidRPr="00465220">
        <w:t xml:space="preserve">Ryan, S. (2009) </w:t>
      </w:r>
      <w:r w:rsidRPr="00465220">
        <w:rPr>
          <w:i/>
        </w:rPr>
        <w:t>Commission to inquire into child abuse. Executive summary</w:t>
      </w:r>
      <w:r>
        <w:t xml:space="preserve">. Available at </w:t>
      </w:r>
      <w:hyperlink r:id="rId93" w:history="1">
        <w:r w:rsidRPr="00DE4F14">
          <w:rPr>
            <w:rStyle w:val="Hyperlink"/>
          </w:rPr>
          <w:t>http://www.childabusecommission.ie/rpt/ExecSummary.php</w:t>
        </w:r>
      </w:hyperlink>
      <w:r>
        <w:t xml:space="preserve"> </w:t>
      </w:r>
    </w:p>
  </w:footnote>
  <w:footnote w:id="101">
    <w:p w14:paraId="0F401215" w14:textId="1EA2FFDF" w:rsidR="009201C0" w:rsidRDefault="009201C0" w:rsidP="00967311">
      <w:pPr>
        <w:pStyle w:val="FootnoteText"/>
      </w:pPr>
      <w:r>
        <w:rPr>
          <w:rStyle w:val="FootnoteReference"/>
        </w:rPr>
        <w:footnoteRef/>
      </w:r>
      <w:r>
        <w:t xml:space="preserve"> Industrial Schools for children who were neglected, abandoned or orphaned, or who were considered at risk of criminality. C</w:t>
      </w:r>
      <w:r w:rsidRPr="00DB3EF1">
        <w:t>hildren found guilty of criminal offences</w:t>
      </w:r>
      <w:r>
        <w:t xml:space="preserve"> w</w:t>
      </w:r>
      <w:r w:rsidR="00ED2681">
        <w:t>ere sent to Reformatory Schools.</w:t>
      </w:r>
    </w:p>
  </w:footnote>
  <w:footnote w:id="102">
    <w:p w14:paraId="28025B3D" w14:textId="4E08874B" w:rsidR="009201C0" w:rsidRDefault="009201C0" w:rsidP="00967311">
      <w:pPr>
        <w:pStyle w:val="FootnoteText"/>
      </w:pPr>
      <w:r>
        <w:rPr>
          <w:rStyle w:val="FootnoteReference"/>
        </w:rPr>
        <w:footnoteRef/>
      </w:r>
      <w:r>
        <w:t xml:space="preserve"> McAleese, M. (2013) </w:t>
      </w:r>
      <w:r w:rsidRPr="005F2909">
        <w:rPr>
          <w:i/>
        </w:rPr>
        <w:t>Report of the inter-departmental committee to establish the facts of state involvement with the magdalen laundries. Executive summary.</w:t>
      </w:r>
      <w:r>
        <w:t xml:space="preserve"> Available at </w:t>
      </w:r>
      <w:hyperlink r:id="rId94" w:history="1">
        <w:r w:rsidRPr="00DE4F14">
          <w:rPr>
            <w:rStyle w:val="Hyperlink"/>
          </w:rPr>
          <w:t>https://www.justice.ie/en/JELR/Executive%20Summary.pdf/Files/Executive%20Summary.pdf</w:t>
        </w:r>
      </w:hyperlink>
      <w:r>
        <w:t xml:space="preserve"> </w:t>
      </w:r>
    </w:p>
  </w:footnote>
  <w:footnote w:id="103">
    <w:p w14:paraId="7D73020E" w14:textId="77777777" w:rsidR="009201C0" w:rsidRDefault="009201C0" w:rsidP="00967311">
      <w:pPr>
        <w:pStyle w:val="FootnoteText"/>
      </w:pPr>
      <w:r>
        <w:rPr>
          <w:rStyle w:val="FootnoteReference"/>
        </w:rPr>
        <w:footnoteRef/>
      </w:r>
      <w:r>
        <w:t xml:space="preserve"> Unmarried mothers were sent to Mother and Baby homes to have their babies</w:t>
      </w:r>
    </w:p>
  </w:footnote>
  <w:footnote w:id="104">
    <w:p w14:paraId="71ECB852" w14:textId="28746D1A" w:rsidR="009201C0" w:rsidRDefault="009201C0">
      <w:pPr>
        <w:pStyle w:val="FootnoteText"/>
      </w:pPr>
      <w:r>
        <w:rPr>
          <w:rStyle w:val="FootnoteReference"/>
        </w:rPr>
        <w:footnoteRef/>
      </w:r>
      <w:r>
        <w:t xml:space="preserve"> C</w:t>
      </w:r>
      <w:r w:rsidRPr="00397111">
        <w:t>ommission of Investigation into Mother and Baby Homes</w:t>
      </w:r>
      <w:r>
        <w:t xml:space="preserve">. (2021) </w:t>
      </w:r>
      <w:r w:rsidRPr="00397111">
        <w:rPr>
          <w:i/>
        </w:rPr>
        <w:t>Executive summary of the final report of the commission of investigation into mother and baby homes</w:t>
      </w:r>
      <w:r>
        <w:t>. Available at</w:t>
      </w:r>
      <w:r w:rsidRPr="00397111">
        <w:t xml:space="preserve"> </w:t>
      </w:r>
      <w:hyperlink r:id="rId95" w:history="1">
        <w:r w:rsidRPr="00DE4F14">
          <w:rPr>
            <w:rStyle w:val="Hyperlink"/>
          </w:rPr>
          <w:t>file:///H:/Downloads/118591_719b80df-8280-41d1-b5db-29c269193536%20(2).pdf</w:t>
        </w:r>
      </w:hyperlink>
      <w:r>
        <w:t xml:space="preserve"> </w:t>
      </w:r>
    </w:p>
  </w:footnote>
  <w:footnote w:id="105">
    <w:p w14:paraId="5EFC3BCB" w14:textId="1E5057CB" w:rsidR="009201C0" w:rsidRDefault="009201C0" w:rsidP="00B6376C">
      <w:pPr>
        <w:pStyle w:val="FootnoteText"/>
      </w:pPr>
      <w:r>
        <w:rPr>
          <w:rStyle w:val="FootnoteReference"/>
        </w:rPr>
        <w:footnoteRef/>
      </w:r>
      <w:r>
        <w:t xml:space="preserve"> Enright, M &amp; O’Donoghue, A (Eds.) (2021) </w:t>
      </w:r>
      <w:r w:rsidRPr="00E9608A">
        <w:rPr>
          <w:i/>
        </w:rPr>
        <w:t>Mother and baby homes commission of investigation report. Draft alternative executive summary.</w:t>
      </w:r>
      <w:r>
        <w:t xml:space="preserve"> Available at</w:t>
      </w:r>
      <w:r w:rsidRPr="00665146">
        <w:t xml:space="preserve"> </w:t>
      </w:r>
      <w:hyperlink r:id="rId96" w:history="1">
        <w:r w:rsidRPr="00DE4F14">
          <w:rPr>
            <w:rStyle w:val="Hyperlink"/>
          </w:rPr>
          <w:t>https://drive.google.com/file/d/1hEnvMXV7FbwzGn32xp-STL8IqOcc-UYG/view</w:t>
        </w:r>
      </w:hyperlink>
      <w:r>
        <w:t xml:space="preserve"> </w:t>
      </w:r>
    </w:p>
  </w:footnote>
  <w:footnote w:id="106">
    <w:p w14:paraId="5FDD48CB" w14:textId="53EC577D" w:rsidR="009201C0" w:rsidRDefault="009201C0">
      <w:pPr>
        <w:pStyle w:val="FootnoteText"/>
      </w:pPr>
      <w:r>
        <w:rPr>
          <w:rStyle w:val="FootnoteReference"/>
        </w:rPr>
        <w:footnoteRef/>
      </w:r>
      <w:r>
        <w:t xml:space="preserve"> C</w:t>
      </w:r>
      <w:r w:rsidRPr="00397111">
        <w:t>ommission of Investigation into Mother and Baby Homes</w:t>
      </w:r>
      <w:r>
        <w:t xml:space="preserve">. (2021) </w:t>
      </w:r>
      <w:r w:rsidRPr="00397111">
        <w:rPr>
          <w:i/>
        </w:rPr>
        <w:t>Executive summary of the final report of the commission of investigation into mother and baby homes</w:t>
      </w:r>
      <w:r>
        <w:t>. Available at</w:t>
      </w:r>
      <w:r w:rsidRPr="00397111">
        <w:t xml:space="preserve"> </w:t>
      </w:r>
      <w:hyperlink r:id="rId97" w:history="1">
        <w:r w:rsidRPr="00DE4F14">
          <w:rPr>
            <w:rStyle w:val="Hyperlink"/>
          </w:rPr>
          <w:t>file:///H:/Downloads/118591_719b80df-8280-41d1-b5db-29c269193536%20(2).pdf</w:t>
        </w:r>
      </w:hyperlink>
    </w:p>
  </w:footnote>
  <w:footnote w:id="107">
    <w:p w14:paraId="526A580E" w14:textId="7351944E" w:rsidR="009201C0" w:rsidRDefault="009201C0">
      <w:pPr>
        <w:pStyle w:val="FootnoteText"/>
      </w:pPr>
      <w:r>
        <w:rPr>
          <w:rStyle w:val="FootnoteReference"/>
        </w:rPr>
        <w:footnoteRef/>
      </w:r>
      <w:r>
        <w:t xml:space="preserve"> Enright, M &amp; O’Donoghue, A (Eds.) (2021) </w:t>
      </w:r>
      <w:r w:rsidRPr="00E9608A">
        <w:rPr>
          <w:i/>
        </w:rPr>
        <w:t>Mother and baby homes commission of investigation report. Draft alternative executive summary.</w:t>
      </w:r>
      <w:r>
        <w:t xml:space="preserve"> Available at</w:t>
      </w:r>
      <w:r w:rsidRPr="00665146">
        <w:t xml:space="preserve"> </w:t>
      </w:r>
      <w:hyperlink r:id="rId98" w:history="1">
        <w:r w:rsidRPr="00DE4F14">
          <w:rPr>
            <w:rStyle w:val="Hyperlink"/>
          </w:rPr>
          <w:t>https://drive.google.com/file/d/1hEnvMXV7FbwzGn32xp-STL8IqOcc-UYG/view</w:t>
        </w:r>
      </w:hyperlink>
    </w:p>
  </w:footnote>
  <w:footnote w:id="108">
    <w:p w14:paraId="4022DD8E" w14:textId="0670DB6E" w:rsidR="009201C0" w:rsidRDefault="009201C0" w:rsidP="00967311">
      <w:pPr>
        <w:pStyle w:val="FootnoteText"/>
      </w:pPr>
      <w:r>
        <w:rPr>
          <w:rStyle w:val="FootnoteReference"/>
        </w:rPr>
        <w:footnoteRef/>
      </w:r>
      <w:r>
        <w:t xml:space="preserve"> See </w:t>
      </w:r>
      <w:hyperlink r:id="rId99" w:history="1">
        <w:r w:rsidRPr="00DE4F14">
          <w:rPr>
            <w:rStyle w:val="Hyperlink"/>
          </w:rPr>
          <w:t>https://www.rte.ie/archives/2019/0430/1046590-apology-to-victims-of-institutional-child-abuse/</w:t>
        </w:r>
      </w:hyperlink>
      <w:r>
        <w:t xml:space="preserve"> </w:t>
      </w:r>
    </w:p>
  </w:footnote>
  <w:footnote w:id="109">
    <w:p w14:paraId="13F1698A" w14:textId="7F099D30" w:rsidR="009201C0" w:rsidRDefault="009201C0" w:rsidP="00967311">
      <w:pPr>
        <w:pStyle w:val="FootnoteText"/>
      </w:pPr>
      <w:r>
        <w:rPr>
          <w:rStyle w:val="FootnoteReference"/>
        </w:rPr>
        <w:footnoteRef/>
      </w:r>
      <w:r>
        <w:t xml:space="preserve"> O’Regan, M. (2013) ‘</w:t>
      </w:r>
      <w:r w:rsidRPr="00014477">
        <w:t>Taoiseach makes historic apology to Magdalenes</w:t>
      </w:r>
      <w:r>
        <w:t xml:space="preserve">’, </w:t>
      </w:r>
      <w:r>
        <w:rPr>
          <w:i/>
        </w:rPr>
        <w:t xml:space="preserve">Irish Times, </w:t>
      </w:r>
      <w:r>
        <w:t xml:space="preserve">19 February. Available at </w:t>
      </w:r>
      <w:hyperlink r:id="rId100" w:history="1">
        <w:r w:rsidRPr="00DE4F14">
          <w:rPr>
            <w:rStyle w:val="Hyperlink"/>
          </w:rPr>
          <w:t>https://www.irishtimes.com/news/taoiseach-makes-historic-apology-to-magdalenes-1.1280989</w:t>
        </w:r>
      </w:hyperlink>
    </w:p>
  </w:footnote>
  <w:footnote w:id="110">
    <w:p w14:paraId="010EBF00" w14:textId="1C961028" w:rsidR="009201C0" w:rsidRDefault="009201C0" w:rsidP="00967311">
      <w:pPr>
        <w:pStyle w:val="FootnoteText"/>
      </w:pPr>
      <w:r>
        <w:rPr>
          <w:rStyle w:val="FootnoteReference"/>
        </w:rPr>
        <w:footnoteRef/>
      </w:r>
      <w:r>
        <w:t xml:space="preserve"> Department of the Taoiseach. (2021)</w:t>
      </w:r>
      <w:r w:rsidRPr="00A64115">
        <w:t xml:space="preserve"> </w:t>
      </w:r>
      <w:r w:rsidRPr="00A64115">
        <w:rPr>
          <w:i/>
        </w:rPr>
        <w:t>Statement of the Taoiseach: Report of commission of investigation into mother and baby homes and certain related matters</w:t>
      </w:r>
      <w:r>
        <w:t xml:space="preserve">. Available at </w:t>
      </w:r>
      <w:hyperlink r:id="rId101" w:history="1">
        <w:r w:rsidRPr="00DE4F14">
          <w:rPr>
            <w:rStyle w:val="Hyperlink"/>
          </w:rPr>
          <w:t>https://www.gov.ie/en/speech/86f24-statement-of-an-taoiseach-report-of-commission-of-investigation-into-mother-and-baby-homes-and-certain-related-matters/</w:t>
        </w:r>
      </w:hyperlink>
      <w:r>
        <w:t xml:space="preserve"> </w:t>
      </w:r>
    </w:p>
  </w:footnote>
  <w:footnote w:id="111">
    <w:p w14:paraId="2DC217D3" w14:textId="5C9985FF" w:rsidR="009201C0" w:rsidRDefault="009201C0" w:rsidP="00967311">
      <w:pPr>
        <w:pStyle w:val="FootnoteText"/>
      </w:pPr>
      <w:r>
        <w:rPr>
          <w:rStyle w:val="FootnoteReference"/>
        </w:rPr>
        <w:footnoteRef/>
      </w:r>
      <w:r>
        <w:t xml:space="preserve"> Loughlin, E. (2021)</w:t>
      </w:r>
      <w:r w:rsidRPr="00742196">
        <w:t xml:space="preserve"> Mother and baby home survivors want redress scheme scrapped after </w:t>
      </w:r>
      <w:r>
        <w:t>h</w:t>
      </w:r>
      <w:r w:rsidRPr="00742196">
        <w:t xml:space="preserve">igh </w:t>
      </w:r>
      <w:r>
        <w:t>c</w:t>
      </w:r>
      <w:r w:rsidRPr="00742196">
        <w:t>ourt victory</w:t>
      </w:r>
      <w:r>
        <w:t xml:space="preserve">, </w:t>
      </w:r>
      <w:r>
        <w:rPr>
          <w:i/>
        </w:rPr>
        <w:t xml:space="preserve">Irish Examiner, </w:t>
      </w:r>
      <w:r>
        <w:t xml:space="preserve">18 December. Available at </w:t>
      </w:r>
      <w:hyperlink r:id="rId102" w:history="1">
        <w:r w:rsidRPr="00DE4F14">
          <w:rPr>
            <w:rStyle w:val="Hyperlink"/>
          </w:rPr>
          <w:t>https://www.irishexaminer.com/news/arid-40768593.html</w:t>
        </w:r>
      </w:hyperlink>
      <w:r>
        <w:t xml:space="preserve"> </w:t>
      </w:r>
    </w:p>
  </w:footnote>
  <w:footnote w:id="112">
    <w:p w14:paraId="0A18D5AB" w14:textId="1B1FCF8D" w:rsidR="009201C0" w:rsidRDefault="009201C0" w:rsidP="00967311">
      <w:pPr>
        <w:pStyle w:val="FootnoteText"/>
      </w:pPr>
      <w:r>
        <w:rPr>
          <w:rStyle w:val="FootnoteReference"/>
        </w:rPr>
        <w:footnoteRef/>
      </w:r>
      <w:r>
        <w:t xml:space="preserve"> Bowers, S. (2021) </w:t>
      </w:r>
      <w:r w:rsidRPr="00742196">
        <w:t>Clinicians call for change to mother and baby homes redress scheme</w:t>
      </w:r>
      <w:r>
        <w:t xml:space="preserve">, </w:t>
      </w:r>
      <w:r>
        <w:rPr>
          <w:i/>
        </w:rPr>
        <w:t xml:space="preserve">Irish Times, </w:t>
      </w:r>
      <w:r>
        <w:t xml:space="preserve">22 November. Available at </w:t>
      </w:r>
      <w:hyperlink r:id="rId103" w:history="1">
        <w:r w:rsidRPr="00DE4F14">
          <w:rPr>
            <w:rStyle w:val="Hyperlink"/>
          </w:rPr>
          <w:t>https://www.irishtimes.com/news/social-affairs/clinicians-call-for-change-to-mother-and-baby-homes-redress-scheme-1.4735687</w:t>
        </w:r>
      </w:hyperlink>
      <w:r>
        <w:t xml:space="preserve"> </w:t>
      </w:r>
    </w:p>
  </w:footnote>
  <w:footnote w:id="113">
    <w:p w14:paraId="75C9C232" w14:textId="347B66E8" w:rsidR="009201C0" w:rsidRDefault="009201C0" w:rsidP="0020679D">
      <w:pPr>
        <w:pStyle w:val="FootnoteText"/>
      </w:pPr>
      <w:r>
        <w:rPr>
          <w:rStyle w:val="FootnoteReference"/>
        </w:rPr>
        <w:footnoteRef/>
      </w:r>
      <w:r>
        <w:t xml:space="preserve"> Office of the Ombudsman. (2017) </w:t>
      </w:r>
      <w:r w:rsidRPr="0020679D">
        <w:rPr>
          <w:i/>
        </w:rPr>
        <w:t>Opportunity lost. An investigation by the ombudsman into the administration of the magdalen restorative justice scheme</w:t>
      </w:r>
      <w:r>
        <w:t>. Available at</w:t>
      </w:r>
      <w:r w:rsidRPr="003F5A03">
        <w:t xml:space="preserve"> </w:t>
      </w:r>
      <w:hyperlink r:id="rId104" w:history="1">
        <w:r w:rsidRPr="00DE4F14">
          <w:rPr>
            <w:rStyle w:val="Hyperlink"/>
          </w:rPr>
          <w:t>https://www.ombudsman.ie/publications/reports/opportunity-lost/Magdalen-Scheme.pdf</w:t>
        </w:r>
      </w:hyperlink>
      <w:r>
        <w:t xml:space="preserve"> </w:t>
      </w:r>
    </w:p>
  </w:footnote>
  <w:footnote w:id="114">
    <w:p w14:paraId="582BDBC8" w14:textId="5E846333" w:rsidR="009201C0" w:rsidRDefault="009201C0" w:rsidP="00967311">
      <w:pPr>
        <w:pStyle w:val="FootnoteText"/>
      </w:pPr>
      <w:r>
        <w:rPr>
          <w:rStyle w:val="FootnoteReference"/>
        </w:rPr>
        <w:footnoteRef/>
      </w:r>
      <w:r>
        <w:t xml:space="preserve"> McGarry, P. (2021) </w:t>
      </w:r>
      <w:r w:rsidRPr="00AD00F1">
        <w:t>Redress for abuse in religious institutions falls short of 2009 commitments</w:t>
      </w:r>
      <w:r>
        <w:t xml:space="preserve">, </w:t>
      </w:r>
      <w:r>
        <w:rPr>
          <w:i/>
        </w:rPr>
        <w:t xml:space="preserve">Irish Times, </w:t>
      </w:r>
      <w:r>
        <w:t xml:space="preserve">08 September. Available at </w:t>
      </w:r>
      <w:hyperlink r:id="rId105" w:history="1">
        <w:r w:rsidRPr="00DE4F14">
          <w:rPr>
            <w:rStyle w:val="Hyperlink"/>
          </w:rPr>
          <w:t>https://www.irishtimes.com/news/social-affairs/religion-and-beliefs/redress-for-abuse-in-religious-institutions-falls-short-of-2009-commitments-1.4667783</w:t>
        </w:r>
      </w:hyperlink>
      <w:r>
        <w:t xml:space="preserve"> </w:t>
      </w:r>
    </w:p>
  </w:footnote>
  <w:footnote w:id="115">
    <w:p w14:paraId="5D115481" w14:textId="0A3ECBA8" w:rsidR="009201C0" w:rsidRDefault="009201C0" w:rsidP="00B84CA3">
      <w:pPr>
        <w:pStyle w:val="FootnoteText"/>
      </w:pPr>
      <w:r>
        <w:rPr>
          <w:rStyle w:val="FootnoteReference"/>
        </w:rPr>
        <w:footnoteRef/>
      </w:r>
      <w:r>
        <w:t xml:space="preserve"> </w:t>
      </w:r>
      <w:r w:rsidRPr="007F49AD">
        <w:t>Edwards,</w:t>
      </w:r>
      <w:r>
        <w:t xml:space="preserve"> C,</w:t>
      </w:r>
      <w:r w:rsidRPr="007F49AD">
        <w:t xml:space="preserve"> Harold</w:t>
      </w:r>
      <w:r>
        <w:t>, G &amp;</w:t>
      </w:r>
      <w:r w:rsidRPr="007F49AD">
        <w:t xml:space="preserve"> Kilcommins</w:t>
      </w:r>
      <w:r>
        <w:t>, S. (2012</w:t>
      </w:r>
      <w:r w:rsidRPr="002429A7">
        <w:t xml:space="preserve">) </w:t>
      </w:r>
      <w:r w:rsidRPr="00C81BF8">
        <w:rPr>
          <w:i/>
        </w:rPr>
        <w:t>Access to justice for people with disabilities as victims of crime in Ireland.</w:t>
      </w:r>
      <w:r w:rsidRPr="002429A7">
        <w:t xml:space="preserve"> </w:t>
      </w:r>
      <w:r>
        <w:t xml:space="preserve">Available at </w:t>
      </w:r>
      <w:hyperlink r:id="rId106" w:history="1">
        <w:r>
          <w:rPr>
            <w:rStyle w:val="Hyperlink"/>
          </w:rPr>
          <w:t>http://nda.ie/nda-files/Access-to-Justice-for-People-with-Disabilities-as-Victims-of-Crime-in-Ireland1.pdf</w:t>
        </w:r>
      </w:hyperlink>
    </w:p>
  </w:footnote>
  <w:footnote w:id="116">
    <w:p w14:paraId="49E32467" w14:textId="5E447A41" w:rsidR="009201C0" w:rsidRDefault="009201C0" w:rsidP="005774B4">
      <w:pPr>
        <w:pStyle w:val="FootnoteText"/>
      </w:pPr>
      <w:r>
        <w:rPr>
          <w:rStyle w:val="FootnoteReference"/>
        </w:rPr>
        <w:footnoteRef/>
      </w:r>
      <w:r>
        <w:t xml:space="preserve"> </w:t>
      </w:r>
      <w:r w:rsidRPr="00AD5706">
        <w:t xml:space="preserve">An Garda Síochána. (2019) </w:t>
      </w:r>
      <w:r w:rsidRPr="00C81BF8">
        <w:rPr>
          <w:i/>
        </w:rPr>
        <w:t>Diversity &amp; integration strategy 2019-2021</w:t>
      </w:r>
      <w:r w:rsidRPr="002429A7">
        <w:t>.</w:t>
      </w:r>
      <w:r w:rsidRPr="00AD5706">
        <w:t xml:space="preserve"> </w:t>
      </w:r>
      <w:r>
        <w:t xml:space="preserve">Available at </w:t>
      </w:r>
      <w:hyperlink r:id="rId107" w:history="1">
        <w:r w:rsidRPr="00AD5706">
          <w:rPr>
            <w:rStyle w:val="Hyperlink"/>
          </w:rPr>
          <w:t>https://www.garda.ie/en/crime-prevention/community-engagement/community-engagement-offices/garda-national-diversity-integration-unit/diversity-and-integration-strategy-2019-2021-english-v1-1.pdf</w:t>
        </w:r>
      </w:hyperlink>
    </w:p>
  </w:footnote>
  <w:footnote w:id="117">
    <w:p w14:paraId="29F8631A" w14:textId="6DD49AA0" w:rsidR="009201C0" w:rsidRDefault="009201C0" w:rsidP="005774B4">
      <w:pPr>
        <w:pStyle w:val="FootnoteText"/>
      </w:pPr>
      <w:r>
        <w:rPr>
          <w:rStyle w:val="FootnoteReference"/>
        </w:rPr>
        <w:footnoteRef/>
      </w:r>
      <w:r>
        <w:t xml:space="preserve"> Department of Justice and Equality. (2017) </w:t>
      </w:r>
      <w:r w:rsidRPr="00C81BF8">
        <w:rPr>
          <w:i/>
        </w:rPr>
        <w:t>One plan 2017</w:t>
      </w:r>
      <w:r>
        <w:t xml:space="preserve">. Available at </w:t>
      </w:r>
      <w:hyperlink r:id="rId108" w:history="1">
        <w:r>
          <w:rPr>
            <w:rStyle w:val="Hyperlink"/>
          </w:rPr>
          <w:t>http://www.justice.ie/en/JELR/Department_of_Justice_&amp;_Equality_One_Plan_2017.pdf/Files/Department_of_Justice_&amp;_Equality_One_Plan_2017.pdf</w:t>
        </w:r>
      </w:hyperlink>
    </w:p>
  </w:footnote>
  <w:footnote w:id="118">
    <w:p w14:paraId="6CEC9FAD" w14:textId="3EF932A4" w:rsidR="009201C0" w:rsidRDefault="009201C0">
      <w:pPr>
        <w:pStyle w:val="FootnoteText"/>
      </w:pPr>
      <w:r>
        <w:rPr>
          <w:rStyle w:val="FootnoteReference"/>
        </w:rPr>
        <w:footnoteRef/>
      </w:r>
      <w:r>
        <w:t xml:space="preserve"> See </w:t>
      </w:r>
      <w:hyperlink r:id="rId109" w:history="1">
        <w:r w:rsidRPr="00DE4F14">
          <w:rPr>
            <w:rStyle w:val="Hyperlink"/>
          </w:rPr>
          <w:t>https://www.cso.ie/en/statistics/crimeandjustice/crimeandvictimisation/</w:t>
        </w:r>
      </w:hyperlink>
      <w:r>
        <w:t xml:space="preserve"> </w:t>
      </w:r>
    </w:p>
  </w:footnote>
  <w:footnote w:id="119">
    <w:p w14:paraId="263B4F0F" w14:textId="6F96FDDB" w:rsidR="009201C0" w:rsidRDefault="009201C0" w:rsidP="008526D4">
      <w:pPr>
        <w:pStyle w:val="FootnoteText"/>
      </w:pPr>
      <w:r>
        <w:rPr>
          <w:rStyle w:val="FootnoteReference"/>
        </w:rPr>
        <w:footnoteRef/>
      </w:r>
      <w:r>
        <w:t xml:space="preserve"> Department of Justice. (2020) </w:t>
      </w:r>
      <w:r w:rsidRPr="00811971">
        <w:rPr>
          <w:i/>
        </w:rPr>
        <w:t>Legislating for hate speech and hate crime in Ireland. Report on the public consultation 2020.</w:t>
      </w:r>
      <w:r>
        <w:t xml:space="preserve"> Available at </w:t>
      </w:r>
      <w:hyperlink r:id="rId110" w:history="1">
        <w:r w:rsidRPr="00DE4F14">
          <w:rPr>
            <w:rStyle w:val="Hyperlink"/>
          </w:rPr>
          <w:t>http://www.justice.ie/en/JELR/Legislating_for_Hate_Speech_and_Hate_Crime_in_Ireland_Web.pdf/Files/Legislating_for_Hate_Speech_and_Hate_Crime_in_Ireland_Web.pdf</w:t>
        </w:r>
      </w:hyperlink>
      <w:r>
        <w:t xml:space="preserve"> </w:t>
      </w:r>
    </w:p>
  </w:footnote>
  <w:footnote w:id="120">
    <w:p w14:paraId="493CE4F8" w14:textId="014D5B78" w:rsidR="009201C0" w:rsidRDefault="009201C0">
      <w:pPr>
        <w:pStyle w:val="FootnoteText"/>
      </w:pPr>
      <w:r>
        <w:rPr>
          <w:rStyle w:val="FootnoteReference"/>
        </w:rPr>
        <w:footnoteRef/>
      </w:r>
      <w:r>
        <w:t xml:space="preserve"> Department of Justice. (2020) </w:t>
      </w:r>
      <w:r w:rsidRPr="00811971">
        <w:rPr>
          <w:i/>
        </w:rPr>
        <w:t>Legislating for hate speech and hate crime in Ireland. Report on the public consultation 2020</w:t>
      </w:r>
      <w:r>
        <w:rPr>
          <w:i/>
        </w:rPr>
        <w:t xml:space="preserve">, </w:t>
      </w:r>
      <w:r>
        <w:t>p. 26</w:t>
      </w:r>
      <w:r w:rsidRPr="00811971">
        <w:rPr>
          <w:i/>
        </w:rPr>
        <w:t>.</w:t>
      </w:r>
      <w:r>
        <w:t xml:space="preserve"> Available at </w:t>
      </w:r>
      <w:hyperlink r:id="rId111" w:history="1">
        <w:r w:rsidRPr="00DE4F14">
          <w:rPr>
            <w:rStyle w:val="Hyperlink"/>
          </w:rPr>
          <w:t>http://www.justice.ie/en/JELR/Legislating_for_Hate_Speech_and_Hate_Crime_in_Ireland_Web.pdf/Files/Legislating_for_Hate_Speech_and_Hate_Crime_in_Ireland_Web.pdf</w:t>
        </w:r>
      </w:hyperlink>
    </w:p>
  </w:footnote>
  <w:footnote w:id="121">
    <w:p w14:paraId="4CD4F23E" w14:textId="7AC4430A" w:rsidR="009201C0" w:rsidRDefault="009201C0">
      <w:pPr>
        <w:pStyle w:val="FootnoteText"/>
      </w:pPr>
      <w:r>
        <w:rPr>
          <w:rStyle w:val="FootnoteReference"/>
        </w:rPr>
        <w:footnoteRef/>
      </w:r>
      <w:r>
        <w:t xml:space="preserve"> McGee, H</w:t>
      </w:r>
      <w:r w:rsidRPr="00811971">
        <w:rPr>
          <w:i/>
        </w:rPr>
        <w:t>. et al.</w:t>
      </w:r>
      <w:r>
        <w:t xml:space="preserve"> (2002) </w:t>
      </w:r>
      <w:r w:rsidRPr="00ED2681">
        <w:rPr>
          <w:i/>
        </w:rPr>
        <w:t>The SAVI report: sexual abuse and violence in Ireland</w:t>
      </w:r>
      <w:r>
        <w:t xml:space="preserve">. Available at </w:t>
      </w:r>
      <w:hyperlink r:id="rId112" w:history="1">
        <w:r w:rsidRPr="003C7DBC">
          <w:rPr>
            <w:rStyle w:val="Hyperlink"/>
          </w:rPr>
          <w:t>https://repository.rcsi.com/articles/report/The_SAVI_report_sexual_abuse_and_violence_in_Ireland/10770797/1</w:t>
        </w:r>
      </w:hyperlink>
    </w:p>
  </w:footnote>
  <w:footnote w:id="122">
    <w:p w14:paraId="01684F83" w14:textId="27C1ED1F" w:rsidR="009201C0" w:rsidRDefault="009201C0" w:rsidP="00A57C47">
      <w:pPr>
        <w:pStyle w:val="FootnoteText"/>
      </w:pPr>
      <w:r>
        <w:rPr>
          <w:rStyle w:val="FootnoteReference"/>
        </w:rPr>
        <w:footnoteRef/>
      </w:r>
      <w:r>
        <w:t xml:space="preserve"> Burke, L. </w:t>
      </w:r>
      <w:r>
        <w:rPr>
          <w:i/>
        </w:rPr>
        <w:t>et al</w:t>
      </w:r>
      <w:r>
        <w:t xml:space="preserve"> (2020) </w:t>
      </w:r>
      <w:r w:rsidRPr="00A57C47">
        <w:rPr>
          <w:i/>
        </w:rPr>
        <w:t>The active* consent/union of students in Ireland sexual experiences survey 2020: Sexual violence and harassment experiences in a national survey of higher education institutions.</w:t>
      </w:r>
      <w:r>
        <w:t xml:space="preserve"> Available at </w:t>
      </w:r>
      <w:hyperlink r:id="rId113" w:history="1">
        <w:r w:rsidRPr="00DE4F14">
          <w:rPr>
            <w:rStyle w:val="Hyperlink"/>
          </w:rPr>
          <w:t>https://www.drugsandalcohol.ie/32244/1/Sexual-Experiences-Survey-2020.pdf</w:t>
        </w:r>
      </w:hyperlink>
      <w:r>
        <w:t xml:space="preserve"> </w:t>
      </w:r>
    </w:p>
  </w:footnote>
  <w:footnote w:id="123">
    <w:p w14:paraId="0CD7BB93" w14:textId="6478F6DA" w:rsidR="009201C0" w:rsidRDefault="009201C0">
      <w:pPr>
        <w:pStyle w:val="FootnoteText"/>
      </w:pPr>
      <w:r>
        <w:rPr>
          <w:rStyle w:val="FootnoteReference"/>
        </w:rPr>
        <w:footnoteRef/>
      </w:r>
      <w:r>
        <w:t xml:space="preserve"> HEA. (2021) </w:t>
      </w:r>
      <w:r w:rsidRPr="00974431">
        <w:rPr>
          <w:i/>
        </w:rPr>
        <w:t>Minister harris launches national staff and student surveys on sexual violence and sexual harassment in higher education institutions.</w:t>
      </w:r>
      <w:r>
        <w:t xml:space="preserve"> Available at </w:t>
      </w:r>
      <w:hyperlink r:id="rId114" w:history="1">
        <w:r w:rsidRPr="00DE4F14">
          <w:rPr>
            <w:rStyle w:val="Hyperlink"/>
          </w:rPr>
          <w:t>https://hea.ie/2021/04/12/minister-harris-launches-national-staff-and-student-surveys-on-sexual-violence-and-sexual-harassment-in-higher-education-institutions/</w:t>
        </w:r>
      </w:hyperlink>
      <w:r>
        <w:t xml:space="preserve"> </w:t>
      </w:r>
    </w:p>
  </w:footnote>
  <w:footnote w:id="124">
    <w:p w14:paraId="5B94DE96" w14:textId="295B66AE" w:rsidR="009201C0" w:rsidRDefault="009201C0" w:rsidP="00E04E92">
      <w:pPr>
        <w:pStyle w:val="FootnoteText"/>
      </w:pPr>
      <w:r>
        <w:rPr>
          <w:rStyle w:val="FootnoteReference"/>
        </w:rPr>
        <w:footnoteRef/>
      </w:r>
      <w:r>
        <w:t xml:space="preserve"> MacNeela, P. </w:t>
      </w:r>
      <w:r>
        <w:rPr>
          <w:i/>
        </w:rPr>
        <w:t xml:space="preserve">et al. </w:t>
      </w:r>
      <w:r>
        <w:t>(2022)</w:t>
      </w:r>
      <w:r w:rsidRPr="00E04E92">
        <w:t xml:space="preserve"> </w:t>
      </w:r>
      <w:r w:rsidRPr="00D01866">
        <w:rPr>
          <w:i/>
        </w:rPr>
        <w:t>Report on the national survey of student experiences of sexual violence and harassment in irish higher education institutions</w:t>
      </w:r>
      <w:r>
        <w:t xml:space="preserve">. Available at </w:t>
      </w:r>
      <w:hyperlink r:id="rId115" w:history="1">
        <w:r w:rsidRPr="00DE4F14">
          <w:rPr>
            <w:rStyle w:val="Hyperlink"/>
          </w:rPr>
          <w:t>https://www.gov.ie/en/publication/09bb5-report-on-surveys-of-experiences-of-sexual-violence-and-harassment-in-higher-education/</w:t>
        </w:r>
      </w:hyperlink>
      <w:r>
        <w:t xml:space="preserve"> </w:t>
      </w:r>
    </w:p>
  </w:footnote>
  <w:footnote w:id="125">
    <w:p w14:paraId="55E4D985" w14:textId="511DEE7B" w:rsidR="009201C0" w:rsidRDefault="009201C0">
      <w:pPr>
        <w:pStyle w:val="FootnoteText"/>
      </w:pPr>
      <w:r>
        <w:rPr>
          <w:rStyle w:val="FootnoteReference"/>
        </w:rPr>
        <w:footnoteRef/>
      </w:r>
      <w:r>
        <w:t xml:space="preserve"> MacNeela, P. </w:t>
      </w:r>
      <w:r>
        <w:rPr>
          <w:i/>
        </w:rPr>
        <w:t xml:space="preserve">et al. </w:t>
      </w:r>
      <w:r>
        <w:t>(2022)</w:t>
      </w:r>
      <w:r w:rsidRPr="00E04E92">
        <w:t xml:space="preserve"> </w:t>
      </w:r>
      <w:r w:rsidRPr="00D01866">
        <w:rPr>
          <w:i/>
        </w:rPr>
        <w:t>Report on the national survey of staff experiences of sexual violence and harassment in irish HEIs.</w:t>
      </w:r>
      <w:r>
        <w:t xml:space="preserve"> Available at </w:t>
      </w:r>
      <w:hyperlink r:id="rId116" w:history="1">
        <w:r w:rsidRPr="00DE4F14">
          <w:rPr>
            <w:rStyle w:val="Hyperlink"/>
          </w:rPr>
          <w:t>https://www.gov.ie/en/publication/09bb5-report-on-surveys-of-experiences-of-sexual-violence-and-harassment-in-higher-education/</w:t>
        </w:r>
      </w:hyperlink>
    </w:p>
  </w:footnote>
  <w:footnote w:id="126">
    <w:p w14:paraId="72A31D4D" w14:textId="3A96FDF7" w:rsidR="009201C0" w:rsidRDefault="009201C0">
      <w:pPr>
        <w:pStyle w:val="FootnoteText"/>
      </w:pPr>
      <w:r>
        <w:rPr>
          <w:rStyle w:val="FootnoteReference"/>
        </w:rPr>
        <w:footnoteRef/>
      </w:r>
      <w:r>
        <w:t xml:space="preserve"> Taken from RCNI Annual Statistics Reports 2011, 2013, 2014, 2015, 2019 and 2020 on rcni.ie. Annual statistics are not available for 2016-2018 due to a decrease in funding to RCNI.</w:t>
      </w:r>
    </w:p>
  </w:footnote>
  <w:footnote w:id="127">
    <w:p w14:paraId="102B0E28" w14:textId="7D2FC4B8" w:rsidR="009201C0" w:rsidRDefault="009201C0" w:rsidP="0063486E">
      <w:pPr>
        <w:pStyle w:val="FootnoteText"/>
      </w:pPr>
      <w:r>
        <w:rPr>
          <w:rStyle w:val="FootnoteReference"/>
        </w:rPr>
        <w:footnoteRef/>
      </w:r>
      <w:r>
        <w:t xml:space="preserve"> </w:t>
      </w:r>
      <w:r>
        <w:rPr>
          <w:lang w:eastAsia="en-IE"/>
        </w:rPr>
        <w:t>Rape Crisis Network Ireland. (2020)</w:t>
      </w:r>
      <w:r w:rsidRPr="004E72E6">
        <w:t xml:space="preserve"> </w:t>
      </w:r>
      <w:r w:rsidRPr="008C2D82">
        <w:rPr>
          <w:i/>
          <w:lang w:eastAsia="en-IE"/>
        </w:rPr>
        <w:t>RCNI rape crisis statistics 2019.</w:t>
      </w:r>
      <w:r>
        <w:rPr>
          <w:lang w:eastAsia="en-IE"/>
        </w:rPr>
        <w:t xml:space="preserve"> Available at </w:t>
      </w:r>
      <w:hyperlink r:id="rId117" w:history="1">
        <w:r w:rsidRPr="00DE4F14">
          <w:rPr>
            <w:rStyle w:val="Hyperlink"/>
            <w:lang w:eastAsia="en-IE"/>
          </w:rPr>
          <w:t>https://www.rcni.ie/wp-content/uploads/RCNI-Statistics-2019.pdf</w:t>
        </w:r>
      </w:hyperlink>
      <w:r>
        <w:rPr>
          <w:lang w:eastAsia="en-IE"/>
        </w:rPr>
        <w:t xml:space="preserve"> </w:t>
      </w:r>
    </w:p>
  </w:footnote>
  <w:footnote w:id="128">
    <w:p w14:paraId="6403056D" w14:textId="4F3217BB" w:rsidR="009201C0" w:rsidRDefault="009201C0" w:rsidP="00A405D9">
      <w:pPr>
        <w:pStyle w:val="FootnoteText"/>
      </w:pPr>
      <w:r>
        <w:rPr>
          <w:rStyle w:val="FootnoteReference"/>
        </w:rPr>
        <w:footnoteRef/>
      </w:r>
      <w:r>
        <w:t xml:space="preserve"> Bartlett, H &amp; Mears, E. (2011) </w:t>
      </w:r>
      <w:r w:rsidRPr="00CD63B5">
        <w:rPr>
          <w:i/>
        </w:rPr>
        <w:t xml:space="preserve">Sexual violence </w:t>
      </w:r>
      <w:r w:rsidRPr="00CD63B5">
        <w:rPr>
          <w:i/>
          <w:szCs w:val="26"/>
        </w:rPr>
        <w:t xml:space="preserve">against people with disabilities: Data collection and barriers to disclosure. </w:t>
      </w:r>
      <w:r>
        <w:rPr>
          <w:szCs w:val="26"/>
        </w:rPr>
        <w:t xml:space="preserve">Available at </w:t>
      </w:r>
      <w:hyperlink r:id="rId118" w:history="1">
        <w:r w:rsidRPr="00DE4F14">
          <w:rPr>
            <w:rStyle w:val="Hyperlink"/>
            <w:szCs w:val="26"/>
          </w:rPr>
          <w:t>https://www.rcni.ie/wp-content/uploads/SexualViolenceAgainstPeopleWithDisabilities2011.pdf</w:t>
        </w:r>
      </w:hyperlink>
      <w:r>
        <w:rPr>
          <w:szCs w:val="26"/>
        </w:rPr>
        <w:t xml:space="preserve"> </w:t>
      </w:r>
    </w:p>
  </w:footnote>
  <w:footnote w:id="129">
    <w:p w14:paraId="7FA7352B" w14:textId="48EC3F79" w:rsidR="009201C0" w:rsidRPr="00990092" w:rsidRDefault="009201C0">
      <w:pPr>
        <w:pStyle w:val="FootnoteText"/>
      </w:pPr>
      <w:r>
        <w:rPr>
          <w:rStyle w:val="FootnoteReference"/>
        </w:rPr>
        <w:footnoteRef/>
      </w:r>
      <w:r>
        <w:t xml:space="preserve"> Eogan, M. </w:t>
      </w:r>
      <w:r>
        <w:rPr>
          <w:i/>
        </w:rPr>
        <w:t xml:space="preserve">et al. </w:t>
      </w:r>
      <w:r>
        <w:t xml:space="preserve">(2021) </w:t>
      </w:r>
      <w:r w:rsidRPr="00990092">
        <w:rPr>
          <w:i/>
        </w:rPr>
        <w:t>SATU annual report 2020</w:t>
      </w:r>
      <w:r>
        <w:t xml:space="preserve">. Available at </w:t>
      </w:r>
      <w:hyperlink r:id="rId119" w:history="1">
        <w:r w:rsidRPr="00DE4F14">
          <w:rPr>
            <w:rStyle w:val="Hyperlink"/>
          </w:rPr>
          <w:t>https://www.hse.ie/eng/services/list/5/sexhealth/sexual-assault-treatment-units-resources-for-healthcare-professionals/satu-2020-annual-report.pdf</w:t>
        </w:r>
      </w:hyperlink>
      <w:r>
        <w:t xml:space="preserve"> </w:t>
      </w:r>
    </w:p>
  </w:footnote>
  <w:footnote w:id="130">
    <w:p w14:paraId="3172CF4A" w14:textId="4AC7D2DC" w:rsidR="009201C0" w:rsidRPr="00CD608D" w:rsidRDefault="009201C0">
      <w:pPr>
        <w:pStyle w:val="FootnoteText"/>
      </w:pPr>
      <w:r>
        <w:rPr>
          <w:rStyle w:val="FootnoteReference"/>
        </w:rPr>
        <w:footnoteRef/>
      </w:r>
      <w:r>
        <w:t xml:space="preserve"> McGilloway, C. </w:t>
      </w:r>
      <w:r>
        <w:rPr>
          <w:i/>
        </w:rPr>
        <w:t>et al.</w:t>
      </w:r>
      <w:r>
        <w:t xml:space="preserve"> (2021) </w:t>
      </w:r>
      <w:r w:rsidRPr="00CD608D">
        <w:rPr>
          <w:i/>
        </w:rPr>
        <w:t>Mental health vulnerabilities among patients attending Sexual Assault Treatment Units (SATUs) in the Republic of Ireland.</w:t>
      </w:r>
      <w:r>
        <w:t xml:space="preserve"> Abstract received from author.</w:t>
      </w:r>
    </w:p>
  </w:footnote>
  <w:footnote w:id="131">
    <w:p w14:paraId="3E9E775E" w14:textId="7080AE6E" w:rsidR="009201C0" w:rsidRDefault="009201C0">
      <w:pPr>
        <w:pStyle w:val="FootnoteText"/>
      </w:pPr>
      <w:r>
        <w:rPr>
          <w:rStyle w:val="FootnoteReference"/>
        </w:rPr>
        <w:footnoteRef/>
      </w:r>
      <w:r>
        <w:t xml:space="preserve"> McGilloway, C. </w:t>
      </w:r>
      <w:r>
        <w:rPr>
          <w:i/>
        </w:rPr>
        <w:t>et al.</w:t>
      </w:r>
      <w:r>
        <w:t xml:space="preserve"> (2021) </w:t>
      </w:r>
      <w:r w:rsidRPr="00CD608D">
        <w:rPr>
          <w:i/>
        </w:rPr>
        <w:t>Mental health vulnerabilities among patients attending Sexual Assault Treatment Units (SATUs) in the Republic of Ireland</w:t>
      </w:r>
      <w:r>
        <w:t>, p.1</w:t>
      </w:r>
      <w:r w:rsidRPr="00CD608D">
        <w:rPr>
          <w:i/>
        </w:rPr>
        <w:t>.</w:t>
      </w:r>
      <w:r>
        <w:t xml:space="preserve"> Abstract received from author.</w:t>
      </w:r>
    </w:p>
  </w:footnote>
  <w:footnote w:id="132">
    <w:p w14:paraId="5C1A80D0" w14:textId="35339BE2" w:rsidR="009201C0" w:rsidRPr="00CD608D" w:rsidRDefault="009201C0">
      <w:pPr>
        <w:pStyle w:val="FootnoteText"/>
      </w:pPr>
      <w:r>
        <w:rPr>
          <w:rStyle w:val="FootnoteReference"/>
        </w:rPr>
        <w:footnoteRef/>
      </w:r>
      <w:r>
        <w:t xml:space="preserve"> MacNamee. G. (2019) ‘</w:t>
      </w:r>
      <w:r w:rsidRPr="00CD608D">
        <w:t>Centre for children suspected of suffering sexual abuse opens in Galway</w:t>
      </w:r>
      <w:r>
        <w:t xml:space="preserve">’, </w:t>
      </w:r>
      <w:r>
        <w:rPr>
          <w:i/>
        </w:rPr>
        <w:t xml:space="preserve">thejournal.ie, </w:t>
      </w:r>
      <w:r>
        <w:t xml:space="preserve">16 September. Available at </w:t>
      </w:r>
      <w:hyperlink r:id="rId120" w:history="1">
        <w:r w:rsidRPr="00DE4F14">
          <w:rPr>
            <w:rStyle w:val="Hyperlink"/>
          </w:rPr>
          <w:t>https://www.thejournal.ie/barnhaus-sexual-assault-galway-4812006-Sep2019/</w:t>
        </w:r>
      </w:hyperlink>
      <w:r>
        <w:t xml:space="preserve"> </w:t>
      </w:r>
    </w:p>
  </w:footnote>
  <w:footnote w:id="133">
    <w:p w14:paraId="6E87135C" w14:textId="79D28C94" w:rsidR="009201C0" w:rsidRDefault="009201C0" w:rsidP="00164233">
      <w:pPr>
        <w:pStyle w:val="FootnoteText"/>
      </w:pPr>
      <w:r>
        <w:rPr>
          <w:rStyle w:val="FootnoteReference"/>
        </w:rPr>
        <w:footnoteRef/>
      </w:r>
      <w:r>
        <w:t xml:space="preserve"> MacNamee. G. (2019) ‘</w:t>
      </w:r>
      <w:r w:rsidRPr="00CD608D">
        <w:t>Centre for children suspected of suffering sexual abuse opens in Galway</w:t>
      </w:r>
      <w:r>
        <w:t xml:space="preserve">’, </w:t>
      </w:r>
      <w:r>
        <w:rPr>
          <w:i/>
        </w:rPr>
        <w:t xml:space="preserve">thejournal.ie, </w:t>
      </w:r>
      <w:r>
        <w:t xml:space="preserve">16 September. Available at </w:t>
      </w:r>
      <w:hyperlink r:id="rId121" w:history="1">
        <w:r w:rsidRPr="00DE4F14">
          <w:rPr>
            <w:rStyle w:val="Hyperlink"/>
          </w:rPr>
          <w:t>https://www.thejournal.ie/barnhaus-sexual-assault-galway-4812006-Sep2019/</w:t>
        </w:r>
      </w:hyperlink>
    </w:p>
  </w:footnote>
  <w:footnote w:id="134">
    <w:p w14:paraId="59415054" w14:textId="2F572F30" w:rsidR="009201C0" w:rsidRDefault="009201C0">
      <w:pPr>
        <w:pStyle w:val="FootnoteText"/>
      </w:pPr>
      <w:r>
        <w:rPr>
          <w:rStyle w:val="FootnoteReference"/>
        </w:rPr>
        <w:footnoteRef/>
      </w:r>
      <w:r>
        <w:t xml:space="preserve"> Tusla. (2021) </w:t>
      </w:r>
      <w:r w:rsidRPr="00BC5514">
        <w:rPr>
          <w:i/>
        </w:rPr>
        <w:t>Annual report 2020</w:t>
      </w:r>
      <w:r>
        <w:t xml:space="preserve">. Available at </w:t>
      </w:r>
      <w:hyperlink r:id="rId122" w:history="1">
        <w:r w:rsidRPr="00DE4F14">
          <w:rPr>
            <w:rStyle w:val="Hyperlink"/>
          </w:rPr>
          <w:t>https://www.tusla.ie/uploads/content/TUSLA_English_Annual_Report_Spreads.pdf</w:t>
        </w:r>
      </w:hyperlink>
      <w:r>
        <w:t xml:space="preserve"> </w:t>
      </w:r>
    </w:p>
  </w:footnote>
  <w:footnote w:id="135">
    <w:p w14:paraId="46D71056" w14:textId="54F6BBE7" w:rsidR="009201C0" w:rsidRDefault="009201C0" w:rsidP="00164233">
      <w:pPr>
        <w:pStyle w:val="FootnoteText"/>
      </w:pPr>
      <w:r>
        <w:rPr>
          <w:rStyle w:val="FootnoteReference"/>
        </w:rPr>
        <w:footnoteRef/>
      </w:r>
      <w:r>
        <w:t xml:space="preserve"> UCC. (2021) </w:t>
      </w:r>
      <w:r w:rsidRPr="00BC5514">
        <w:rPr>
          <w:i/>
        </w:rPr>
        <w:t>Moving towards a barnahus model: Setting the scene for an integrated response to child sexual abuse</w:t>
      </w:r>
      <w:r>
        <w:t>. Available at</w:t>
      </w:r>
      <w:r w:rsidRPr="00BC5514">
        <w:t xml:space="preserve"> </w:t>
      </w:r>
      <w:hyperlink r:id="rId123" w:history="1">
        <w:r w:rsidRPr="00DE4F14">
          <w:rPr>
            <w:rStyle w:val="Hyperlink"/>
          </w:rPr>
          <w:t>https://www.ucc.ie/en/iss21/news/moving-towards-a-barnahus-model-setting-the-scene-for-an-integrated-response-to-child-sexual-abuse.html</w:t>
        </w:r>
      </w:hyperlink>
      <w:r>
        <w:t xml:space="preserve"> </w:t>
      </w:r>
    </w:p>
  </w:footnote>
  <w:footnote w:id="136">
    <w:p w14:paraId="1930C340" w14:textId="2DFD3F5D" w:rsidR="009201C0" w:rsidRDefault="009201C0" w:rsidP="00711C88">
      <w:r>
        <w:rPr>
          <w:rStyle w:val="FootnoteReference"/>
        </w:rPr>
        <w:footnoteRef/>
      </w:r>
      <w:r>
        <w:t xml:space="preserve"> </w:t>
      </w:r>
      <w:r w:rsidRPr="00B9597F">
        <w:rPr>
          <w:sz w:val="22"/>
          <w:szCs w:val="22"/>
        </w:rPr>
        <w:t xml:space="preserve">Fegan, C. (2021) </w:t>
      </w:r>
      <w:r>
        <w:rPr>
          <w:sz w:val="22"/>
          <w:szCs w:val="22"/>
        </w:rPr>
        <w:t>‘</w:t>
      </w:r>
      <w:r w:rsidRPr="00B9597F">
        <w:rPr>
          <w:sz w:val="22"/>
          <w:szCs w:val="22"/>
        </w:rPr>
        <w:t>Surge in child sex abuse referrals to Crumlin hospital during pandemic</w:t>
      </w:r>
      <w:r>
        <w:rPr>
          <w:sz w:val="22"/>
          <w:szCs w:val="22"/>
        </w:rPr>
        <w:t xml:space="preserve">’, </w:t>
      </w:r>
      <w:r>
        <w:rPr>
          <w:i/>
          <w:sz w:val="22"/>
          <w:szCs w:val="22"/>
        </w:rPr>
        <w:t xml:space="preserve">The Irish Independent, </w:t>
      </w:r>
      <w:r>
        <w:rPr>
          <w:sz w:val="22"/>
          <w:szCs w:val="22"/>
        </w:rPr>
        <w:t>16 July. Available at</w:t>
      </w:r>
      <w:r w:rsidRPr="00B9597F">
        <w:rPr>
          <w:sz w:val="22"/>
          <w:szCs w:val="22"/>
        </w:rPr>
        <w:t xml:space="preserve"> </w:t>
      </w:r>
      <w:hyperlink r:id="rId124" w:history="1">
        <w:r w:rsidRPr="00DE4F14">
          <w:rPr>
            <w:rStyle w:val="Hyperlink"/>
            <w:sz w:val="22"/>
            <w:szCs w:val="22"/>
          </w:rPr>
          <w:t>https://www.independent.ie/irish-news/surge-in-child-sex-abuse-referrals-to-crumlin-hospital-during-pandemic-40658374.html</w:t>
        </w:r>
      </w:hyperlink>
      <w:r>
        <w:rPr>
          <w:sz w:val="22"/>
          <w:szCs w:val="22"/>
        </w:rPr>
        <w:t xml:space="preserve"> </w:t>
      </w:r>
    </w:p>
  </w:footnote>
  <w:footnote w:id="137">
    <w:p w14:paraId="419A47DD" w14:textId="1D0A58AC" w:rsidR="009201C0" w:rsidRDefault="009201C0" w:rsidP="00795F7C">
      <w:pPr>
        <w:pStyle w:val="FootnoteText"/>
      </w:pPr>
      <w:r>
        <w:rPr>
          <w:rStyle w:val="FootnoteReference"/>
        </w:rPr>
        <w:footnoteRef/>
      </w:r>
      <w:r>
        <w:t xml:space="preserve"> Watson, D &amp; Parsons, S. (2005) </w:t>
      </w:r>
      <w:r w:rsidRPr="00795F7C">
        <w:rPr>
          <w:i/>
        </w:rPr>
        <w:t>Domestic abuse of women and men in Ireland</w:t>
      </w:r>
      <w:r>
        <w:t xml:space="preserve">. Available at </w:t>
      </w:r>
      <w:hyperlink r:id="rId125" w:history="1">
        <w:r w:rsidRPr="00DE4F14">
          <w:rPr>
            <w:rStyle w:val="Hyperlink"/>
          </w:rPr>
          <w:t>https://www.esri.ie/system/files/media/file-uploads/2016-02/BKMNEXT56.pdf</w:t>
        </w:r>
      </w:hyperlink>
      <w:r>
        <w:t xml:space="preserve"> </w:t>
      </w:r>
    </w:p>
  </w:footnote>
  <w:footnote w:id="138">
    <w:p w14:paraId="544BC0B7" w14:textId="01277F1E" w:rsidR="009201C0" w:rsidRDefault="009201C0">
      <w:pPr>
        <w:pStyle w:val="FootnoteText"/>
      </w:pPr>
      <w:r>
        <w:rPr>
          <w:rStyle w:val="FootnoteReference"/>
        </w:rPr>
        <w:footnoteRef/>
      </w:r>
      <w:r>
        <w:t xml:space="preserve"> See </w:t>
      </w:r>
      <w:hyperlink r:id="rId126" w:history="1">
        <w:r w:rsidRPr="002E30D7">
          <w:rPr>
            <w:rStyle w:val="Hyperlink"/>
          </w:rPr>
          <w:t>https://www.safeireland.ie/policy-publications/</w:t>
        </w:r>
      </w:hyperlink>
      <w:r>
        <w:t xml:space="preserve"> </w:t>
      </w:r>
    </w:p>
  </w:footnote>
  <w:footnote w:id="139">
    <w:p w14:paraId="5B9489CD" w14:textId="35BC8FEA" w:rsidR="009201C0" w:rsidRDefault="009201C0">
      <w:pPr>
        <w:pStyle w:val="FootnoteText"/>
      </w:pPr>
      <w:r>
        <w:rPr>
          <w:rStyle w:val="FootnoteReference"/>
        </w:rPr>
        <w:footnoteRef/>
      </w:r>
      <w:r>
        <w:t xml:space="preserve"> Women’s Aid. (2021) </w:t>
      </w:r>
      <w:r w:rsidRPr="0003628F">
        <w:rPr>
          <w:i/>
        </w:rPr>
        <w:t>Women’s aid annual impact report 2020</w:t>
      </w:r>
      <w:r>
        <w:t xml:space="preserve">. Available at </w:t>
      </w:r>
      <w:hyperlink r:id="rId127" w:history="1">
        <w:r w:rsidRPr="00DE4F14">
          <w:rPr>
            <w:rStyle w:val="Hyperlink"/>
          </w:rPr>
          <w:t>https://www.womensaid.ie/assets/files/pdf/womens_aid_annual_impact_report_2020.pdf</w:t>
        </w:r>
      </w:hyperlink>
      <w:r>
        <w:t xml:space="preserve"> </w:t>
      </w:r>
    </w:p>
  </w:footnote>
  <w:footnote w:id="140">
    <w:p w14:paraId="70BADE73" w14:textId="78E5C72D" w:rsidR="009201C0" w:rsidRDefault="009201C0">
      <w:pPr>
        <w:pStyle w:val="FootnoteText"/>
      </w:pPr>
      <w:r>
        <w:rPr>
          <w:rStyle w:val="FootnoteReference"/>
        </w:rPr>
        <w:footnoteRef/>
      </w:r>
      <w:r>
        <w:t xml:space="preserve"> Correspondence with NDA in 2021</w:t>
      </w:r>
    </w:p>
  </w:footnote>
  <w:footnote w:id="141">
    <w:p w14:paraId="3C163D0D" w14:textId="3A4DB098" w:rsidR="009201C0" w:rsidRDefault="009201C0">
      <w:pPr>
        <w:pStyle w:val="FootnoteText"/>
      </w:pPr>
      <w:r>
        <w:rPr>
          <w:rStyle w:val="FootnoteReference"/>
        </w:rPr>
        <w:footnoteRef/>
      </w:r>
      <w:r>
        <w:t xml:space="preserve"> Correspondence with NDA in 2021</w:t>
      </w:r>
    </w:p>
  </w:footnote>
  <w:footnote w:id="142">
    <w:p w14:paraId="611F48FF" w14:textId="64106780" w:rsidR="009201C0" w:rsidRDefault="009201C0">
      <w:pPr>
        <w:pStyle w:val="FootnoteText"/>
      </w:pPr>
      <w:r>
        <w:rPr>
          <w:rStyle w:val="FootnoteReference"/>
        </w:rPr>
        <w:footnoteRef/>
      </w:r>
      <w:r>
        <w:t xml:space="preserve"> </w:t>
      </w:r>
      <w:r w:rsidRPr="00186484">
        <w:t xml:space="preserve">Dáil Deb. </w:t>
      </w:r>
      <w:r>
        <w:t>9 Mar</w:t>
      </w:r>
      <w:r w:rsidRPr="00186484">
        <w:t xml:space="preserve"> 2021, Ms </w:t>
      </w:r>
      <w:r>
        <w:t>Selina Bonnie</w:t>
      </w:r>
      <w:r w:rsidRPr="00186484">
        <w:t xml:space="preserve">. </w:t>
      </w:r>
      <w:hyperlink r:id="rId128" w:history="1">
        <w:r w:rsidRPr="00F167A6">
          <w:rPr>
            <w:rStyle w:val="Hyperlink"/>
          </w:rPr>
          <w:t>https://www.oireachtas.ie/en/debates/debate/joint_committee_on_disability_matters/2021-03-09/2/</w:t>
        </w:r>
      </w:hyperlink>
      <w:r>
        <w:t xml:space="preserve"> </w:t>
      </w:r>
    </w:p>
  </w:footnote>
  <w:footnote w:id="143">
    <w:p w14:paraId="37CCEAFB" w14:textId="7EBD7B64" w:rsidR="009201C0" w:rsidRDefault="009201C0" w:rsidP="00F965C9">
      <w:pPr>
        <w:pStyle w:val="FootnoteText"/>
      </w:pPr>
      <w:r>
        <w:rPr>
          <w:rStyle w:val="FootnoteReference"/>
        </w:rPr>
        <w:footnoteRef/>
      </w:r>
      <w:r>
        <w:t xml:space="preserve"> HSE, RCSI, &amp; AkiDwa. (2021) </w:t>
      </w:r>
      <w:r w:rsidRPr="00F965C9">
        <w:rPr>
          <w:i/>
        </w:rPr>
        <w:t>Female genital mutilation information for healthcare professionals working in Ireland.</w:t>
      </w:r>
      <w:r w:rsidRPr="00F965C9">
        <w:t xml:space="preserve"> </w:t>
      </w:r>
      <w:r w:rsidRPr="00F965C9">
        <w:rPr>
          <w:i/>
        </w:rPr>
        <w:t>3</w:t>
      </w:r>
      <w:r w:rsidRPr="00F965C9">
        <w:rPr>
          <w:i/>
          <w:vertAlign w:val="superscript"/>
        </w:rPr>
        <w:t>rd</w:t>
      </w:r>
      <w:r w:rsidRPr="00F965C9">
        <w:rPr>
          <w:i/>
        </w:rPr>
        <w:t xml:space="preserve"> </w:t>
      </w:r>
      <w:r>
        <w:rPr>
          <w:i/>
        </w:rPr>
        <w:t>e</w:t>
      </w:r>
      <w:r w:rsidRPr="00F965C9">
        <w:rPr>
          <w:i/>
        </w:rPr>
        <w:t>dition</w:t>
      </w:r>
      <w:r>
        <w:t xml:space="preserve">. Available at </w:t>
      </w:r>
      <w:hyperlink r:id="rId129" w:history="1">
        <w:r w:rsidRPr="002E30D7">
          <w:rPr>
            <w:rStyle w:val="Hyperlink"/>
          </w:rPr>
          <w:t>https://www.hse.ie/eng/about/who/primarycare/socialinclusion/domestic-violence/fgm-handbook-3rd-edition-2021.pdf</w:t>
        </w:r>
      </w:hyperlink>
    </w:p>
  </w:footnote>
  <w:footnote w:id="144">
    <w:p w14:paraId="6CDC5A28" w14:textId="7EFAB422" w:rsidR="009201C0" w:rsidRDefault="009201C0">
      <w:pPr>
        <w:pStyle w:val="FootnoteText"/>
      </w:pPr>
      <w:r>
        <w:rPr>
          <w:rStyle w:val="FootnoteReference"/>
        </w:rPr>
        <w:footnoteRef/>
      </w:r>
      <w:r>
        <w:t xml:space="preserve"> HSE, RCSI, &amp; AkiDwa. (2021) </w:t>
      </w:r>
      <w:r w:rsidRPr="00F965C9">
        <w:rPr>
          <w:i/>
        </w:rPr>
        <w:t>Female genital mutilation information for healthcare professionals working in Ireland.</w:t>
      </w:r>
      <w:r w:rsidRPr="00F965C9">
        <w:t xml:space="preserve"> </w:t>
      </w:r>
      <w:r w:rsidRPr="00F965C9">
        <w:rPr>
          <w:i/>
        </w:rPr>
        <w:t>3</w:t>
      </w:r>
      <w:r w:rsidRPr="00F965C9">
        <w:rPr>
          <w:i/>
          <w:vertAlign w:val="superscript"/>
        </w:rPr>
        <w:t>rd</w:t>
      </w:r>
      <w:r w:rsidRPr="00F965C9">
        <w:rPr>
          <w:i/>
        </w:rPr>
        <w:t xml:space="preserve"> </w:t>
      </w:r>
      <w:r>
        <w:rPr>
          <w:i/>
        </w:rPr>
        <w:t>e</w:t>
      </w:r>
      <w:r w:rsidRPr="00F965C9">
        <w:rPr>
          <w:i/>
        </w:rPr>
        <w:t>dition</w:t>
      </w:r>
      <w:r>
        <w:t xml:space="preserve">. Available at </w:t>
      </w:r>
      <w:hyperlink r:id="rId130" w:history="1">
        <w:r w:rsidRPr="002E30D7">
          <w:rPr>
            <w:rStyle w:val="Hyperlink"/>
          </w:rPr>
          <w:t>https://www.hse.ie/eng/about/who/primarycare/socialinclusion/domestic-violence/fgm-handbook-3rd-edition-2021.pdf</w:t>
        </w:r>
      </w:hyperlink>
    </w:p>
  </w:footnote>
  <w:footnote w:id="145">
    <w:p w14:paraId="1F8882E2" w14:textId="7F3A09DE" w:rsidR="009201C0" w:rsidRPr="00A124C4" w:rsidRDefault="009201C0" w:rsidP="00414317">
      <w:pPr>
        <w:pStyle w:val="FootnoteText"/>
        <w:rPr>
          <w:i/>
        </w:rPr>
      </w:pPr>
      <w:r>
        <w:rPr>
          <w:rStyle w:val="FootnoteReference"/>
        </w:rPr>
        <w:footnoteRef/>
      </w:r>
      <w:r>
        <w:t xml:space="preserve"> </w:t>
      </w:r>
      <w:r>
        <w:rPr>
          <w:rFonts w:eastAsia="SimSun" w:cs="DINCondensed-Light"/>
          <w:szCs w:val="22"/>
          <w:lang w:eastAsia="en-IE"/>
        </w:rPr>
        <w:t xml:space="preserve">Banks, E. </w:t>
      </w:r>
      <w:r>
        <w:rPr>
          <w:rFonts w:eastAsia="SimSun" w:cs="DINCondensed-Light"/>
          <w:i/>
          <w:szCs w:val="22"/>
          <w:lang w:eastAsia="en-IE"/>
        </w:rPr>
        <w:t>et al.</w:t>
      </w:r>
      <w:r>
        <w:rPr>
          <w:rFonts w:eastAsia="SimSun" w:cs="DINCondensed-Light"/>
          <w:szCs w:val="22"/>
          <w:lang w:eastAsia="en-IE"/>
        </w:rPr>
        <w:t xml:space="preserve"> (2006) ‘Female genital m</w:t>
      </w:r>
      <w:r w:rsidRPr="00D85558">
        <w:rPr>
          <w:rFonts w:eastAsia="SimSun" w:cs="DINCondensed-Light"/>
          <w:szCs w:val="22"/>
          <w:lang w:eastAsia="en-IE"/>
        </w:rPr>
        <w:t xml:space="preserve">utilation and </w:t>
      </w:r>
      <w:r>
        <w:rPr>
          <w:rFonts w:eastAsia="SimSun" w:cs="DINCondensed-Light"/>
          <w:szCs w:val="22"/>
          <w:lang w:eastAsia="en-IE"/>
        </w:rPr>
        <w:t>o</w:t>
      </w:r>
      <w:r w:rsidRPr="00D85558">
        <w:rPr>
          <w:rFonts w:eastAsia="SimSun" w:cs="DINCondensed-Light"/>
          <w:szCs w:val="22"/>
          <w:lang w:eastAsia="en-IE"/>
        </w:rPr>
        <w:t xml:space="preserve">bstetric </w:t>
      </w:r>
      <w:r>
        <w:rPr>
          <w:rFonts w:eastAsia="SimSun" w:cs="DINCondensed-Light"/>
          <w:szCs w:val="22"/>
          <w:lang w:eastAsia="en-IE"/>
        </w:rPr>
        <w:t>outcome: WHO c</w:t>
      </w:r>
      <w:r w:rsidRPr="00D85558">
        <w:rPr>
          <w:rFonts w:eastAsia="SimSun" w:cs="DINCondensed-Light"/>
          <w:szCs w:val="22"/>
          <w:lang w:eastAsia="en-IE"/>
        </w:rPr>
        <w:t xml:space="preserve">ollaborative </w:t>
      </w:r>
      <w:r>
        <w:rPr>
          <w:rFonts w:eastAsia="SimSun" w:cs="DINCondensed-Light"/>
          <w:szCs w:val="22"/>
          <w:lang w:eastAsia="en-IE"/>
        </w:rPr>
        <w:t>p</w:t>
      </w:r>
      <w:r w:rsidRPr="00D85558">
        <w:rPr>
          <w:rFonts w:eastAsia="SimSun" w:cs="DINCondensed-Light"/>
          <w:szCs w:val="22"/>
          <w:lang w:eastAsia="en-IE"/>
        </w:rPr>
        <w:t xml:space="preserve">rospective </w:t>
      </w:r>
      <w:r>
        <w:rPr>
          <w:rFonts w:eastAsia="SimSun" w:cs="DINCondensed-Light"/>
          <w:szCs w:val="22"/>
          <w:lang w:eastAsia="en-IE"/>
        </w:rPr>
        <w:t>s</w:t>
      </w:r>
      <w:r w:rsidRPr="00D85558">
        <w:rPr>
          <w:rFonts w:eastAsia="SimSun" w:cs="DINCondensed-Light"/>
          <w:szCs w:val="22"/>
          <w:lang w:eastAsia="en-IE"/>
        </w:rPr>
        <w:t xml:space="preserve">tudy in </w:t>
      </w:r>
      <w:r>
        <w:rPr>
          <w:rFonts w:eastAsia="SimSun" w:cs="DINCondensed-Light"/>
          <w:szCs w:val="22"/>
          <w:lang w:eastAsia="en-IE"/>
        </w:rPr>
        <w:t>s</w:t>
      </w:r>
      <w:r w:rsidRPr="00D85558">
        <w:rPr>
          <w:rFonts w:eastAsia="SimSun" w:cs="DINCondensed-Light"/>
          <w:szCs w:val="22"/>
          <w:lang w:eastAsia="en-IE"/>
        </w:rPr>
        <w:t xml:space="preserve">ix </w:t>
      </w:r>
      <w:r>
        <w:rPr>
          <w:rFonts w:eastAsia="SimSun" w:cs="DINCondensed-Light"/>
          <w:szCs w:val="22"/>
          <w:lang w:eastAsia="en-IE"/>
        </w:rPr>
        <w:t>a</w:t>
      </w:r>
      <w:r w:rsidRPr="00D85558">
        <w:rPr>
          <w:rFonts w:eastAsia="SimSun" w:cs="DINCondensed-Light"/>
          <w:szCs w:val="22"/>
          <w:lang w:eastAsia="en-IE"/>
        </w:rPr>
        <w:t xml:space="preserve">frican </w:t>
      </w:r>
      <w:r>
        <w:rPr>
          <w:rFonts w:eastAsia="SimSun" w:cs="DINCondensed-Light"/>
          <w:szCs w:val="22"/>
          <w:lang w:eastAsia="en-IE"/>
        </w:rPr>
        <w:t>c</w:t>
      </w:r>
      <w:r w:rsidRPr="00D85558">
        <w:rPr>
          <w:rFonts w:eastAsia="SimSun" w:cs="DINCondensed-Light"/>
          <w:szCs w:val="22"/>
          <w:lang w:eastAsia="en-IE"/>
        </w:rPr>
        <w:t>ountries</w:t>
      </w:r>
      <w:r>
        <w:rPr>
          <w:rFonts w:eastAsia="SimSun" w:cs="DINCondensed-Light"/>
          <w:szCs w:val="22"/>
          <w:lang w:eastAsia="en-IE"/>
        </w:rPr>
        <w:t xml:space="preserve">’, </w:t>
      </w:r>
      <w:r>
        <w:rPr>
          <w:rFonts w:eastAsia="SimSun" w:cs="DINCondensed-Light"/>
          <w:i/>
          <w:szCs w:val="22"/>
          <w:lang w:eastAsia="en-IE"/>
        </w:rPr>
        <w:t>Lancet,</w:t>
      </w:r>
      <w:r w:rsidRPr="00A124C4">
        <w:t xml:space="preserve"> </w:t>
      </w:r>
      <w:r w:rsidRPr="00A124C4">
        <w:rPr>
          <w:rFonts w:eastAsia="SimSun" w:cs="DINCondensed-Light"/>
          <w:szCs w:val="22"/>
          <w:lang w:eastAsia="en-IE"/>
        </w:rPr>
        <w:t>367(9525)</w:t>
      </w:r>
      <w:r>
        <w:rPr>
          <w:rFonts w:eastAsia="SimSun" w:cs="DINCondensed-Light"/>
          <w:szCs w:val="22"/>
          <w:lang w:eastAsia="en-IE"/>
        </w:rPr>
        <w:t>, pp. 1835-1841.</w:t>
      </w:r>
      <w:r>
        <w:rPr>
          <w:rFonts w:eastAsia="SimSun" w:cs="DINCondensed-Light"/>
          <w:i/>
          <w:szCs w:val="22"/>
          <w:lang w:eastAsia="en-IE"/>
        </w:rPr>
        <w:t xml:space="preserve"> </w:t>
      </w:r>
    </w:p>
  </w:footnote>
  <w:footnote w:id="146">
    <w:p w14:paraId="17E59FB3" w14:textId="243709C9" w:rsidR="009201C0" w:rsidRDefault="009201C0" w:rsidP="007E2714">
      <w:pPr>
        <w:pStyle w:val="FootnoteText"/>
      </w:pPr>
      <w:r>
        <w:rPr>
          <w:rStyle w:val="FootnoteReference"/>
        </w:rPr>
        <w:footnoteRef/>
      </w:r>
      <w:r>
        <w:t xml:space="preserve"> Department of Justice &amp; Equality. (2020) </w:t>
      </w:r>
      <w:r w:rsidRPr="007E2714">
        <w:rPr>
          <w:i/>
        </w:rPr>
        <w:t>Trafficking in human beings in Ireland. Annual report 2019.</w:t>
      </w:r>
      <w:r>
        <w:t xml:space="preserve"> Available at </w:t>
      </w:r>
      <w:hyperlink r:id="rId131" w:history="1">
        <w:r w:rsidRPr="00F167A6">
          <w:rPr>
            <w:rStyle w:val="Hyperlink"/>
          </w:rPr>
          <w:t>https://www.blueblindfold.ie/wp-content/uploads/2020/11/2019-Annual-Report.pdf</w:t>
        </w:r>
      </w:hyperlink>
      <w:r>
        <w:t xml:space="preserve"> </w:t>
      </w:r>
    </w:p>
  </w:footnote>
  <w:footnote w:id="147">
    <w:p w14:paraId="7D038F1C" w14:textId="01F539A5" w:rsidR="009201C0" w:rsidRPr="001670EB" w:rsidRDefault="009201C0">
      <w:pPr>
        <w:pStyle w:val="FootnoteText"/>
      </w:pPr>
      <w:r>
        <w:rPr>
          <w:rStyle w:val="FootnoteReference"/>
        </w:rPr>
        <w:footnoteRef/>
      </w:r>
      <w:r>
        <w:t xml:space="preserve"> Ruhama. (2020) </w:t>
      </w:r>
      <w:r>
        <w:rPr>
          <w:i/>
        </w:rPr>
        <w:t xml:space="preserve">Ruhama Annual Report 2019. </w:t>
      </w:r>
      <w:r>
        <w:t xml:space="preserve">Available at </w:t>
      </w:r>
      <w:hyperlink r:id="rId132" w:history="1">
        <w:r w:rsidRPr="00F167A6">
          <w:rPr>
            <w:rStyle w:val="Hyperlink"/>
          </w:rPr>
          <w:t>https://www.ruhama.ie/wp-content/uploads/Ruhama-Annual-Report-2019-2.pdf</w:t>
        </w:r>
      </w:hyperlink>
      <w:r>
        <w:t xml:space="preserve"> </w:t>
      </w:r>
    </w:p>
  </w:footnote>
  <w:footnote w:id="148">
    <w:p w14:paraId="1C14ED9E" w14:textId="17B1B3E2" w:rsidR="009201C0" w:rsidRDefault="009201C0">
      <w:pPr>
        <w:pStyle w:val="FootnoteText"/>
      </w:pPr>
      <w:r>
        <w:rPr>
          <w:rStyle w:val="FootnoteReference"/>
        </w:rPr>
        <w:footnoteRef/>
      </w:r>
      <w:r>
        <w:t xml:space="preserve"> Breen, M., Healy, A.E., and Healy, M. (2021) </w:t>
      </w:r>
      <w:r w:rsidRPr="00D34F16">
        <w:rPr>
          <w:i/>
        </w:rPr>
        <w:t xml:space="preserve">Report on human trafficking and exploitation on the island of Ireland. </w:t>
      </w:r>
      <w:r>
        <w:t xml:space="preserve">Available at </w:t>
      </w:r>
      <w:hyperlink r:id="rId133" w:history="1">
        <w:r w:rsidRPr="00F167A6">
          <w:rPr>
            <w:rStyle w:val="Hyperlink"/>
          </w:rPr>
          <w:t>https://www.mic.ul.ie/sites/default/files/uploads/140/2021_HTEPII_Report.pdf</w:t>
        </w:r>
      </w:hyperlink>
      <w:r>
        <w:t xml:space="preserve"> </w:t>
      </w:r>
    </w:p>
  </w:footnote>
  <w:footnote w:id="149">
    <w:p w14:paraId="7F5E7687" w14:textId="19922F41" w:rsidR="009201C0" w:rsidRDefault="009201C0">
      <w:pPr>
        <w:pStyle w:val="FootnoteText"/>
      </w:pPr>
      <w:r>
        <w:rPr>
          <w:rStyle w:val="FootnoteReference"/>
        </w:rPr>
        <w:footnoteRef/>
      </w:r>
      <w:r>
        <w:t xml:space="preserve"> See </w:t>
      </w:r>
      <w:hyperlink r:id="rId134" w:history="1">
        <w:r w:rsidRPr="00F167A6">
          <w:rPr>
            <w:rStyle w:val="Hyperlink"/>
          </w:rPr>
          <w:t>https://www.ruhama.ie/annual-reports/</w:t>
        </w:r>
      </w:hyperlink>
      <w:r>
        <w:t xml:space="preserve"> </w:t>
      </w:r>
    </w:p>
  </w:footnote>
  <w:footnote w:id="150">
    <w:p w14:paraId="4422A2F8" w14:textId="11034EF1" w:rsidR="009201C0" w:rsidRDefault="009201C0">
      <w:pPr>
        <w:pStyle w:val="FootnoteText"/>
      </w:pPr>
      <w:r>
        <w:rPr>
          <w:rStyle w:val="FootnoteReference"/>
        </w:rPr>
        <w:footnoteRef/>
      </w:r>
      <w:r>
        <w:t xml:space="preserve"> Ruhama. (2020) </w:t>
      </w:r>
      <w:r>
        <w:rPr>
          <w:i/>
        </w:rPr>
        <w:t xml:space="preserve">Ruhama Annual Report 2019. </w:t>
      </w:r>
      <w:r>
        <w:t xml:space="preserve">Available at </w:t>
      </w:r>
      <w:hyperlink r:id="rId135" w:history="1">
        <w:r w:rsidRPr="00F167A6">
          <w:rPr>
            <w:rStyle w:val="Hyperlink"/>
          </w:rPr>
          <w:t>https://www.ruhama.ie/wp-content/uploads/Ruhama-Annual-Report-2019-2.pdf</w:t>
        </w:r>
      </w:hyperlink>
    </w:p>
  </w:footnote>
  <w:footnote w:id="151">
    <w:p w14:paraId="796CDE8F" w14:textId="2A44BA2A" w:rsidR="009201C0" w:rsidRDefault="009201C0">
      <w:pPr>
        <w:pStyle w:val="FootnoteText"/>
      </w:pPr>
      <w:r>
        <w:rPr>
          <w:rStyle w:val="FootnoteReference"/>
        </w:rPr>
        <w:footnoteRef/>
      </w:r>
      <w:r>
        <w:t xml:space="preserve"> Breen, M., Healy, A.E., and Healy, M. (2021) </w:t>
      </w:r>
      <w:r w:rsidRPr="00D34F16">
        <w:rPr>
          <w:i/>
        </w:rPr>
        <w:t xml:space="preserve">Report on human trafficking and exploitation on the island of Ireland. </w:t>
      </w:r>
      <w:r>
        <w:t xml:space="preserve">Available at </w:t>
      </w:r>
      <w:hyperlink r:id="rId136" w:history="1">
        <w:r w:rsidRPr="00F167A6">
          <w:rPr>
            <w:rStyle w:val="Hyperlink"/>
          </w:rPr>
          <w:t>https://www.mic.ul.ie/sites/default/files/uploads/140/2021_HTEPII_Report.pdf</w:t>
        </w:r>
      </w:hyperlink>
    </w:p>
  </w:footnote>
  <w:footnote w:id="152">
    <w:p w14:paraId="13EDADA4" w14:textId="72DED755" w:rsidR="009201C0" w:rsidRDefault="009201C0" w:rsidP="00AF1F74">
      <w:pPr>
        <w:pStyle w:val="FootnoteText"/>
      </w:pPr>
      <w:r>
        <w:rPr>
          <w:rStyle w:val="FootnoteReference"/>
        </w:rPr>
        <w:footnoteRef/>
      </w:r>
      <w:r>
        <w:t xml:space="preserve"> IHREC. (2021)</w:t>
      </w:r>
      <w:r w:rsidRPr="00AF1F74">
        <w:t xml:space="preserve"> </w:t>
      </w:r>
      <w:r w:rsidRPr="00AF1F74">
        <w:rPr>
          <w:i/>
        </w:rPr>
        <w:t>Ireland's actions against trafficking in human beings</w:t>
      </w:r>
      <w:r>
        <w:t xml:space="preserve">. Available at </w:t>
      </w:r>
      <w:hyperlink r:id="rId137" w:history="1">
        <w:r w:rsidRPr="00F167A6">
          <w:rPr>
            <w:rStyle w:val="Hyperlink"/>
          </w:rPr>
          <w:t>https://www.ihrec.ie/app/uploads/2021/10/GRETA-FINAL.pdf</w:t>
        </w:r>
      </w:hyperlink>
      <w:r>
        <w:t xml:space="preserve"> </w:t>
      </w:r>
    </w:p>
  </w:footnote>
  <w:footnote w:id="153">
    <w:p w14:paraId="198B4A61" w14:textId="129AADFC" w:rsidR="009201C0" w:rsidRDefault="009201C0" w:rsidP="00F93350">
      <w:pPr>
        <w:pStyle w:val="FootnoteText"/>
      </w:pPr>
      <w:r>
        <w:rPr>
          <w:rStyle w:val="FootnoteReference"/>
        </w:rPr>
        <w:footnoteRef/>
      </w:r>
      <w:r>
        <w:t xml:space="preserve"> Cosgrave, C., O’Connor, M., and Yonkova, N. (2016). </w:t>
      </w:r>
      <w:r w:rsidRPr="00F93350">
        <w:rPr>
          <w:i/>
        </w:rPr>
        <w:t xml:space="preserve">Exploitative sham marriages and human trafficking in ireland. Irish national report. </w:t>
      </w:r>
      <w:r>
        <w:t xml:space="preserve">Available at </w:t>
      </w:r>
      <w:hyperlink r:id="rId138" w:history="1">
        <w:r w:rsidRPr="00F167A6">
          <w:rPr>
            <w:rStyle w:val="Hyperlink"/>
          </w:rPr>
          <w:t>https://www.immigrantcouncil.ie/sites/default/files/2017-10/AT%202016%20Exploitative%20Sham%20Marriages%20Irish%20Report%20HESTIA.pdf</w:t>
        </w:r>
      </w:hyperlink>
      <w:r>
        <w:t xml:space="preserve"> </w:t>
      </w:r>
    </w:p>
  </w:footnote>
  <w:footnote w:id="154">
    <w:p w14:paraId="6B5A22CE" w14:textId="6CE71DF4" w:rsidR="009201C0" w:rsidRDefault="009201C0">
      <w:pPr>
        <w:pStyle w:val="FootnoteText"/>
      </w:pPr>
      <w:r>
        <w:rPr>
          <w:rStyle w:val="FootnoteReference"/>
        </w:rPr>
        <w:footnoteRef/>
      </w:r>
      <w:r>
        <w:t xml:space="preserve"> Cosgrave, C., O’Connor, M., and Yonkova, N. (2016). </w:t>
      </w:r>
      <w:r w:rsidRPr="00F93350">
        <w:rPr>
          <w:i/>
        </w:rPr>
        <w:t xml:space="preserve">Exploitative sham marriages and human trafficking in ireland. Irish national report. </w:t>
      </w:r>
      <w:r>
        <w:t xml:space="preserve">Available at </w:t>
      </w:r>
      <w:hyperlink r:id="rId139" w:history="1">
        <w:r w:rsidRPr="00F167A6">
          <w:rPr>
            <w:rStyle w:val="Hyperlink"/>
          </w:rPr>
          <w:t>https://www.immigrantcouncil.ie/sites/default/files/2017-10/AT%202016%20Exploitative%20Sham%20Marriages%20Irish%20Report%20HESTIA.pdf</w:t>
        </w:r>
      </w:hyperlink>
    </w:p>
  </w:footnote>
  <w:footnote w:id="155">
    <w:p w14:paraId="68F64321" w14:textId="38F4DD6A" w:rsidR="009201C0" w:rsidRDefault="009201C0">
      <w:pPr>
        <w:pStyle w:val="FootnoteText"/>
      </w:pPr>
      <w:r>
        <w:rPr>
          <w:rStyle w:val="FootnoteReference"/>
        </w:rPr>
        <w:footnoteRef/>
      </w:r>
      <w:r>
        <w:t xml:space="preserve"> Cosgrave, C., O’Connor, M., and Yonkova, N. (2016). </w:t>
      </w:r>
      <w:r w:rsidRPr="00F93350">
        <w:rPr>
          <w:i/>
        </w:rPr>
        <w:t>Exploitative sham marriages and human trafficking in ireland. Irish national report</w:t>
      </w:r>
      <w:r>
        <w:t>, p. 13</w:t>
      </w:r>
      <w:r w:rsidRPr="00F93350">
        <w:rPr>
          <w:i/>
        </w:rPr>
        <w:t xml:space="preserve">. </w:t>
      </w:r>
      <w:r>
        <w:t xml:space="preserve">Available at </w:t>
      </w:r>
      <w:hyperlink r:id="rId140" w:history="1">
        <w:r w:rsidRPr="00F167A6">
          <w:rPr>
            <w:rStyle w:val="Hyperlink"/>
          </w:rPr>
          <w:t>https://www.immigrantcouncil.ie/sites/default/files/2017-10/AT%202016%20Exploitative%20Sham%20Marriages%20Irish%20Report%20HESTIA.pdf</w:t>
        </w:r>
      </w:hyperlink>
    </w:p>
  </w:footnote>
  <w:footnote w:id="156">
    <w:p w14:paraId="644508C1" w14:textId="3B2EA07E" w:rsidR="009201C0" w:rsidRDefault="009201C0">
      <w:pPr>
        <w:pStyle w:val="FootnoteText"/>
      </w:pPr>
      <w:r>
        <w:rPr>
          <w:rStyle w:val="FootnoteReference"/>
        </w:rPr>
        <w:footnoteRef/>
      </w:r>
      <w:r>
        <w:t xml:space="preserve"> It is not clear how many of these marriages were flagged in 2012</w:t>
      </w:r>
    </w:p>
  </w:footnote>
  <w:footnote w:id="157">
    <w:p w14:paraId="2748C24C" w14:textId="454459DE" w:rsidR="009201C0" w:rsidRDefault="009201C0">
      <w:pPr>
        <w:pStyle w:val="FootnoteText"/>
      </w:pPr>
      <w:r>
        <w:rPr>
          <w:rStyle w:val="FootnoteReference"/>
        </w:rPr>
        <w:footnoteRef/>
      </w:r>
      <w:r>
        <w:t xml:space="preserve"> Cosgrave, C., O’Connor, M., and Yonkova, N. (2016). </w:t>
      </w:r>
      <w:r w:rsidRPr="00F93350">
        <w:rPr>
          <w:i/>
        </w:rPr>
        <w:t xml:space="preserve">Exploitative sham marriages and human trafficking in ireland. Irish national report. </w:t>
      </w:r>
      <w:r>
        <w:t xml:space="preserve">Available at </w:t>
      </w:r>
      <w:hyperlink r:id="rId141" w:history="1">
        <w:r w:rsidRPr="00F167A6">
          <w:rPr>
            <w:rStyle w:val="Hyperlink"/>
          </w:rPr>
          <w:t>https://www.immigrantcouncil.ie/sites/default/files/2017-10/AT%202016%20Exploitative%20Sham%20Marriages%20Irish%20Report%20HESTIA.pdf</w:t>
        </w:r>
      </w:hyperlink>
    </w:p>
  </w:footnote>
  <w:footnote w:id="158">
    <w:p w14:paraId="6C25D68F" w14:textId="1971283F" w:rsidR="009201C0" w:rsidRDefault="009201C0">
      <w:pPr>
        <w:pStyle w:val="FootnoteText"/>
      </w:pPr>
      <w:r>
        <w:rPr>
          <w:rStyle w:val="FootnoteReference"/>
        </w:rPr>
        <w:footnoteRef/>
      </w:r>
      <w:r>
        <w:t xml:space="preserve"> HIQA. (2021) </w:t>
      </w:r>
      <w:r w:rsidRPr="0070619D">
        <w:rPr>
          <w:i/>
        </w:rPr>
        <w:t xml:space="preserve">Overview report. Monitoring and regulation of disability services in 2020. </w:t>
      </w:r>
      <w:r>
        <w:t xml:space="preserve">Available at </w:t>
      </w:r>
      <w:hyperlink r:id="rId142" w:history="1">
        <w:r w:rsidRPr="00CA6C10">
          <w:rPr>
            <w:rStyle w:val="Hyperlink"/>
          </w:rPr>
          <w:t>https://www.hiqa.ie/sites/default/files/2021-11/Overview-Report-Monitoring-and-Regulation-of-Disability-Services_0.pdf</w:t>
        </w:r>
      </w:hyperlink>
      <w:r>
        <w:t xml:space="preserve"> </w:t>
      </w:r>
    </w:p>
  </w:footnote>
  <w:footnote w:id="159">
    <w:p w14:paraId="7AE69268" w14:textId="555909D0" w:rsidR="009201C0" w:rsidRDefault="009201C0">
      <w:pPr>
        <w:pStyle w:val="FootnoteText"/>
      </w:pPr>
      <w:r>
        <w:rPr>
          <w:rStyle w:val="FootnoteReference"/>
        </w:rPr>
        <w:footnoteRef/>
      </w:r>
      <w:r>
        <w:t xml:space="preserve"> HIQA. (2021) </w:t>
      </w:r>
      <w:r w:rsidRPr="0070619D">
        <w:rPr>
          <w:i/>
        </w:rPr>
        <w:t>Overview report. Monitoring and regulation of disability services in 2020</w:t>
      </w:r>
      <w:r>
        <w:t>, p. 65</w:t>
      </w:r>
      <w:r w:rsidRPr="0070619D">
        <w:rPr>
          <w:i/>
        </w:rPr>
        <w:t xml:space="preserve">. </w:t>
      </w:r>
      <w:r>
        <w:t xml:space="preserve">Available at </w:t>
      </w:r>
      <w:hyperlink r:id="rId143" w:history="1">
        <w:r w:rsidRPr="00CA6C10">
          <w:rPr>
            <w:rStyle w:val="Hyperlink"/>
          </w:rPr>
          <w:t>https://www.hiqa.ie/sites/default/files/2021-11/Overview-Report-Monitoring-and-Regulation-of-Disability-Services_0.pdf</w:t>
        </w:r>
      </w:hyperlink>
    </w:p>
  </w:footnote>
  <w:footnote w:id="160">
    <w:p w14:paraId="21C7142C" w14:textId="4E58EE7D" w:rsidR="009201C0" w:rsidRPr="001D59ED" w:rsidRDefault="009201C0">
      <w:pPr>
        <w:pStyle w:val="FootnoteText"/>
      </w:pPr>
      <w:r>
        <w:rPr>
          <w:rStyle w:val="FootnoteReference"/>
        </w:rPr>
        <w:footnoteRef/>
      </w:r>
      <w:r>
        <w:t xml:space="preserve"> MHC. (2021) </w:t>
      </w:r>
      <w:r w:rsidRPr="001D59ED">
        <w:rPr>
          <w:i/>
        </w:rPr>
        <w:t xml:space="preserve">Mental health commission. Annual report 2020. </w:t>
      </w:r>
      <w:r>
        <w:t xml:space="preserve">Available at </w:t>
      </w:r>
      <w:hyperlink r:id="rId144" w:history="1">
        <w:r w:rsidRPr="00F167A6">
          <w:rPr>
            <w:rStyle w:val="Hyperlink"/>
          </w:rPr>
          <w:t>https://www.mhcirl.ie/sites/default/files/2021-06/MHC-Annual-Report-2020.pdf</w:t>
        </w:r>
      </w:hyperlink>
      <w:r>
        <w:t xml:space="preserve"> </w:t>
      </w:r>
    </w:p>
  </w:footnote>
  <w:footnote w:id="161">
    <w:p w14:paraId="2092F6CA" w14:textId="4D915666" w:rsidR="009201C0" w:rsidRDefault="009201C0">
      <w:pPr>
        <w:pStyle w:val="FootnoteText"/>
      </w:pPr>
      <w:r>
        <w:rPr>
          <w:rStyle w:val="FootnoteReference"/>
        </w:rPr>
        <w:footnoteRef/>
      </w:r>
      <w:r>
        <w:t xml:space="preserve"> HSE National Safeguarding Office. (2021) </w:t>
      </w:r>
      <w:r w:rsidRPr="008063EF">
        <w:rPr>
          <w:i/>
        </w:rPr>
        <w:t>HSE national safeguarding office. Annual report 2020.</w:t>
      </w:r>
      <w:r>
        <w:t xml:space="preserve"> Available at </w:t>
      </w:r>
      <w:hyperlink r:id="rId145" w:history="1">
        <w:r w:rsidRPr="00F167A6">
          <w:rPr>
            <w:rStyle w:val="Hyperlink"/>
          </w:rPr>
          <w:t>https://www.hse.ie/eng/about/who/socialcare/safeguardingvulnerableadults/nationalsafeguardingofficereport2020.pdf</w:t>
        </w:r>
      </w:hyperlink>
      <w:r>
        <w:t xml:space="preserve"> </w:t>
      </w:r>
    </w:p>
  </w:footnote>
  <w:footnote w:id="162">
    <w:p w14:paraId="6A1FA61F" w14:textId="6B9C5226" w:rsidR="009201C0" w:rsidRDefault="009201C0">
      <w:pPr>
        <w:pStyle w:val="FootnoteText"/>
      </w:pPr>
      <w:r>
        <w:rPr>
          <w:rStyle w:val="FootnoteReference"/>
        </w:rPr>
        <w:footnoteRef/>
      </w:r>
      <w:r>
        <w:t xml:space="preserve"> This is an underestimate, outstandin</w:t>
      </w:r>
      <w:r w:rsidR="00D01866">
        <w:t>g data notifications from CHO 7</w:t>
      </w:r>
    </w:p>
  </w:footnote>
  <w:footnote w:id="163">
    <w:p w14:paraId="5A68EA69" w14:textId="5172C25C" w:rsidR="009201C0" w:rsidRDefault="009201C0">
      <w:pPr>
        <w:pStyle w:val="FootnoteText"/>
      </w:pPr>
      <w:r>
        <w:rPr>
          <w:rStyle w:val="FootnoteReference"/>
        </w:rPr>
        <w:footnoteRef/>
      </w:r>
      <w:r>
        <w:t xml:space="preserve"> HSE National Safeguarding Office. (2021) </w:t>
      </w:r>
      <w:r w:rsidRPr="008063EF">
        <w:rPr>
          <w:i/>
        </w:rPr>
        <w:t>HSE national safeguarding office. Annual report 2020.</w:t>
      </w:r>
      <w:r>
        <w:t xml:space="preserve"> Available at </w:t>
      </w:r>
      <w:hyperlink r:id="rId146" w:history="1">
        <w:r w:rsidRPr="00F167A6">
          <w:rPr>
            <w:rStyle w:val="Hyperlink"/>
          </w:rPr>
          <w:t>https://www.hse.ie/eng/about/who/socialcare/safeguardingvulnerableadults/nationalsafeguardingofficereport2020.pdf</w:t>
        </w:r>
      </w:hyperlink>
    </w:p>
  </w:footnote>
  <w:footnote w:id="164">
    <w:p w14:paraId="1864EE84" w14:textId="42AD30CF" w:rsidR="009201C0" w:rsidRPr="005E4893" w:rsidRDefault="009201C0" w:rsidP="00455916">
      <w:pPr>
        <w:pStyle w:val="FootnoteText"/>
      </w:pPr>
      <w:r>
        <w:rPr>
          <w:rStyle w:val="FootnoteReference"/>
        </w:rPr>
        <w:footnoteRef/>
      </w:r>
      <w:r>
        <w:t xml:space="preserve"> Office of the Confidential Recipient. (2021) </w:t>
      </w:r>
      <w:r w:rsidRPr="005E4893">
        <w:rPr>
          <w:i/>
        </w:rPr>
        <w:t xml:space="preserve">Office of the confidential recipient. Annual report 2019/2020. </w:t>
      </w:r>
      <w:r>
        <w:t xml:space="preserve">Available at </w:t>
      </w:r>
      <w:hyperlink r:id="rId147" w:history="1">
        <w:r w:rsidRPr="00F167A6">
          <w:rPr>
            <w:rStyle w:val="Hyperlink"/>
          </w:rPr>
          <w:t>https://www2.hse.ie/file-library/confidential-recipient/confidential-recipient-annual-report-2019-2020.pdf</w:t>
        </w:r>
      </w:hyperlink>
      <w:r>
        <w:t xml:space="preserve"> </w:t>
      </w:r>
    </w:p>
  </w:footnote>
  <w:footnote w:id="165">
    <w:p w14:paraId="6D6D1553" w14:textId="2BBD159D" w:rsidR="009201C0" w:rsidRDefault="009201C0">
      <w:pPr>
        <w:pStyle w:val="FootnoteText"/>
      </w:pPr>
      <w:r>
        <w:rPr>
          <w:rStyle w:val="FootnoteReference"/>
        </w:rPr>
        <w:footnoteRef/>
      </w:r>
      <w:r>
        <w:t xml:space="preserve"> Office of the Confidential Recipient. (2021) </w:t>
      </w:r>
      <w:r w:rsidRPr="005E4893">
        <w:rPr>
          <w:i/>
        </w:rPr>
        <w:t xml:space="preserve">Office of the confidential recipient. Annual report 2019/2020. </w:t>
      </w:r>
      <w:r>
        <w:t xml:space="preserve">Available at </w:t>
      </w:r>
      <w:hyperlink r:id="rId148" w:history="1">
        <w:r w:rsidRPr="00F167A6">
          <w:rPr>
            <w:rStyle w:val="Hyperlink"/>
          </w:rPr>
          <w:t>https://www2.hse.ie/file-library/confidential-recipient/confidential-recipient-annual-report-2019-2020.pdf</w:t>
        </w:r>
      </w:hyperlink>
    </w:p>
  </w:footnote>
  <w:footnote w:id="166">
    <w:p w14:paraId="501248C3" w14:textId="3A0A4497" w:rsidR="009201C0" w:rsidRDefault="009201C0">
      <w:pPr>
        <w:pStyle w:val="FootnoteText"/>
      </w:pPr>
      <w:r>
        <w:rPr>
          <w:rStyle w:val="FootnoteReference"/>
        </w:rPr>
        <w:footnoteRef/>
      </w:r>
      <w:r>
        <w:t xml:space="preserve"> Prime Time is a national current affairs programme in Ireland</w:t>
      </w:r>
    </w:p>
  </w:footnote>
  <w:footnote w:id="167">
    <w:p w14:paraId="5C6A7FCE" w14:textId="12C3DE37" w:rsidR="009201C0" w:rsidRDefault="009201C0" w:rsidP="00F01F70">
      <w:pPr>
        <w:pStyle w:val="FootnoteText"/>
      </w:pPr>
      <w:r>
        <w:rPr>
          <w:rStyle w:val="FootnoteReference"/>
        </w:rPr>
        <w:footnoteRef/>
      </w:r>
      <w:r>
        <w:t xml:space="preserve"> Corrigan, C. (2020) ‘</w:t>
      </w:r>
      <w:r w:rsidRPr="00AE33CE">
        <w:t xml:space="preserve">Áras </w:t>
      </w:r>
      <w:r>
        <w:t>a</w:t>
      </w:r>
      <w:r w:rsidRPr="00AE33CE">
        <w:t>ttracta: Six years on, internal inquiry continues</w:t>
      </w:r>
      <w:r>
        <w:t xml:space="preserve">’, </w:t>
      </w:r>
      <w:r w:rsidRPr="00AE33CE">
        <w:rPr>
          <w:i/>
        </w:rPr>
        <w:t>RTÉ</w:t>
      </w:r>
      <w:r>
        <w:rPr>
          <w:i/>
        </w:rPr>
        <w:t xml:space="preserve">, </w:t>
      </w:r>
      <w:r>
        <w:t xml:space="preserve">3 October. Available at </w:t>
      </w:r>
      <w:hyperlink r:id="rId149" w:history="1">
        <w:r w:rsidRPr="00F167A6">
          <w:rPr>
            <w:rStyle w:val="Hyperlink"/>
          </w:rPr>
          <w:t>https://www.rte.ie/news/2020/1002/1169043-aras-attracta-update/</w:t>
        </w:r>
      </w:hyperlink>
      <w:r>
        <w:t xml:space="preserve"> </w:t>
      </w:r>
    </w:p>
  </w:footnote>
  <w:footnote w:id="168">
    <w:p w14:paraId="7CB5D6CD" w14:textId="77777777" w:rsidR="009201C0" w:rsidRDefault="009201C0" w:rsidP="00F01F70">
      <w:pPr>
        <w:pStyle w:val="FootnoteText"/>
      </w:pPr>
      <w:r>
        <w:rPr>
          <w:rStyle w:val="FootnoteReference"/>
        </w:rPr>
        <w:footnoteRef/>
      </w:r>
      <w:r>
        <w:t xml:space="preserve"> The Terms of Reference for the Farrelly Commission, as well as the Commission’s interim reports, are available at the following link: </w:t>
      </w:r>
      <w:hyperlink r:id="rId150" w:history="1">
        <w:r w:rsidRPr="004C35AB">
          <w:rPr>
            <w:rStyle w:val="Hyperlink"/>
          </w:rPr>
          <w:t>https://www.gov.ie/en/collection/8bbdc7-the-farrelly-commission-of-investigation-certain-matters-relative-to/</w:t>
        </w:r>
      </w:hyperlink>
      <w:r>
        <w:t>.</w:t>
      </w:r>
    </w:p>
  </w:footnote>
  <w:footnote w:id="169">
    <w:p w14:paraId="7AD8B539" w14:textId="70AA7CD4" w:rsidR="009201C0" w:rsidRDefault="009201C0">
      <w:pPr>
        <w:pStyle w:val="FootnoteText"/>
      </w:pPr>
      <w:r>
        <w:rPr>
          <w:rStyle w:val="FootnoteReference"/>
        </w:rPr>
        <w:footnoteRef/>
      </w:r>
      <w:r>
        <w:t xml:space="preserve"> This is a pseudonym.</w:t>
      </w:r>
    </w:p>
  </w:footnote>
  <w:footnote w:id="170">
    <w:p w14:paraId="66FE75EC" w14:textId="7EAD977F" w:rsidR="009201C0" w:rsidRDefault="009201C0" w:rsidP="00F01F70">
      <w:pPr>
        <w:pStyle w:val="FootnoteText"/>
      </w:pPr>
      <w:r>
        <w:rPr>
          <w:rStyle w:val="FootnoteReference"/>
        </w:rPr>
        <w:footnoteRef/>
      </w:r>
      <w:r>
        <w:t xml:space="preserve"> See </w:t>
      </w:r>
      <w:hyperlink r:id="rId151" w:history="1">
        <w:r w:rsidRPr="00F167A6">
          <w:rPr>
            <w:rStyle w:val="Hyperlink"/>
          </w:rPr>
          <w:t>https://www.gov.ie/en/collection/8bbdc7-the-farrelly-commission-of-investigation-certain-matters-relative-to/</w:t>
        </w:r>
      </w:hyperlink>
      <w:r>
        <w:t xml:space="preserve"> </w:t>
      </w:r>
    </w:p>
  </w:footnote>
  <w:footnote w:id="171">
    <w:p w14:paraId="7A03CA81" w14:textId="33807FEB" w:rsidR="009201C0" w:rsidRDefault="009201C0">
      <w:pPr>
        <w:pStyle w:val="FootnoteText"/>
      </w:pPr>
      <w:r>
        <w:rPr>
          <w:rStyle w:val="FootnoteReference"/>
        </w:rPr>
        <w:footnoteRef/>
      </w:r>
      <w:r>
        <w:t xml:space="preserve"> This is a pseudonym.</w:t>
      </w:r>
    </w:p>
  </w:footnote>
  <w:footnote w:id="172">
    <w:p w14:paraId="6C3ECFB1" w14:textId="577D41FA" w:rsidR="009201C0" w:rsidRDefault="009201C0" w:rsidP="00B12706">
      <w:pPr>
        <w:pStyle w:val="FootnoteText"/>
      </w:pPr>
      <w:r>
        <w:rPr>
          <w:rStyle w:val="FootnoteReference"/>
        </w:rPr>
        <w:footnoteRef/>
      </w:r>
      <w:r>
        <w:t xml:space="preserve"> </w:t>
      </w:r>
      <w:r w:rsidRPr="00B12706">
        <w:t>National Independent Review Pane</w:t>
      </w:r>
      <w:r>
        <w:t xml:space="preserve">l. (2021) </w:t>
      </w:r>
      <w:r w:rsidRPr="00B12706">
        <w:rPr>
          <w:i/>
        </w:rPr>
        <w:t>Independent review of the management of Brandon. The national independent review panel – brandon report for publication.</w:t>
      </w:r>
      <w:r>
        <w:t xml:space="preserve"> Available at </w:t>
      </w:r>
      <w:hyperlink r:id="rId152" w:history="1">
        <w:r w:rsidRPr="00F167A6">
          <w:rPr>
            <w:rStyle w:val="Hyperlink"/>
          </w:rPr>
          <w:t>https://www.hse.ie/eng/services/publications/the-national-independent-review-panel-brandon-report-for-publication.pdf</w:t>
        </w:r>
      </w:hyperlink>
      <w:r>
        <w:t xml:space="preserve"> </w:t>
      </w:r>
    </w:p>
  </w:footnote>
  <w:footnote w:id="173">
    <w:p w14:paraId="4AFEDDE3" w14:textId="55E3FA49" w:rsidR="009201C0" w:rsidRDefault="009201C0" w:rsidP="00F01F70">
      <w:pPr>
        <w:pStyle w:val="FootnoteText"/>
      </w:pPr>
      <w:r>
        <w:rPr>
          <w:rStyle w:val="FootnoteReference"/>
        </w:rPr>
        <w:footnoteRef/>
      </w:r>
      <w:r>
        <w:t xml:space="preserve"> No author. (2021) ‘</w:t>
      </w:r>
      <w:r w:rsidRPr="00DF1AE7">
        <w:t xml:space="preserve">Irish </w:t>
      </w:r>
      <w:r>
        <w:t>t</w:t>
      </w:r>
      <w:r w:rsidRPr="00DF1AE7">
        <w:t>imes view on the ‘</w:t>
      </w:r>
      <w:r>
        <w:t>b</w:t>
      </w:r>
      <w:r w:rsidRPr="00DF1AE7">
        <w:t>randon’ report: a devastating indictment</w:t>
      </w:r>
      <w:r>
        <w:t xml:space="preserve">’, </w:t>
      </w:r>
      <w:r>
        <w:rPr>
          <w:i/>
        </w:rPr>
        <w:t xml:space="preserve">Irish Times, </w:t>
      </w:r>
      <w:r>
        <w:t xml:space="preserve">18 October. Available at </w:t>
      </w:r>
      <w:hyperlink r:id="rId153" w:history="1">
        <w:r w:rsidRPr="00F167A6">
          <w:rPr>
            <w:rStyle w:val="Hyperlink"/>
          </w:rPr>
          <w:t>https://www.irishtimes.com/opinion/editorial/irish-times-view-on-the-brandon-report-a-devastating-indictment-1.4703719</w:t>
        </w:r>
      </w:hyperlink>
      <w:r>
        <w:t xml:space="preserve"> </w:t>
      </w:r>
    </w:p>
  </w:footnote>
  <w:footnote w:id="174">
    <w:p w14:paraId="048C1EE0" w14:textId="2AC6291E" w:rsidR="009201C0" w:rsidRDefault="009201C0">
      <w:pPr>
        <w:pStyle w:val="FootnoteText"/>
      </w:pPr>
      <w:r>
        <w:rPr>
          <w:rStyle w:val="FootnoteReference"/>
        </w:rPr>
        <w:footnoteRef/>
      </w:r>
      <w:r>
        <w:t xml:space="preserve"> </w:t>
      </w:r>
      <w:r w:rsidRPr="00B12706">
        <w:t>National Independent Review Pane</w:t>
      </w:r>
      <w:r>
        <w:t xml:space="preserve">l. (2021) </w:t>
      </w:r>
      <w:r w:rsidRPr="00B12706">
        <w:rPr>
          <w:i/>
        </w:rPr>
        <w:t>Independent review of the management of Brandon. The national independent review panel – brandon report for publication.</w:t>
      </w:r>
      <w:r>
        <w:t xml:space="preserve"> Available at </w:t>
      </w:r>
      <w:hyperlink r:id="rId154" w:history="1">
        <w:r w:rsidRPr="00F167A6">
          <w:rPr>
            <w:rStyle w:val="Hyperlink"/>
          </w:rPr>
          <w:t>https://www.hse.ie/eng/services/publications/the-national-independent-review-panel-brandon-report-for-publication.pdf</w:t>
        </w:r>
      </w:hyperlink>
    </w:p>
  </w:footnote>
  <w:footnote w:id="175">
    <w:p w14:paraId="368A6E74" w14:textId="363665A7" w:rsidR="009201C0" w:rsidRDefault="009201C0">
      <w:pPr>
        <w:pStyle w:val="FootnoteText"/>
      </w:pPr>
      <w:r>
        <w:rPr>
          <w:rStyle w:val="FootnoteReference"/>
        </w:rPr>
        <w:footnoteRef/>
      </w:r>
      <w:r>
        <w:t xml:space="preserve"> See </w:t>
      </w:r>
      <w:hyperlink r:id="rId155" w:history="1">
        <w:r w:rsidRPr="00F167A6">
          <w:rPr>
            <w:rStyle w:val="Hyperlink"/>
          </w:rPr>
          <w:t>https://www.hse.ie/eng/about/who/socialcare/safeguardingvulnerableadults/appendix%201-3.pdf</w:t>
        </w:r>
      </w:hyperlink>
      <w:r>
        <w:t xml:space="preserve"> </w:t>
      </w:r>
    </w:p>
  </w:footnote>
  <w:footnote w:id="176">
    <w:p w14:paraId="5BB66083" w14:textId="4DC4FE54" w:rsidR="009201C0" w:rsidRPr="00AA5357" w:rsidRDefault="009201C0" w:rsidP="007D3503">
      <w:pPr>
        <w:pStyle w:val="FootnoteText"/>
      </w:pPr>
      <w:r>
        <w:rPr>
          <w:rStyle w:val="FootnoteReference"/>
        </w:rPr>
        <w:footnoteRef/>
      </w:r>
      <w:r>
        <w:t xml:space="preserve"> Wilson, J. (2022) ‘</w:t>
      </w:r>
      <w:r w:rsidRPr="00AA5357">
        <w:t>Use of residents’ money among issues found at centres for people with disabilities</w:t>
      </w:r>
      <w:r>
        <w:t xml:space="preserve">’, </w:t>
      </w:r>
      <w:r>
        <w:rPr>
          <w:i/>
        </w:rPr>
        <w:t xml:space="preserve">Irish Times, </w:t>
      </w:r>
      <w:r>
        <w:t xml:space="preserve">17 January. Available at </w:t>
      </w:r>
      <w:hyperlink r:id="rId156" w:history="1">
        <w:r w:rsidRPr="00F167A6">
          <w:rPr>
            <w:rStyle w:val="Hyperlink"/>
          </w:rPr>
          <w:t>https://www.irishtimes.com/news/health/use-of-residents-money-among-issues-found-at-centres-for-people-with-disabilities-1.4778793</w:t>
        </w:r>
      </w:hyperlink>
      <w:r>
        <w:t xml:space="preserve"> </w:t>
      </w:r>
    </w:p>
  </w:footnote>
  <w:footnote w:id="177">
    <w:p w14:paraId="67657265" w14:textId="59C6BEC7" w:rsidR="009201C0" w:rsidRDefault="009201C0">
      <w:pPr>
        <w:pStyle w:val="FootnoteText"/>
      </w:pPr>
      <w:r>
        <w:rPr>
          <w:rStyle w:val="FootnoteReference"/>
        </w:rPr>
        <w:footnoteRef/>
      </w:r>
      <w:r>
        <w:t xml:space="preserve"> 12% in 2016, 11% in 2017, 12% in 2018, 10% in 2019 and 10% in 2020</w:t>
      </w:r>
    </w:p>
  </w:footnote>
  <w:footnote w:id="178">
    <w:p w14:paraId="02D0D47F" w14:textId="24B03CC5" w:rsidR="009201C0" w:rsidRDefault="009201C0">
      <w:pPr>
        <w:pStyle w:val="FootnoteText"/>
      </w:pPr>
      <w:r>
        <w:rPr>
          <w:rStyle w:val="FootnoteReference"/>
        </w:rPr>
        <w:footnoteRef/>
      </w:r>
      <w:r>
        <w:t xml:space="preserve"> HSE National Safeguarding Office. (2017) </w:t>
      </w:r>
      <w:r w:rsidRPr="008063EF">
        <w:rPr>
          <w:i/>
        </w:rPr>
        <w:t>HSE national safeguarding office. Annual report 20</w:t>
      </w:r>
      <w:r>
        <w:rPr>
          <w:i/>
        </w:rPr>
        <w:t>16</w:t>
      </w:r>
      <w:r w:rsidRPr="008063EF">
        <w:rPr>
          <w:i/>
        </w:rPr>
        <w:t>.</w:t>
      </w:r>
      <w:r>
        <w:t xml:space="preserve"> Available at </w:t>
      </w:r>
      <w:hyperlink r:id="rId157" w:history="1">
        <w:r w:rsidRPr="00F167A6">
          <w:rPr>
            <w:rStyle w:val="Hyperlink"/>
          </w:rPr>
          <w:t>https://www.hse.ie/eng/services/publications/olderpeople/safeguarding-data-report-2016.pdf</w:t>
        </w:r>
      </w:hyperlink>
      <w:r>
        <w:t xml:space="preserve"> </w:t>
      </w:r>
    </w:p>
  </w:footnote>
  <w:footnote w:id="179">
    <w:p w14:paraId="3B2FD905" w14:textId="48F2B0BB" w:rsidR="009201C0" w:rsidRDefault="009201C0">
      <w:pPr>
        <w:pStyle w:val="FootnoteText"/>
      </w:pPr>
      <w:r>
        <w:rPr>
          <w:rStyle w:val="FootnoteReference"/>
        </w:rPr>
        <w:footnoteRef/>
      </w:r>
      <w:r>
        <w:t xml:space="preserve"> HSE National Safeguarding Office. (2018) </w:t>
      </w:r>
      <w:r w:rsidRPr="008063EF">
        <w:rPr>
          <w:i/>
        </w:rPr>
        <w:t>HSE national safeguarding office. Annual report 20</w:t>
      </w:r>
      <w:r>
        <w:rPr>
          <w:i/>
        </w:rPr>
        <w:t>17</w:t>
      </w:r>
      <w:r w:rsidRPr="008063EF">
        <w:rPr>
          <w:i/>
        </w:rPr>
        <w:t>.</w:t>
      </w:r>
      <w:r>
        <w:t xml:space="preserve"> Available at </w:t>
      </w:r>
      <w:hyperlink r:id="rId158" w:history="1">
        <w:r w:rsidRPr="00F167A6">
          <w:rPr>
            <w:rStyle w:val="Hyperlink"/>
          </w:rPr>
          <w:t>https://www.safeguardingireland.org/wp-content/uploads/2018/10/the-national-safeguarding-office-report-2017.pdf</w:t>
        </w:r>
      </w:hyperlink>
      <w:r>
        <w:t xml:space="preserve"> </w:t>
      </w:r>
    </w:p>
  </w:footnote>
  <w:footnote w:id="180">
    <w:p w14:paraId="6B7B1358" w14:textId="367537AB" w:rsidR="009201C0" w:rsidRDefault="009201C0">
      <w:pPr>
        <w:pStyle w:val="FootnoteText"/>
      </w:pPr>
      <w:r>
        <w:rPr>
          <w:rStyle w:val="FootnoteReference"/>
        </w:rPr>
        <w:footnoteRef/>
      </w:r>
      <w:r>
        <w:t xml:space="preserve"> HSE National Safeguarding Office. (2019) </w:t>
      </w:r>
      <w:r w:rsidRPr="008063EF">
        <w:rPr>
          <w:i/>
        </w:rPr>
        <w:t>HSE national safeguarding office. Annual report 20</w:t>
      </w:r>
      <w:r>
        <w:rPr>
          <w:i/>
        </w:rPr>
        <w:t>18</w:t>
      </w:r>
      <w:r w:rsidRPr="008063EF">
        <w:rPr>
          <w:i/>
        </w:rPr>
        <w:t>.</w:t>
      </w:r>
      <w:r>
        <w:t xml:space="preserve"> Available at </w:t>
      </w:r>
      <w:hyperlink r:id="rId159" w:history="1">
        <w:r w:rsidRPr="00F167A6">
          <w:rPr>
            <w:rStyle w:val="Hyperlink"/>
          </w:rPr>
          <w:t>https://www.safeguardingireland.org/wp-content/uploads/2019/10/safeguarding-report-2018.pdf</w:t>
        </w:r>
      </w:hyperlink>
      <w:r>
        <w:t xml:space="preserve"> </w:t>
      </w:r>
    </w:p>
  </w:footnote>
  <w:footnote w:id="181">
    <w:p w14:paraId="633AA74E" w14:textId="0871721A" w:rsidR="009201C0" w:rsidRDefault="009201C0">
      <w:pPr>
        <w:pStyle w:val="FootnoteText"/>
      </w:pPr>
      <w:r>
        <w:rPr>
          <w:rStyle w:val="FootnoteReference"/>
        </w:rPr>
        <w:footnoteRef/>
      </w:r>
      <w:r>
        <w:t xml:space="preserve"> HSE National Safeguarding Office. (2020) </w:t>
      </w:r>
      <w:r w:rsidRPr="008063EF">
        <w:rPr>
          <w:i/>
        </w:rPr>
        <w:t>HSE national safeguarding office. Annual report 20</w:t>
      </w:r>
      <w:r>
        <w:rPr>
          <w:i/>
        </w:rPr>
        <w:t>19</w:t>
      </w:r>
      <w:r w:rsidRPr="008063EF">
        <w:rPr>
          <w:i/>
        </w:rPr>
        <w:t>.</w:t>
      </w:r>
      <w:r>
        <w:t xml:space="preserve"> Available at </w:t>
      </w:r>
      <w:hyperlink r:id="rId160" w:history="1">
        <w:r w:rsidRPr="00F167A6">
          <w:rPr>
            <w:rStyle w:val="Hyperlink"/>
          </w:rPr>
          <w:t>https://www.hse.ie/eng/about/who/socialcare/safeguardingvulnerableadults/national-safeguarding-office-annual-report-2019.pdf</w:t>
        </w:r>
      </w:hyperlink>
      <w:r>
        <w:t xml:space="preserve"> </w:t>
      </w:r>
    </w:p>
  </w:footnote>
  <w:footnote w:id="182">
    <w:p w14:paraId="62BFD796" w14:textId="70AF07F7" w:rsidR="009201C0" w:rsidRDefault="009201C0">
      <w:pPr>
        <w:pStyle w:val="FootnoteText"/>
      </w:pPr>
      <w:r>
        <w:rPr>
          <w:rStyle w:val="FootnoteReference"/>
        </w:rPr>
        <w:footnoteRef/>
      </w:r>
      <w:r>
        <w:t xml:space="preserve"> HSE National Safeguarding Office. (2021) </w:t>
      </w:r>
      <w:r w:rsidRPr="008063EF">
        <w:rPr>
          <w:i/>
        </w:rPr>
        <w:t>HSE national safeguarding office. Annual report 20</w:t>
      </w:r>
      <w:r>
        <w:rPr>
          <w:i/>
        </w:rPr>
        <w:t>20</w:t>
      </w:r>
      <w:r w:rsidRPr="008063EF">
        <w:rPr>
          <w:i/>
        </w:rPr>
        <w:t>.</w:t>
      </w:r>
      <w:r>
        <w:t xml:space="preserve"> Available at </w:t>
      </w:r>
      <w:hyperlink r:id="rId161" w:history="1">
        <w:r w:rsidRPr="00F167A6">
          <w:rPr>
            <w:rStyle w:val="Hyperlink"/>
          </w:rPr>
          <w:t>https://www.hse.ie/eng/about/who/socialcare/safeguardingvulnerableadults/nationalsafeguardingofficereport2020.pdf</w:t>
        </w:r>
      </w:hyperlink>
      <w:r>
        <w:t xml:space="preserve"> </w:t>
      </w:r>
    </w:p>
  </w:footnote>
  <w:footnote w:id="183">
    <w:p w14:paraId="52777075" w14:textId="208C6580" w:rsidR="009201C0" w:rsidRPr="00433681" w:rsidRDefault="009201C0" w:rsidP="00433681">
      <w:pPr>
        <w:pStyle w:val="FootnoteText"/>
      </w:pPr>
      <w:r>
        <w:rPr>
          <w:rStyle w:val="FootnoteReference"/>
        </w:rPr>
        <w:footnoteRef/>
      </w:r>
      <w:r>
        <w:t xml:space="preserve"> Sage Advocacy. (2021) </w:t>
      </w:r>
      <w:r w:rsidRPr="00433681">
        <w:rPr>
          <w:i/>
        </w:rPr>
        <w:t>Breaking the wall of silence: the sage advocacy victims of crime project 2021</w:t>
      </w:r>
      <w:r>
        <w:t xml:space="preserve">. Available at </w:t>
      </w:r>
      <w:hyperlink r:id="rId162" w:history="1">
        <w:r w:rsidRPr="00F167A6">
          <w:rPr>
            <w:rStyle w:val="Hyperlink"/>
          </w:rPr>
          <w:t>https://www.sageadvocacy.ie/media/2202/6376-sage-voc-report-fa-for-web.pdf</w:t>
        </w:r>
      </w:hyperlink>
      <w:r>
        <w:t xml:space="preserve"> </w:t>
      </w:r>
    </w:p>
  </w:footnote>
  <w:footnote w:id="184">
    <w:p w14:paraId="1C228C7A" w14:textId="791DC8DC" w:rsidR="009201C0" w:rsidRPr="00433681" w:rsidRDefault="009201C0" w:rsidP="00433681">
      <w:pPr>
        <w:pStyle w:val="FootnoteText"/>
      </w:pPr>
      <w:r>
        <w:rPr>
          <w:rStyle w:val="FootnoteReference"/>
        </w:rPr>
        <w:footnoteRef/>
      </w:r>
      <w:r>
        <w:t xml:space="preserve"> Safeguarding Ireland. (2019) </w:t>
      </w:r>
      <w:r w:rsidRPr="00433681">
        <w:rPr>
          <w:i/>
        </w:rPr>
        <w:t>Safeguarding ireland: public attitudes survey.</w:t>
      </w:r>
      <w:r>
        <w:t xml:space="preserve"> Available at </w:t>
      </w:r>
      <w:hyperlink r:id="rId163" w:history="1">
        <w:r w:rsidRPr="00F167A6">
          <w:rPr>
            <w:rStyle w:val="Hyperlink"/>
          </w:rPr>
          <w:t>https://www.safeguardingireland.org/wp-content/uploads/2019/05/Safeguarding-Ireland-Red-C-Research-2019.pdf</w:t>
        </w:r>
      </w:hyperlink>
      <w:r>
        <w:t xml:space="preserve"> </w:t>
      </w:r>
    </w:p>
  </w:footnote>
  <w:footnote w:id="185">
    <w:p w14:paraId="26DC4307" w14:textId="05686DC1" w:rsidR="009201C0" w:rsidRDefault="009201C0" w:rsidP="00466B62">
      <w:pPr>
        <w:pStyle w:val="FootnoteText"/>
      </w:pPr>
      <w:r>
        <w:rPr>
          <w:rStyle w:val="FootnoteReference"/>
        </w:rPr>
        <w:footnoteRef/>
      </w:r>
      <w:r>
        <w:t xml:space="preserve"> Phelan, A., O’Donnell, D., and McCarthy, S. (2018) ‘</w:t>
      </w:r>
      <w:r w:rsidRPr="00466B62">
        <w:t>Experience of bank staff of the financial abuse of vulnerable adult</w:t>
      </w:r>
      <w:r>
        <w:t xml:space="preserve">a’, </w:t>
      </w:r>
      <w:r w:rsidRPr="00466B62">
        <w:rPr>
          <w:i/>
        </w:rPr>
        <w:t>Age and Ageing</w:t>
      </w:r>
      <w:r w:rsidRPr="00466B62">
        <w:t xml:space="preserve">, </w:t>
      </w:r>
      <w:r>
        <w:t>47(</w:t>
      </w:r>
      <w:r w:rsidRPr="00466B62">
        <w:t>Issue suppl_5</w:t>
      </w:r>
      <w:r>
        <w:t>)</w:t>
      </w:r>
      <w:r w:rsidRPr="00466B62">
        <w:t xml:space="preserve">, </w:t>
      </w:r>
      <w:r>
        <w:t>pp. v1–v12.</w:t>
      </w:r>
    </w:p>
  </w:footnote>
  <w:footnote w:id="186">
    <w:p w14:paraId="00F81DCB" w14:textId="225AFFAD" w:rsidR="009201C0" w:rsidRDefault="009201C0">
      <w:pPr>
        <w:pStyle w:val="FootnoteText"/>
      </w:pPr>
      <w:r>
        <w:rPr>
          <w:rStyle w:val="FootnoteReference"/>
        </w:rPr>
        <w:footnoteRef/>
      </w:r>
      <w:r>
        <w:t xml:space="preserve"> Tusla. (2021) </w:t>
      </w:r>
      <w:r w:rsidRPr="00A023E5">
        <w:rPr>
          <w:i/>
        </w:rPr>
        <w:t>Tusla annual report 2020.</w:t>
      </w:r>
      <w:r>
        <w:t xml:space="preserve"> Available at </w:t>
      </w:r>
      <w:hyperlink r:id="rId164" w:history="1">
        <w:r w:rsidRPr="00F167A6">
          <w:rPr>
            <w:rStyle w:val="Hyperlink"/>
          </w:rPr>
          <w:t>https://www.tusla.ie/uploads/content/TUSLA_English_Annual_Report_Spreads.pdf</w:t>
        </w:r>
      </w:hyperlink>
      <w:r>
        <w:t xml:space="preserve"> </w:t>
      </w:r>
    </w:p>
  </w:footnote>
  <w:footnote w:id="187">
    <w:p w14:paraId="201CCD8A" w14:textId="47473ADD" w:rsidR="009201C0" w:rsidRDefault="009201C0" w:rsidP="00202B2B">
      <w:pPr>
        <w:pStyle w:val="FootnoteText"/>
      </w:pPr>
      <w:r>
        <w:rPr>
          <w:rStyle w:val="FootnoteReference"/>
        </w:rPr>
        <w:footnoteRef/>
      </w:r>
      <w:r>
        <w:t xml:space="preserve"> NDA. (2014)</w:t>
      </w:r>
      <w:r w:rsidRPr="00202B2B">
        <w:t xml:space="preserve"> </w:t>
      </w:r>
      <w:r w:rsidRPr="00202B2B">
        <w:rPr>
          <w:i/>
        </w:rPr>
        <w:t xml:space="preserve">Preventing school bullying of children with special educational needs or disability. </w:t>
      </w:r>
      <w:r>
        <w:t xml:space="preserve">Available at </w:t>
      </w:r>
      <w:hyperlink r:id="rId165" w:history="1">
        <w:r w:rsidRPr="00F167A6">
          <w:rPr>
            <w:rStyle w:val="Hyperlink"/>
          </w:rPr>
          <w:t>https://nda.ie/nda-files/preventing-school-bullying1.pdf</w:t>
        </w:r>
      </w:hyperlink>
      <w:r>
        <w:t xml:space="preserve"> </w:t>
      </w:r>
    </w:p>
  </w:footnote>
  <w:footnote w:id="188">
    <w:p w14:paraId="6E4AA43E" w14:textId="44B79374" w:rsidR="009201C0" w:rsidRDefault="009201C0">
      <w:pPr>
        <w:pStyle w:val="FootnoteText"/>
      </w:pPr>
      <w:r>
        <w:rPr>
          <w:rStyle w:val="FootnoteReference"/>
        </w:rPr>
        <w:footnoteRef/>
      </w:r>
      <w:r>
        <w:t xml:space="preserve"> NDA. (2014)</w:t>
      </w:r>
      <w:r w:rsidRPr="00202B2B">
        <w:t xml:space="preserve"> </w:t>
      </w:r>
      <w:r w:rsidRPr="00202B2B">
        <w:rPr>
          <w:i/>
        </w:rPr>
        <w:t xml:space="preserve">Preventing school bullying of children with special educational needs or disability. </w:t>
      </w:r>
      <w:r>
        <w:t xml:space="preserve">Available at </w:t>
      </w:r>
      <w:hyperlink r:id="rId166" w:history="1">
        <w:r w:rsidRPr="00F167A6">
          <w:rPr>
            <w:rStyle w:val="Hyperlink"/>
          </w:rPr>
          <w:t>https://nda.ie/nda-files/preventing-school-bullying1.pdf</w:t>
        </w:r>
      </w:hyperlink>
    </w:p>
  </w:footnote>
  <w:footnote w:id="189">
    <w:p w14:paraId="2CC3D737" w14:textId="22DEB511" w:rsidR="009201C0" w:rsidRDefault="009201C0">
      <w:pPr>
        <w:pStyle w:val="FootnoteText"/>
      </w:pPr>
      <w:r>
        <w:rPr>
          <w:rStyle w:val="FootnoteReference"/>
        </w:rPr>
        <w:footnoteRef/>
      </w:r>
      <w:r>
        <w:t xml:space="preserve"> Gallagher, A.L., </w:t>
      </w:r>
      <w:r>
        <w:rPr>
          <w:i/>
        </w:rPr>
        <w:t xml:space="preserve">et al. </w:t>
      </w:r>
      <w:r>
        <w:t>(2020) ‘T</w:t>
      </w:r>
      <w:r w:rsidRPr="00D66B90">
        <w:t>he characteristics, life circumstances and self-concept of 13 year olds with and without disabilities in Ireland: A secondary analysis of the Growing Up in Ireland (GUI) study</w:t>
      </w:r>
      <w:r>
        <w:t xml:space="preserve">’, </w:t>
      </w:r>
      <w:r>
        <w:rPr>
          <w:i/>
        </w:rPr>
        <w:t xml:space="preserve">PLoS One, </w:t>
      </w:r>
      <w:r>
        <w:t>15(3).sss</w:t>
      </w:r>
    </w:p>
  </w:footnote>
  <w:footnote w:id="190">
    <w:p w14:paraId="18C5C5D7" w14:textId="116F748B" w:rsidR="009201C0" w:rsidRDefault="009201C0" w:rsidP="002E599C">
      <w:pPr>
        <w:pStyle w:val="FootnoteText"/>
      </w:pPr>
      <w:r>
        <w:rPr>
          <w:rStyle w:val="FootnoteReference"/>
        </w:rPr>
        <w:footnoteRef/>
      </w:r>
      <w:r>
        <w:t xml:space="preserve"> Cosgrove, J., </w:t>
      </w:r>
      <w:r>
        <w:rPr>
          <w:i/>
        </w:rPr>
        <w:t>et al</w:t>
      </w:r>
      <w:r>
        <w:t xml:space="preserve">. (2018) </w:t>
      </w:r>
      <w:r w:rsidRPr="002E599C">
        <w:rPr>
          <w:i/>
        </w:rPr>
        <w:t>Educational experiences and outcomes of children with special educational needs: Phase 2 – from age 9 to 13.</w:t>
      </w:r>
      <w:r>
        <w:t xml:space="preserve"> Available at </w:t>
      </w:r>
      <w:hyperlink r:id="rId167" w:history="1">
        <w:r w:rsidRPr="00F167A6">
          <w:rPr>
            <w:rStyle w:val="Hyperlink"/>
          </w:rPr>
          <w:t>https://ncse.ie/wp-content/uploads/2018/03/03263-NCSE-EdExps-Children-SEN-FINAL-UPLOAD.pdf</w:t>
        </w:r>
      </w:hyperlink>
      <w:r>
        <w:t xml:space="preserve"> </w:t>
      </w:r>
    </w:p>
  </w:footnote>
  <w:footnote w:id="191">
    <w:p w14:paraId="029EFD0F" w14:textId="2468555B" w:rsidR="009201C0" w:rsidRDefault="009201C0" w:rsidP="00CB57A7">
      <w:pPr>
        <w:pStyle w:val="FootnoteText"/>
      </w:pPr>
      <w:r>
        <w:rPr>
          <w:rStyle w:val="FootnoteReference"/>
        </w:rPr>
        <w:footnoteRef/>
      </w:r>
      <w:r>
        <w:t xml:space="preserve"> </w:t>
      </w:r>
      <w:r w:rsidRPr="00EE530F">
        <w:t>Department of Children and Youth Affairs</w:t>
      </w:r>
      <w:r>
        <w:t>. (2017)</w:t>
      </w:r>
      <w:r w:rsidRPr="00984232">
        <w:t xml:space="preserve"> </w:t>
      </w:r>
      <w:r w:rsidRPr="00984232">
        <w:rPr>
          <w:i/>
        </w:rPr>
        <w:t xml:space="preserve">State of the nation’s children: ireland 2016. </w:t>
      </w:r>
      <w:r>
        <w:t xml:space="preserve">Available at </w:t>
      </w:r>
      <w:hyperlink r:id="rId168" w:history="1">
        <w:r w:rsidRPr="00F167A6">
          <w:rPr>
            <w:rStyle w:val="Hyperlink"/>
          </w:rPr>
          <w:t>https://assets.gov.ie/27118/ee5c3232f60e4e788663bee745e3222c.pdf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2ECF1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264E30D9"/>
    <w:multiLevelType w:val="hybridMultilevel"/>
    <w:tmpl w:val="552C0CFE"/>
    <w:lvl w:ilvl="0" w:tplc="19D8BC10">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886AD6"/>
    <w:multiLevelType w:val="hybridMultilevel"/>
    <w:tmpl w:val="E242B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AA7788"/>
    <w:multiLevelType w:val="multilevel"/>
    <w:tmpl w:val="B720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0204E"/>
    <w:multiLevelType w:val="multilevel"/>
    <w:tmpl w:val="F42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0"/>
  </w:num>
  <w:num w:numId="19">
    <w:abstractNumId w:val="12"/>
  </w:num>
  <w:num w:numId="20">
    <w:abstractNumId w:val="13"/>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E"/>
    <w:rsid w:val="00001D95"/>
    <w:rsid w:val="000132F5"/>
    <w:rsid w:val="00013F54"/>
    <w:rsid w:val="000140A0"/>
    <w:rsid w:val="00014408"/>
    <w:rsid w:val="00014477"/>
    <w:rsid w:val="00017D62"/>
    <w:rsid w:val="0002162E"/>
    <w:rsid w:val="00021FF7"/>
    <w:rsid w:val="00024A3F"/>
    <w:rsid w:val="0002644F"/>
    <w:rsid w:val="00026E1C"/>
    <w:rsid w:val="0003149B"/>
    <w:rsid w:val="00031AA4"/>
    <w:rsid w:val="00034FA0"/>
    <w:rsid w:val="000357E3"/>
    <w:rsid w:val="0003628F"/>
    <w:rsid w:val="000414B4"/>
    <w:rsid w:val="00041B99"/>
    <w:rsid w:val="00042934"/>
    <w:rsid w:val="0004343A"/>
    <w:rsid w:val="000469FD"/>
    <w:rsid w:val="00050116"/>
    <w:rsid w:val="000554EC"/>
    <w:rsid w:val="0005669A"/>
    <w:rsid w:val="00057DBA"/>
    <w:rsid w:val="000649AA"/>
    <w:rsid w:val="00066AB1"/>
    <w:rsid w:val="00070338"/>
    <w:rsid w:val="0007238D"/>
    <w:rsid w:val="00073D1B"/>
    <w:rsid w:val="00075539"/>
    <w:rsid w:val="00076613"/>
    <w:rsid w:val="00076D1E"/>
    <w:rsid w:val="00084F0E"/>
    <w:rsid w:val="00086A1A"/>
    <w:rsid w:val="00090C42"/>
    <w:rsid w:val="00090FBE"/>
    <w:rsid w:val="000911DF"/>
    <w:rsid w:val="000944B8"/>
    <w:rsid w:val="000959C1"/>
    <w:rsid w:val="00096344"/>
    <w:rsid w:val="0009688D"/>
    <w:rsid w:val="000A0966"/>
    <w:rsid w:val="000A2944"/>
    <w:rsid w:val="000A2E50"/>
    <w:rsid w:val="000B21A1"/>
    <w:rsid w:val="000B2765"/>
    <w:rsid w:val="000B2836"/>
    <w:rsid w:val="000B4E74"/>
    <w:rsid w:val="000B5307"/>
    <w:rsid w:val="000B56AD"/>
    <w:rsid w:val="000B6BCD"/>
    <w:rsid w:val="000B73C3"/>
    <w:rsid w:val="000B7EA8"/>
    <w:rsid w:val="000C0FEC"/>
    <w:rsid w:val="000C6B7F"/>
    <w:rsid w:val="000C77A0"/>
    <w:rsid w:val="000C7881"/>
    <w:rsid w:val="000C7D87"/>
    <w:rsid w:val="000D0214"/>
    <w:rsid w:val="000D12A0"/>
    <w:rsid w:val="000D37B7"/>
    <w:rsid w:val="000D3DE1"/>
    <w:rsid w:val="000D46CB"/>
    <w:rsid w:val="000E3733"/>
    <w:rsid w:val="000E56D6"/>
    <w:rsid w:val="000E5D13"/>
    <w:rsid w:val="000E63E0"/>
    <w:rsid w:val="000E7420"/>
    <w:rsid w:val="000E7F65"/>
    <w:rsid w:val="000F134F"/>
    <w:rsid w:val="000F141F"/>
    <w:rsid w:val="000F1F32"/>
    <w:rsid w:val="000F2E3E"/>
    <w:rsid w:val="000F5EAF"/>
    <w:rsid w:val="000F6D46"/>
    <w:rsid w:val="00100A2B"/>
    <w:rsid w:val="00101E34"/>
    <w:rsid w:val="00102162"/>
    <w:rsid w:val="00102225"/>
    <w:rsid w:val="00105983"/>
    <w:rsid w:val="001072A9"/>
    <w:rsid w:val="0011199D"/>
    <w:rsid w:val="00113963"/>
    <w:rsid w:val="00113F0B"/>
    <w:rsid w:val="001162B1"/>
    <w:rsid w:val="0011731C"/>
    <w:rsid w:val="0012152E"/>
    <w:rsid w:val="00121863"/>
    <w:rsid w:val="001220A6"/>
    <w:rsid w:val="00125B1C"/>
    <w:rsid w:val="001267E9"/>
    <w:rsid w:val="00126E55"/>
    <w:rsid w:val="00126F2A"/>
    <w:rsid w:val="00126F64"/>
    <w:rsid w:val="00127CB3"/>
    <w:rsid w:val="0013022E"/>
    <w:rsid w:val="001319F4"/>
    <w:rsid w:val="0013224E"/>
    <w:rsid w:val="00133BDA"/>
    <w:rsid w:val="00133C6F"/>
    <w:rsid w:val="001340D6"/>
    <w:rsid w:val="00134978"/>
    <w:rsid w:val="0013663C"/>
    <w:rsid w:val="001410ED"/>
    <w:rsid w:val="00141681"/>
    <w:rsid w:val="00142926"/>
    <w:rsid w:val="00142E15"/>
    <w:rsid w:val="00144C08"/>
    <w:rsid w:val="00145540"/>
    <w:rsid w:val="00146C35"/>
    <w:rsid w:val="001476EE"/>
    <w:rsid w:val="0015035A"/>
    <w:rsid w:val="00150945"/>
    <w:rsid w:val="00152045"/>
    <w:rsid w:val="00153B7D"/>
    <w:rsid w:val="00153DE6"/>
    <w:rsid w:val="00154015"/>
    <w:rsid w:val="00154E09"/>
    <w:rsid w:val="00154FD9"/>
    <w:rsid w:val="001554D6"/>
    <w:rsid w:val="00156CBB"/>
    <w:rsid w:val="001570B1"/>
    <w:rsid w:val="001602D1"/>
    <w:rsid w:val="0016049E"/>
    <w:rsid w:val="0016065D"/>
    <w:rsid w:val="00160783"/>
    <w:rsid w:val="00160FDC"/>
    <w:rsid w:val="00162BCB"/>
    <w:rsid w:val="00164233"/>
    <w:rsid w:val="001670EB"/>
    <w:rsid w:val="00172124"/>
    <w:rsid w:val="00173032"/>
    <w:rsid w:val="00174DAF"/>
    <w:rsid w:val="00176D12"/>
    <w:rsid w:val="001779B9"/>
    <w:rsid w:val="00180FB4"/>
    <w:rsid w:val="00180FFB"/>
    <w:rsid w:val="00181FE6"/>
    <w:rsid w:val="00182001"/>
    <w:rsid w:val="001843DC"/>
    <w:rsid w:val="001861FF"/>
    <w:rsid w:val="00186484"/>
    <w:rsid w:val="001908AE"/>
    <w:rsid w:val="001925D0"/>
    <w:rsid w:val="00195421"/>
    <w:rsid w:val="00195589"/>
    <w:rsid w:val="001955D6"/>
    <w:rsid w:val="00197A4A"/>
    <w:rsid w:val="00197EBA"/>
    <w:rsid w:val="001A41C9"/>
    <w:rsid w:val="001A54A5"/>
    <w:rsid w:val="001A70B0"/>
    <w:rsid w:val="001B0134"/>
    <w:rsid w:val="001B046E"/>
    <w:rsid w:val="001B1673"/>
    <w:rsid w:val="001B4656"/>
    <w:rsid w:val="001B47F1"/>
    <w:rsid w:val="001B5589"/>
    <w:rsid w:val="001B5B5C"/>
    <w:rsid w:val="001C0DD1"/>
    <w:rsid w:val="001C25DF"/>
    <w:rsid w:val="001C2E3B"/>
    <w:rsid w:val="001C3574"/>
    <w:rsid w:val="001C3F2F"/>
    <w:rsid w:val="001C4231"/>
    <w:rsid w:val="001C44B6"/>
    <w:rsid w:val="001C49DA"/>
    <w:rsid w:val="001C7ECE"/>
    <w:rsid w:val="001D22B4"/>
    <w:rsid w:val="001D242B"/>
    <w:rsid w:val="001D413F"/>
    <w:rsid w:val="001D43C0"/>
    <w:rsid w:val="001D51DF"/>
    <w:rsid w:val="001D59ED"/>
    <w:rsid w:val="001D7B5A"/>
    <w:rsid w:val="001E1991"/>
    <w:rsid w:val="001E4E06"/>
    <w:rsid w:val="001E699E"/>
    <w:rsid w:val="001F09F3"/>
    <w:rsid w:val="001F2D44"/>
    <w:rsid w:val="001F6E59"/>
    <w:rsid w:val="00202B2B"/>
    <w:rsid w:val="002035E5"/>
    <w:rsid w:val="002038FC"/>
    <w:rsid w:val="002057A4"/>
    <w:rsid w:val="00205DAE"/>
    <w:rsid w:val="0020679D"/>
    <w:rsid w:val="00211EE3"/>
    <w:rsid w:val="0021316B"/>
    <w:rsid w:val="00217096"/>
    <w:rsid w:val="0021721E"/>
    <w:rsid w:val="002200CF"/>
    <w:rsid w:val="00223F3F"/>
    <w:rsid w:val="0022493C"/>
    <w:rsid w:val="002276A2"/>
    <w:rsid w:val="00227B90"/>
    <w:rsid w:val="00231A20"/>
    <w:rsid w:val="00232E89"/>
    <w:rsid w:val="00233A82"/>
    <w:rsid w:val="0023446D"/>
    <w:rsid w:val="00235047"/>
    <w:rsid w:val="00241B9C"/>
    <w:rsid w:val="00242317"/>
    <w:rsid w:val="0024374E"/>
    <w:rsid w:val="00244086"/>
    <w:rsid w:val="00244A75"/>
    <w:rsid w:val="002512D9"/>
    <w:rsid w:val="00251666"/>
    <w:rsid w:val="00261036"/>
    <w:rsid w:val="00261D93"/>
    <w:rsid w:val="00265071"/>
    <w:rsid w:val="00270A4D"/>
    <w:rsid w:val="002743E6"/>
    <w:rsid w:val="00274684"/>
    <w:rsid w:val="0027721A"/>
    <w:rsid w:val="002777A7"/>
    <w:rsid w:val="00280199"/>
    <w:rsid w:val="002808B8"/>
    <w:rsid w:val="00280DC5"/>
    <w:rsid w:val="00282E98"/>
    <w:rsid w:val="00283328"/>
    <w:rsid w:val="00283446"/>
    <w:rsid w:val="00283738"/>
    <w:rsid w:val="002837BC"/>
    <w:rsid w:val="0028456B"/>
    <w:rsid w:val="00284D92"/>
    <w:rsid w:val="00286BE2"/>
    <w:rsid w:val="00287B8E"/>
    <w:rsid w:val="002902B8"/>
    <w:rsid w:val="00292422"/>
    <w:rsid w:val="002A021A"/>
    <w:rsid w:val="002A087A"/>
    <w:rsid w:val="002A27ED"/>
    <w:rsid w:val="002A3448"/>
    <w:rsid w:val="002A346F"/>
    <w:rsid w:val="002A36B0"/>
    <w:rsid w:val="002A5A6A"/>
    <w:rsid w:val="002B33EB"/>
    <w:rsid w:val="002C36CF"/>
    <w:rsid w:val="002C4FBC"/>
    <w:rsid w:val="002C51FA"/>
    <w:rsid w:val="002C6165"/>
    <w:rsid w:val="002C70BB"/>
    <w:rsid w:val="002C786F"/>
    <w:rsid w:val="002C7E2C"/>
    <w:rsid w:val="002D01B1"/>
    <w:rsid w:val="002D0BB2"/>
    <w:rsid w:val="002D2FC3"/>
    <w:rsid w:val="002D56CA"/>
    <w:rsid w:val="002D6B63"/>
    <w:rsid w:val="002D7051"/>
    <w:rsid w:val="002D7B8E"/>
    <w:rsid w:val="002D7BBD"/>
    <w:rsid w:val="002E00D4"/>
    <w:rsid w:val="002E1D4E"/>
    <w:rsid w:val="002E2861"/>
    <w:rsid w:val="002E3187"/>
    <w:rsid w:val="002E3912"/>
    <w:rsid w:val="002E5502"/>
    <w:rsid w:val="002E599C"/>
    <w:rsid w:val="002E6A78"/>
    <w:rsid w:val="002F0B40"/>
    <w:rsid w:val="002F2B4D"/>
    <w:rsid w:val="002F37D3"/>
    <w:rsid w:val="002F3A7A"/>
    <w:rsid w:val="003021F3"/>
    <w:rsid w:val="003029B6"/>
    <w:rsid w:val="003032DB"/>
    <w:rsid w:val="0030427E"/>
    <w:rsid w:val="003047EA"/>
    <w:rsid w:val="00304849"/>
    <w:rsid w:val="00304AF1"/>
    <w:rsid w:val="00311167"/>
    <w:rsid w:val="003113F6"/>
    <w:rsid w:val="0031147C"/>
    <w:rsid w:val="0031245C"/>
    <w:rsid w:val="003131FE"/>
    <w:rsid w:val="00314F19"/>
    <w:rsid w:val="003209F5"/>
    <w:rsid w:val="00321BC8"/>
    <w:rsid w:val="00322E41"/>
    <w:rsid w:val="00324F9F"/>
    <w:rsid w:val="003251DA"/>
    <w:rsid w:val="0032686B"/>
    <w:rsid w:val="00327B31"/>
    <w:rsid w:val="00327D6B"/>
    <w:rsid w:val="00327DD4"/>
    <w:rsid w:val="00330D27"/>
    <w:rsid w:val="00334A21"/>
    <w:rsid w:val="00334A53"/>
    <w:rsid w:val="0033690E"/>
    <w:rsid w:val="00337526"/>
    <w:rsid w:val="00342052"/>
    <w:rsid w:val="0034407C"/>
    <w:rsid w:val="003443C6"/>
    <w:rsid w:val="003446A6"/>
    <w:rsid w:val="003457B5"/>
    <w:rsid w:val="0035006E"/>
    <w:rsid w:val="00350872"/>
    <w:rsid w:val="0035195B"/>
    <w:rsid w:val="003530AB"/>
    <w:rsid w:val="003549AF"/>
    <w:rsid w:val="00360489"/>
    <w:rsid w:val="00363150"/>
    <w:rsid w:val="00363AF0"/>
    <w:rsid w:val="00365EAB"/>
    <w:rsid w:val="00366B82"/>
    <w:rsid w:val="00370060"/>
    <w:rsid w:val="00371503"/>
    <w:rsid w:val="00373A70"/>
    <w:rsid w:val="00376821"/>
    <w:rsid w:val="00377041"/>
    <w:rsid w:val="003802CD"/>
    <w:rsid w:val="00380B99"/>
    <w:rsid w:val="003810B9"/>
    <w:rsid w:val="00381E3C"/>
    <w:rsid w:val="0038420E"/>
    <w:rsid w:val="00384B13"/>
    <w:rsid w:val="0038570D"/>
    <w:rsid w:val="00386F30"/>
    <w:rsid w:val="0039193B"/>
    <w:rsid w:val="00391C82"/>
    <w:rsid w:val="003938C9"/>
    <w:rsid w:val="00395135"/>
    <w:rsid w:val="00396884"/>
    <w:rsid w:val="00397111"/>
    <w:rsid w:val="003A0924"/>
    <w:rsid w:val="003A2EC4"/>
    <w:rsid w:val="003A3ECB"/>
    <w:rsid w:val="003A44C8"/>
    <w:rsid w:val="003A4BD8"/>
    <w:rsid w:val="003A554C"/>
    <w:rsid w:val="003A57DC"/>
    <w:rsid w:val="003A5FCD"/>
    <w:rsid w:val="003A65E5"/>
    <w:rsid w:val="003A6610"/>
    <w:rsid w:val="003A671B"/>
    <w:rsid w:val="003A6DFB"/>
    <w:rsid w:val="003A7229"/>
    <w:rsid w:val="003B0E24"/>
    <w:rsid w:val="003B10EC"/>
    <w:rsid w:val="003B1357"/>
    <w:rsid w:val="003B2DB3"/>
    <w:rsid w:val="003B3B11"/>
    <w:rsid w:val="003C0628"/>
    <w:rsid w:val="003C41DC"/>
    <w:rsid w:val="003C5590"/>
    <w:rsid w:val="003D0502"/>
    <w:rsid w:val="003D246D"/>
    <w:rsid w:val="003D2EAC"/>
    <w:rsid w:val="003D32ED"/>
    <w:rsid w:val="003D53AE"/>
    <w:rsid w:val="003D5F88"/>
    <w:rsid w:val="003E05C7"/>
    <w:rsid w:val="003E3241"/>
    <w:rsid w:val="003E4A81"/>
    <w:rsid w:val="003E657A"/>
    <w:rsid w:val="003E7195"/>
    <w:rsid w:val="003F0688"/>
    <w:rsid w:val="003F25EA"/>
    <w:rsid w:val="003F2975"/>
    <w:rsid w:val="003F2C71"/>
    <w:rsid w:val="003F523B"/>
    <w:rsid w:val="003F55BD"/>
    <w:rsid w:val="003F6BB3"/>
    <w:rsid w:val="003F716A"/>
    <w:rsid w:val="003F7338"/>
    <w:rsid w:val="003F7386"/>
    <w:rsid w:val="00401892"/>
    <w:rsid w:val="00402224"/>
    <w:rsid w:val="00402418"/>
    <w:rsid w:val="00403672"/>
    <w:rsid w:val="00405ECE"/>
    <w:rsid w:val="00406850"/>
    <w:rsid w:val="004075FF"/>
    <w:rsid w:val="0041056D"/>
    <w:rsid w:val="00411056"/>
    <w:rsid w:val="004114E7"/>
    <w:rsid w:val="00411A62"/>
    <w:rsid w:val="004133E2"/>
    <w:rsid w:val="00414317"/>
    <w:rsid w:val="0041498F"/>
    <w:rsid w:val="00414AFF"/>
    <w:rsid w:val="004152DB"/>
    <w:rsid w:val="00415E07"/>
    <w:rsid w:val="004205E2"/>
    <w:rsid w:val="00421D71"/>
    <w:rsid w:val="00422CE8"/>
    <w:rsid w:val="0042512B"/>
    <w:rsid w:val="00426838"/>
    <w:rsid w:val="00427A2B"/>
    <w:rsid w:val="00430931"/>
    <w:rsid w:val="00431F26"/>
    <w:rsid w:val="00433131"/>
    <w:rsid w:val="00433156"/>
    <w:rsid w:val="00433681"/>
    <w:rsid w:val="0043399C"/>
    <w:rsid w:val="00435132"/>
    <w:rsid w:val="00436CCC"/>
    <w:rsid w:val="004374DA"/>
    <w:rsid w:val="00440372"/>
    <w:rsid w:val="00441289"/>
    <w:rsid w:val="00441684"/>
    <w:rsid w:val="004425D7"/>
    <w:rsid w:val="004459B2"/>
    <w:rsid w:val="00445E9F"/>
    <w:rsid w:val="00447230"/>
    <w:rsid w:val="004475AD"/>
    <w:rsid w:val="0044793C"/>
    <w:rsid w:val="00447AEF"/>
    <w:rsid w:val="004501CA"/>
    <w:rsid w:val="004509E8"/>
    <w:rsid w:val="00455916"/>
    <w:rsid w:val="00457945"/>
    <w:rsid w:val="00457DCD"/>
    <w:rsid w:val="00460242"/>
    <w:rsid w:val="0046258D"/>
    <w:rsid w:val="00465220"/>
    <w:rsid w:val="00466B62"/>
    <w:rsid w:val="00467A71"/>
    <w:rsid w:val="004702A7"/>
    <w:rsid w:val="00473AFC"/>
    <w:rsid w:val="00473C41"/>
    <w:rsid w:val="00474CE3"/>
    <w:rsid w:val="004771EC"/>
    <w:rsid w:val="00477952"/>
    <w:rsid w:val="00482FD6"/>
    <w:rsid w:val="0048520D"/>
    <w:rsid w:val="004916DE"/>
    <w:rsid w:val="00491F6C"/>
    <w:rsid w:val="004934C9"/>
    <w:rsid w:val="004940FA"/>
    <w:rsid w:val="00494D6A"/>
    <w:rsid w:val="0049623C"/>
    <w:rsid w:val="0049706F"/>
    <w:rsid w:val="004A17FD"/>
    <w:rsid w:val="004A222D"/>
    <w:rsid w:val="004A2F38"/>
    <w:rsid w:val="004A3C49"/>
    <w:rsid w:val="004A6F29"/>
    <w:rsid w:val="004B02F4"/>
    <w:rsid w:val="004B15AA"/>
    <w:rsid w:val="004B22A5"/>
    <w:rsid w:val="004B3118"/>
    <w:rsid w:val="004B4318"/>
    <w:rsid w:val="004B435B"/>
    <w:rsid w:val="004B4838"/>
    <w:rsid w:val="004B6975"/>
    <w:rsid w:val="004C1B78"/>
    <w:rsid w:val="004C2039"/>
    <w:rsid w:val="004C21BE"/>
    <w:rsid w:val="004C2433"/>
    <w:rsid w:val="004C29CC"/>
    <w:rsid w:val="004C2A38"/>
    <w:rsid w:val="004C4C58"/>
    <w:rsid w:val="004C5836"/>
    <w:rsid w:val="004C7948"/>
    <w:rsid w:val="004D04B0"/>
    <w:rsid w:val="004D2B97"/>
    <w:rsid w:val="004D2DA6"/>
    <w:rsid w:val="004D3E2A"/>
    <w:rsid w:val="004D51D8"/>
    <w:rsid w:val="004E04D4"/>
    <w:rsid w:val="004E06F0"/>
    <w:rsid w:val="004E0E39"/>
    <w:rsid w:val="004E0E7E"/>
    <w:rsid w:val="004E6AA7"/>
    <w:rsid w:val="004E7D68"/>
    <w:rsid w:val="004F02FE"/>
    <w:rsid w:val="004F0F9F"/>
    <w:rsid w:val="004F22B3"/>
    <w:rsid w:val="004F3195"/>
    <w:rsid w:val="004F3E0B"/>
    <w:rsid w:val="004F4CCA"/>
    <w:rsid w:val="004F61AF"/>
    <w:rsid w:val="004F691E"/>
    <w:rsid w:val="00501A1E"/>
    <w:rsid w:val="005073E7"/>
    <w:rsid w:val="00507CED"/>
    <w:rsid w:val="00510093"/>
    <w:rsid w:val="00510D97"/>
    <w:rsid w:val="00512843"/>
    <w:rsid w:val="00512FC8"/>
    <w:rsid w:val="0051344E"/>
    <w:rsid w:val="00513718"/>
    <w:rsid w:val="0051377A"/>
    <w:rsid w:val="005137BC"/>
    <w:rsid w:val="00516D4C"/>
    <w:rsid w:val="00520405"/>
    <w:rsid w:val="00520B3E"/>
    <w:rsid w:val="00520B41"/>
    <w:rsid w:val="005215F6"/>
    <w:rsid w:val="00521BF2"/>
    <w:rsid w:val="00523325"/>
    <w:rsid w:val="005251FB"/>
    <w:rsid w:val="005255B5"/>
    <w:rsid w:val="005269CC"/>
    <w:rsid w:val="005327F5"/>
    <w:rsid w:val="00533593"/>
    <w:rsid w:val="00535B8C"/>
    <w:rsid w:val="00536424"/>
    <w:rsid w:val="00536EC4"/>
    <w:rsid w:val="0053788B"/>
    <w:rsid w:val="00540530"/>
    <w:rsid w:val="00543660"/>
    <w:rsid w:val="00551154"/>
    <w:rsid w:val="00552CE2"/>
    <w:rsid w:val="00552E4C"/>
    <w:rsid w:val="00553E3C"/>
    <w:rsid w:val="0056446F"/>
    <w:rsid w:val="00572AD0"/>
    <w:rsid w:val="00572F03"/>
    <w:rsid w:val="00574B6A"/>
    <w:rsid w:val="005774B4"/>
    <w:rsid w:val="00582009"/>
    <w:rsid w:val="00582942"/>
    <w:rsid w:val="00585362"/>
    <w:rsid w:val="005857ED"/>
    <w:rsid w:val="00585D77"/>
    <w:rsid w:val="005867F4"/>
    <w:rsid w:val="005910B0"/>
    <w:rsid w:val="00591600"/>
    <w:rsid w:val="005928CC"/>
    <w:rsid w:val="00593BE0"/>
    <w:rsid w:val="00595A14"/>
    <w:rsid w:val="00596C79"/>
    <w:rsid w:val="00596DCA"/>
    <w:rsid w:val="005979F4"/>
    <w:rsid w:val="00597A64"/>
    <w:rsid w:val="005A0407"/>
    <w:rsid w:val="005A119A"/>
    <w:rsid w:val="005A1795"/>
    <w:rsid w:val="005A28A8"/>
    <w:rsid w:val="005A356E"/>
    <w:rsid w:val="005A3C10"/>
    <w:rsid w:val="005A4233"/>
    <w:rsid w:val="005A4EDE"/>
    <w:rsid w:val="005A5EC3"/>
    <w:rsid w:val="005A620E"/>
    <w:rsid w:val="005A7070"/>
    <w:rsid w:val="005A721E"/>
    <w:rsid w:val="005A7FB7"/>
    <w:rsid w:val="005B1931"/>
    <w:rsid w:val="005B3586"/>
    <w:rsid w:val="005B44CB"/>
    <w:rsid w:val="005B4563"/>
    <w:rsid w:val="005B59EB"/>
    <w:rsid w:val="005B69BC"/>
    <w:rsid w:val="005C180E"/>
    <w:rsid w:val="005C2F20"/>
    <w:rsid w:val="005D16D5"/>
    <w:rsid w:val="005D2E4A"/>
    <w:rsid w:val="005D40CE"/>
    <w:rsid w:val="005D66C1"/>
    <w:rsid w:val="005D6EE4"/>
    <w:rsid w:val="005D71B1"/>
    <w:rsid w:val="005E0C6C"/>
    <w:rsid w:val="005E29F3"/>
    <w:rsid w:val="005E2D45"/>
    <w:rsid w:val="005E40E2"/>
    <w:rsid w:val="005E44A7"/>
    <w:rsid w:val="005E4893"/>
    <w:rsid w:val="005E6EC3"/>
    <w:rsid w:val="005E7A82"/>
    <w:rsid w:val="005E7FC6"/>
    <w:rsid w:val="005F2909"/>
    <w:rsid w:val="005F3207"/>
    <w:rsid w:val="005F402C"/>
    <w:rsid w:val="005F7420"/>
    <w:rsid w:val="0060081F"/>
    <w:rsid w:val="00602857"/>
    <w:rsid w:val="00603C4D"/>
    <w:rsid w:val="006050DE"/>
    <w:rsid w:val="006109CA"/>
    <w:rsid w:val="00612563"/>
    <w:rsid w:val="00612DCB"/>
    <w:rsid w:val="006132DA"/>
    <w:rsid w:val="00614AB0"/>
    <w:rsid w:val="006165DA"/>
    <w:rsid w:val="006168DF"/>
    <w:rsid w:val="0061782A"/>
    <w:rsid w:val="00620196"/>
    <w:rsid w:val="006203F8"/>
    <w:rsid w:val="0062109B"/>
    <w:rsid w:val="0062282C"/>
    <w:rsid w:val="00623134"/>
    <w:rsid w:val="00623288"/>
    <w:rsid w:val="00625271"/>
    <w:rsid w:val="006261D8"/>
    <w:rsid w:val="00626481"/>
    <w:rsid w:val="00630A65"/>
    <w:rsid w:val="00630AA0"/>
    <w:rsid w:val="0063119C"/>
    <w:rsid w:val="0063220B"/>
    <w:rsid w:val="00632BB8"/>
    <w:rsid w:val="00633C30"/>
    <w:rsid w:val="0063486E"/>
    <w:rsid w:val="006349ED"/>
    <w:rsid w:val="00635329"/>
    <w:rsid w:val="00637D26"/>
    <w:rsid w:val="00640B21"/>
    <w:rsid w:val="00640E3B"/>
    <w:rsid w:val="00642872"/>
    <w:rsid w:val="006435B1"/>
    <w:rsid w:val="006437FB"/>
    <w:rsid w:val="0064777C"/>
    <w:rsid w:val="00651906"/>
    <w:rsid w:val="00651BC1"/>
    <w:rsid w:val="00652F5D"/>
    <w:rsid w:val="00665146"/>
    <w:rsid w:val="0066651B"/>
    <w:rsid w:val="0067626B"/>
    <w:rsid w:val="00682186"/>
    <w:rsid w:val="00682967"/>
    <w:rsid w:val="006849F1"/>
    <w:rsid w:val="0069094C"/>
    <w:rsid w:val="00692B63"/>
    <w:rsid w:val="006A0127"/>
    <w:rsid w:val="006A0C58"/>
    <w:rsid w:val="006A0E5D"/>
    <w:rsid w:val="006A2594"/>
    <w:rsid w:val="006A458F"/>
    <w:rsid w:val="006A5571"/>
    <w:rsid w:val="006A5DBE"/>
    <w:rsid w:val="006A5F05"/>
    <w:rsid w:val="006A719B"/>
    <w:rsid w:val="006B20B4"/>
    <w:rsid w:val="006B404D"/>
    <w:rsid w:val="006B4E4E"/>
    <w:rsid w:val="006B5763"/>
    <w:rsid w:val="006B579A"/>
    <w:rsid w:val="006B677A"/>
    <w:rsid w:val="006C3083"/>
    <w:rsid w:val="006C4CD2"/>
    <w:rsid w:val="006C4D08"/>
    <w:rsid w:val="006C7B13"/>
    <w:rsid w:val="006C7F6A"/>
    <w:rsid w:val="006D0825"/>
    <w:rsid w:val="006D3048"/>
    <w:rsid w:val="006D4F00"/>
    <w:rsid w:val="006D5466"/>
    <w:rsid w:val="006D5B79"/>
    <w:rsid w:val="006D6E41"/>
    <w:rsid w:val="006E00E6"/>
    <w:rsid w:val="006E27A9"/>
    <w:rsid w:val="006E6738"/>
    <w:rsid w:val="006E74DF"/>
    <w:rsid w:val="006F0C8A"/>
    <w:rsid w:val="006F1684"/>
    <w:rsid w:val="006F4058"/>
    <w:rsid w:val="006F573C"/>
    <w:rsid w:val="006F6C83"/>
    <w:rsid w:val="00700085"/>
    <w:rsid w:val="0070619D"/>
    <w:rsid w:val="007076AE"/>
    <w:rsid w:val="0070773A"/>
    <w:rsid w:val="00711C88"/>
    <w:rsid w:val="00712A28"/>
    <w:rsid w:val="0071450D"/>
    <w:rsid w:val="007156D0"/>
    <w:rsid w:val="007157DB"/>
    <w:rsid w:val="0071583B"/>
    <w:rsid w:val="00715884"/>
    <w:rsid w:val="00715908"/>
    <w:rsid w:val="00724F15"/>
    <w:rsid w:val="007301D6"/>
    <w:rsid w:val="007354EF"/>
    <w:rsid w:val="007365AB"/>
    <w:rsid w:val="007415F4"/>
    <w:rsid w:val="00742196"/>
    <w:rsid w:val="00742C92"/>
    <w:rsid w:val="007434DC"/>
    <w:rsid w:val="007443F9"/>
    <w:rsid w:val="007460C6"/>
    <w:rsid w:val="00746132"/>
    <w:rsid w:val="00746CA2"/>
    <w:rsid w:val="00750A81"/>
    <w:rsid w:val="007515E7"/>
    <w:rsid w:val="0075184E"/>
    <w:rsid w:val="007518CE"/>
    <w:rsid w:val="007521F9"/>
    <w:rsid w:val="00752DF7"/>
    <w:rsid w:val="00752F35"/>
    <w:rsid w:val="00754959"/>
    <w:rsid w:val="00755614"/>
    <w:rsid w:val="007562D7"/>
    <w:rsid w:val="00756DF4"/>
    <w:rsid w:val="00757977"/>
    <w:rsid w:val="0076082C"/>
    <w:rsid w:val="007616A6"/>
    <w:rsid w:val="00762C16"/>
    <w:rsid w:val="00762DA3"/>
    <w:rsid w:val="00763B34"/>
    <w:rsid w:val="00763C45"/>
    <w:rsid w:val="007668AE"/>
    <w:rsid w:val="0076694F"/>
    <w:rsid w:val="0076739A"/>
    <w:rsid w:val="00767DCD"/>
    <w:rsid w:val="007704F4"/>
    <w:rsid w:val="007718DA"/>
    <w:rsid w:val="00771DC2"/>
    <w:rsid w:val="007723B6"/>
    <w:rsid w:val="00775957"/>
    <w:rsid w:val="0078035C"/>
    <w:rsid w:val="00783A4E"/>
    <w:rsid w:val="00784614"/>
    <w:rsid w:val="0078606E"/>
    <w:rsid w:val="00790064"/>
    <w:rsid w:val="0079025B"/>
    <w:rsid w:val="00790582"/>
    <w:rsid w:val="00791BDA"/>
    <w:rsid w:val="00793B79"/>
    <w:rsid w:val="00795F7C"/>
    <w:rsid w:val="00797B42"/>
    <w:rsid w:val="007A4314"/>
    <w:rsid w:val="007A44C4"/>
    <w:rsid w:val="007A5125"/>
    <w:rsid w:val="007A55B5"/>
    <w:rsid w:val="007B0374"/>
    <w:rsid w:val="007B1654"/>
    <w:rsid w:val="007B1820"/>
    <w:rsid w:val="007B1ABE"/>
    <w:rsid w:val="007B2DD7"/>
    <w:rsid w:val="007B4B1C"/>
    <w:rsid w:val="007B4CFA"/>
    <w:rsid w:val="007B68A7"/>
    <w:rsid w:val="007B6C97"/>
    <w:rsid w:val="007C1D90"/>
    <w:rsid w:val="007C448A"/>
    <w:rsid w:val="007D13DC"/>
    <w:rsid w:val="007D3503"/>
    <w:rsid w:val="007D41AB"/>
    <w:rsid w:val="007D4F42"/>
    <w:rsid w:val="007D6F4A"/>
    <w:rsid w:val="007D7287"/>
    <w:rsid w:val="007E2714"/>
    <w:rsid w:val="007E38A2"/>
    <w:rsid w:val="007E3C77"/>
    <w:rsid w:val="007E5759"/>
    <w:rsid w:val="007F05A6"/>
    <w:rsid w:val="007F0E99"/>
    <w:rsid w:val="007F1643"/>
    <w:rsid w:val="007F1A82"/>
    <w:rsid w:val="007F31ED"/>
    <w:rsid w:val="007F3BA6"/>
    <w:rsid w:val="007F4D6E"/>
    <w:rsid w:val="007F508A"/>
    <w:rsid w:val="007F77EA"/>
    <w:rsid w:val="008063EF"/>
    <w:rsid w:val="00806D53"/>
    <w:rsid w:val="00810A2D"/>
    <w:rsid w:val="00811971"/>
    <w:rsid w:val="008153EA"/>
    <w:rsid w:val="00815528"/>
    <w:rsid w:val="008157C3"/>
    <w:rsid w:val="00816C0B"/>
    <w:rsid w:val="00821BA3"/>
    <w:rsid w:val="00823C97"/>
    <w:rsid w:val="00824456"/>
    <w:rsid w:val="00825AC4"/>
    <w:rsid w:val="0082652B"/>
    <w:rsid w:val="008266E6"/>
    <w:rsid w:val="00827634"/>
    <w:rsid w:val="00830569"/>
    <w:rsid w:val="00830C9C"/>
    <w:rsid w:val="00831FA1"/>
    <w:rsid w:val="008323FD"/>
    <w:rsid w:val="00833F2E"/>
    <w:rsid w:val="008357D7"/>
    <w:rsid w:val="00836AC6"/>
    <w:rsid w:val="0084129D"/>
    <w:rsid w:val="0084132D"/>
    <w:rsid w:val="0084237C"/>
    <w:rsid w:val="00850FDC"/>
    <w:rsid w:val="008526D4"/>
    <w:rsid w:val="00853443"/>
    <w:rsid w:val="00860660"/>
    <w:rsid w:val="00860B60"/>
    <w:rsid w:val="00862D64"/>
    <w:rsid w:val="00864764"/>
    <w:rsid w:val="008658BC"/>
    <w:rsid w:val="0087337D"/>
    <w:rsid w:val="00874956"/>
    <w:rsid w:val="00874DC5"/>
    <w:rsid w:val="00874F33"/>
    <w:rsid w:val="008769F8"/>
    <w:rsid w:val="008817A5"/>
    <w:rsid w:val="00884A17"/>
    <w:rsid w:val="00884F5A"/>
    <w:rsid w:val="00890421"/>
    <w:rsid w:val="00891552"/>
    <w:rsid w:val="0089301D"/>
    <w:rsid w:val="008937AC"/>
    <w:rsid w:val="0089457A"/>
    <w:rsid w:val="008952BC"/>
    <w:rsid w:val="0089542F"/>
    <w:rsid w:val="00895E1B"/>
    <w:rsid w:val="008A19CA"/>
    <w:rsid w:val="008A1C3D"/>
    <w:rsid w:val="008A4E0C"/>
    <w:rsid w:val="008B0E1D"/>
    <w:rsid w:val="008B3361"/>
    <w:rsid w:val="008B7BD3"/>
    <w:rsid w:val="008C13B8"/>
    <w:rsid w:val="008C1B99"/>
    <w:rsid w:val="008C206D"/>
    <w:rsid w:val="008C2D82"/>
    <w:rsid w:val="008C445D"/>
    <w:rsid w:val="008C6D0F"/>
    <w:rsid w:val="008C7C8A"/>
    <w:rsid w:val="008D0122"/>
    <w:rsid w:val="008D022A"/>
    <w:rsid w:val="008D0716"/>
    <w:rsid w:val="008D1033"/>
    <w:rsid w:val="008D34C9"/>
    <w:rsid w:val="008D3B89"/>
    <w:rsid w:val="008D4C8B"/>
    <w:rsid w:val="008D531E"/>
    <w:rsid w:val="008D5924"/>
    <w:rsid w:val="008D6ACC"/>
    <w:rsid w:val="008D6C3A"/>
    <w:rsid w:val="008E6C5B"/>
    <w:rsid w:val="008E6EA2"/>
    <w:rsid w:val="008E7D64"/>
    <w:rsid w:val="008E7EF1"/>
    <w:rsid w:val="008F29EC"/>
    <w:rsid w:val="008F2F80"/>
    <w:rsid w:val="008F4F20"/>
    <w:rsid w:val="008F5313"/>
    <w:rsid w:val="008F5878"/>
    <w:rsid w:val="008F773E"/>
    <w:rsid w:val="00902632"/>
    <w:rsid w:val="00902A09"/>
    <w:rsid w:val="00905EC2"/>
    <w:rsid w:val="009061C0"/>
    <w:rsid w:val="0090631F"/>
    <w:rsid w:val="00907FCB"/>
    <w:rsid w:val="0091259F"/>
    <w:rsid w:val="009128BF"/>
    <w:rsid w:val="0091301E"/>
    <w:rsid w:val="00914839"/>
    <w:rsid w:val="00915BFD"/>
    <w:rsid w:val="00915E18"/>
    <w:rsid w:val="00916544"/>
    <w:rsid w:val="00917747"/>
    <w:rsid w:val="00917FD9"/>
    <w:rsid w:val="009201C0"/>
    <w:rsid w:val="00922397"/>
    <w:rsid w:val="00922D94"/>
    <w:rsid w:val="00923496"/>
    <w:rsid w:val="009247C3"/>
    <w:rsid w:val="00924807"/>
    <w:rsid w:val="00925D09"/>
    <w:rsid w:val="00925F96"/>
    <w:rsid w:val="009263FE"/>
    <w:rsid w:val="00926990"/>
    <w:rsid w:val="00926A70"/>
    <w:rsid w:val="00927C3F"/>
    <w:rsid w:val="00932F0A"/>
    <w:rsid w:val="00935750"/>
    <w:rsid w:val="00935B05"/>
    <w:rsid w:val="00943D1A"/>
    <w:rsid w:val="00943F66"/>
    <w:rsid w:val="00944AAC"/>
    <w:rsid w:val="00945484"/>
    <w:rsid w:val="009461C9"/>
    <w:rsid w:val="00946A13"/>
    <w:rsid w:val="009479DE"/>
    <w:rsid w:val="00950E97"/>
    <w:rsid w:val="009512B6"/>
    <w:rsid w:val="0095363D"/>
    <w:rsid w:val="00953DFF"/>
    <w:rsid w:val="009575E8"/>
    <w:rsid w:val="00960C13"/>
    <w:rsid w:val="0096264E"/>
    <w:rsid w:val="00963225"/>
    <w:rsid w:val="0096454E"/>
    <w:rsid w:val="00964CCE"/>
    <w:rsid w:val="009665D9"/>
    <w:rsid w:val="00967311"/>
    <w:rsid w:val="00967787"/>
    <w:rsid w:val="009701B3"/>
    <w:rsid w:val="0097181D"/>
    <w:rsid w:val="00971C30"/>
    <w:rsid w:val="009727A5"/>
    <w:rsid w:val="00972D35"/>
    <w:rsid w:val="00972DE5"/>
    <w:rsid w:val="0097314E"/>
    <w:rsid w:val="00974431"/>
    <w:rsid w:val="00974B6C"/>
    <w:rsid w:val="00976629"/>
    <w:rsid w:val="00976720"/>
    <w:rsid w:val="00980C43"/>
    <w:rsid w:val="00983ED0"/>
    <w:rsid w:val="00984232"/>
    <w:rsid w:val="0098457D"/>
    <w:rsid w:val="00986293"/>
    <w:rsid w:val="00986361"/>
    <w:rsid w:val="00986AEF"/>
    <w:rsid w:val="00987A29"/>
    <w:rsid w:val="00990092"/>
    <w:rsid w:val="0099130A"/>
    <w:rsid w:val="009913D3"/>
    <w:rsid w:val="00992206"/>
    <w:rsid w:val="00993D99"/>
    <w:rsid w:val="00995E8A"/>
    <w:rsid w:val="009A03F6"/>
    <w:rsid w:val="009A06C6"/>
    <w:rsid w:val="009A2A00"/>
    <w:rsid w:val="009A62E5"/>
    <w:rsid w:val="009A646F"/>
    <w:rsid w:val="009A791D"/>
    <w:rsid w:val="009A7ECA"/>
    <w:rsid w:val="009B35C7"/>
    <w:rsid w:val="009B50F0"/>
    <w:rsid w:val="009B5DE2"/>
    <w:rsid w:val="009B724F"/>
    <w:rsid w:val="009C0F3C"/>
    <w:rsid w:val="009C1B80"/>
    <w:rsid w:val="009C1D9A"/>
    <w:rsid w:val="009C2484"/>
    <w:rsid w:val="009C30C8"/>
    <w:rsid w:val="009C3BD7"/>
    <w:rsid w:val="009C3F74"/>
    <w:rsid w:val="009C40B8"/>
    <w:rsid w:val="009C4D62"/>
    <w:rsid w:val="009C645A"/>
    <w:rsid w:val="009C6BF4"/>
    <w:rsid w:val="009D05A4"/>
    <w:rsid w:val="009D571F"/>
    <w:rsid w:val="009D581B"/>
    <w:rsid w:val="009E154D"/>
    <w:rsid w:val="009E16A5"/>
    <w:rsid w:val="009E1804"/>
    <w:rsid w:val="009E18C0"/>
    <w:rsid w:val="009E1FBC"/>
    <w:rsid w:val="009E6760"/>
    <w:rsid w:val="009F17C0"/>
    <w:rsid w:val="009F33EA"/>
    <w:rsid w:val="009F3EF3"/>
    <w:rsid w:val="009F538C"/>
    <w:rsid w:val="009F6149"/>
    <w:rsid w:val="009F689D"/>
    <w:rsid w:val="009F7230"/>
    <w:rsid w:val="009F7873"/>
    <w:rsid w:val="00A023E5"/>
    <w:rsid w:val="00A02516"/>
    <w:rsid w:val="00A02609"/>
    <w:rsid w:val="00A04877"/>
    <w:rsid w:val="00A05270"/>
    <w:rsid w:val="00A05B92"/>
    <w:rsid w:val="00A07239"/>
    <w:rsid w:val="00A07AC2"/>
    <w:rsid w:val="00A11C8B"/>
    <w:rsid w:val="00A124C4"/>
    <w:rsid w:val="00A12942"/>
    <w:rsid w:val="00A14FB0"/>
    <w:rsid w:val="00A154BD"/>
    <w:rsid w:val="00A20F12"/>
    <w:rsid w:val="00A21748"/>
    <w:rsid w:val="00A21764"/>
    <w:rsid w:val="00A2203D"/>
    <w:rsid w:val="00A22705"/>
    <w:rsid w:val="00A23C79"/>
    <w:rsid w:val="00A241BA"/>
    <w:rsid w:val="00A24299"/>
    <w:rsid w:val="00A2539F"/>
    <w:rsid w:val="00A25EA8"/>
    <w:rsid w:val="00A2624C"/>
    <w:rsid w:val="00A268FD"/>
    <w:rsid w:val="00A30DD8"/>
    <w:rsid w:val="00A3138D"/>
    <w:rsid w:val="00A34545"/>
    <w:rsid w:val="00A34D20"/>
    <w:rsid w:val="00A35974"/>
    <w:rsid w:val="00A35B1E"/>
    <w:rsid w:val="00A3755F"/>
    <w:rsid w:val="00A37A57"/>
    <w:rsid w:val="00A405D9"/>
    <w:rsid w:val="00A41415"/>
    <w:rsid w:val="00A42CBF"/>
    <w:rsid w:val="00A43937"/>
    <w:rsid w:val="00A43C58"/>
    <w:rsid w:val="00A452C9"/>
    <w:rsid w:val="00A455F4"/>
    <w:rsid w:val="00A45865"/>
    <w:rsid w:val="00A45BE1"/>
    <w:rsid w:val="00A55105"/>
    <w:rsid w:val="00A557A9"/>
    <w:rsid w:val="00A56548"/>
    <w:rsid w:val="00A56C09"/>
    <w:rsid w:val="00A56F83"/>
    <w:rsid w:val="00A57C47"/>
    <w:rsid w:val="00A6043C"/>
    <w:rsid w:val="00A6205C"/>
    <w:rsid w:val="00A6269C"/>
    <w:rsid w:val="00A63FA5"/>
    <w:rsid w:val="00A64115"/>
    <w:rsid w:val="00A65861"/>
    <w:rsid w:val="00A66550"/>
    <w:rsid w:val="00A70E96"/>
    <w:rsid w:val="00A716A7"/>
    <w:rsid w:val="00A7250D"/>
    <w:rsid w:val="00A738CA"/>
    <w:rsid w:val="00A744BF"/>
    <w:rsid w:val="00A7517E"/>
    <w:rsid w:val="00A761DE"/>
    <w:rsid w:val="00A76CDB"/>
    <w:rsid w:val="00A76E5F"/>
    <w:rsid w:val="00A7709C"/>
    <w:rsid w:val="00A85C0D"/>
    <w:rsid w:val="00A907AD"/>
    <w:rsid w:val="00A91F0E"/>
    <w:rsid w:val="00A93032"/>
    <w:rsid w:val="00A939FD"/>
    <w:rsid w:val="00A9419B"/>
    <w:rsid w:val="00A945B0"/>
    <w:rsid w:val="00AA0722"/>
    <w:rsid w:val="00AA1068"/>
    <w:rsid w:val="00AA33EF"/>
    <w:rsid w:val="00AA3B70"/>
    <w:rsid w:val="00AA5357"/>
    <w:rsid w:val="00AA5D5B"/>
    <w:rsid w:val="00AA6D91"/>
    <w:rsid w:val="00AB23A9"/>
    <w:rsid w:val="00AB7F56"/>
    <w:rsid w:val="00AC1967"/>
    <w:rsid w:val="00AC34D4"/>
    <w:rsid w:val="00AC3CAE"/>
    <w:rsid w:val="00AC4194"/>
    <w:rsid w:val="00AC4867"/>
    <w:rsid w:val="00AD00F1"/>
    <w:rsid w:val="00AD0AFB"/>
    <w:rsid w:val="00AD15D3"/>
    <w:rsid w:val="00AD23C8"/>
    <w:rsid w:val="00AD2664"/>
    <w:rsid w:val="00AD536C"/>
    <w:rsid w:val="00AD5D1B"/>
    <w:rsid w:val="00AD6E31"/>
    <w:rsid w:val="00AE098A"/>
    <w:rsid w:val="00AE22D2"/>
    <w:rsid w:val="00AE2D74"/>
    <w:rsid w:val="00AE33CE"/>
    <w:rsid w:val="00AE3D2F"/>
    <w:rsid w:val="00AE44DE"/>
    <w:rsid w:val="00AF19A8"/>
    <w:rsid w:val="00AF1F74"/>
    <w:rsid w:val="00AF2BC2"/>
    <w:rsid w:val="00AF6416"/>
    <w:rsid w:val="00AF6B9B"/>
    <w:rsid w:val="00AF6EE1"/>
    <w:rsid w:val="00AF7F1C"/>
    <w:rsid w:val="00B008E4"/>
    <w:rsid w:val="00B0619C"/>
    <w:rsid w:val="00B07134"/>
    <w:rsid w:val="00B1131B"/>
    <w:rsid w:val="00B12706"/>
    <w:rsid w:val="00B143B3"/>
    <w:rsid w:val="00B14618"/>
    <w:rsid w:val="00B17378"/>
    <w:rsid w:val="00B1745C"/>
    <w:rsid w:val="00B22F3E"/>
    <w:rsid w:val="00B2386B"/>
    <w:rsid w:val="00B2486B"/>
    <w:rsid w:val="00B251F5"/>
    <w:rsid w:val="00B260BD"/>
    <w:rsid w:val="00B264CC"/>
    <w:rsid w:val="00B30A69"/>
    <w:rsid w:val="00B32A18"/>
    <w:rsid w:val="00B32C55"/>
    <w:rsid w:val="00B3706D"/>
    <w:rsid w:val="00B370CA"/>
    <w:rsid w:val="00B37F47"/>
    <w:rsid w:val="00B4123E"/>
    <w:rsid w:val="00B43684"/>
    <w:rsid w:val="00B436AB"/>
    <w:rsid w:val="00B43D71"/>
    <w:rsid w:val="00B46652"/>
    <w:rsid w:val="00B47DA2"/>
    <w:rsid w:val="00B50FE9"/>
    <w:rsid w:val="00B558B8"/>
    <w:rsid w:val="00B57F0E"/>
    <w:rsid w:val="00B60984"/>
    <w:rsid w:val="00B6294E"/>
    <w:rsid w:val="00B62CEB"/>
    <w:rsid w:val="00B63322"/>
    <w:rsid w:val="00B6376C"/>
    <w:rsid w:val="00B64620"/>
    <w:rsid w:val="00B64973"/>
    <w:rsid w:val="00B651FC"/>
    <w:rsid w:val="00B656D5"/>
    <w:rsid w:val="00B6697E"/>
    <w:rsid w:val="00B66E40"/>
    <w:rsid w:val="00B70F51"/>
    <w:rsid w:val="00B734CB"/>
    <w:rsid w:val="00B741EE"/>
    <w:rsid w:val="00B74783"/>
    <w:rsid w:val="00B75C0E"/>
    <w:rsid w:val="00B76547"/>
    <w:rsid w:val="00B768DD"/>
    <w:rsid w:val="00B82FB3"/>
    <w:rsid w:val="00B831AD"/>
    <w:rsid w:val="00B834DD"/>
    <w:rsid w:val="00B83A0B"/>
    <w:rsid w:val="00B83F0F"/>
    <w:rsid w:val="00B8481D"/>
    <w:rsid w:val="00B84CA3"/>
    <w:rsid w:val="00B85BBD"/>
    <w:rsid w:val="00B862EE"/>
    <w:rsid w:val="00B873B2"/>
    <w:rsid w:val="00B92193"/>
    <w:rsid w:val="00B922C4"/>
    <w:rsid w:val="00B94415"/>
    <w:rsid w:val="00B9597F"/>
    <w:rsid w:val="00BA2579"/>
    <w:rsid w:val="00BA506B"/>
    <w:rsid w:val="00BA534A"/>
    <w:rsid w:val="00BA618D"/>
    <w:rsid w:val="00BA69F1"/>
    <w:rsid w:val="00BA6FC3"/>
    <w:rsid w:val="00BA7E82"/>
    <w:rsid w:val="00BB0BBA"/>
    <w:rsid w:val="00BB1893"/>
    <w:rsid w:val="00BB5844"/>
    <w:rsid w:val="00BB7654"/>
    <w:rsid w:val="00BB7AD9"/>
    <w:rsid w:val="00BB7C9C"/>
    <w:rsid w:val="00BC0122"/>
    <w:rsid w:val="00BC04E4"/>
    <w:rsid w:val="00BC5514"/>
    <w:rsid w:val="00BC5BA8"/>
    <w:rsid w:val="00BC74C2"/>
    <w:rsid w:val="00BC789B"/>
    <w:rsid w:val="00BD13BF"/>
    <w:rsid w:val="00BD2255"/>
    <w:rsid w:val="00BD43E0"/>
    <w:rsid w:val="00BD4E78"/>
    <w:rsid w:val="00BD70CD"/>
    <w:rsid w:val="00BE04C1"/>
    <w:rsid w:val="00BE38C3"/>
    <w:rsid w:val="00BE3DCC"/>
    <w:rsid w:val="00BE3FB2"/>
    <w:rsid w:val="00BE64EB"/>
    <w:rsid w:val="00BF1FD3"/>
    <w:rsid w:val="00BF5345"/>
    <w:rsid w:val="00BF6ADE"/>
    <w:rsid w:val="00C039B3"/>
    <w:rsid w:val="00C03D0E"/>
    <w:rsid w:val="00C04622"/>
    <w:rsid w:val="00C0542E"/>
    <w:rsid w:val="00C06750"/>
    <w:rsid w:val="00C0695B"/>
    <w:rsid w:val="00C10AB4"/>
    <w:rsid w:val="00C11130"/>
    <w:rsid w:val="00C12886"/>
    <w:rsid w:val="00C12D7C"/>
    <w:rsid w:val="00C14F8C"/>
    <w:rsid w:val="00C14FAF"/>
    <w:rsid w:val="00C154AE"/>
    <w:rsid w:val="00C16F61"/>
    <w:rsid w:val="00C173E1"/>
    <w:rsid w:val="00C23264"/>
    <w:rsid w:val="00C310B1"/>
    <w:rsid w:val="00C340CD"/>
    <w:rsid w:val="00C34F59"/>
    <w:rsid w:val="00C35CDB"/>
    <w:rsid w:val="00C372E1"/>
    <w:rsid w:val="00C3745F"/>
    <w:rsid w:val="00C3775A"/>
    <w:rsid w:val="00C42F08"/>
    <w:rsid w:val="00C43643"/>
    <w:rsid w:val="00C448AC"/>
    <w:rsid w:val="00C46B00"/>
    <w:rsid w:val="00C47B43"/>
    <w:rsid w:val="00C47E6E"/>
    <w:rsid w:val="00C53A05"/>
    <w:rsid w:val="00C5492F"/>
    <w:rsid w:val="00C5597B"/>
    <w:rsid w:val="00C566BA"/>
    <w:rsid w:val="00C57B66"/>
    <w:rsid w:val="00C60BAF"/>
    <w:rsid w:val="00C610D6"/>
    <w:rsid w:val="00C62055"/>
    <w:rsid w:val="00C62AD8"/>
    <w:rsid w:val="00C632DC"/>
    <w:rsid w:val="00C634B6"/>
    <w:rsid w:val="00C64293"/>
    <w:rsid w:val="00C65E35"/>
    <w:rsid w:val="00C672CB"/>
    <w:rsid w:val="00C710ED"/>
    <w:rsid w:val="00C711AD"/>
    <w:rsid w:val="00C750EF"/>
    <w:rsid w:val="00C777BC"/>
    <w:rsid w:val="00C8014E"/>
    <w:rsid w:val="00C80B27"/>
    <w:rsid w:val="00C81381"/>
    <w:rsid w:val="00C81BF8"/>
    <w:rsid w:val="00C821F6"/>
    <w:rsid w:val="00C83F66"/>
    <w:rsid w:val="00C857EC"/>
    <w:rsid w:val="00C8615A"/>
    <w:rsid w:val="00C86721"/>
    <w:rsid w:val="00C86758"/>
    <w:rsid w:val="00C867C9"/>
    <w:rsid w:val="00C90061"/>
    <w:rsid w:val="00C92378"/>
    <w:rsid w:val="00C97E23"/>
    <w:rsid w:val="00CA1F10"/>
    <w:rsid w:val="00CA5392"/>
    <w:rsid w:val="00CA60E8"/>
    <w:rsid w:val="00CB0B89"/>
    <w:rsid w:val="00CB27E1"/>
    <w:rsid w:val="00CB2876"/>
    <w:rsid w:val="00CB28D7"/>
    <w:rsid w:val="00CB57A7"/>
    <w:rsid w:val="00CC07D1"/>
    <w:rsid w:val="00CC29FD"/>
    <w:rsid w:val="00CC620D"/>
    <w:rsid w:val="00CD29F3"/>
    <w:rsid w:val="00CD39D2"/>
    <w:rsid w:val="00CD4211"/>
    <w:rsid w:val="00CD4C91"/>
    <w:rsid w:val="00CD5ED0"/>
    <w:rsid w:val="00CD608D"/>
    <w:rsid w:val="00CD63B5"/>
    <w:rsid w:val="00CD6E0E"/>
    <w:rsid w:val="00CD721A"/>
    <w:rsid w:val="00CE1A1D"/>
    <w:rsid w:val="00CF0733"/>
    <w:rsid w:val="00CF07C7"/>
    <w:rsid w:val="00CF0E9E"/>
    <w:rsid w:val="00CF29EA"/>
    <w:rsid w:val="00CF6980"/>
    <w:rsid w:val="00CF6C72"/>
    <w:rsid w:val="00D00CF9"/>
    <w:rsid w:val="00D01866"/>
    <w:rsid w:val="00D0199E"/>
    <w:rsid w:val="00D025ED"/>
    <w:rsid w:val="00D0271E"/>
    <w:rsid w:val="00D04E82"/>
    <w:rsid w:val="00D05359"/>
    <w:rsid w:val="00D0666A"/>
    <w:rsid w:val="00D12566"/>
    <w:rsid w:val="00D128A5"/>
    <w:rsid w:val="00D12E2F"/>
    <w:rsid w:val="00D138D4"/>
    <w:rsid w:val="00D14138"/>
    <w:rsid w:val="00D14C79"/>
    <w:rsid w:val="00D16ECD"/>
    <w:rsid w:val="00D21FEC"/>
    <w:rsid w:val="00D2601E"/>
    <w:rsid w:val="00D26D0F"/>
    <w:rsid w:val="00D27101"/>
    <w:rsid w:val="00D27F2B"/>
    <w:rsid w:val="00D322B2"/>
    <w:rsid w:val="00D334F4"/>
    <w:rsid w:val="00D34F16"/>
    <w:rsid w:val="00D41E39"/>
    <w:rsid w:val="00D42162"/>
    <w:rsid w:val="00D45CBB"/>
    <w:rsid w:val="00D461C7"/>
    <w:rsid w:val="00D47AA7"/>
    <w:rsid w:val="00D51FC1"/>
    <w:rsid w:val="00D52810"/>
    <w:rsid w:val="00D56232"/>
    <w:rsid w:val="00D62BAF"/>
    <w:rsid w:val="00D66B90"/>
    <w:rsid w:val="00D679F0"/>
    <w:rsid w:val="00D700A9"/>
    <w:rsid w:val="00D70522"/>
    <w:rsid w:val="00D7126E"/>
    <w:rsid w:val="00D712DF"/>
    <w:rsid w:val="00D73F6E"/>
    <w:rsid w:val="00D74154"/>
    <w:rsid w:val="00D743BF"/>
    <w:rsid w:val="00D80145"/>
    <w:rsid w:val="00D848E1"/>
    <w:rsid w:val="00D85558"/>
    <w:rsid w:val="00D879ED"/>
    <w:rsid w:val="00D92339"/>
    <w:rsid w:val="00D92724"/>
    <w:rsid w:val="00D9587F"/>
    <w:rsid w:val="00D96088"/>
    <w:rsid w:val="00D97131"/>
    <w:rsid w:val="00D979B6"/>
    <w:rsid w:val="00DA09BF"/>
    <w:rsid w:val="00DA2582"/>
    <w:rsid w:val="00DA39C9"/>
    <w:rsid w:val="00DA475B"/>
    <w:rsid w:val="00DA7C9A"/>
    <w:rsid w:val="00DB05CC"/>
    <w:rsid w:val="00DB11AA"/>
    <w:rsid w:val="00DB3EF1"/>
    <w:rsid w:val="00DB4405"/>
    <w:rsid w:val="00DB5A0F"/>
    <w:rsid w:val="00DB6F63"/>
    <w:rsid w:val="00DB7B04"/>
    <w:rsid w:val="00DC02F3"/>
    <w:rsid w:val="00DC0B2F"/>
    <w:rsid w:val="00DC1140"/>
    <w:rsid w:val="00DC16D7"/>
    <w:rsid w:val="00DC3F2B"/>
    <w:rsid w:val="00DC4246"/>
    <w:rsid w:val="00DC5626"/>
    <w:rsid w:val="00DC6073"/>
    <w:rsid w:val="00DD03CF"/>
    <w:rsid w:val="00DD067D"/>
    <w:rsid w:val="00DD0B52"/>
    <w:rsid w:val="00DD1962"/>
    <w:rsid w:val="00DD2483"/>
    <w:rsid w:val="00DD2D3C"/>
    <w:rsid w:val="00DD40F6"/>
    <w:rsid w:val="00DD43F2"/>
    <w:rsid w:val="00DD4BA5"/>
    <w:rsid w:val="00DD52B7"/>
    <w:rsid w:val="00DD5AD6"/>
    <w:rsid w:val="00DD5DF6"/>
    <w:rsid w:val="00DE3D85"/>
    <w:rsid w:val="00DE47A1"/>
    <w:rsid w:val="00DE5E92"/>
    <w:rsid w:val="00DE6860"/>
    <w:rsid w:val="00DF00F3"/>
    <w:rsid w:val="00DF177A"/>
    <w:rsid w:val="00DF17A4"/>
    <w:rsid w:val="00DF1AE7"/>
    <w:rsid w:val="00DF2740"/>
    <w:rsid w:val="00DF79A3"/>
    <w:rsid w:val="00E0170B"/>
    <w:rsid w:val="00E0219E"/>
    <w:rsid w:val="00E045B3"/>
    <w:rsid w:val="00E04E92"/>
    <w:rsid w:val="00E075CF"/>
    <w:rsid w:val="00E10D53"/>
    <w:rsid w:val="00E11E96"/>
    <w:rsid w:val="00E123FA"/>
    <w:rsid w:val="00E12B1F"/>
    <w:rsid w:val="00E130DC"/>
    <w:rsid w:val="00E15BF1"/>
    <w:rsid w:val="00E15C23"/>
    <w:rsid w:val="00E202ED"/>
    <w:rsid w:val="00E21168"/>
    <w:rsid w:val="00E21C07"/>
    <w:rsid w:val="00E2785E"/>
    <w:rsid w:val="00E27D5F"/>
    <w:rsid w:val="00E30988"/>
    <w:rsid w:val="00E31685"/>
    <w:rsid w:val="00E317D6"/>
    <w:rsid w:val="00E33BAD"/>
    <w:rsid w:val="00E361BB"/>
    <w:rsid w:val="00E3712F"/>
    <w:rsid w:val="00E37510"/>
    <w:rsid w:val="00E379D5"/>
    <w:rsid w:val="00E417B5"/>
    <w:rsid w:val="00E43AA5"/>
    <w:rsid w:val="00E45448"/>
    <w:rsid w:val="00E456C0"/>
    <w:rsid w:val="00E467BE"/>
    <w:rsid w:val="00E530FD"/>
    <w:rsid w:val="00E53D90"/>
    <w:rsid w:val="00E54256"/>
    <w:rsid w:val="00E5484F"/>
    <w:rsid w:val="00E54A4F"/>
    <w:rsid w:val="00E552CF"/>
    <w:rsid w:val="00E55920"/>
    <w:rsid w:val="00E56BB8"/>
    <w:rsid w:val="00E5754C"/>
    <w:rsid w:val="00E61019"/>
    <w:rsid w:val="00E62B99"/>
    <w:rsid w:val="00E67B1C"/>
    <w:rsid w:val="00E70FE3"/>
    <w:rsid w:val="00E7268D"/>
    <w:rsid w:val="00E7283B"/>
    <w:rsid w:val="00E7296C"/>
    <w:rsid w:val="00E736BF"/>
    <w:rsid w:val="00E74334"/>
    <w:rsid w:val="00E745D9"/>
    <w:rsid w:val="00E75106"/>
    <w:rsid w:val="00E775EF"/>
    <w:rsid w:val="00E80619"/>
    <w:rsid w:val="00E822D4"/>
    <w:rsid w:val="00E82864"/>
    <w:rsid w:val="00E87843"/>
    <w:rsid w:val="00E87BC7"/>
    <w:rsid w:val="00E87C7B"/>
    <w:rsid w:val="00E903FD"/>
    <w:rsid w:val="00E92A21"/>
    <w:rsid w:val="00E93476"/>
    <w:rsid w:val="00E95260"/>
    <w:rsid w:val="00E95815"/>
    <w:rsid w:val="00E9608A"/>
    <w:rsid w:val="00E96F94"/>
    <w:rsid w:val="00E976BB"/>
    <w:rsid w:val="00EA1C95"/>
    <w:rsid w:val="00EA3554"/>
    <w:rsid w:val="00EA5404"/>
    <w:rsid w:val="00EB0D23"/>
    <w:rsid w:val="00EB36BF"/>
    <w:rsid w:val="00EB46B3"/>
    <w:rsid w:val="00EB5FD6"/>
    <w:rsid w:val="00EB7170"/>
    <w:rsid w:val="00EB7266"/>
    <w:rsid w:val="00EC15E2"/>
    <w:rsid w:val="00EC18DB"/>
    <w:rsid w:val="00EC2B53"/>
    <w:rsid w:val="00EC3FAE"/>
    <w:rsid w:val="00ED1A95"/>
    <w:rsid w:val="00ED210C"/>
    <w:rsid w:val="00ED2681"/>
    <w:rsid w:val="00ED5321"/>
    <w:rsid w:val="00ED6871"/>
    <w:rsid w:val="00ED69B2"/>
    <w:rsid w:val="00EE03E5"/>
    <w:rsid w:val="00EE1151"/>
    <w:rsid w:val="00EE20E3"/>
    <w:rsid w:val="00EE4035"/>
    <w:rsid w:val="00EE7DAB"/>
    <w:rsid w:val="00EE7F15"/>
    <w:rsid w:val="00EF58EB"/>
    <w:rsid w:val="00F00842"/>
    <w:rsid w:val="00F010A4"/>
    <w:rsid w:val="00F01F70"/>
    <w:rsid w:val="00F02E57"/>
    <w:rsid w:val="00F0675B"/>
    <w:rsid w:val="00F06AFB"/>
    <w:rsid w:val="00F12374"/>
    <w:rsid w:val="00F1651B"/>
    <w:rsid w:val="00F1789E"/>
    <w:rsid w:val="00F21CFA"/>
    <w:rsid w:val="00F22200"/>
    <w:rsid w:val="00F24A32"/>
    <w:rsid w:val="00F25D9C"/>
    <w:rsid w:val="00F25E25"/>
    <w:rsid w:val="00F32CB4"/>
    <w:rsid w:val="00F339B3"/>
    <w:rsid w:val="00F33DFD"/>
    <w:rsid w:val="00F351D6"/>
    <w:rsid w:val="00F3683D"/>
    <w:rsid w:val="00F37754"/>
    <w:rsid w:val="00F428AE"/>
    <w:rsid w:val="00F44BA9"/>
    <w:rsid w:val="00F501CF"/>
    <w:rsid w:val="00F50A54"/>
    <w:rsid w:val="00F50DF1"/>
    <w:rsid w:val="00F546E9"/>
    <w:rsid w:val="00F5493A"/>
    <w:rsid w:val="00F549FA"/>
    <w:rsid w:val="00F55597"/>
    <w:rsid w:val="00F57D02"/>
    <w:rsid w:val="00F57DF1"/>
    <w:rsid w:val="00F63911"/>
    <w:rsid w:val="00F66E4F"/>
    <w:rsid w:val="00F67513"/>
    <w:rsid w:val="00F71300"/>
    <w:rsid w:val="00F73D7A"/>
    <w:rsid w:val="00F750CF"/>
    <w:rsid w:val="00F810EA"/>
    <w:rsid w:val="00F839C1"/>
    <w:rsid w:val="00F83D08"/>
    <w:rsid w:val="00F851AE"/>
    <w:rsid w:val="00F8625B"/>
    <w:rsid w:val="00F908D3"/>
    <w:rsid w:val="00F93350"/>
    <w:rsid w:val="00F94505"/>
    <w:rsid w:val="00F965C9"/>
    <w:rsid w:val="00F96C10"/>
    <w:rsid w:val="00FA0183"/>
    <w:rsid w:val="00FA15D1"/>
    <w:rsid w:val="00FA1E61"/>
    <w:rsid w:val="00FA3827"/>
    <w:rsid w:val="00FA3CBA"/>
    <w:rsid w:val="00FA674C"/>
    <w:rsid w:val="00FA67E4"/>
    <w:rsid w:val="00FA7297"/>
    <w:rsid w:val="00FB2DE9"/>
    <w:rsid w:val="00FB455B"/>
    <w:rsid w:val="00FB53EB"/>
    <w:rsid w:val="00FC1B23"/>
    <w:rsid w:val="00FC1C75"/>
    <w:rsid w:val="00FC43FF"/>
    <w:rsid w:val="00FC7FD1"/>
    <w:rsid w:val="00FD0961"/>
    <w:rsid w:val="00FD27C9"/>
    <w:rsid w:val="00FD6A4D"/>
    <w:rsid w:val="00FE0A35"/>
    <w:rsid w:val="00FE186D"/>
    <w:rsid w:val="00FE1EA7"/>
    <w:rsid w:val="00FE242C"/>
    <w:rsid w:val="00FE3011"/>
    <w:rsid w:val="00FE3B14"/>
    <w:rsid w:val="00FE3B95"/>
    <w:rsid w:val="00FE41BE"/>
    <w:rsid w:val="00FF2CB9"/>
    <w:rsid w:val="00FF3AE5"/>
    <w:rsid w:val="00FF4CF7"/>
    <w:rsid w:val="00FF4DC3"/>
    <w:rsid w:val="00FF6F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E454F"/>
  <w15:chartTrackingRefBased/>
  <w15:docId w15:val="{57EF5A23-9450-412B-B4E5-363F725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D4"/>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s,Footnote Text Char2 Char1,Footnote Text Char Char1 Char1,Footnote Text Char1 Char Char Char,Footnote Text Char Char Char Char Char,Footnote Text Char1 Char1 Char,Footnote Text Char Char Char1 Char"/>
    <w:basedOn w:val="Normal"/>
    <w:link w:val="FootnoteTextChar"/>
    <w:uiPriority w:val="99"/>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Heading1Char">
    <w:name w:val="Heading 1 Char"/>
    <w:link w:val="Heading1"/>
    <w:rsid w:val="00D7126E"/>
    <w:rPr>
      <w:rFonts w:ascii="Gill Sans MT" w:eastAsia="Times New Roman" w:hAnsi="Gill Sans MT" w:cs="Arial"/>
      <w:b/>
      <w:bCs/>
      <w:kern w:val="32"/>
      <w:sz w:val="32"/>
      <w:szCs w:val="32"/>
      <w:lang w:eastAsia="en-US"/>
    </w:rPr>
  </w:style>
  <w:style w:type="paragraph" w:customStyle="1" w:styleId="Style1">
    <w:name w:val="Style1"/>
    <w:basedOn w:val="NormalWeb"/>
    <w:link w:val="Style1Char"/>
    <w:qFormat/>
    <w:rsid w:val="00D7126E"/>
    <w:pPr>
      <w:shd w:val="clear" w:color="auto" w:fill="FFFFFF"/>
      <w:spacing w:after="150"/>
    </w:pPr>
    <w:rPr>
      <w:rFonts w:ascii="Gill Sans MT" w:hAnsi="Gill Sans MT"/>
      <w:color w:val="000000"/>
      <w:sz w:val="26"/>
      <w:szCs w:val="26"/>
      <w:lang w:eastAsia="en-IE"/>
    </w:rPr>
  </w:style>
  <w:style w:type="character" w:customStyle="1" w:styleId="Style1Char">
    <w:name w:val="Style1 Char"/>
    <w:link w:val="Style1"/>
    <w:rsid w:val="00D7126E"/>
    <w:rPr>
      <w:rFonts w:ascii="Gill Sans MT" w:eastAsia="Times New Roman" w:hAnsi="Gill Sans MT"/>
      <w:color w:val="000000"/>
      <w:sz w:val="26"/>
      <w:szCs w:val="26"/>
      <w:shd w:val="clear" w:color="auto" w:fill="FFFFFF"/>
    </w:rPr>
  </w:style>
  <w:style w:type="paragraph" w:styleId="NormalWeb">
    <w:name w:val="Normal (Web)"/>
    <w:basedOn w:val="Normal"/>
    <w:uiPriority w:val="99"/>
    <w:rsid w:val="00D7126E"/>
    <w:rPr>
      <w:rFonts w:ascii="Times New Roman" w:hAnsi="Times New Roman"/>
      <w:sz w:val="24"/>
    </w:rPr>
  </w:style>
  <w:style w:type="character" w:customStyle="1" w:styleId="FootnoteTextChar">
    <w:name w:val="Footnote Text Char"/>
    <w:aliases w:val="Footnotes Char,Footnote Text Char2 Char1 Char,Footnote Text Char Char1 Char1 Char,Footnote Text Char1 Char Char Char Char,Footnote Text Char Char Char Char Char Char,Footnote Text Char1 Char1 Char Char"/>
    <w:basedOn w:val="DefaultParagraphFont"/>
    <w:link w:val="FootnoteText"/>
    <w:uiPriority w:val="99"/>
    <w:rsid w:val="00943F66"/>
    <w:rPr>
      <w:rFonts w:ascii="Gill Sans MT" w:eastAsia="Times New Roman" w:hAnsi="Gill Sans MT"/>
      <w:sz w:val="22"/>
      <w:lang w:eastAsia="en-US"/>
    </w:rPr>
  </w:style>
  <w:style w:type="character" w:styleId="CommentReference">
    <w:name w:val="annotation reference"/>
    <w:basedOn w:val="DefaultParagraphFont"/>
    <w:rsid w:val="00943F66"/>
    <w:rPr>
      <w:sz w:val="16"/>
      <w:szCs w:val="16"/>
    </w:rPr>
  </w:style>
  <w:style w:type="paragraph" w:styleId="CommentSubject">
    <w:name w:val="annotation subject"/>
    <w:basedOn w:val="CommentText"/>
    <w:next w:val="CommentText"/>
    <w:link w:val="CommentSubjectChar"/>
    <w:rsid w:val="00943F66"/>
    <w:rPr>
      <w:rFonts w:ascii="Gill Sans MT" w:hAnsi="Gill Sans MT"/>
      <w:b/>
      <w:bCs/>
      <w:szCs w:val="20"/>
      <w:lang w:val="en-IE"/>
    </w:rPr>
  </w:style>
  <w:style w:type="character" w:customStyle="1" w:styleId="CommentSubjectChar">
    <w:name w:val="Comment Subject Char"/>
    <w:basedOn w:val="CommentTextChar"/>
    <w:link w:val="CommentSubject"/>
    <w:rsid w:val="00943F66"/>
    <w:rPr>
      <w:rFonts w:ascii="Gill Sans MT" w:eastAsia="Times New Roman" w:hAnsi="Gill Sans MT"/>
      <w:b/>
      <w:bCs/>
      <w:szCs w:val="24"/>
      <w:lang w:eastAsia="en-US"/>
    </w:rPr>
  </w:style>
  <w:style w:type="paragraph" w:styleId="BalloonText">
    <w:name w:val="Balloon Text"/>
    <w:basedOn w:val="Normal"/>
    <w:link w:val="BalloonTextChar"/>
    <w:rsid w:val="00943F66"/>
    <w:pPr>
      <w:spacing w:after="0"/>
    </w:pPr>
    <w:rPr>
      <w:rFonts w:ascii="Segoe UI" w:hAnsi="Segoe UI" w:cs="Segoe UI"/>
      <w:sz w:val="18"/>
      <w:szCs w:val="18"/>
    </w:rPr>
  </w:style>
  <w:style w:type="character" w:customStyle="1" w:styleId="BalloonTextChar">
    <w:name w:val="Balloon Text Char"/>
    <w:basedOn w:val="DefaultParagraphFont"/>
    <w:link w:val="BalloonText"/>
    <w:rsid w:val="00943F66"/>
    <w:rPr>
      <w:rFonts w:ascii="Segoe UI" w:eastAsia="Times New Roman" w:hAnsi="Segoe UI" w:cs="Segoe UI"/>
      <w:sz w:val="18"/>
      <w:szCs w:val="18"/>
      <w:lang w:eastAsia="en-US"/>
    </w:rPr>
  </w:style>
  <w:style w:type="table" w:styleId="TableGrid">
    <w:name w:val="Table Grid"/>
    <w:basedOn w:val="TableNormal"/>
    <w:rsid w:val="0014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21F6"/>
    <w:pPr>
      <w:autoSpaceDE w:val="0"/>
      <w:autoSpaceDN w:val="0"/>
      <w:adjustRightInd w:val="0"/>
    </w:pPr>
    <w:rPr>
      <w:rFonts w:ascii="Sabon LT Pro" w:hAnsi="Sabon LT Pro" w:cs="Sabon LT Pro"/>
      <w:color w:val="000000"/>
      <w:sz w:val="24"/>
      <w:szCs w:val="24"/>
    </w:rPr>
  </w:style>
  <w:style w:type="paragraph" w:styleId="TOCHeading">
    <w:name w:val="TOC Heading"/>
    <w:basedOn w:val="Heading1"/>
    <w:next w:val="Normal"/>
    <w:uiPriority w:val="39"/>
    <w:unhideWhenUsed/>
    <w:qFormat/>
    <w:rsid w:val="001D413F"/>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1D413F"/>
    <w:pPr>
      <w:spacing w:after="100"/>
      <w:ind w:left="520"/>
    </w:pPr>
  </w:style>
  <w:style w:type="character" w:customStyle="1" w:styleId="Heading3Char">
    <w:name w:val="Heading 3 Char"/>
    <w:basedOn w:val="DefaultParagraphFont"/>
    <w:link w:val="Heading3"/>
    <w:rsid w:val="005979F4"/>
    <w:rPr>
      <w:rFonts w:ascii="Gill Sans MT" w:eastAsia="Times New Roman" w:hAnsi="Gill Sans MT" w:cs="Arial Bold"/>
      <w:b/>
      <w:bCs/>
      <w:sz w:val="26"/>
      <w:szCs w:val="24"/>
      <w:lang w:eastAsia="en-US"/>
    </w:rPr>
  </w:style>
  <w:style w:type="character" w:customStyle="1" w:styleId="Heading2Char">
    <w:name w:val="Heading 2 Char"/>
    <w:basedOn w:val="DefaultParagraphFont"/>
    <w:link w:val="Heading2"/>
    <w:rsid w:val="003032DB"/>
    <w:rPr>
      <w:rFonts w:ascii="Gill Sans MT" w:eastAsia="Times New Roman" w:hAnsi="Gill Sans MT" w:cs="Arial Bold"/>
      <w:b/>
      <w:bCs/>
      <w:iCs/>
      <w:sz w:val="28"/>
      <w:szCs w:val="28"/>
      <w:lang w:eastAsia="en-US"/>
    </w:rPr>
  </w:style>
  <w:style w:type="paragraph" w:styleId="ListParagraph">
    <w:name w:val="List Paragraph"/>
    <w:basedOn w:val="Normal"/>
    <w:uiPriority w:val="34"/>
    <w:qFormat/>
    <w:rsid w:val="00972D35"/>
    <w:pPr>
      <w:ind w:left="720"/>
      <w:contextualSpacing/>
    </w:pPr>
  </w:style>
  <w:style w:type="paragraph" w:customStyle="1" w:styleId="xxmsonormal">
    <w:name w:val="x_xmsonormal"/>
    <w:basedOn w:val="Normal"/>
    <w:rsid w:val="00FD27C9"/>
    <w:pPr>
      <w:spacing w:after="0"/>
    </w:pPr>
    <w:rPr>
      <w:rFonts w:ascii="Times New Roman" w:eastAsiaTheme="minorHAns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998">
      <w:bodyDiv w:val="1"/>
      <w:marLeft w:val="0"/>
      <w:marRight w:val="0"/>
      <w:marTop w:val="0"/>
      <w:marBottom w:val="0"/>
      <w:divBdr>
        <w:top w:val="none" w:sz="0" w:space="0" w:color="auto"/>
        <w:left w:val="none" w:sz="0" w:space="0" w:color="auto"/>
        <w:bottom w:val="none" w:sz="0" w:space="0" w:color="auto"/>
        <w:right w:val="none" w:sz="0" w:space="0" w:color="auto"/>
      </w:divBdr>
    </w:div>
    <w:div w:id="373232716">
      <w:bodyDiv w:val="1"/>
      <w:marLeft w:val="0"/>
      <w:marRight w:val="0"/>
      <w:marTop w:val="0"/>
      <w:marBottom w:val="0"/>
      <w:divBdr>
        <w:top w:val="none" w:sz="0" w:space="0" w:color="auto"/>
        <w:left w:val="none" w:sz="0" w:space="0" w:color="auto"/>
        <w:bottom w:val="none" w:sz="0" w:space="0" w:color="auto"/>
        <w:right w:val="none" w:sz="0" w:space="0" w:color="auto"/>
      </w:divBdr>
    </w:div>
    <w:div w:id="380326943">
      <w:bodyDiv w:val="1"/>
      <w:marLeft w:val="0"/>
      <w:marRight w:val="0"/>
      <w:marTop w:val="0"/>
      <w:marBottom w:val="0"/>
      <w:divBdr>
        <w:top w:val="none" w:sz="0" w:space="0" w:color="auto"/>
        <w:left w:val="none" w:sz="0" w:space="0" w:color="auto"/>
        <w:bottom w:val="none" w:sz="0" w:space="0" w:color="auto"/>
        <w:right w:val="none" w:sz="0" w:space="0" w:color="auto"/>
      </w:divBdr>
    </w:div>
    <w:div w:id="744690632">
      <w:bodyDiv w:val="1"/>
      <w:marLeft w:val="0"/>
      <w:marRight w:val="0"/>
      <w:marTop w:val="0"/>
      <w:marBottom w:val="0"/>
      <w:divBdr>
        <w:top w:val="none" w:sz="0" w:space="0" w:color="auto"/>
        <w:left w:val="none" w:sz="0" w:space="0" w:color="auto"/>
        <w:bottom w:val="none" w:sz="0" w:space="0" w:color="auto"/>
        <w:right w:val="none" w:sz="0" w:space="0" w:color="auto"/>
      </w:divBdr>
      <w:divsChild>
        <w:div w:id="2039354001">
          <w:marLeft w:val="0"/>
          <w:marRight w:val="0"/>
          <w:marTop w:val="0"/>
          <w:marBottom w:val="0"/>
          <w:divBdr>
            <w:top w:val="none" w:sz="0" w:space="0" w:color="auto"/>
            <w:left w:val="none" w:sz="0" w:space="0" w:color="auto"/>
            <w:bottom w:val="none" w:sz="0" w:space="0" w:color="auto"/>
            <w:right w:val="none" w:sz="0" w:space="0" w:color="auto"/>
          </w:divBdr>
        </w:div>
        <w:div w:id="1541895383">
          <w:marLeft w:val="0"/>
          <w:marRight w:val="0"/>
          <w:marTop w:val="0"/>
          <w:marBottom w:val="0"/>
          <w:divBdr>
            <w:top w:val="none" w:sz="0" w:space="0" w:color="auto"/>
            <w:left w:val="none" w:sz="0" w:space="0" w:color="auto"/>
            <w:bottom w:val="none" w:sz="0" w:space="0" w:color="auto"/>
            <w:right w:val="none" w:sz="0" w:space="0" w:color="auto"/>
          </w:divBdr>
        </w:div>
        <w:div w:id="643899832">
          <w:marLeft w:val="0"/>
          <w:marRight w:val="0"/>
          <w:marTop w:val="0"/>
          <w:marBottom w:val="0"/>
          <w:divBdr>
            <w:top w:val="none" w:sz="0" w:space="0" w:color="auto"/>
            <w:left w:val="none" w:sz="0" w:space="0" w:color="auto"/>
            <w:bottom w:val="none" w:sz="0" w:space="0" w:color="auto"/>
            <w:right w:val="none" w:sz="0" w:space="0" w:color="auto"/>
          </w:divBdr>
          <w:divsChild>
            <w:div w:id="233517076">
              <w:marLeft w:val="0"/>
              <w:marRight w:val="0"/>
              <w:marTop w:val="0"/>
              <w:marBottom w:val="0"/>
              <w:divBdr>
                <w:top w:val="none" w:sz="0" w:space="0" w:color="auto"/>
                <w:left w:val="none" w:sz="0" w:space="0" w:color="auto"/>
                <w:bottom w:val="none" w:sz="0" w:space="0" w:color="auto"/>
                <w:right w:val="none" w:sz="0" w:space="0" w:color="auto"/>
              </w:divBdr>
            </w:div>
            <w:div w:id="2056193151">
              <w:marLeft w:val="0"/>
              <w:marRight w:val="0"/>
              <w:marTop w:val="0"/>
              <w:marBottom w:val="0"/>
              <w:divBdr>
                <w:top w:val="none" w:sz="0" w:space="0" w:color="auto"/>
                <w:left w:val="none" w:sz="0" w:space="0" w:color="auto"/>
                <w:bottom w:val="none" w:sz="0" w:space="0" w:color="auto"/>
                <w:right w:val="none" w:sz="0" w:space="0" w:color="auto"/>
              </w:divBdr>
            </w:div>
            <w:div w:id="90470482">
              <w:marLeft w:val="0"/>
              <w:marRight w:val="0"/>
              <w:marTop w:val="0"/>
              <w:marBottom w:val="0"/>
              <w:divBdr>
                <w:top w:val="none" w:sz="0" w:space="0" w:color="auto"/>
                <w:left w:val="none" w:sz="0" w:space="0" w:color="auto"/>
                <w:bottom w:val="none" w:sz="0" w:space="0" w:color="auto"/>
                <w:right w:val="none" w:sz="0" w:space="0" w:color="auto"/>
              </w:divBdr>
            </w:div>
            <w:div w:id="127361644">
              <w:marLeft w:val="0"/>
              <w:marRight w:val="0"/>
              <w:marTop w:val="0"/>
              <w:marBottom w:val="0"/>
              <w:divBdr>
                <w:top w:val="none" w:sz="0" w:space="0" w:color="auto"/>
                <w:left w:val="none" w:sz="0" w:space="0" w:color="auto"/>
                <w:bottom w:val="none" w:sz="0" w:space="0" w:color="auto"/>
                <w:right w:val="none" w:sz="0" w:space="0" w:color="auto"/>
              </w:divBdr>
            </w:div>
            <w:div w:id="1641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30236">
      <w:bodyDiv w:val="1"/>
      <w:marLeft w:val="0"/>
      <w:marRight w:val="0"/>
      <w:marTop w:val="0"/>
      <w:marBottom w:val="0"/>
      <w:divBdr>
        <w:top w:val="none" w:sz="0" w:space="0" w:color="auto"/>
        <w:left w:val="none" w:sz="0" w:space="0" w:color="auto"/>
        <w:bottom w:val="none" w:sz="0" w:space="0" w:color="auto"/>
        <w:right w:val="none" w:sz="0" w:space="0" w:color="auto"/>
      </w:divBdr>
    </w:div>
    <w:div w:id="1124688959">
      <w:bodyDiv w:val="1"/>
      <w:marLeft w:val="0"/>
      <w:marRight w:val="0"/>
      <w:marTop w:val="0"/>
      <w:marBottom w:val="0"/>
      <w:divBdr>
        <w:top w:val="none" w:sz="0" w:space="0" w:color="auto"/>
        <w:left w:val="none" w:sz="0" w:space="0" w:color="auto"/>
        <w:bottom w:val="none" w:sz="0" w:space="0" w:color="auto"/>
        <w:right w:val="none" w:sz="0" w:space="0" w:color="auto"/>
      </w:divBdr>
    </w:div>
    <w:div w:id="1152791520">
      <w:bodyDiv w:val="1"/>
      <w:marLeft w:val="0"/>
      <w:marRight w:val="0"/>
      <w:marTop w:val="0"/>
      <w:marBottom w:val="0"/>
      <w:divBdr>
        <w:top w:val="none" w:sz="0" w:space="0" w:color="auto"/>
        <w:left w:val="none" w:sz="0" w:space="0" w:color="auto"/>
        <w:bottom w:val="none" w:sz="0" w:space="0" w:color="auto"/>
        <w:right w:val="none" w:sz="0" w:space="0" w:color="auto"/>
      </w:divBdr>
    </w:div>
    <w:div w:id="1223251245">
      <w:bodyDiv w:val="1"/>
      <w:marLeft w:val="0"/>
      <w:marRight w:val="0"/>
      <w:marTop w:val="0"/>
      <w:marBottom w:val="0"/>
      <w:divBdr>
        <w:top w:val="none" w:sz="0" w:space="0" w:color="auto"/>
        <w:left w:val="none" w:sz="0" w:space="0" w:color="auto"/>
        <w:bottom w:val="none" w:sz="0" w:space="0" w:color="auto"/>
        <w:right w:val="none" w:sz="0" w:space="0" w:color="auto"/>
      </w:divBdr>
    </w:div>
    <w:div w:id="1275942346">
      <w:bodyDiv w:val="1"/>
      <w:marLeft w:val="0"/>
      <w:marRight w:val="0"/>
      <w:marTop w:val="0"/>
      <w:marBottom w:val="0"/>
      <w:divBdr>
        <w:top w:val="none" w:sz="0" w:space="0" w:color="auto"/>
        <w:left w:val="none" w:sz="0" w:space="0" w:color="auto"/>
        <w:bottom w:val="none" w:sz="0" w:space="0" w:color="auto"/>
        <w:right w:val="none" w:sz="0" w:space="0" w:color="auto"/>
      </w:divBdr>
      <w:divsChild>
        <w:div w:id="921597282">
          <w:marLeft w:val="0"/>
          <w:marRight w:val="0"/>
          <w:marTop w:val="0"/>
          <w:marBottom w:val="0"/>
          <w:divBdr>
            <w:top w:val="none" w:sz="0" w:space="0" w:color="auto"/>
            <w:left w:val="none" w:sz="0" w:space="0" w:color="auto"/>
            <w:bottom w:val="none" w:sz="0" w:space="0" w:color="auto"/>
            <w:right w:val="none" w:sz="0" w:space="0" w:color="auto"/>
          </w:divBdr>
        </w:div>
        <w:div w:id="1603024687">
          <w:marLeft w:val="0"/>
          <w:marRight w:val="0"/>
          <w:marTop w:val="0"/>
          <w:marBottom w:val="0"/>
          <w:divBdr>
            <w:top w:val="none" w:sz="0" w:space="0" w:color="auto"/>
            <w:left w:val="none" w:sz="0" w:space="0" w:color="auto"/>
            <w:bottom w:val="none" w:sz="0" w:space="0" w:color="auto"/>
            <w:right w:val="none" w:sz="0" w:space="0" w:color="auto"/>
          </w:divBdr>
        </w:div>
        <w:div w:id="479999293">
          <w:marLeft w:val="0"/>
          <w:marRight w:val="0"/>
          <w:marTop w:val="0"/>
          <w:marBottom w:val="0"/>
          <w:divBdr>
            <w:top w:val="none" w:sz="0" w:space="0" w:color="auto"/>
            <w:left w:val="none" w:sz="0" w:space="0" w:color="auto"/>
            <w:bottom w:val="none" w:sz="0" w:space="0" w:color="auto"/>
            <w:right w:val="none" w:sz="0" w:space="0" w:color="auto"/>
          </w:divBdr>
        </w:div>
        <w:div w:id="2073966031">
          <w:marLeft w:val="0"/>
          <w:marRight w:val="0"/>
          <w:marTop w:val="0"/>
          <w:marBottom w:val="0"/>
          <w:divBdr>
            <w:top w:val="none" w:sz="0" w:space="0" w:color="auto"/>
            <w:left w:val="none" w:sz="0" w:space="0" w:color="auto"/>
            <w:bottom w:val="none" w:sz="0" w:space="0" w:color="auto"/>
            <w:right w:val="none" w:sz="0" w:space="0" w:color="auto"/>
          </w:divBdr>
        </w:div>
        <w:div w:id="1601140298">
          <w:marLeft w:val="0"/>
          <w:marRight w:val="0"/>
          <w:marTop w:val="0"/>
          <w:marBottom w:val="0"/>
          <w:divBdr>
            <w:top w:val="none" w:sz="0" w:space="0" w:color="auto"/>
            <w:left w:val="none" w:sz="0" w:space="0" w:color="auto"/>
            <w:bottom w:val="none" w:sz="0" w:space="0" w:color="auto"/>
            <w:right w:val="none" w:sz="0" w:space="0" w:color="auto"/>
          </w:divBdr>
        </w:div>
        <w:div w:id="766075596">
          <w:marLeft w:val="0"/>
          <w:marRight w:val="0"/>
          <w:marTop w:val="0"/>
          <w:marBottom w:val="0"/>
          <w:divBdr>
            <w:top w:val="none" w:sz="0" w:space="0" w:color="auto"/>
            <w:left w:val="none" w:sz="0" w:space="0" w:color="auto"/>
            <w:bottom w:val="none" w:sz="0" w:space="0" w:color="auto"/>
            <w:right w:val="none" w:sz="0" w:space="0" w:color="auto"/>
          </w:divBdr>
        </w:div>
        <w:div w:id="1392190774">
          <w:marLeft w:val="0"/>
          <w:marRight w:val="0"/>
          <w:marTop w:val="0"/>
          <w:marBottom w:val="0"/>
          <w:divBdr>
            <w:top w:val="none" w:sz="0" w:space="0" w:color="auto"/>
            <w:left w:val="none" w:sz="0" w:space="0" w:color="auto"/>
            <w:bottom w:val="none" w:sz="0" w:space="0" w:color="auto"/>
            <w:right w:val="none" w:sz="0" w:space="0" w:color="auto"/>
          </w:divBdr>
        </w:div>
        <w:div w:id="632102334">
          <w:marLeft w:val="0"/>
          <w:marRight w:val="0"/>
          <w:marTop w:val="0"/>
          <w:marBottom w:val="0"/>
          <w:divBdr>
            <w:top w:val="none" w:sz="0" w:space="0" w:color="auto"/>
            <w:left w:val="none" w:sz="0" w:space="0" w:color="auto"/>
            <w:bottom w:val="none" w:sz="0" w:space="0" w:color="auto"/>
            <w:right w:val="none" w:sz="0" w:space="0" w:color="auto"/>
          </w:divBdr>
        </w:div>
        <w:div w:id="113644247">
          <w:marLeft w:val="0"/>
          <w:marRight w:val="0"/>
          <w:marTop w:val="0"/>
          <w:marBottom w:val="0"/>
          <w:divBdr>
            <w:top w:val="none" w:sz="0" w:space="0" w:color="auto"/>
            <w:left w:val="none" w:sz="0" w:space="0" w:color="auto"/>
            <w:bottom w:val="none" w:sz="0" w:space="0" w:color="auto"/>
            <w:right w:val="none" w:sz="0" w:space="0" w:color="auto"/>
          </w:divBdr>
        </w:div>
        <w:div w:id="1145700784">
          <w:marLeft w:val="0"/>
          <w:marRight w:val="0"/>
          <w:marTop w:val="0"/>
          <w:marBottom w:val="0"/>
          <w:divBdr>
            <w:top w:val="none" w:sz="0" w:space="0" w:color="auto"/>
            <w:left w:val="none" w:sz="0" w:space="0" w:color="auto"/>
            <w:bottom w:val="none" w:sz="0" w:space="0" w:color="auto"/>
            <w:right w:val="none" w:sz="0" w:space="0" w:color="auto"/>
          </w:divBdr>
        </w:div>
        <w:div w:id="945504229">
          <w:marLeft w:val="0"/>
          <w:marRight w:val="0"/>
          <w:marTop w:val="0"/>
          <w:marBottom w:val="0"/>
          <w:divBdr>
            <w:top w:val="none" w:sz="0" w:space="0" w:color="auto"/>
            <w:left w:val="none" w:sz="0" w:space="0" w:color="auto"/>
            <w:bottom w:val="none" w:sz="0" w:space="0" w:color="auto"/>
            <w:right w:val="none" w:sz="0" w:space="0" w:color="auto"/>
          </w:divBdr>
        </w:div>
        <w:div w:id="1147940094">
          <w:marLeft w:val="0"/>
          <w:marRight w:val="0"/>
          <w:marTop w:val="0"/>
          <w:marBottom w:val="0"/>
          <w:divBdr>
            <w:top w:val="none" w:sz="0" w:space="0" w:color="auto"/>
            <w:left w:val="none" w:sz="0" w:space="0" w:color="auto"/>
            <w:bottom w:val="none" w:sz="0" w:space="0" w:color="auto"/>
            <w:right w:val="none" w:sz="0" w:space="0" w:color="auto"/>
          </w:divBdr>
        </w:div>
        <w:div w:id="510729384">
          <w:marLeft w:val="0"/>
          <w:marRight w:val="0"/>
          <w:marTop w:val="0"/>
          <w:marBottom w:val="0"/>
          <w:divBdr>
            <w:top w:val="none" w:sz="0" w:space="0" w:color="auto"/>
            <w:left w:val="none" w:sz="0" w:space="0" w:color="auto"/>
            <w:bottom w:val="none" w:sz="0" w:space="0" w:color="auto"/>
            <w:right w:val="none" w:sz="0" w:space="0" w:color="auto"/>
          </w:divBdr>
        </w:div>
        <w:div w:id="1639649840">
          <w:marLeft w:val="0"/>
          <w:marRight w:val="0"/>
          <w:marTop w:val="0"/>
          <w:marBottom w:val="0"/>
          <w:divBdr>
            <w:top w:val="none" w:sz="0" w:space="0" w:color="auto"/>
            <w:left w:val="none" w:sz="0" w:space="0" w:color="auto"/>
            <w:bottom w:val="none" w:sz="0" w:space="0" w:color="auto"/>
            <w:right w:val="none" w:sz="0" w:space="0" w:color="auto"/>
          </w:divBdr>
        </w:div>
        <w:div w:id="1283806397">
          <w:marLeft w:val="0"/>
          <w:marRight w:val="0"/>
          <w:marTop w:val="0"/>
          <w:marBottom w:val="0"/>
          <w:divBdr>
            <w:top w:val="none" w:sz="0" w:space="0" w:color="auto"/>
            <w:left w:val="none" w:sz="0" w:space="0" w:color="auto"/>
            <w:bottom w:val="none" w:sz="0" w:space="0" w:color="auto"/>
            <w:right w:val="none" w:sz="0" w:space="0" w:color="auto"/>
          </w:divBdr>
        </w:div>
        <w:div w:id="1728602655">
          <w:marLeft w:val="0"/>
          <w:marRight w:val="0"/>
          <w:marTop w:val="0"/>
          <w:marBottom w:val="0"/>
          <w:divBdr>
            <w:top w:val="none" w:sz="0" w:space="0" w:color="auto"/>
            <w:left w:val="none" w:sz="0" w:space="0" w:color="auto"/>
            <w:bottom w:val="none" w:sz="0" w:space="0" w:color="auto"/>
            <w:right w:val="none" w:sz="0" w:space="0" w:color="auto"/>
          </w:divBdr>
        </w:div>
        <w:div w:id="1439254347">
          <w:marLeft w:val="0"/>
          <w:marRight w:val="0"/>
          <w:marTop w:val="0"/>
          <w:marBottom w:val="0"/>
          <w:divBdr>
            <w:top w:val="none" w:sz="0" w:space="0" w:color="auto"/>
            <w:left w:val="none" w:sz="0" w:space="0" w:color="auto"/>
            <w:bottom w:val="none" w:sz="0" w:space="0" w:color="auto"/>
            <w:right w:val="none" w:sz="0" w:space="0" w:color="auto"/>
          </w:divBdr>
        </w:div>
        <w:div w:id="625476233">
          <w:marLeft w:val="0"/>
          <w:marRight w:val="0"/>
          <w:marTop w:val="0"/>
          <w:marBottom w:val="0"/>
          <w:divBdr>
            <w:top w:val="none" w:sz="0" w:space="0" w:color="auto"/>
            <w:left w:val="none" w:sz="0" w:space="0" w:color="auto"/>
            <w:bottom w:val="none" w:sz="0" w:space="0" w:color="auto"/>
            <w:right w:val="none" w:sz="0" w:space="0" w:color="auto"/>
          </w:divBdr>
        </w:div>
      </w:divsChild>
    </w:div>
    <w:div w:id="1450005259">
      <w:bodyDiv w:val="1"/>
      <w:marLeft w:val="0"/>
      <w:marRight w:val="0"/>
      <w:marTop w:val="0"/>
      <w:marBottom w:val="0"/>
      <w:divBdr>
        <w:top w:val="none" w:sz="0" w:space="0" w:color="auto"/>
        <w:left w:val="none" w:sz="0" w:space="0" w:color="auto"/>
        <w:bottom w:val="none" w:sz="0" w:space="0" w:color="auto"/>
        <w:right w:val="none" w:sz="0" w:space="0" w:color="auto"/>
      </w:divBdr>
    </w:div>
    <w:div w:id="1687445265">
      <w:bodyDiv w:val="1"/>
      <w:marLeft w:val="0"/>
      <w:marRight w:val="0"/>
      <w:marTop w:val="0"/>
      <w:marBottom w:val="0"/>
      <w:divBdr>
        <w:top w:val="none" w:sz="0" w:space="0" w:color="auto"/>
        <w:left w:val="none" w:sz="0" w:space="0" w:color="auto"/>
        <w:bottom w:val="none" w:sz="0" w:space="0" w:color="auto"/>
        <w:right w:val="none" w:sz="0" w:space="0" w:color="auto"/>
      </w:divBdr>
    </w:div>
    <w:div w:id="1720129273">
      <w:bodyDiv w:val="1"/>
      <w:marLeft w:val="0"/>
      <w:marRight w:val="0"/>
      <w:marTop w:val="0"/>
      <w:marBottom w:val="0"/>
      <w:divBdr>
        <w:top w:val="none" w:sz="0" w:space="0" w:color="auto"/>
        <w:left w:val="none" w:sz="0" w:space="0" w:color="auto"/>
        <w:bottom w:val="none" w:sz="0" w:space="0" w:color="auto"/>
        <w:right w:val="none" w:sz="0" w:space="0" w:color="auto"/>
      </w:divBdr>
    </w:div>
    <w:div w:id="2002730414">
      <w:bodyDiv w:val="1"/>
      <w:marLeft w:val="0"/>
      <w:marRight w:val="0"/>
      <w:marTop w:val="0"/>
      <w:marBottom w:val="0"/>
      <w:divBdr>
        <w:top w:val="none" w:sz="0" w:space="0" w:color="auto"/>
        <w:left w:val="none" w:sz="0" w:space="0" w:color="auto"/>
        <w:bottom w:val="none" w:sz="0" w:space="0" w:color="auto"/>
        <w:right w:val="none" w:sz="0" w:space="0" w:color="auto"/>
      </w:divBdr>
      <w:divsChild>
        <w:div w:id="744760322">
          <w:marLeft w:val="0"/>
          <w:marRight w:val="0"/>
          <w:marTop w:val="0"/>
          <w:marBottom w:val="0"/>
          <w:divBdr>
            <w:top w:val="none" w:sz="0" w:space="0" w:color="auto"/>
            <w:left w:val="none" w:sz="0" w:space="0" w:color="auto"/>
            <w:bottom w:val="none" w:sz="0" w:space="0" w:color="auto"/>
            <w:right w:val="none" w:sz="0" w:space="0" w:color="auto"/>
          </w:divBdr>
          <w:divsChild>
            <w:div w:id="1345665656">
              <w:marLeft w:val="0"/>
              <w:marRight w:val="0"/>
              <w:marTop w:val="0"/>
              <w:marBottom w:val="0"/>
              <w:divBdr>
                <w:top w:val="none" w:sz="0" w:space="0" w:color="auto"/>
                <w:left w:val="none" w:sz="0" w:space="0" w:color="auto"/>
                <w:bottom w:val="none" w:sz="0" w:space="0" w:color="auto"/>
                <w:right w:val="none" w:sz="0" w:space="0" w:color="auto"/>
              </w:divBdr>
              <w:divsChild>
                <w:div w:id="1591962329">
                  <w:marLeft w:val="0"/>
                  <w:marRight w:val="0"/>
                  <w:marTop w:val="0"/>
                  <w:marBottom w:val="0"/>
                  <w:divBdr>
                    <w:top w:val="none" w:sz="0" w:space="0" w:color="auto"/>
                    <w:left w:val="none" w:sz="0" w:space="0" w:color="auto"/>
                    <w:bottom w:val="none" w:sz="0" w:space="0" w:color="auto"/>
                    <w:right w:val="none" w:sz="0" w:space="0" w:color="auto"/>
                  </w:divBdr>
                </w:div>
                <w:div w:id="992103965">
                  <w:marLeft w:val="0"/>
                  <w:marRight w:val="0"/>
                  <w:marTop w:val="0"/>
                  <w:marBottom w:val="0"/>
                  <w:divBdr>
                    <w:top w:val="none" w:sz="0" w:space="0" w:color="auto"/>
                    <w:left w:val="none" w:sz="0" w:space="0" w:color="auto"/>
                    <w:bottom w:val="none" w:sz="0" w:space="0" w:color="auto"/>
                    <w:right w:val="none" w:sz="0" w:space="0" w:color="auto"/>
                  </w:divBdr>
                </w:div>
                <w:div w:id="1516460896">
                  <w:marLeft w:val="0"/>
                  <w:marRight w:val="0"/>
                  <w:marTop w:val="0"/>
                  <w:marBottom w:val="0"/>
                  <w:divBdr>
                    <w:top w:val="none" w:sz="0" w:space="0" w:color="auto"/>
                    <w:left w:val="none" w:sz="0" w:space="0" w:color="auto"/>
                    <w:bottom w:val="none" w:sz="0" w:space="0" w:color="auto"/>
                    <w:right w:val="none" w:sz="0" w:space="0" w:color="auto"/>
                  </w:divBdr>
                </w:div>
                <w:div w:id="664941387">
                  <w:marLeft w:val="0"/>
                  <w:marRight w:val="0"/>
                  <w:marTop w:val="0"/>
                  <w:marBottom w:val="0"/>
                  <w:divBdr>
                    <w:top w:val="none" w:sz="0" w:space="0" w:color="auto"/>
                    <w:left w:val="none" w:sz="0" w:space="0" w:color="auto"/>
                    <w:bottom w:val="none" w:sz="0" w:space="0" w:color="auto"/>
                    <w:right w:val="none" w:sz="0" w:space="0" w:color="auto"/>
                  </w:divBdr>
                </w:div>
                <w:div w:id="1682854263">
                  <w:marLeft w:val="0"/>
                  <w:marRight w:val="0"/>
                  <w:marTop w:val="0"/>
                  <w:marBottom w:val="0"/>
                  <w:divBdr>
                    <w:top w:val="none" w:sz="0" w:space="0" w:color="auto"/>
                    <w:left w:val="none" w:sz="0" w:space="0" w:color="auto"/>
                    <w:bottom w:val="none" w:sz="0" w:space="0" w:color="auto"/>
                    <w:right w:val="none" w:sz="0" w:space="0" w:color="auto"/>
                  </w:divBdr>
                </w:div>
                <w:div w:id="1731465339">
                  <w:marLeft w:val="0"/>
                  <w:marRight w:val="0"/>
                  <w:marTop w:val="0"/>
                  <w:marBottom w:val="0"/>
                  <w:divBdr>
                    <w:top w:val="none" w:sz="0" w:space="0" w:color="auto"/>
                    <w:left w:val="none" w:sz="0" w:space="0" w:color="auto"/>
                    <w:bottom w:val="none" w:sz="0" w:space="0" w:color="auto"/>
                    <w:right w:val="none" w:sz="0" w:space="0" w:color="auto"/>
                  </w:divBdr>
                </w:div>
                <w:div w:id="1570531122">
                  <w:marLeft w:val="0"/>
                  <w:marRight w:val="0"/>
                  <w:marTop w:val="0"/>
                  <w:marBottom w:val="0"/>
                  <w:divBdr>
                    <w:top w:val="none" w:sz="0" w:space="0" w:color="auto"/>
                    <w:left w:val="none" w:sz="0" w:space="0" w:color="auto"/>
                    <w:bottom w:val="none" w:sz="0" w:space="0" w:color="auto"/>
                    <w:right w:val="none" w:sz="0" w:space="0" w:color="auto"/>
                  </w:divBdr>
                </w:div>
                <w:div w:id="70398426">
                  <w:marLeft w:val="0"/>
                  <w:marRight w:val="0"/>
                  <w:marTop w:val="0"/>
                  <w:marBottom w:val="0"/>
                  <w:divBdr>
                    <w:top w:val="none" w:sz="0" w:space="0" w:color="auto"/>
                    <w:left w:val="none" w:sz="0" w:space="0" w:color="auto"/>
                    <w:bottom w:val="none" w:sz="0" w:space="0" w:color="auto"/>
                    <w:right w:val="none" w:sz="0" w:space="0" w:color="auto"/>
                  </w:divBdr>
                </w:div>
                <w:div w:id="2128963750">
                  <w:marLeft w:val="0"/>
                  <w:marRight w:val="0"/>
                  <w:marTop w:val="0"/>
                  <w:marBottom w:val="0"/>
                  <w:divBdr>
                    <w:top w:val="none" w:sz="0" w:space="0" w:color="auto"/>
                    <w:left w:val="none" w:sz="0" w:space="0" w:color="auto"/>
                    <w:bottom w:val="none" w:sz="0" w:space="0" w:color="auto"/>
                    <w:right w:val="none" w:sz="0" w:space="0" w:color="auto"/>
                  </w:divBdr>
                </w:div>
                <w:div w:id="1275213330">
                  <w:marLeft w:val="0"/>
                  <w:marRight w:val="0"/>
                  <w:marTop w:val="0"/>
                  <w:marBottom w:val="0"/>
                  <w:divBdr>
                    <w:top w:val="none" w:sz="0" w:space="0" w:color="auto"/>
                    <w:left w:val="none" w:sz="0" w:space="0" w:color="auto"/>
                    <w:bottom w:val="none" w:sz="0" w:space="0" w:color="auto"/>
                    <w:right w:val="none" w:sz="0" w:space="0" w:color="auto"/>
                  </w:divBdr>
                </w:div>
                <w:div w:id="1496455526">
                  <w:marLeft w:val="0"/>
                  <w:marRight w:val="0"/>
                  <w:marTop w:val="0"/>
                  <w:marBottom w:val="0"/>
                  <w:divBdr>
                    <w:top w:val="none" w:sz="0" w:space="0" w:color="auto"/>
                    <w:left w:val="none" w:sz="0" w:space="0" w:color="auto"/>
                    <w:bottom w:val="none" w:sz="0" w:space="0" w:color="auto"/>
                    <w:right w:val="none" w:sz="0" w:space="0" w:color="auto"/>
                  </w:divBdr>
                </w:div>
                <w:div w:id="1634021749">
                  <w:marLeft w:val="0"/>
                  <w:marRight w:val="0"/>
                  <w:marTop w:val="0"/>
                  <w:marBottom w:val="0"/>
                  <w:divBdr>
                    <w:top w:val="none" w:sz="0" w:space="0" w:color="auto"/>
                    <w:left w:val="none" w:sz="0" w:space="0" w:color="auto"/>
                    <w:bottom w:val="none" w:sz="0" w:space="0" w:color="auto"/>
                    <w:right w:val="none" w:sz="0" w:space="0" w:color="auto"/>
                  </w:divBdr>
                </w:div>
                <w:div w:id="1690568669">
                  <w:marLeft w:val="0"/>
                  <w:marRight w:val="0"/>
                  <w:marTop w:val="0"/>
                  <w:marBottom w:val="0"/>
                  <w:divBdr>
                    <w:top w:val="none" w:sz="0" w:space="0" w:color="auto"/>
                    <w:left w:val="none" w:sz="0" w:space="0" w:color="auto"/>
                    <w:bottom w:val="none" w:sz="0" w:space="0" w:color="auto"/>
                    <w:right w:val="none" w:sz="0" w:space="0" w:color="auto"/>
                  </w:divBdr>
                </w:div>
                <w:div w:id="872881790">
                  <w:marLeft w:val="0"/>
                  <w:marRight w:val="0"/>
                  <w:marTop w:val="0"/>
                  <w:marBottom w:val="0"/>
                  <w:divBdr>
                    <w:top w:val="none" w:sz="0" w:space="0" w:color="auto"/>
                    <w:left w:val="none" w:sz="0" w:space="0" w:color="auto"/>
                    <w:bottom w:val="none" w:sz="0" w:space="0" w:color="auto"/>
                    <w:right w:val="none" w:sz="0" w:space="0" w:color="auto"/>
                  </w:divBdr>
                </w:div>
                <w:div w:id="1685666104">
                  <w:marLeft w:val="0"/>
                  <w:marRight w:val="0"/>
                  <w:marTop w:val="0"/>
                  <w:marBottom w:val="0"/>
                  <w:divBdr>
                    <w:top w:val="none" w:sz="0" w:space="0" w:color="auto"/>
                    <w:left w:val="none" w:sz="0" w:space="0" w:color="auto"/>
                    <w:bottom w:val="none" w:sz="0" w:space="0" w:color="auto"/>
                    <w:right w:val="none" w:sz="0" w:space="0" w:color="auto"/>
                  </w:divBdr>
                </w:div>
                <w:div w:id="1158111884">
                  <w:marLeft w:val="0"/>
                  <w:marRight w:val="0"/>
                  <w:marTop w:val="0"/>
                  <w:marBottom w:val="0"/>
                  <w:divBdr>
                    <w:top w:val="none" w:sz="0" w:space="0" w:color="auto"/>
                    <w:left w:val="none" w:sz="0" w:space="0" w:color="auto"/>
                    <w:bottom w:val="none" w:sz="0" w:space="0" w:color="auto"/>
                    <w:right w:val="none" w:sz="0" w:space="0" w:color="auto"/>
                  </w:divBdr>
                </w:div>
                <w:div w:id="924336381">
                  <w:marLeft w:val="0"/>
                  <w:marRight w:val="0"/>
                  <w:marTop w:val="0"/>
                  <w:marBottom w:val="0"/>
                  <w:divBdr>
                    <w:top w:val="none" w:sz="0" w:space="0" w:color="auto"/>
                    <w:left w:val="none" w:sz="0" w:space="0" w:color="auto"/>
                    <w:bottom w:val="none" w:sz="0" w:space="0" w:color="auto"/>
                    <w:right w:val="none" w:sz="0" w:space="0" w:color="auto"/>
                  </w:divBdr>
                </w:div>
                <w:div w:id="1277759633">
                  <w:marLeft w:val="0"/>
                  <w:marRight w:val="0"/>
                  <w:marTop w:val="0"/>
                  <w:marBottom w:val="0"/>
                  <w:divBdr>
                    <w:top w:val="none" w:sz="0" w:space="0" w:color="auto"/>
                    <w:left w:val="none" w:sz="0" w:space="0" w:color="auto"/>
                    <w:bottom w:val="none" w:sz="0" w:space="0" w:color="auto"/>
                    <w:right w:val="none" w:sz="0" w:space="0" w:color="auto"/>
                  </w:divBdr>
                </w:div>
                <w:div w:id="302197507">
                  <w:marLeft w:val="0"/>
                  <w:marRight w:val="0"/>
                  <w:marTop w:val="0"/>
                  <w:marBottom w:val="0"/>
                  <w:divBdr>
                    <w:top w:val="none" w:sz="0" w:space="0" w:color="auto"/>
                    <w:left w:val="none" w:sz="0" w:space="0" w:color="auto"/>
                    <w:bottom w:val="none" w:sz="0" w:space="0" w:color="auto"/>
                    <w:right w:val="none" w:sz="0" w:space="0" w:color="auto"/>
                  </w:divBdr>
                </w:div>
                <w:div w:id="6686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a.ie/publications/others/uncrpd/series-of-papers-on-individual-united-nations-convention-on-the-rights-of-persons-with-disabilities-uncrpd-article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justice.ie/en/JELR/Action%20Plan%20-%20Second%20National%20Strategy%20on%20Domestic,%20Sexual%20and%20Gender-based%20Violence%202016%20-%202021%20Version%201%20-%20January%202016.pdf/Files/Action%20Plan%20-%20Second%20National%20Strategy%20on%20Domestic,%20Sexual%20and%20Gender-based%20Violence%202016%20-%202021%20Version%201%20-%20January%202016.pdf" TargetMode="External"/><Relationship Id="rId117" Type="http://schemas.openxmlformats.org/officeDocument/2006/relationships/hyperlink" Target="https://www.rcni.ie/wp-content/uploads/RCNI-Statistics-2019.pdf" TargetMode="External"/><Relationship Id="rId21" Type="http://schemas.openxmlformats.org/officeDocument/2006/relationships/hyperlink" Target="https://www.gov.ie/en/publication/97d109-review-of-the-child-care-act-1991/" TargetMode="External"/><Relationship Id="rId42" Type="http://schemas.openxmlformats.org/officeDocument/2006/relationships/hyperlink" Target="https://www.hse.ie/eng/services/news/newsfeatures/confidentialrecipient/" TargetMode="External"/><Relationship Id="rId47" Type="http://schemas.openxmlformats.org/officeDocument/2006/relationships/hyperlink" Target="https://www.hiqa.ie/sites/default/files/2021-11/Overview-Report-Monitoring-and-Regulation-of-Disability-Services_0.pdf" TargetMode="External"/><Relationship Id="rId63" Type="http://schemas.openxmlformats.org/officeDocument/2006/relationships/hyperlink" Target="https://ncca.ie/media/4462/report-on-the-review-of-relationships-and-sexuality-education-rse-in-primary-and-post-primary-school.pdf" TargetMode="External"/><Relationship Id="rId68" Type="http://schemas.openxmlformats.org/officeDocument/2006/relationships/hyperlink" Target="https://justice.ie/en/JELR/DSGBV_Audit_Report.pdf/Files/DSGBV_Audit_Report.pdf" TargetMode="External"/><Relationship Id="rId84" Type="http://schemas.openxmlformats.org/officeDocument/2006/relationships/hyperlink" Target="https://www.nwci.ie/images/uploads/Disabled_Womens_Group_-_3rd_National_Strategy_DSGBV_Submission_JUNE_2020.pdf" TargetMode="External"/><Relationship Id="rId89" Type="http://schemas.openxmlformats.org/officeDocument/2006/relationships/hyperlink" Target="https://www.toointoyou.ie/" TargetMode="External"/><Relationship Id="rId112" Type="http://schemas.openxmlformats.org/officeDocument/2006/relationships/hyperlink" Target="https://repository.rcsi.com/articles/report/The_SAVI_report_sexual_abuse_and_violence_in_Ireland/10770797/1" TargetMode="External"/><Relationship Id="rId133" Type="http://schemas.openxmlformats.org/officeDocument/2006/relationships/hyperlink" Target="https://www.mic.ul.ie/sites/default/files/uploads/140/2021_HTEPII_Report.pdf" TargetMode="External"/><Relationship Id="rId138" Type="http://schemas.openxmlformats.org/officeDocument/2006/relationships/hyperlink" Target="https://www.immigrantcouncil.ie/sites/default/files/2017-10/AT%202016%20Exploitative%20Sham%20Marriages%20Irish%20Report%20HESTIA.pdf" TargetMode="External"/><Relationship Id="rId154" Type="http://schemas.openxmlformats.org/officeDocument/2006/relationships/hyperlink" Target="https://www.hse.ie/eng/services/publications/the-national-independent-review-panel-brandon-report-for-publication.pdf" TargetMode="External"/><Relationship Id="rId159" Type="http://schemas.openxmlformats.org/officeDocument/2006/relationships/hyperlink" Target="https://www.safeguardingireland.org/wp-content/uploads/2019/10/safeguarding-report-2018.pdf" TargetMode="External"/><Relationship Id="rId16" Type="http://schemas.openxmlformats.org/officeDocument/2006/relationships/hyperlink" Target="https://www.ohchr.org/en/hr-bodies/upr/ie-index?msclkid=2b052193a9f011ec95819e85c5287c91" TargetMode="External"/><Relationship Id="rId107" Type="http://schemas.openxmlformats.org/officeDocument/2006/relationships/hyperlink" Target="https://www.garda.ie/en/crime-prevention/community-engagement/community-engagement-offices/garda-national-diversity-integration-unit/diversity-and-integration-strategy-2019-2021-english-v1-1.pdf" TargetMode="External"/><Relationship Id="rId11" Type="http://schemas.openxmlformats.org/officeDocument/2006/relationships/hyperlink" Target="https://tbinternet.ohchr.org/_layouts/15/treatybodyexternal/Download.aspx?symbolno=CEDAW%2fC%2fIRL%2fCO%2f6-7&amp;Lang=en" TargetMode="External"/><Relationship Id="rId32" Type="http://schemas.openxmlformats.org/officeDocument/2006/relationships/hyperlink" Target="https://rm.coe.int/1680631cbe" TargetMode="External"/><Relationship Id="rId37" Type="http://schemas.openxmlformats.org/officeDocument/2006/relationships/hyperlink" Target="https://www.hse.ie/eng/services/publications/corporate/personsatriskofabuse.pdf" TargetMode="External"/><Relationship Id="rId53" Type="http://schemas.openxmlformats.org/officeDocument/2006/relationships/hyperlink" Target="https://www.tusla.ie/uploads/content/Publications_Child-Protection-Welfare-Standards.pdf" TargetMode="External"/><Relationship Id="rId58" Type="http://schemas.openxmlformats.org/officeDocument/2006/relationships/hyperlink" Target="file:///H:/Downloads/JCSEC24_SPHE_syllabus.pdf" TargetMode="External"/><Relationship Id="rId74" Type="http://schemas.openxmlformats.org/officeDocument/2006/relationships/hyperlink" Target="https://www.sageadvocacy.ie/" TargetMode="External"/><Relationship Id="rId79" Type="http://schemas.openxmlformats.org/officeDocument/2006/relationships/hyperlink" Target="https://spunout.ie/" TargetMode="External"/><Relationship Id="rId102" Type="http://schemas.openxmlformats.org/officeDocument/2006/relationships/hyperlink" Target="https://www.irishexaminer.com/news/arid-40768593.html" TargetMode="External"/><Relationship Id="rId123" Type="http://schemas.openxmlformats.org/officeDocument/2006/relationships/hyperlink" Target="https://www.ucc.ie/en/iss21/news/moving-towards-a-barnahus-model-setting-the-scene-for-an-integrated-response-to-child-sexual-abuse.html" TargetMode="External"/><Relationship Id="rId128" Type="http://schemas.openxmlformats.org/officeDocument/2006/relationships/hyperlink" Target="https://www.oireachtas.ie/en/debates/debate/joint_committee_on_disability_matters/2021-03-09/2/" TargetMode="External"/><Relationship Id="rId144" Type="http://schemas.openxmlformats.org/officeDocument/2006/relationships/hyperlink" Target="https://www.mhcirl.ie/sites/default/files/2021-06/MHC-Annual-Report-2020.pdf" TargetMode="External"/><Relationship Id="rId149" Type="http://schemas.openxmlformats.org/officeDocument/2006/relationships/hyperlink" Target="https://www.rte.ie/news/2020/1002/1169043-aras-attracta-update/" TargetMode="External"/><Relationship Id="rId5" Type="http://schemas.openxmlformats.org/officeDocument/2006/relationships/hyperlink" Target="https://rm.coe.int/prems-010522-gbr-grevio-mid-term-horizontal-review-rev-february-2022/1680a58499" TargetMode="External"/><Relationship Id="rId90" Type="http://schemas.openxmlformats.org/officeDocument/2006/relationships/hyperlink" Target="https://www.nwci.ie/images/uploads/Disabled_Womens_Group_-_3rd_National_Strategy_DSGBV_Submission_JUNE_2020.pdf" TargetMode="External"/><Relationship Id="rId95" Type="http://schemas.openxmlformats.org/officeDocument/2006/relationships/hyperlink" Target="file:///H:/Downloads/118591_719b80df-8280-41d1-b5db-29c269193536%20(2).pdf" TargetMode="External"/><Relationship Id="rId160" Type="http://schemas.openxmlformats.org/officeDocument/2006/relationships/hyperlink" Target="https://www.hse.ie/eng/about/who/socialcare/safeguardingvulnerableadults/national-safeguarding-office-annual-report-2019.pdf" TargetMode="External"/><Relationship Id="rId165" Type="http://schemas.openxmlformats.org/officeDocument/2006/relationships/hyperlink" Target="https://nda.ie/nda-files/preventing-school-bullying1.pdf" TargetMode="External"/><Relationship Id="rId22" Type="http://schemas.openxmlformats.org/officeDocument/2006/relationships/hyperlink" Target="https://www.ihrec.ie/our-work/public-sector-duty/" TargetMode="External"/><Relationship Id="rId27" Type="http://schemas.openxmlformats.org/officeDocument/2006/relationships/hyperlink" Target="http://www.justice.ie/en/JELR/Pages/PQ-13-07-2021-550" TargetMode="External"/><Relationship Id="rId43" Type="http://schemas.openxmlformats.org/officeDocument/2006/relationships/hyperlink" Target="https://www.hiqa.ie/sites/default/files/2019-12/National-Standards-for-Adult-Safeguarding.pdf" TargetMode="External"/><Relationship Id="rId48" Type="http://schemas.openxmlformats.org/officeDocument/2006/relationships/hyperlink" Target="https://www.hiqa.ie/reports-and-publications/inspection-reports" TargetMode="External"/><Relationship Id="rId64" Type="http://schemas.openxmlformats.org/officeDocument/2006/relationships/hyperlink" Target="https://ncca.ie/en/senior-cycle/curriculum-developments/senior-cycle-social-personal-and-health-education-sphe/" TargetMode="External"/><Relationship Id="rId69" Type="http://schemas.openxmlformats.org/officeDocument/2006/relationships/hyperlink" Target="https://www.sexualviolence.ie/" TargetMode="External"/><Relationship Id="rId113" Type="http://schemas.openxmlformats.org/officeDocument/2006/relationships/hyperlink" Target="https://www.drugsandalcohol.ie/32244/1/Sexual-Experiences-Survey-2020.pdf" TargetMode="External"/><Relationship Id="rId118" Type="http://schemas.openxmlformats.org/officeDocument/2006/relationships/hyperlink" Target="https://www.rcni.ie/wp-content/uploads/SexualViolenceAgainstPeopleWithDisabilities2011.pdf" TargetMode="External"/><Relationship Id="rId134" Type="http://schemas.openxmlformats.org/officeDocument/2006/relationships/hyperlink" Target="https://www.ruhama.ie/annual-reports/" TargetMode="External"/><Relationship Id="rId139" Type="http://schemas.openxmlformats.org/officeDocument/2006/relationships/hyperlink" Target="https://www.immigrantcouncil.ie/sites/default/files/2017-10/AT%202016%20Exploitative%20Sham%20Marriages%20Irish%20Report%20HESTIA.pdf" TargetMode="External"/><Relationship Id="rId80" Type="http://schemas.openxmlformats.org/officeDocument/2006/relationships/hyperlink" Target="https://www.womensaid.ie/help/information-sign-language.html" TargetMode="External"/><Relationship Id="rId85" Type="http://schemas.openxmlformats.org/officeDocument/2006/relationships/hyperlink" Target="https://www.kildarestreet.com/committees/?id=2021-03-09a.879" TargetMode="External"/><Relationship Id="rId150" Type="http://schemas.openxmlformats.org/officeDocument/2006/relationships/hyperlink" Target="https://www.gov.ie/en/collection/8bbdc7-the-farrelly-commission-of-investigation-certain-matters-relative-to/" TargetMode="External"/><Relationship Id="rId155" Type="http://schemas.openxmlformats.org/officeDocument/2006/relationships/hyperlink" Target="https://www.hse.ie/eng/about/who/socialcare/safeguardingvulnerableadults/appendix%201-3.pdf" TargetMode="External"/><Relationship Id="rId12" Type="http://schemas.openxmlformats.org/officeDocument/2006/relationships/hyperlink" Target="https://tbinternet.ohchr.org/_layouts/15/treatybodyexternal/Download.aspx?symbolno=CEDAW/C/GC/38&amp;Lang=en" TargetMode="External"/><Relationship Id="rId17" Type="http://schemas.openxmlformats.org/officeDocument/2006/relationships/hyperlink" Target="https://www.lawreform.ie/_fileupload/Issues%20Papers/LRC%20IP%2018-2019%20A%20Regulatory%20Framework%20For%20Adult%20Safegaurding.pdf" TargetMode="External"/><Relationship Id="rId33" Type="http://schemas.openxmlformats.org/officeDocument/2006/relationships/hyperlink" Target="https://rm.coe.int/greta-2017-28-fgr-irl-en/168074b426" TargetMode="External"/><Relationship Id="rId38" Type="http://schemas.openxmlformats.org/officeDocument/2006/relationships/hyperlink" Target="file:///H:/Downloads/204196_138b7f87-c6e7-4176-bdd7-61b9e7fff6b9%20(1).pdf" TargetMode="External"/><Relationship Id="rId59" Type="http://schemas.openxmlformats.org/officeDocument/2006/relationships/hyperlink" Target="https://ncca.ie/media/2688/sphe_framework.pdf" TargetMode="External"/><Relationship Id="rId103" Type="http://schemas.openxmlformats.org/officeDocument/2006/relationships/hyperlink" Target="https://www.irishtimes.com/news/social-affairs/clinicians-call-for-change-to-mother-and-baby-homes-redress-scheme-1.4735687" TargetMode="External"/><Relationship Id="rId108" Type="http://schemas.openxmlformats.org/officeDocument/2006/relationships/hyperlink" Target="http://www.justice.ie/en/JELR/Department_of_Justice_&amp;_Equality_One_Plan_2017.pdf/Files/Department_of_Justice_&amp;_Equality_One_Plan_2017.pdf" TargetMode="External"/><Relationship Id="rId124" Type="http://schemas.openxmlformats.org/officeDocument/2006/relationships/hyperlink" Target="https://www.independent.ie/irish-news/surge-in-child-sex-abuse-referrals-to-crumlin-hospital-during-pandemic-40658374.html" TargetMode="External"/><Relationship Id="rId129" Type="http://schemas.openxmlformats.org/officeDocument/2006/relationships/hyperlink" Target="https://www.hse.ie/eng/about/who/primarycare/socialinclusion/domestic-violence/fgm-handbook-3rd-edition-2021.pdf" TargetMode="External"/><Relationship Id="rId54" Type="http://schemas.openxmlformats.org/officeDocument/2006/relationships/hyperlink" Target="https://www.pdst.ie/sites/default/files/Child%20Protection%20Procedures%202017.pdf" TargetMode="External"/><Relationship Id="rId70" Type="http://schemas.openxmlformats.org/officeDocument/2006/relationships/hyperlink" Target="https://www.oneinfour.ie/" TargetMode="External"/><Relationship Id="rId75" Type="http://schemas.openxmlformats.org/officeDocument/2006/relationships/hyperlink" Target="https://www.childline.ie/" TargetMode="External"/><Relationship Id="rId91" Type="http://schemas.openxmlformats.org/officeDocument/2006/relationships/hyperlink" Target="https://www.justice.ie/en/JELR/Pages/PB09000504" TargetMode="External"/><Relationship Id="rId96" Type="http://schemas.openxmlformats.org/officeDocument/2006/relationships/hyperlink" Target="https://drive.google.com/file/d/1hEnvMXV7FbwzGn32xp-STL8IqOcc-UYG/view" TargetMode="External"/><Relationship Id="rId140" Type="http://schemas.openxmlformats.org/officeDocument/2006/relationships/hyperlink" Target="https://www.immigrantcouncil.ie/sites/default/files/2017-10/AT%202016%20Exploitative%20Sham%20Marriages%20Irish%20Report%20HESTIA.pdf" TargetMode="External"/><Relationship Id="rId145" Type="http://schemas.openxmlformats.org/officeDocument/2006/relationships/hyperlink" Target="https://www.hse.ie/eng/about/who/socialcare/safeguardingvulnerableadults/nationalsafeguardingofficereport2020.pdf" TargetMode="External"/><Relationship Id="rId161" Type="http://schemas.openxmlformats.org/officeDocument/2006/relationships/hyperlink" Target="https://www.hse.ie/eng/about/who/socialcare/safeguardingvulnerableadults/nationalsafeguardingofficereport2020.pdf" TargetMode="External"/><Relationship Id="rId166" Type="http://schemas.openxmlformats.org/officeDocument/2006/relationships/hyperlink" Target="https://nda.ie/nda-files/preventing-school-bullying1.pdf" TargetMode="External"/><Relationship Id="rId1" Type="http://schemas.openxmlformats.org/officeDocument/2006/relationships/hyperlink" Target="https://www.ohchr.org/Documents/Issues/Disability/SDG-CRPD-Resource/IndicatorsPDF/article-16-indicators-en.pdf" TargetMode="External"/><Relationship Id="rId6" Type="http://schemas.openxmlformats.org/officeDocument/2006/relationships/hyperlink" Target="https://www.ihrec.ie/app/uploads/2019/06/Statement-on-Ratification-of-CoE-Convention-on-Preventing-and-Comating-Violence-Against-Women-and-Domestic-Violence.pdf" TargetMode="External"/><Relationship Id="rId15" Type="http://schemas.openxmlformats.org/officeDocument/2006/relationships/hyperlink" Target="https://www.ohchr.org/en/hr-bodies/upr/ie-index?msclkid=2b052193a9f011ec95819e85c5287c91" TargetMode="External"/><Relationship Id="rId23" Type="http://schemas.openxmlformats.org/officeDocument/2006/relationships/hyperlink" Target="https://assets.gov.ie/43856/286eb5d2ebca4b088d65cfef7b5c23a2.pdf" TargetMode="External"/><Relationship Id="rId28" Type="http://schemas.openxmlformats.org/officeDocument/2006/relationships/hyperlink" Target="https://www.gov.ie/en/publication/0a048-domestic-sexual-and-gender-based-violence-an-audit-of-structures/" TargetMode="External"/><Relationship Id="rId36" Type="http://schemas.openxmlformats.org/officeDocument/2006/relationships/hyperlink" Target="https://www.justice.ie/en/JELR/Pages/PR21000122" TargetMode="External"/><Relationship Id="rId49" Type="http://schemas.openxmlformats.org/officeDocument/2006/relationships/hyperlink" Target="https://www.mhcirl.ie/what-we-do/regulation/inspected-community-mental-health-services" TargetMode="External"/><Relationship Id="rId57" Type="http://schemas.openxmlformats.org/officeDocument/2006/relationships/hyperlink" Target="https://www.curriculumonline.ie/getmedia/462570f8-27cc-4f5b-a13e-d1e2de8c18d2/PSEC06_SPHE_curriculum.pdf" TargetMode="External"/><Relationship Id="rId106" Type="http://schemas.openxmlformats.org/officeDocument/2006/relationships/hyperlink" Target="http://nda.ie/nda-files/Access-to-Justice-for-People-with-Disabilities-as-Victims-of-Crime-in-Ireland1.pdf" TargetMode="External"/><Relationship Id="rId114" Type="http://schemas.openxmlformats.org/officeDocument/2006/relationships/hyperlink" Target="https://hea.ie/2021/04/12/minister-harris-launches-national-staff-and-student-surveys-on-sexual-violence-and-sexual-harassment-in-higher-education-institutions/" TargetMode="External"/><Relationship Id="rId119" Type="http://schemas.openxmlformats.org/officeDocument/2006/relationships/hyperlink" Target="https://www.hse.ie/eng/services/list/5/sexhealth/sexual-assault-treatment-units-resources-for-healthcare-professionals/satu-2020-annual-report.pdf" TargetMode="External"/><Relationship Id="rId127" Type="http://schemas.openxmlformats.org/officeDocument/2006/relationships/hyperlink" Target="https://www.womensaid.ie/assets/files/pdf/womens_aid_annual_impact_report_2020.pdf" TargetMode="External"/><Relationship Id="rId10" Type="http://schemas.openxmlformats.org/officeDocument/2006/relationships/hyperlink" Target="https://www.citizensinformation.ie/en/justice/crime_and_crime_prevention/anti_human_trafficking_initiative.html" TargetMode="External"/><Relationship Id="rId31" Type="http://schemas.openxmlformats.org/officeDocument/2006/relationships/hyperlink" Target="http://www.justice.ie/en/JELR/Pages/Second_National_Action_Plan_to_Prevent_and_Combat_Human_Trafficking_in_Ireland" TargetMode="External"/><Relationship Id="rId44" Type="http://schemas.openxmlformats.org/officeDocument/2006/relationships/hyperlink" Target="https://www.hiqa.ie/sites/default/files/2019-12/National-Standards-for-Adult-Safeguarding_FAQs.pdf" TargetMode="External"/><Relationship Id="rId52" Type="http://schemas.openxmlformats.org/officeDocument/2006/relationships/hyperlink" Target="https://www.tusla.ie/uploads/content/Publications_Child-Protection-Welfare-Standards.pdf" TargetMode="External"/><Relationship Id="rId60" Type="http://schemas.openxmlformats.org/officeDocument/2006/relationships/hyperlink" Target="https://ncca.ie/media/4462/report-on-the-review-of-relationships-and-sexuality-education-rse-in-primary-and-post-primary-school.pdf" TargetMode="External"/><Relationship Id="rId65" Type="http://schemas.openxmlformats.org/officeDocument/2006/relationships/hyperlink" Target="https://assets.gov.ie/24925/57c394e5439149d087ab589d0ff39c92.pdf" TargetMode="External"/><Relationship Id="rId73" Type="http://schemas.openxmlformats.org/officeDocument/2006/relationships/hyperlink" Target="https://advocacy.ie/" TargetMode="External"/><Relationship Id="rId78" Type="http://schemas.openxmlformats.org/officeDocument/2006/relationships/hyperlink" Target="https://turn2me.ie/" TargetMode="External"/><Relationship Id="rId81" Type="http://schemas.openxmlformats.org/officeDocument/2006/relationships/hyperlink" Target="https://www.nwci.ie/images/uploads/Disabled_Womens_Group_-_3rd_National_Strategy_DSGBV_Submission_JUNE_2020.pdf" TargetMode="External"/><Relationship Id="rId86" Type="http://schemas.openxmlformats.org/officeDocument/2006/relationships/hyperlink" Target="https://www.safeguardingireland.org/wp-content/uploads/2018/10/the-national-safeguarding-office-report-2017.pdf" TargetMode="External"/><Relationship Id="rId94" Type="http://schemas.openxmlformats.org/officeDocument/2006/relationships/hyperlink" Target="https://www.justice.ie/en/JELR/Executive%20Summary.pdf/Files/Executive%20Summary.pdf" TargetMode="External"/><Relationship Id="rId99" Type="http://schemas.openxmlformats.org/officeDocument/2006/relationships/hyperlink" Target="https://www.rte.ie/archives/2019/0430/1046590-apology-to-victims-of-institutional-child-abuse/" TargetMode="External"/><Relationship Id="rId101" Type="http://schemas.openxmlformats.org/officeDocument/2006/relationships/hyperlink" Target="https://www.gov.ie/en/speech/86f24-statement-of-an-taoiseach-report-of-commission-of-investigation-into-mother-and-baby-homes-and-certain-related-matters/" TargetMode="External"/><Relationship Id="rId122" Type="http://schemas.openxmlformats.org/officeDocument/2006/relationships/hyperlink" Target="https://www.tusla.ie/uploads/content/TUSLA_English_Annual_Report_Spreads.pdf" TargetMode="External"/><Relationship Id="rId130" Type="http://schemas.openxmlformats.org/officeDocument/2006/relationships/hyperlink" Target="https://www.hse.ie/eng/about/who/primarycare/socialinclusion/domestic-violence/fgm-handbook-3rd-edition-2021.pdf" TargetMode="External"/><Relationship Id="rId135" Type="http://schemas.openxmlformats.org/officeDocument/2006/relationships/hyperlink" Target="https://www.ruhama.ie/wp-content/uploads/Ruhama-Annual-Report-2019-2.pdf" TargetMode="External"/><Relationship Id="rId143" Type="http://schemas.openxmlformats.org/officeDocument/2006/relationships/hyperlink" Target="https://www.hiqa.ie/sites/default/files/2021-11/Overview-Report-Monitoring-and-Regulation-of-Disability-Services_0.pdf" TargetMode="External"/><Relationship Id="rId148" Type="http://schemas.openxmlformats.org/officeDocument/2006/relationships/hyperlink" Target="https://www2.hse.ie/file-library/confidential-recipient/confidential-recipient-annual-report-2019-2020.pdf" TargetMode="External"/><Relationship Id="rId151" Type="http://schemas.openxmlformats.org/officeDocument/2006/relationships/hyperlink" Target="https://www.gov.ie/en/collection/8bbdc7-the-farrelly-commission-of-investigation-certain-matters-relative-to/" TargetMode="External"/><Relationship Id="rId156" Type="http://schemas.openxmlformats.org/officeDocument/2006/relationships/hyperlink" Target="https://www.irishtimes.com/news/health/use-of-residents-money-among-issues-found-at-centres-for-people-with-disabilities-1.4778793" TargetMode="External"/><Relationship Id="rId164" Type="http://schemas.openxmlformats.org/officeDocument/2006/relationships/hyperlink" Target="https://www.tusla.ie/uploads/content/TUSLA_English_Annual_Report_Spreads.pdf" TargetMode="External"/><Relationship Id="rId4" Type="http://schemas.openxmlformats.org/officeDocument/2006/relationships/hyperlink" Target="https://www.gov.ie/en/consultation/066b6-review-of-the-equality-acts/" TargetMode="External"/><Relationship Id="rId9" Type="http://schemas.openxmlformats.org/officeDocument/2006/relationships/hyperlink" Target="https://nda.ie/publications/justice-and-safeguarding/access-to-justice/nda-independent-advice-paper-on-the-use-of-intermediaries-in-the-irish-justice-system.html" TargetMode="External"/><Relationship Id="rId13" Type="http://schemas.openxmlformats.org/officeDocument/2006/relationships/hyperlink" Target="https://www.ohchr.org/en/hr-bodies/upr/ie-index?msclkid=2b052193a9f011ec95819e85c5287c91" TargetMode="External"/><Relationship Id="rId18" Type="http://schemas.openxmlformats.org/officeDocument/2006/relationships/hyperlink" Target="https://www.lawreform.ie/_fileupload/Issues%20Papers/LRC%20IP%2018-2019%20A%20Regulatory%20Framework%20For%20Adult%20Safegaurding.pdf" TargetMode="External"/><Relationship Id="rId39" Type="http://schemas.openxmlformats.org/officeDocument/2006/relationships/hyperlink" Target="https://www.hse.ie/eng/about/who/socialcare/safeguardingvulnerableadults/safeguardingvuladts.html" TargetMode="External"/><Relationship Id="rId109" Type="http://schemas.openxmlformats.org/officeDocument/2006/relationships/hyperlink" Target="https://www.cso.ie/en/statistics/crimeandjustice/crimeandvictimisation/" TargetMode="External"/><Relationship Id="rId34" Type="http://schemas.openxmlformats.org/officeDocument/2006/relationships/hyperlink" Target="https://rm.coe.int/greta-2017-28-fgr-irl-en/168074b426" TargetMode="External"/><Relationship Id="rId50" Type="http://schemas.openxmlformats.org/officeDocument/2006/relationships/hyperlink" Target="https://www.gov.ie/en/press-release/2c03d-minister-for-health-welcomes-publication-of-two-reports-to-inform-health-sector-adult-safeguarding-policy/" TargetMode="External"/><Relationship Id="rId55" Type="http://schemas.openxmlformats.org/officeDocument/2006/relationships/hyperlink" Target="http://www.staysafe.ie/" TargetMode="External"/><Relationship Id="rId76" Type="http://schemas.openxmlformats.org/officeDocument/2006/relationships/hyperlink" Target="https://www.ispcc.ie/teenline/" TargetMode="External"/><Relationship Id="rId97" Type="http://schemas.openxmlformats.org/officeDocument/2006/relationships/hyperlink" Target="file:///H:/Downloads/118591_719b80df-8280-41d1-b5db-29c269193536%20(2).pdf" TargetMode="External"/><Relationship Id="rId104" Type="http://schemas.openxmlformats.org/officeDocument/2006/relationships/hyperlink" Target="https://www.ombudsman.ie/publications/reports/opportunity-lost/Magdalen-Scheme.pdf" TargetMode="External"/><Relationship Id="rId120" Type="http://schemas.openxmlformats.org/officeDocument/2006/relationships/hyperlink" Target="https://www.thejournal.ie/barnhaus-sexual-assault-galway-4812006-Sep2019/" TargetMode="External"/><Relationship Id="rId125" Type="http://schemas.openxmlformats.org/officeDocument/2006/relationships/hyperlink" Target="https://www.esri.ie/system/files/media/file-uploads/2016-02/BKMNEXT56.pdf" TargetMode="External"/><Relationship Id="rId141" Type="http://schemas.openxmlformats.org/officeDocument/2006/relationships/hyperlink" Target="https://www.immigrantcouncil.ie/sites/default/files/2017-10/AT%202016%20Exploitative%20Sham%20Marriages%20Irish%20Report%20HESTIA.pdf" TargetMode="External"/><Relationship Id="rId146" Type="http://schemas.openxmlformats.org/officeDocument/2006/relationships/hyperlink" Target="https://www.hse.ie/eng/about/who/socialcare/safeguardingvulnerableadults/nationalsafeguardingofficereport2020.pdf" TargetMode="External"/><Relationship Id="rId167" Type="http://schemas.openxmlformats.org/officeDocument/2006/relationships/hyperlink" Target="https://ncse.ie/wp-content/uploads/2018/03/03263-NCSE-EdExps-Children-SEN-FINAL-UPLOAD.pdf" TargetMode="External"/><Relationship Id="rId7" Type="http://schemas.openxmlformats.org/officeDocument/2006/relationships/hyperlink" Target="https://www.rcni.ie/wp-content/uploads/RCNI-submission-to-UN-Special-Rapporteur-on-Sexual-Violence-May-2020.pdf" TargetMode="External"/><Relationship Id="rId71" Type="http://schemas.openxmlformats.org/officeDocument/2006/relationships/hyperlink" Target="https://www.ruhama.ie/" TargetMode="External"/><Relationship Id="rId92" Type="http://schemas.openxmlformats.org/officeDocument/2006/relationships/hyperlink" Target="https://www.lenus.ie/bitstream/handle/10147/560434/thefernsreportoctober2005.pdf;jsessionid=28ADF4B7243568218710FAEC65F933FA?sequence=2" TargetMode="External"/><Relationship Id="rId162" Type="http://schemas.openxmlformats.org/officeDocument/2006/relationships/hyperlink" Target="https://www.sageadvocacy.ie/media/2202/6376-sage-voc-report-fa-for-web.pdf" TargetMode="External"/><Relationship Id="rId2" Type="http://schemas.openxmlformats.org/officeDocument/2006/relationships/hyperlink" Target="https://www.ihrec.ie/guides-and-tools/human-rights-and-equality-in-the-provision-of-good-and-services/what-does-the-law-say/equal-status-acts/" TargetMode="External"/><Relationship Id="rId29" Type="http://schemas.openxmlformats.org/officeDocument/2006/relationships/hyperlink" Target="https://www.nwci.ie/images/uploads/Disabled_Womens_Group_-_3rd_National_Strategy_DSGBV_Submission_JUNE_2020.pdf" TargetMode="External"/><Relationship Id="rId24" Type="http://schemas.openxmlformats.org/officeDocument/2006/relationships/hyperlink" Target="https://www.oireachtas.ie/en/press-centre/press-releases/20210721-joint-committee-on-justice-recommends-special-oireachtas-committee-examines-topic-of-assisted-dying-following-scrutiny-of-dying-with-dignity-bill-2020/" TargetMode="External"/><Relationship Id="rId40" Type="http://schemas.openxmlformats.org/officeDocument/2006/relationships/hyperlink" Target="https://www.hse.ie/eng/about/who/socialcare/safeguardingvulnerableadults/nationalsafeguardingofficereport2020.pdf" TargetMode="External"/><Relationship Id="rId45" Type="http://schemas.openxmlformats.org/officeDocument/2006/relationships/hyperlink" Target="https://www.hiqa.ie/sites/default/files/2019-12/National-Standards-for-Adult-Safeguarding_FAQs.pdf" TargetMode="External"/><Relationship Id="rId66" Type="http://schemas.openxmlformats.org/officeDocument/2006/relationships/hyperlink" Target="https://www.justice.ie/en/JELR/Pages/PR21000177" TargetMode="External"/><Relationship Id="rId87" Type="http://schemas.openxmlformats.org/officeDocument/2006/relationships/hyperlink" Target="https://www.stillhere.ie/" TargetMode="External"/><Relationship Id="rId110" Type="http://schemas.openxmlformats.org/officeDocument/2006/relationships/hyperlink" Target="http://www.justice.ie/en/JELR/Legislating_for_Hate_Speech_and_Hate_Crime_in_Ireland_Web.pdf/Files/Legislating_for_Hate_Speech_and_Hate_Crime_in_Ireland_Web.pdf" TargetMode="External"/><Relationship Id="rId115" Type="http://schemas.openxmlformats.org/officeDocument/2006/relationships/hyperlink" Target="https://www.gov.ie/en/publication/09bb5-report-on-surveys-of-experiences-of-sexual-violence-and-harassment-in-higher-education/" TargetMode="External"/><Relationship Id="rId131" Type="http://schemas.openxmlformats.org/officeDocument/2006/relationships/hyperlink" Target="https://www.blueblindfold.ie/wp-content/uploads/2020/11/2019-Annual-Report.pdf" TargetMode="External"/><Relationship Id="rId136" Type="http://schemas.openxmlformats.org/officeDocument/2006/relationships/hyperlink" Target="https://www.mic.ul.ie/sites/default/files/uploads/140/2021_HTEPII_Report.pdf" TargetMode="External"/><Relationship Id="rId157" Type="http://schemas.openxmlformats.org/officeDocument/2006/relationships/hyperlink" Target="https://www.hse.ie/eng/services/publications/olderpeople/safeguarding-data-report-2016.pdf" TargetMode="External"/><Relationship Id="rId61" Type="http://schemas.openxmlformats.org/officeDocument/2006/relationships/hyperlink" Target="https://www.pdst.ie/sites/default/files/RSE%20for%20students%20with%20mild%20learning%20difficulties.pdf" TargetMode="External"/><Relationship Id="rId82" Type="http://schemas.openxmlformats.org/officeDocument/2006/relationships/hyperlink" Target="https://www.irishexaminer.com/news/arid-40736565.html" TargetMode="External"/><Relationship Id="rId152" Type="http://schemas.openxmlformats.org/officeDocument/2006/relationships/hyperlink" Target="https://www.hse.ie/eng/services/publications/the-national-independent-review-panel-brandon-report-for-publication.pdf" TargetMode="External"/><Relationship Id="rId19" Type="http://schemas.openxmlformats.org/officeDocument/2006/relationships/hyperlink" Target="https://www.lawreform.ie/news/joint-health-committee-discusses-lrc-project-on-a-regulatory-framework-for-adult-safeguarding.889.html" TargetMode="External"/><Relationship Id="rId14" Type="http://schemas.openxmlformats.org/officeDocument/2006/relationships/hyperlink" Target="https://www.ohchr.org/en/hr-bodies/upr/ie-index?msclkid=2b052193a9f011ec95819e85c5287c91" TargetMode="External"/><Relationship Id="rId30" Type="http://schemas.openxmlformats.org/officeDocument/2006/relationships/hyperlink" Target="https://www.justice.ie/en/JELR/Final%20National%20Action%20Plan2.pdf/Files/Final%20National%20Action%20Plan2.pdf" TargetMode="External"/><Relationship Id="rId35" Type="http://schemas.openxmlformats.org/officeDocument/2006/relationships/hyperlink" Target="https://www.rte.ie/news/ireland/2021/0701/1232575-human-trafficking/" TargetMode="External"/><Relationship Id="rId56" Type="http://schemas.openxmlformats.org/officeDocument/2006/relationships/hyperlink" Target="https://assets.gov.ie/24429/3b6f3db2de154ebaa1f69a0856c97c8e.pdf" TargetMode="External"/><Relationship Id="rId77" Type="http://schemas.openxmlformats.org/officeDocument/2006/relationships/hyperlink" Target="https://jigsaw.ie/" TargetMode="External"/><Relationship Id="rId100" Type="http://schemas.openxmlformats.org/officeDocument/2006/relationships/hyperlink" Target="https://www.irishtimes.com/news/taoiseach-makes-historic-apology-to-magdalenes-1.1280989" TargetMode="External"/><Relationship Id="rId105" Type="http://schemas.openxmlformats.org/officeDocument/2006/relationships/hyperlink" Target="https://www.irishtimes.com/news/social-affairs/religion-and-beliefs/redress-for-abuse-in-religious-institutions-falls-short-of-2009-commitments-1.4667783" TargetMode="External"/><Relationship Id="rId126" Type="http://schemas.openxmlformats.org/officeDocument/2006/relationships/hyperlink" Target="https://www.safeireland.ie/policy-publications/" TargetMode="External"/><Relationship Id="rId147" Type="http://schemas.openxmlformats.org/officeDocument/2006/relationships/hyperlink" Target="https://www2.hse.ie/file-library/confidential-recipient/confidential-recipient-annual-report-2019-2020.pdf" TargetMode="External"/><Relationship Id="rId168" Type="http://schemas.openxmlformats.org/officeDocument/2006/relationships/hyperlink" Target="https://assets.gov.ie/27118/ee5c3232f60e4e788663bee745e3222c.pdf" TargetMode="External"/><Relationship Id="rId8" Type="http://schemas.openxmlformats.org/officeDocument/2006/relationships/hyperlink" Target="http://www.justice.ie/en/JELR/Review_of_Protections_for_Vulnerable_Witnesses_in%20the_Investigation_and_Prosecution_of_Sexual_Offences.pdf/Files/Review_of_Protections_for_Vulnerable_Witnesses_in%20the_Investigation_and_Prosecution_of_Sexual_Offences.pdf" TargetMode="External"/><Relationship Id="rId51" Type="http://schemas.openxmlformats.org/officeDocument/2006/relationships/hyperlink" Target="https://www.tusla.ie/uploads/content/Children_First_National_Guidance_2017.pdf" TargetMode="External"/><Relationship Id="rId72" Type="http://schemas.openxmlformats.org/officeDocument/2006/relationships/hyperlink" Target="https://akidwa.ie/" TargetMode="External"/><Relationship Id="rId93" Type="http://schemas.openxmlformats.org/officeDocument/2006/relationships/hyperlink" Target="http://www.childabusecommission.ie/rpt/ExecSummary.php" TargetMode="External"/><Relationship Id="rId98" Type="http://schemas.openxmlformats.org/officeDocument/2006/relationships/hyperlink" Target="https://drive.google.com/file/d/1hEnvMXV7FbwzGn32xp-STL8IqOcc-UYG/view" TargetMode="External"/><Relationship Id="rId121" Type="http://schemas.openxmlformats.org/officeDocument/2006/relationships/hyperlink" Target="https://www.thejournal.ie/barnhaus-sexual-assault-galway-4812006-Sep2019/" TargetMode="External"/><Relationship Id="rId142" Type="http://schemas.openxmlformats.org/officeDocument/2006/relationships/hyperlink" Target="https://www.hiqa.ie/sites/default/files/2021-11/Overview-Report-Monitoring-and-Regulation-of-Disability-Services_0.pdf" TargetMode="External"/><Relationship Id="rId163" Type="http://schemas.openxmlformats.org/officeDocument/2006/relationships/hyperlink" Target="https://www.safeguardingireland.org/wp-content/uploads/2019/05/Safeguarding-Ireland-Red-C-Research-2019.pdf" TargetMode="External"/><Relationship Id="rId3" Type="http://schemas.openxmlformats.org/officeDocument/2006/relationships/hyperlink" Target="https://www.ihrec.ie/guides-and-tools/human-rights-and-equality-for-employers/what-does-the-law-say/eea-summary/" TargetMode="External"/><Relationship Id="rId25" Type="http://schemas.openxmlformats.org/officeDocument/2006/relationships/hyperlink" Target="http://www.justice.ie/en/JELR/Final%20Electronic%20NS%20full%20doc%203%20March.pdf/Files/Final%20Electronic%20NS%20full%20doc%203%20March.pdf" TargetMode="External"/><Relationship Id="rId46" Type="http://schemas.openxmlformats.org/officeDocument/2006/relationships/hyperlink" Target="https://www.hiqa.ie/areas-we-work/disability-services" TargetMode="External"/><Relationship Id="rId67" Type="http://schemas.openxmlformats.org/officeDocument/2006/relationships/hyperlink" Target="https://justice.ie/en/JELR/DSGBV_Audit_Report.pdf/Files/DSGBV_Audit_Report.pdf" TargetMode="External"/><Relationship Id="rId116" Type="http://schemas.openxmlformats.org/officeDocument/2006/relationships/hyperlink" Target="https://www.gov.ie/en/publication/09bb5-report-on-surveys-of-experiences-of-sexual-violence-and-harassment-in-higher-education/" TargetMode="External"/><Relationship Id="rId137" Type="http://schemas.openxmlformats.org/officeDocument/2006/relationships/hyperlink" Target="https://www.ihrec.ie/app/uploads/2021/10/GRETA-FINAL.pdf" TargetMode="External"/><Relationship Id="rId158" Type="http://schemas.openxmlformats.org/officeDocument/2006/relationships/hyperlink" Target="https://www.safeguardingireland.org/wp-content/uploads/2018/10/the-national-safeguarding-office-report-2017.pdf" TargetMode="External"/><Relationship Id="rId20" Type="http://schemas.openxmlformats.org/officeDocument/2006/relationships/hyperlink" Target="https://www.oireachtas.ie/en/debates/debate/joint_committee_on_health/2021-02-16/2/" TargetMode="External"/><Relationship Id="rId41" Type="http://schemas.openxmlformats.org/officeDocument/2006/relationships/hyperlink" Target="https://www.safeguardingireland.org/about/" TargetMode="External"/><Relationship Id="rId62" Type="http://schemas.openxmlformats.org/officeDocument/2006/relationships/hyperlink" Target="https://ncca.ie/media/1980/overview_guidelines.pdf" TargetMode="External"/><Relationship Id="rId83" Type="http://schemas.openxmlformats.org/officeDocument/2006/relationships/hyperlink" Target="https://wave-network.org/wp-content/uploads/2021/12/WAVE-Country-Report-2021.pdf" TargetMode="External"/><Relationship Id="rId88" Type="http://schemas.openxmlformats.org/officeDocument/2006/relationships/hyperlink" Target="https://www.ruhama.ie/campaigns/get-the-full-picture-campaign/" TargetMode="External"/><Relationship Id="rId111" Type="http://schemas.openxmlformats.org/officeDocument/2006/relationships/hyperlink" Target="http://www.justice.ie/en/JELR/Legislating_for_Hate_Speech_and_Hate_Crime_in_Ireland_Web.pdf/Files/Legislating_for_Hate_Speech_and_Hate_Crime_in_Ireland_Web.pdf" TargetMode="External"/><Relationship Id="rId132" Type="http://schemas.openxmlformats.org/officeDocument/2006/relationships/hyperlink" Target="https://www.ruhama.ie/wp-content/uploads/Ruhama-Annual-Report-2019-2.pdf" TargetMode="External"/><Relationship Id="rId153" Type="http://schemas.openxmlformats.org/officeDocument/2006/relationships/hyperlink" Target="https://www.irishtimes.com/opinion/editorial/irish-times-view-on-the-brandon-report-a-devastating-indictment-1.47037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97F2-C745-4A93-9037-CE8F268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Pages>
  <Words>15163</Words>
  <Characters>86432</Characters>
  <Application>Microsoft Office Word</Application>
  <DocSecurity>4</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101393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Cheevers</dc:creator>
  <cp:keywords/>
  <cp:lastModifiedBy>Heather C. O'Leary</cp:lastModifiedBy>
  <cp:revision>2</cp:revision>
  <cp:lastPrinted>2022-04-07T13:04:00Z</cp:lastPrinted>
  <dcterms:created xsi:type="dcterms:W3CDTF">2022-06-09T12:53:00Z</dcterms:created>
  <dcterms:modified xsi:type="dcterms:W3CDTF">2022-06-09T12:53:00Z</dcterms:modified>
</cp:coreProperties>
</file>