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D60C1" w14:textId="77777777" w:rsidR="006228D9" w:rsidRPr="006228D9" w:rsidRDefault="006228D9" w:rsidP="00265454">
      <w:pPr>
        <w:pStyle w:val="Title"/>
        <w:spacing w:before="1200" w:after="1200"/>
        <w:jc w:val="left"/>
        <w:rPr>
          <w:sz w:val="64"/>
          <w:szCs w:val="64"/>
        </w:rPr>
      </w:pPr>
      <w:bookmarkStart w:id="0" w:name="_Toc90030684"/>
      <w:bookmarkStart w:id="1" w:name="_GoBack"/>
      <w:bookmarkEnd w:id="1"/>
      <w:r w:rsidRPr="006228D9">
        <w:rPr>
          <w:sz w:val="64"/>
          <w:szCs w:val="64"/>
        </w:rPr>
        <w:t xml:space="preserve">Overview of UNCRPD </w:t>
      </w:r>
      <w:r w:rsidR="008C0F2D" w:rsidRPr="006228D9">
        <w:rPr>
          <w:sz w:val="64"/>
          <w:szCs w:val="64"/>
        </w:rPr>
        <w:t>Article 25</w:t>
      </w:r>
      <w:r w:rsidRPr="006228D9">
        <w:rPr>
          <w:sz w:val="64"/>
          <w:szCs w:val="64"/>
        </w:rPr>
        <w:t xml:space="preserve"> in Ireland</w:t>
      </w:r>
      <w:bookmarkEnd w:id="0"/>
    </w:p>
    <w:p w14:paraId="2200229E" w14:textId="03255A00" w:rsidR="009C4D62" w:rsidRPr="006228D9" w:rsidRDefault="008C0F2D" w:rsidP="00265454">
      <w:pPr>
        <w:pStyle w:val="Title"/>
        <w:spacing w:before="1200" w:after="1200"/>
        <w:jc w:val="left"/>
        <w:rPr>
          <w:sz w:val="64"/>
          <w:szCs w:val="64"/>
        </w:rPr>
      </w:pPr>
      <w:bookmarkStart w:id="2" w:name="_Toc90030685"/>
      <w:r w:rsidRPr="006228D9">
        <w:rPr>
          <w:sz w:val="64"/>
          <w:szCs w:val="64"/>
        </w:rPr>
        <w:t>Health</w:t>
      </w:r>
      <w:bookmarkEnd w:id="2"/>
    </w:p>
    <w:p w14:paraId="70D0210D" w14:textId="3573D791" w:rsidR="006228D9" w:rsidRPr="006228D9" w:rsidRDefault="00C72194" w:rsidP="006228D9">
      <w:pPr>
        <w:spacing w:before="1200" w:after="1200"/>
        <w:rPr>
          <w:sz w:val="48"/>
          <w:szCs w:val="48"/>
        </w:rPr>
      </w:pPr>
      <w:r>
        <w:rPr>
          <w:sz w:val="48"/>
          <w:szCs w:val="48"/>
        </w:rPr>
        <w:t>December</w:t>
      </w:r>
      <w:r w:rsidR="006228D9" w:rsidRPr="006228D9">
        <w:rPr>
          <w:sz w:val="48"/>
          <w:szCs w:val="48"/>
        </w:rPr>
        <w:t xml:space="preserve"> 2021</w:t>
      </w:r>
    </w:p>
    <w:p w14:paraId="6538BB5E" w14:textId="27D4FDF5" w:rsidR="006228D9" w:rsidRDefault="006228D9" w:rsidP="006228D9">
      <w:r>
        <w:rPr>
          <w:noProof/>
          <w:lang w:eastAsia="en-IE"/>
        </w:rPr>
        <w:lastRenderedPageBreak/>
        <w:drawing>
          <wp:inline distT="0" distB="0" distL="0" distR="0" wp14:anchorId="10EF1BB0" wp14:editId="4005E09E">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311F56B4" w14:textId="241C85EF" w:rsidR="006228D9" w:rsidRDefault="006228D9">
      <w:pPr>
        <w:spacing w:after="0"/>
      </w:pPr>
      <w:r>
        <w:br w:type="page"/>
      </w:r>
    </w:p>
    <w:p w14:paraId="7DC7C925" w14:textId="5EC3F56B" w:rsidR="007F2320" w:rsidRDefault="007F2320" w:rsidP="007F2320">
      <w:pPr>
        <w:pStyle w:val="Heading1"/>
      </w:pPr>
      <w:r>
        <w:lastRenderedPageBreak/>
        <w:t>Contents</w:t>
      </w:r>
    </w:p>
    <w:p w14:paraId="7C2BE3F4" w14:textId="6C7B4713" w:rsidR="00C72194" w:rsidRDefault="00C72194">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90030686" w:history="1">
        <w:r w:rsidRPr="0039162A">
          <w:rPr>
            <w:rStyle w:val="Hyperlink"/>
            <w:noProof/>
          </w:rPr>
          <w:t>Background to the UNCRPD Article review papers</w:t>
        </w:r>
        <w:r>
          <w:rPr>
            <w:noProof/>
            <w:webHidden/>
          </w:rPr>
          <w:tab/>
        </w:r>
        <w:r>
          <w:rPr>
            <w:noProof/>
            <w:webHidden/>
          </w:rPr>
          <w:fldChar w:fldCharType="begin"/>
        </w:r>
        <w:r>
          <w:rPr>
            <w:noProof/>
            <w:webHidden/>
          </w:rPr>
          <w:instrText xml:space="preserve"> PAGEREF _Toc90030686 \h </w:instrText>
        </w:r>
        <w:r>
          <w:rPr>
            <w:noProof/>
            <w:webHidden/>
          </w:rPr>
        </w:r>
        <w:r>
          <w:rPr>
            <w:noProof/>
            <w:webHidden/>
          </w:rPr>
          <w:fldChar w:fldCharType="separate"/>
        </w:r>
        <w:r w:rsidR="00036B4D">
          <w:rPr>
            <w:noProof/>
            <w:webHidden/>
          </w:rPr>
          <w:t>3</w:t>
        </w:r>
        <w:r>
          <w:rPr>
            <w:noProof/>
            <w:webHidden/>
          </w:rPr>
          <w:fldChar w:fldCharType="end"/>
        </w:r>
      </w:hyperlink>
    </w:p>
    <w:p w14:paraId="3AD4F590" w14:textId="06A2ABAA"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687" w:history="1">
        <w:r w:rsidR="00C72194" w:rsidRPr="0039162A">
          <w:rPr>
            <w:rStyle w:val="Hyperlink"/>
            <w:noProof/>
          </w:rPr>
          <w:t>Introduction</w:t>
        </w:r>
        <w:r w:rsidR="00C72194">
          <w:rPr>
            <w:noProof/>
            <w:webHidden/>
          </w:rPr>
          <w:tab/>
        </w:r>
        <w:r w:rsidR="00C72194">
          <w:rPr>
            <w:noProof/>
            <w:webHidden/>
          </w:rPr>
          <w:fldChar w:fldCharType="begin"/>
        </w:r>
        <w:r w:rsidR="00C72194">
          <w:rPr>
            <w:noProof/>
            <w:webHidden/>
          </w:rPr>
          <w:instrText xml:space="preserve"> PAGEREF _Toc90030687 \h </w:instrText>
        </w:r>
        <w:r w:rsidR="00C72194">
          <w:rPr>
            <w:noProof/>
            <w:webHidden/>
          </w:rPr>
        </w:r>
        <w:r w:rsidR="00C72194">
          <w:rPr>
            <w:noProof/>
            <w:webHidden/>
          </w:rPr>
          <w:fldChar w:fldCharType="separate"/>
        </w:r>
        <w:r w:rsidR="00036B4D">
          <w:rPr>
            <w:noProof/>
            <w:webHidden/>
          </w:rPr>
          <w:t>4</w:t>
        </w:r>
        <w:r w:rsidR="00C72194">
          <w:rPr>
            <w:noProof/>
            <w:webHidden/>
          </w:rPr>
          <w:fldChar w:fldCharType="end"/>
        </w:r>
      </w:hyperlink>
    </w:p>
    <w:p w14:paraId="16DD5AC6" w14:textId="6E06F089"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688" w:history="1">
        <w:r w:rsidR="00C72194" w:rsidRPr="0039162A">
          <w:rPr>
            <w:rStyle w:val="Hyperlink"/>
            <w:noProof/>
          </w:rPr>
          <w:t>Convention text</w:t>
        </w:r>
        <w:r w:rsidR="00C72194">
          <w:rPr>
            <w:noProof/>
            <w:webHidden/>
          </w:rPr>
          <w:tab/>
        </w:r>
        <w:r w:rsidR="00C72194">
          <w:rPr>
            <w:noProof/>
            <w:webHidden/>
          </w:rPr>
          <w:fldChar w:fldCharType="begin"/>
        </w:r>
        <w:r w:rsidR="00C72194">
          <w:rPr>
            <w:noProof/>
            <w:webHidden/>
          </w:rPr>
          <w:instrText xml:space="preserve"> PAGEREF _Toc90030688 \h </w:instrText>
        </w:r>
        <w:r w:rsidR="00C72194">
          <w:rPr>
            <w:noProof/>
            <w:webHidden/>
          </w:rPr>
        </w:r>
        <w:r w:rsidR="00C72194">
          <w:rPr>
            <w:noProof/>
            <w:webHidden/>
          </w:rPr>
          <w:fldChar w:fldCharType="separate"/>
        </w:r>
        <w:r w:rsidR="00036B4D">
          <w:rPr>
            <w:noProof/>
            <w:webHidden/>
          </w:rPr>
          <w:t>4</w:t>
        </w:r>
        <w:r w:rsidR="00C72194">
          <w:rPr>
            <w:noProof/>
            <w:webHidden/>
          </w:rPr>
          <w:fldChar w:fldCharType="end"/>
        </w:r>
      </w:hyperlink>
    </w:p>
    <w:p w14:paraId="44F02004" w14:textId="006D7625"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689" w:history="1">
        <w:r w:rsidR="00C72194" w:rsidRPr="0039162A">
          <w:rPr>
            <w:rStyle w:val="Hyperlink"/>
            <w:noProof/>
          </w:rPr>
          <w:t>Type of Right</w:t>
        </w:r>
        <w:r w:rsidR="00C72194">
          <w:rPr>
            <w:noProof/>
            <w:webHidden/>
          </w:rPr>
          <w:tab/>
        </w:r>
        <w:r w:rsidR="00C72194">
          <w:rPr>
            <w:noProof/>
            <w:webHidden/>
          </w:rPr>
          <w:fldChar w:fldCharType="begin"/>
        </w:r>
        <w:r w:rsidR="00C72194">
          <w:rPr>
            <w:noProof/>
            <w:webHidden/>
          </w:rPr>
          <w:instrText xml:space="preserve"> PAGEREF _Toc90030689 \h </w:instrText>
        </w:r>
        <w:r w:rsidR="00C72194">
          <w:rPr>
            <w:noProof/>
            <w:webHidden/>
          </w:rPr>
        </w:r>
        <w:r w:rsidR="00C72194">
          <w:rPr>
            <w:noProof/>
            <w:webHidden/>
          </w:rPr>
          <w:fldChar w:fldCharType="separate"/>
        </w:r>
        <w:r w:rsidR="00036B4D">
          <w:rPr>
            <w:noProof/>
            <w:webHidden/>
          </w:rPr>
          <w:t>5</w:t>
        </w:r>
        <w:r w:rsidR="00C72194">
          <w:rPr>
            <w:noProof/>
            <w:webHidden/>
          </w:rPr>
          <w:fldChar w:fldCharType="end"/>
        </w:r>
      </w:hyperlink>
    </w:p>
    <w:p w14:paraId="4B091B3C" w14:textId="4042D2FA"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690" w:history="1">
        <w:r w:rsidR="00C72194" w:rsidRPr="0039162A">
          <w:rPr>
            <w:rStyle w:val="Hyperlink"/>
            <w:noProof/>
          </w:rPr>
          <w:t>Key data and statistics</w:t>
        </w:r>
        <w:r w:rsidR="00C72194">
          <w:rPr>
            <w:noProof/>
            <w:webHidden/>
          </w:rPr>
          <w:tab/>
        </w:r>
        <w:r w:rsidR="00C72194">
          <w:rPr>
            <w:noProof/>
            <w:webHidden/>
          </w:rPr>
          <w:fldChar w:fldCharType="begin"/>
        </w:r>
        <w:r w:rsidR="00C72194">
          <w:rPr>
            <w:noProof/>
            <w:webHidden/>
          </w:rPr>
          <w:instrText xml:space="preserve"> PAGEREF _Toc90030690 \h </w:instrText>
        </w:r>
        <w:r w:rsidR="00C72194">
          <w:rPr>
            <w:noProof/>
            <w:webHidden/>
          </w:rPr>
        </w:r>
        <w:r w:rsidR="00C72194">
          <w:rPr>
            <w:noProof/>
            <w:webHidden/>
          </w:rPr>
          <w:fldChar w:fldCharType="separate"/>
        </w:r>
        <w:r w:rsidR="00036B4D">
          <w:rPr>
            <w:noProof/>
            <w:webHidden/>
          </w:rPr>
          <w:t>5</w:t>
        </w:r>
        <w:r w:rsidR="00C72194">
          <w:rPr>
            <w:noProof/>
            <w:webHidden/>
          </w:rPr>
          <w:fldChar w:fldCharType="end"/>
        </w:r>
      </w:hyperlink>
    </w:p>
    <w:p w14:paraId="3766A836" w14:textId="65F951FD"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1" w:history="1">
        <w:r w:rsidR="00C72194" w:rsidRPr="0039162A">
          <w:rPr>
            <w:rStyle w:val="Hyperlink"/>
            <w:noProof/>
          </w:rPr>
          <w:t>Health profile of people with disabilities</w:t>
        </w:r>
        <w:r w:rsidR="00C72194">
          <w:rPr>
            <w:noProof/>
            <w:webHidden/>
          </w:rPr>
          <w:tab/>
        </w:r>
        <w:r w:rsidR="00C72194">
          <w:rPr>
            <w:noProof/>
            <w:webHidden/>
          </w:rPr>
          <w:fldChar w:fldCharType="begin"/>
        </w:r>
        <w:r w:rsidR="00C72194">
          <w:rPr>
            <w:noProof/>
            <w:webHidden/>
          </w:rPr>
          <w:instrText xml:space="preserve"> PAGEREF _Toc90030691 \h </w:instrText>
        </w:r>
        <w:r w:rsidR="00C72194">
          <w:rPr>
            <w:noProof/>
            <w:webHidden/>
          </w:rPr>
        </w:r>
        <w:r w:rsidR="00C72194">
          <w:rPr>
            <w:noProof/>
            <w:webHidden/>
          </w:rPr>
          <w:fldChar w:fldCharType="separate"/>
        </w:r>
        <w:r w:rsidR="00036B4D">
          <w:rPr>
            <w:noProof/>
            <w:webHidden/>
          </w:rPr>
          <w:t>5</w:t>
        </w:r>
        <w:r w:rsidR="00C72194">
          <w:rPr>
            <w:noProof/>
            <w:webHidden/>
          </w:rPr>
          <w:fldChar w:fldCharType="end"/>
        </w:r>
      </w:hyperlink>
    </w:p>
    <w:p w14:paraId="784FEA2B" w14:textId="6B214DB3"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2" w:history="1">
        <w:r w:rsidR="00C72194" w:rsidRPr="0039162A">
          <w:rPr>
            <w:rStyle w:val="Hyperlink"/>
            <w:noProof/>
          </w:rPr>
          <w:t>Discrimination in healthcare</w:t>
        </w:r>
        <w:r w:rsidR="00C72194">
          <w:rPr>
            <w:noProof/>
            <w:webHidden/>
          </w:rPr>
          <w:tab/>
        </w:r>
        <w:r w:rsidR="00C72194">
          <w:rPr>
            <w:noProof/>
            <w:webHidden/>
          </w:rPr>
          <w:fldChar w:fldCharType="begin"/>
        </w:r>
        <w:r w:rsidR="00C72194">
          <w:rPr>
            <w:noProof/>
            <w:webHidden/>
          </w:rPr>
          <w:instrText xml:space="preserve"> PAGEREF _Toc90030692 \h </w:instrText>
        </w:r>
        <w:r w:rsidR="00C72194">
          <w:rPr>
            <w:noProof/>
            <w:webHidden/>
          </w:rPr>
        </w:r>
        <w:r w:rsidR="00C72194">
          <w:rPr>
            <w:noProof/>
            <w:webHidden/>
          </w:rPr>
          <w:fldChar w:fldCharType="separate"/>
        </w:r>
        <w:r w:rsidR="00036B4D">
          <w:rPr>
            <w:noProof/>
            <w:webHidden/>
          </w:rPr>
          <w:t>9</w:t>
        </w:r>
        <w:r w:rsidR="00C72194">
          <w:rPr>
            <w:noProof/>
            <w:webHidden/>
          </w:rPr>
          <w:fldChar w:fldCharType="end"/>
        </w:r>
      </w:hyperlink>
    </w:p>
    <w:p w14:paraId="2CD7698F" w14:textId="038ADB8A"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693" w:history="1">
        <w:r w:rsidR="00C72194" w:rsidRPr="0039162A">
          <w:rPr>
            <w:rStyle w:val="Hyperlink"/>
            <w:noProof/>
          </w:rPr>
          <w:t>Irish Healthcare System</w:t>
        </w:r>
        <w:r w:rsidR="00C72194">
          <w:rPr>
            <w:noProof/>
            <w:webHidden/>
          </w:rPr>
          <w:tab/>
        </w:r>
        <w:r w:rsidR="00C72194">
          <w:rPr>
            <w:noProof/>
            <w:webHidden/>
          </w:rPr>
          <w:fldChar w:fldCharType="begin"/>
        </w:r>
        <w:r w:rsidR="00C72194">
          <w:rPr>
            <w:noProof/>
            <w:webHidden/>
          </w:rPr>
          <w:instrText xml:space="preserve"> PAGEREF _Toc90030693 \h </w:instrText>
        </w:r>
        <w:r w:rsidR="00C72194">
          <w:rPr>
            <w:noProof/>
            <w:webHidden/>
          </w:rPr>
        </w:r>
        <w:r w:rsidR="00C72194">
          <w:rPr>
            <w:noProof/>
            <w:webHidden/>
          </w:rPr>
          <w:fldChar w:fldCharType="separate"/>
        </w:r>
        <w:r w:rsidR="00036B4D">
          <w:rPr>
            <w:noProof/>
            <w:webHidden/>
          </w:rPr>
          <w:t>10</w:t>
        </w:r>
        <w:r w:rsidR="00C72194">
          <w:rPr>
            <w:noProof/>
            <w:webHidden/>
          </w:rPr>
          <w:fldChar w:fldCharType="end"/>
        </w:r>
      </w:hyperlink>
    </w:p>
    <w:p w14:paraId="5EF96931" w14:textId="356BC078"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4" w:history="1">
        <w:r w:rsidR="00C72194" w:rsidRPr="0039162A">
          <w:rPr>
            <w:rStyle w:val="Hyperlink"/>
            <w:noProof/>
          </w:rPr>
          <w:t>Public Healthcare System</w:t>
        </w:r>
        <w:r w:rsidR="00C72194">
          <w:rPr>
            <w:noProof/>
            <w:webHidden/>
          </w:rPr>
          <w:tab/>
        </w:r>
        <w:r w:rsidR="00C72194">
          <w:rPr>
            <w:noProof/>
            <w:webHidden/>
          </w:rPr>
          <w:fldChar w:fldCharType="begin"/>
        </w:r>
        <w:r w:rsidR="00C72194">
          <w:rPr>
            <w:noProof/>
            <w:webHidden/>
          </w:rPr>
          <w:instrText xml:space="preserve"> PAGEREF _Toc90030694 \h </w:instrText>
        </w:r>
        <w:r w:rsidR="00C72194">
          <w:rPr>
            <w:noProof/>
            <w:webHidden/>
          </w:rPr>
        </w:r>
        <w:r w:rsidR="00C72194">
          <w:rPr>
            <w:noProof/>
            <w:webHidden/>
          </w:rPr>
          <w:fldChar w:fldCharType="separate"/>
        </w:r>
        <w:r w:rsidR="00036B4D">
          <w:rPr>
            <w:noProof/>
            <w:webHidden/>
          </w:rPr>
          <w:t>10</w:t>
        </w:r>
        <w:r w:rsidR="00C72194">
          <w:rPr>
            <w:noProof/>
            <w:webHidden/>
          </w:rPr>
          <w:fldChar w:fldCharType="end"/>
        </w:r>
      </w:hyperlink>
    </w:p>
    <w:p w14:paraId="21455944" w14:textId="21BC36AA"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5" w:history="1">
        <w:r w:rsidR="00C72194" w:rsidRPr="0039162A">
          <w:rPr>
            <w:rStyle w:val="Hyperlink"/>
            <w:noProof/>
          </w:rPr>
          <w:t>Private healthcare system</w:t>
        </w:r>
        <w:r w:rsidR="00C72194">
          <w:rPr>
            <w:noProof/>
            <w:webHidden/>
          </w:rPr>
          <w:tab/>
        </w:r>
        <w:r w:rsidR="00C72194">
          <w:rPr>
            <w:noProof/>
            <w:webHidden/>
          </w:rPr>
          <w:fldChar w:fldCharType="begin"/>
        </w:r>
        <w:r w:rsidR="00C72194">
          <w:rPr>
            <w:noProof/>
            <w:webHidden/>
          </w:rPr>
          <w:instrText xml:space="preserve"> PAGEREF _Toc90030695 \h </w:instrText>
        </w:r>
        <w:r w:rsidR="00C72194">
          <w:rPr>
            <w:noProof/>
            <w:webHidden/>
          </w:rPr>
        </w:r>
        <w:r w:rsidR="00C72194">
          <w:rPr>
            <w:noProof/>
            <w:webHidden/>
          </w:rPr>
          <w:fldChar w:fldCharType="separate"/>
        </w:r>
        <w:r w:rsidR="00036B4D">
          <w:rPr>
            <w:noProof/>
            <w:webHidden/>
          </w:rPr>
          <w:t>13</w:t>
        </w:r>
        <w:r w:rsidR="00C72194">
          <w:rPr>
            <w:noProof/>
            <w:webHidden/>
          </w:rPr>
          <w:fldChar w:fldCharType="end"/>
        </w:r>
      </w:hyperlink>
    </w:p>
    <w:p w14:paraId="7C7E3EB8" w14:textId="4CF1E3EE"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696" w:history="1">
        <w:r w:rsidR="00C72194" w:rsidRPr="0039162A">
          <w:rPr>
            <w:rStyle w:val="Hyperlink"/>
            <w:noProof/>
          </w:rPr>
          <w:t>Policy landscape</w:t>
        </w:r>
        <w:r w:rsidR="00C72194">
          <w:rPr>
            <w:noProof/>
            <w:webHidden/>
          </w:rPr>
          <w:tab/>
        </w:r>
        <w:r w:rsidR="00C72194">
          <w:rPr>
            <w:noProof/>
            <w:webHidden/>
          </w:rPr>
          <w:fldChar w:fldCharType="begin"/>
        </w:r>
        <w:r w:rsidR="00C72194">
          <w:rPr>
            <w:noProof/>
            <w:webHidden/>
          </w:rPr>
          <w:instrText xml:space="preserve"> PAGEREF _Toc90030696 \h </w:instrText>
        </w:r>
        <w:r w:rsidR="00C72194">
          <w:rPr>
            <w:noProof/>
            <w:webHidden/>
          </w:rPr>
        </w:r>
        <w:r w:rsidR="00C72194">
          <w:rPr>
            <w:noProof/>
            <w:webHidden/>
          </w:rPr>
          <w:fldChar w:fldCharType="separate"/>
        </w:r>
        <w:r w:rsidR="00036B4D">
          <w:rPr>
            <w:noProof/>
            <w:webHidden/>
          </w:rPr>
          <w:t>15</w:t>
        </w:r>
        <w:r w:rsidR="00C72194">
          <w:rPr>
            <w:noProof/>
            <w:webHidden/>
          </w:rPr>
          <w:fldChar w:fldCharType="end"/>
        </w:r>
      </w:hyperlink>
    </w:p>
    <w:p w14:paraId="123921D1" w14:textId="1A67650F"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7" w:history="1">
        <w:r w:rsidR="00C72194" w:rsidRPr="0039162A">
          <w:rPr>
            <w:rStyle w:val="Hyperlink"/>
            <w:noProof/>
          </w:rPr>
          <w:t>Sláintecare</w:t>
        </w:r>
        <w:r w:rsidR="00C72194">
          <w:rPr>
            <w:noProof/>
            <w:webHidden/>
          </w:rPr>
          <w:tab/>
        </w:r>
        <w:r w:rsidR="00C72194">
          <w:rPr>
            <w:noProof/>
            <w:webHidden/>
          </w:rPr>
          <w:fldChar w:fldCharType="begin"/>
        </w:r>
        <w:r w:rsidR="00C72194">
          <w:rPr>
            <w:noProof/>
            <w:webHidden/>
          </w:rPr>
          <w:instrText xml:space="preserve"> PAGEREF _Toc90030697 \h </w:instrText>
        </w:r>
        <w:r w:rsidR="00C72194">
          <w:rPr>
            <w:noProof/>
            <w:webHidden/>
          </w:rPr>
        </w:r>
        <w:r w:rsidR="00C72194">
          <w:rPr>
            <w:noProof/>
            <w:webHidden/>
          </w:rPr>
          <w:fldChar w:fldCharType="separate"/>
        </w:r>
        <w:r w:rsidR="00036B4D">
          <w:rPr>
            <w:noProof/>
            <w:webHidden/>
          </w:rPr>
          <w:t>15</w:t>
        </w:r>
        <w:r w:rsidR="00C72194">
          <w:rPr>
            <w:noProof/>
            <w:webHidden/>
          </w:rPr>
          <w:fldChar w:fldCharType="end"/>
        </w:r>
      </w:hyperlink>
    </w:p>
    <w:p w14:paraId="34D303E7" w14:textId="4A6573F2"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8" w:history="1">
        <w:r w:rsidR="00C72194" w:rsidRPr="0039162A">
          <w:rPr>
            <w:rStyle w:val="Hyperlink"/>
            <w:noProof/>
          </w:rPr>
          <w:t>Healthy Ireland</w:t>
        </w:r>
        <w:r w:rsidR="00C72194">
          <w:rPr>
            <w:noProof/>
            <w:webHidden/>
          </w:rPr>
          <w:tab/>
        </w:r>
        <w:r w:rsidR="00C72194">
          <w:rPr>
            <w:noProof/>
            <w:webHidden/>
          </w:rPr>
          <w:fldChar w:fldCharType="begin"/>
        </w:r>
        <w:r w:rsidR="00C72194">
          <w:rPr>
            <w:noProof/>
            <w:webHidden/>
          </w:rPr>
          <w:instrText xml:space="preserve"> PAGEREF _Toc90030698 \h </w:instrText>
        </w:r>
        <w:r w:rsidR="00C72194">
          <w:rPr>
            <w:noProof/>
            <w:webHidden/>
          </w:rPr>
        </w:r>
        <w:r w:rsidR="00C72194">
          <w:rPr>
            <w:noProof/>
            <w:webHidden/>
          </w:rPr>
          <w:fldChar w:fldCharType="separate"/>
        </w:r>
        <w:r w:rsidR="00036B4D">
          <w:rPr>
            <w:noProof/>
            <w:webHidden/>
          </w:rPr>
          <w:t>15</w:t>
        </w:r>
        <w:r w:rsidR="00C72194">
          <w:rPr>
            <w:noProof/>
            <w:webHidden/>
          </w:rPr>
          <w:fldChar w:fldCharType="end"/>
        </w:r>
      </w:hyperlink>
    </w:p>
    <w:p w14:paraId="1E497881" w14:textId="6560DD47"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699" w:history="1">
        <w:r w:rsidR="00C72194" w:rsidRPr="0039162A">
          <w:rPr>
            <w:rStyle w:val="Hyperlink"/>
            <w:noProof/>
          </w:rPr>
          <w:t>Drugs and Alcohol</w:t>
        </w:r>
        <w:r w:rsidR="00C72194">
          <w:rPr>
            <w:noProof/>
            <w:webHidden/>
          </w:rPr>
          <w:tab/>
        </w:r>
        <w:r w:rsidR="00C72194">
          <w:rPr>
            <w:noProof/>
            <w:webHidden/>
          </w:rPr>
          <w:fldChar w:fldCharType="begin"/>
        </w:r>
        <w:r w:rsidR="00C72194">
          <w:rPr>
            <w:noProof/>
            <w:webHidden/>
          </w:rPr>
          <w:instrText xml:space="preserve"> PAGEREF _Toc90030699 \h </w:instrText>
        </w:r>
        <w:r w:rsidR="00C72194">
          <w:rPr>
            <w:noProof/>
            <w:webHidden/>
          </w:rPr>
        </w:r>
        <w:r w:rsidR="00C72194">
          <w:rPr>
            <w:noProof/>
            <w:webHidden/>
          </w:rPr>
          <w:fldChar w:fldCharType="separate"/>
        </w:r>
        <w:r w:rsidR="00036B4D">
          <w:rPr>
            <w:noProof/>
            <w:webHidden/>
          </w:rPr>
          <w:t>15</w:t>
        </w:r>
        <w:r w:rsidR="00C72194">
          <w:rPr>
            <w:noProof/>
            <w:webHidden/>
          </w:rPr>
          <w:fldChar w:fldCharType="end"/>
        </w:r>
      </w:hyperlink>
    </w:p>
    <w:p w14:paraId="03A0C090" w14:textId="6971A66A"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0" w:history="1">
        <w:r w:rsidR="00C72194" w:rsidRPr="0039162A">
          <w:rPr>
            <w:rStyle w:val="Hyperlink"/>
            <w:noProof/>
          </w:rPr>
          <w:t>National Trauma Policy</w:t>
        </w:r>
        <w:r w:rsidR="00C72194">
          <w:rPr>
            <w:noProof/>
            <w:webHidden/>
          </w:rPr>
          <w:tab/>
        </w:r>
        <w:r w:rsidR="00C72194">
          <w:rPr>
            <w:noProof/>
            <w:webHidden/>
          </w:rPr>
          <w:fldChar w:fldCharType="begin"/>
        </w:r>
        <w:r w:rsidR="00C72194">
          <w:rPr>
            <w:noProof/>
            <w:webHidden/>
          </w:rPr>
          <w:instrText xml:space="preserve"> PAGEREF _Toc90030700 \h </w:instrText>
        </w:r>
        <w:r w:rsidR="00C72194">
          <w:rPr>
            <w:noProof/>
            <w:webHidden/>
          </w:rPr>
        </w:r>
        <w:r w:rsidR="00C72194">
          <w:rPr>
            <w:noProof/>
            <w:webHidden/>
          </w:rPr>
          <w:fldChar w:fldCharType="separate"/>
        </w:r>
        <w:r w:rsidR="00036B4D">
          <w:rPr>
            <w:noProof/>
            <w:webHidden/>
          </w:rPr>
          <w:t>16</w:t>
        </w:r>
        <w:r w:rsidR="00C72194">
          <w:rPr>
            <w:noProof/>
            <w:webHidden/>
          </w:rPr>
          <w:fldChar w:fldCharType="end"/>
        </w:r>
      </w:hyperlink>
    </w:p>
    <w:p w14:paraId="490803AB" w14:textId="735FAC23"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1" w:history="1">
        <w:r w:rsidR="00C72194" w:rsidRPr="0039162A">
          <w:rPr>
            <w:rStyle w:val="Hyperlink"/>
            <w:noProof/>
          </w:rPr>
          <w:t>National Cancer Strategy 2017-2026</w:t>
        </w:r>
        <w:r w:rsidR="00C72194">
          <w:rPr>
            <w:noProof/>
            <w:webHidden/>
          </w:rPr>
          <w:tab/>
        </w:r>
        <w:r w:rsidR="00C72194">
          <w:rPr>
            <w:noProof/>
            <w:webHidden/>
          </w:rPr>
          <w:fldChar w:fldCharType="begin"/>
        </w:r>
        <w:r w:rsidR="00C72194">
          <w:rPr>
            <w:noProof/>
            <w:webHidden/>
          </w:rPr>
          <w:instrText xml:space="preserve"> PAGEREF _Toc90030701 \h </w:instrText>
        </w:r>
        <w:r w:rsidR="00C72194">
          <w:rPr>
            <w:noProof/>
            <w:webHidden/>
          </w:rPr>
        </w:r>
        <w:r w:rsidR="00C72194">
          <w:rPr>
            <w:noProof/>
            <w:webHidden/>
          </w:rPr>
          <w:fldChar w:fldCharType="separate"/>
        </w:r>
        <w:r w:rsidR="00036B4D">
          <w:rPr>
            <w:noProof/>
            <w:webHidden/>
          </w:rPr>
          <w:t>16</w:t>
        </w:r>
        <w:r w:rsidR="00C72194">
          <w:rPr>
            <w:noProof/>
            <w:webHidden/>
          </w:rPr>
          <w:fldChar w:fldCharType="end"/>
        </w:r>
      </w:hyperlink>
    </w:p>
    <w:p w14:paraId="5381892B" w14:textId="5928CD37"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2" w:history="1">
        <w:r w:rsidR="00C72194" w:rsidRPr="0039162A">
          <w:rPr>
            <w:rStyle w:val="Hyperlink"/>
            <w:noProof/>
          </w:rPr>
          <w:t>Patient Safety Strategy 2019-2024</w:t>
        </w:r>
        <w:r w:rsidR="00C72194">
          <w:rPr>
            <w:noProof/>
            <w:webHidden/>
          </w:rPr>
          <w:tab/>
        </w:r>
        <w:r w:rsidR="00C72194">
          <w:rPr>
            <w:noProof/>
            <w:webHidden/>
          </w:rPr>
          <w:fldChar w:fldCharType="begin"/>
        </w:r>
        <w:r w:rsidR="00C72194">
          <w:rPr>
            <w:noProof/>
            <w:webHidden/>
          </w:rPr>
          <w:instrText xml:space="preserve"> PAGEREF _Toc90030702 \h </w:instrText>
        </w:r>
        <w:r w:rsidR="00C72194">
          <w:rPr>
            <w:noProof/>
            <w:webHidden/>
          </w:rPr>
        </w:r>
        <w:r w:rsidR="00C72194">
          <w:rPr>
            <w:noProof/>
            <w:webHidden/>
          </w:rPr>
          <w:fldChar w:fldCharType="separate"/>
        </w:r>
        <w:r w:rsidR="00036B4D">
          <w:rPr>
            <w:noProof/>
            <w:webHidden/>
          </w:rPr>
          <w:t>16</w:t>
        </w:r>
        <w:r w:rsidR="00C72194">
          <w:rPr>
            <w:noProof/>
            <w:webHidden/>
          </w:rPr>
          <w:fldChar w:fldCharType="end"/>
        </w:r>
      </w:hyperlink>
    </w:p>
    <w:p w14:paraId="2B780C7E" w14:textId="51DC28D9"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3" w:history="1">
        <w:r w:rsidR="00C72194" w:rsidRPr="0039162A">
          <w:rPr>
            <w:rStyle w:val="Hyperlink"/>
            <w:noProof/>
          </w:rPr>
          <w:t>National Strategy &amp; Policy for the Provision of Neuro-Rehabilitation Services in Ireland</w:t>
        </w:r>
        <w:r w:rsidR="00C72194">
          <w:rPr>
            <w:noProof/>
            <w:webHidden/>
          </w:rPr>
          <w:tab/>
        </w:r>
        <w:r w:rsidR="00C72194">
          <w:rPr>
            <w:noProof/>
            <w:webHidden/>
          </w:rPr>
          <w:fldChar w:fldCharType="begin"/>
        </w:r>
        <w:r w:rsidR="00C72194">
          <w:rPr>
            <w:noProof/>
            <w:webHidden/>
          </w:rPr>
          <w:instrText xml:space="preserve"> PAGEREF _Toc90030703 \h </w:instrText>
        </w:r>
        <w:r w:rsidR="00C72194">
          <w:rPr>
            <w:noProof/>
            <w:webHidden/>
          </w:rPr>
        </w:r>
        <w:r w:rsidR="00C72194">
          <w:rPr>
            <w:noProof/>
            <w:webHidden/>
          </w:rPr>
          <w:fldChar w:fldCharType="separate"/>
        </w:r>
        <w:r w:rsidR="00036B4D">
          <w:rPr>
            <w:noProof/>
            <w:webHidden/>
          </w:rPr>
          <w:t>17</w:t>
        </w:r>
        <w:r w:rsidR="00C72194">
          <w:rPr>
            <w:noProof/>
            <w:webHidden/>
          </w:rPr>
          <w:fldChar w:fldCharType="end"/>
        </w:r>
      </w:hyperlink>
    </w:p>
    <w:p w14:paraId="3783F765" w14:textId="78AAA25A"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04" w:history="1">
        <w:r w:rsidR="00C72194" w:rsidRPr="0039162A">
          <w:rPr>
            <w:rStyle w:val="Hyperlink"/>
            <w:noProof/>
          </w:rPr>
          <w:t>Disability Services</w:t>
        </w:r>
        <w:r w:rsidR="00C72194">
          <w:rPr>
            <w:noProof/>
            <w:webHidden/>
          </w:rPr>
          <w:tab/>
        </w:r>
        <w:r w:rsidR="00C72194">
          <w:rPr>
            <w:noProof/>
            <w:webHidden/>
          </w:rPr>
          <w:fldChar w:fldCharType="begin"/>
        </w:r>
        <w:r w:rsidR="00C72194">
          <w:rPr>
            <w:noProof/>
            <w:webHidden/>
          </w:rPr>
          <w:instrText xml:space="preserve"> PAGEREF _Toc90030704 \h </w:instrText>
        </w:r>
        <w:r w:rsidR="00C72194">
          <w:rPr>
            <w:noProof/>
            <w:webHidden/>
          </w:rPr>
        </w:r>
        <w:r w:rsidR="00C72194">
          <w:rPr>
            <w:noProof/>
            <w:webHidden/>
          </w:rPr>
          <w:fldChar w:fldCharType="separate"/>
        </w:r>
        <w:r w:rsidR="00036B4D">
          <w:rPr>
            <w:noProof/>
            <w:webHidden/>
          </w:rPr>
          <w:t>17</w:t>
        </w:r>
        <w:r w:rsidR="00C72194">
          <w:rPr>
            <w:noProof/>
            <w:webHidden/>
          </w:rPr>
          <w:fldChar w:fldCharType="end"/>
        </w:r>
      </w:hyperlink>
    </w:p>
    <w:p w14:paraId="5CB6AB51" w14:textId="566FEE63"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5" w:history="1">
        <w:r w:rsidR="00C72194" w:rsidRPr="0039162A">
          <w:rPr>
            <w:rStyle w:val="Hyperlink"/>
            <w:noProof/>
          </w:rPr>
          <w:t>Disability Capacity Review</w:t>
        </w:r>
        <w:r w:rsidR="00C72194">
          <w:rPr>
            <w:noProof/>
            <w:webHidden/>
          </w:rPr>
          <w:tab/>
        </w:r>
        <w:r w:rsidR="00C72194">
          <w:rPr>
            <w:noProof/>
            <w:webHidden/>
          </w:rPr>
          <w:fldChar w:fldCharType="begin"/>
        </w:r>
        <w:r w:rsidR="00C72194">
          <w:rPr>
            <w:noProof/>
            <w:webHidden/>
          </w:rPr>
          <w:instrText xml:space="preserve"> PAGEREF _Toc90030705 \h </w:instrText>
        </w:r>
        <w:r w:rsidR="00C72194">
          <w:rPr>
            <w:noProof/>
            <w:webHidden/>
          </w:rPr>
        </w:r>
        <w:r w:rsidR="00C72194">
          <w:rPr>
            <w:noProof/>
            <w:webHidden/>
          </w:rPr>
          <w:fldChar w:fldCharType="separate"/>
        </w:r>
        <w:r w:rsidR="00036B4D">
          <w:rPr>
            <w:noProof/>
            <w:webHidden/>
          </w:rPr>
          <w:t>18</w:t>
        </w:r>
        <w:r w:rsidR="00C72194">
          <w:rPr>
            <w:noProof/>
            <w:webHidden/>
          </w:rPr>
          <w:fldChar w:fldCharType="end"/>
        </w:r>
      </w:hyperlink>
    </w:p>
    <w:p w14:paraId="66D72328" w14:textId="0E1535AF"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6" w:history="1">
        <w:r w:rsidR="00C72194" w:rsidRPr="0039162A">
          <w:rPr>
            <w:rStyle w:val="Hyperlink"/>
            <w:noProof/>
          </w:rPr>
          <w:t>Therapy services</w:t>
        </w:r>
        <w:r w:rsidR="00C72194">
          <w:rPr>
            <w:noProof/>
            <w:webHidden/>
          </w:rPr>
          <w:tab/>
        </w:r>
        <w:r w:rsidR="00C72194">
          <w:rPr>
            <w:noProof/>
            <w:webHidden/>
          </w:rPr>
          <w:fldChar w:fldCharType="begin"/>
        </w:r>
        <w:r w:rsidR="00C72194">
          <w:rPr>
            <w:noProof/>
            <w:webHidden/>
          </w:rPr>
          <w:instrText xml:space="preserve"> PAGEREF _Toc90030706 \h </w:instrText>
        </w:r>
        <w:r w:rsidR="00C72194">
          <w:rPr>
            <w:noProof/>
            <w:webHidden/>
          </w:rPr>
        </w:r>
        <w:r w:rsidR="00C72194">
          <w:rPr>
            <w:noProof/>
            <w:webHidden/>
          </w:rPr>
          <w:fldChar w:fldCharType="separate"/>
        </w:r>
        <w:r w:rsidR="00036B4D">
          <w:rPr>
            <w:noProof/>
            <w:webHidden/>
          </w:rPr>
          <w:t>18</w:t>
        </w:r>
        <w:r w:rsidR="00C72194">
          <w:rPr>
            <w:noProof/>
            <w:webHidden/>
          </w:rPr>
          <w:fldChar w:fldCharType="end"/>
        </w:r>
      </w:hyperlink>
    </w:p>
    <w:p w14:paraId="666CA27A" w14:textId="4DCCA559"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7" w:history="1">
        <w:r w:rsidR="00C72194" w:rsidRPr="0039162A">
          <w:rPr>
            <w:rStyle w:val="Hyperlink"/>
            <w:noProof/>
          </w:rPr>
          <w:t>Respite care</w:t>
        </w:r>
        <w:r w:rsidR="00C72194">
          <w:rPr>
            <w:noProof/>
            <w:webHidden/>
          </w:rPr>
          <w:tab/>
        </w:r>
        <w:r w:rsidR="00C72194">
          <w:rPr>
            <w:noProof/>
            <w:webHidden/>
          </w:rPr>
          <w:fldChar w:fldCharType="begin"/>
        </w:r>
        <w:r w:rsidR="00C72194">
          <w:rPr>
            <w:noProof/>
            <w:webHidden/>
          </w:rPr>
          <w:instrText xml:space="preserve"> PAGEREF _Toc90030707 \h </w:instrText>
        </w:r>
        <w:r w:rsidR="00C72194">
          <w:rPr>
            <w:noProof/>
            <w:webHidden/>
          </w:rPr>
        </w:r>
        <w:r w:rsidR="00C72194">
          <w:rPr>
            <w:noProof/>
            <w:webHidden/>
          </w:rPr>
          <w:fldChar w:fldCharType="separate"/>
        </w:r>
        <w:r w:rsidR="00036B4D">
          <w:rPr>
            <w:noProof/>
            <w:webHidden/>
          </w:rPr>
          <w:t>18</w:t>
        </w:r>
        <w:r w:rsidR="00C72194">
          <w:rPr>
            <w:noProof/>
            <w:webHidden/>
          </w:rPr>
          <w:fldChar w:fldCharType="end"/>
        </w:r>
      </w:hyperlink>
    </w:p>
    <w:p w14:paraId="70A20034" w14:textId="3A2777EA"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08" w:history="1">
        <w:r w:rsidR="00C72194" w:rsidRPr="0039162A">
          <w:rPr>
            <w:rStyle w:val="Hyperlink"/>
            <w:noProof/>
          </w:rPr>
          <w:t>Primary Care</w:t>
        </w:r>
        <w:r w:rsidR="00C72194">
          <w:rPr>
            <w:noProof/>
            <w:webHidden/>
          </w:rPr>
          <w:tab/>
        </w:r>
        <w:r w:rsidR="00C72194">
          <w:rPr>
            <w:noProof/>
            <w:webHidden/>
          </w:rPr>
          <w:fldChar w:fldCharType="begin"/>
        </w:r>
        <w:r w:rsidR="00C72194">
          <w:rPr>
            <w:noProof/>
            <w:webHidden/>
          </w:rPr>
          <w:instrText xml:space="preserve"> PAGEREF _Toc90030708 \h </w:instrText>
        </w:r>
        <w:r w:rsidR="00C72194">
          <w:rPr>
            <w:noProof/>
            <w:webHidden/>
          </w:rPr>
        </w:r>
        <w:r w:rsidR="00C72194">
          <w:rPr>
            <w:noProof/>
            <w:webHidden/>
          </w:rPr>
          <w:fldChar w:fldCharType="separate"/>
        </w:r>
        <w:r w:rsidR="00036B4D">
          <w:rPr>
            <w:noProof/>
            <w:webHidden/>
          </w:rPr>
          <w:t>21</w:t>
        </w:r>
        <w:r w:rsidR="00C72194">
          <w:rPr>
            <w:noProof/>
            <w:webHidden/>
          </w:rPr>
          <w:fldChar w:fldCharType="end"/>
        </w:r>
      </w:hyperlink>
    </w:p>
    <w:p w14:paraId="11EEBB96" w14:textId="2C13DB01"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09" w:history="1">
        <w:r w:rsidR="00C72194" w:rsidRPr="0039162A">
          <w:rPr>
            <w:rStyle w:val="Hyperlink"/>
            <w:noProof/>
          </w:rPr>
          <w:t>Primary Care Therapies</w:t>
        </w:r>
        <w:r w:rsidR="00C72194">
          <w:rPr>
            <w:noProof/>
            <w:webHidden/>
          </w:rPr>
          <w:tab/>
        </w:r>
        <w:r w:rsidR="00C72194">
          <w:rPr>
            <w:noProof/>
            <w:webHidden/>
          </w:rPr>
          <w:fldChar w:fldCharType="begin"/>
        </w:r>
        <w:r w:rsidR="00C72194">
          <w:rPr>
            <w:noProof/>
            <w:webHidden/>
          </w:rPr>
          <w:instrText xml:space="preserve"> PAGEREF _Toc90030709 \h </w:instrText>
        </w:r>
        <w:r w:rsidR="00C72194">
          <w:rPr>
            <w:noProof/>
            <w:webHidden/>
          </w:rPr>
        </w:r>
        <w:r w:rsidR="00C72194">
          <w:rPr>
            <w:noProof/>
            <w:webHidden/>
          </w:rPr>
          <w:fldChar w:fldCharType="separate"/>
        </w:r>
        <w:r w:rsidR="00036B4D">
          <w:rPr>
            <w:noProof/>
            <w:webHidden/>
          </w:rPr>
          <w:t>21</w:t>
        </w:r>
        <w:r w:rsidR="00C72194">
          <w:rPr>
            <w:noProof/>
            <w:webHidden/>
          </w:rPr>
          <w:fldChar w:fldCharType="end"/>
        </w:r>
      </w:hyperlink>
    </w:p>
    <w:p w14:paraId="0E9F242A" w14:textId="7CD42C65"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10" w:history="1">
        <w:r w:rsidR="00C72194" w:rsidRPr="0039162A">
          <w:rPr>
            <w:rStyle w:val="Hyperlink"/>
            <w:noProof/>
          </w:rPr>
          <w:t>Oral Health</w:t>
        </w:r>
        <w:r w:rsidR="00C72194">
          <w:rPr>
            <w:noProof/>
            <w:webHidden/>
          </w:rPr>
          <w:tab/>
        </w:r>
        <w:r w:rsidR="00C72194">
          <w:rPr>
            <w:noProof/>
            <w:webHidden/>
          </w:rPr>
          <w:fldChar w:fldCharType="begin"/>
        </w:r>
        <w:r w:rsidR="00C72194">
          <w:rPr>
            <w:noProof/>
            <w:webHidden/>
          </w:rPr>
          <w:instrText xml:space="preserve"> PAGEREF _Toc90030710 \h </w:instrText>
        </w:r>
        <w:r w:rsidR="00C72194">
          <w:rPr>
            <w:noProof/>
            <w:webHidden/>
          </w:rPr>
        </w:r>
        <w:r w:rsidR="00C72194">
          <w:rPr>
            <w:noProof/>
            <w:webHidden/>
          </w:rPr>
          <w:fldChar w:fldCharType="separate"/>
        </w:r>
        <w:r w:rsidR="00036B4D">
          <w:rPr>
            <w:noProof/>
            <w:webHidden/>
          </w:rPr>
          <w:t>23</w:t>
        </w:r>
        <w:r w:rsidR="00C72194">
          <w:rPr>
            <w:noProof/>
            <w:webHidden/>
          </w:rPr>
          <w:fldChar w:fldCharType="end"/>
        </w:r>
      </w:hyperlink>
    </w:p>
    <w:p w14:paraId="0A3B1B5B" w14:textId="0CE72D15"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1" w:history="1">
        <w:r w:rsidR="00C72194" w:rsidRPr="0039162A">
          <w:rPr>
            <w:rStyle w:val="Hyperlink"/>
            <w:noProof/>
          </w:rPr>
          <w:t>Key data and statistics</w:t>
        </w:r>
        <w:r w:rsidR="00C72194">
          <w:rPr>
            <w:noProof/>
            <w:webHidden/>
          </w:rPr>
          <w:tab/>
        </w:r>
        <w:r w:rsidR="00C72194">
          <w:rPr>
            <w:noProof/>
            <w:webHidden/>
          </w:rPr>
          <w:fldChar w:fldCharType="begin"/>
        </w:r>
        <w:r w:rsidR="00C72194">
          <w:rPr>
            <w:noProof/>
            <w:webHidden/>
          </w:rPr>
          <w:instrText xml:space="preserve"> PAGEREF _Toc90030711 \h </w:instrText>
        </w:r>
        <w:r w:rsidR="00C72194">
          <w:rPr>
            <w:noProof/>
            <w:webHidden/>
          </w:rPr>
        </w:r>
        <w:r w:rsidR="00C72194">
          <w:rPr>
            <w:noProof/>
            <w:webHidden/>
          </w:rPr>
          <w:fldChar w:fldCharType="separate"/>
        </w:r>
        <w:r w:rsidR="00036B4D">
          <w:rPr>
            <w:noProof/>
            <w:webHidden/>
          </w:rPr>
          <w:t>23</w:t>
        </w:r>
        <w:r w:rsidR="00C72194">
          <w:rPr>
            <w:noProof/>
            <w:webHidden/>
          </w:rPr>
          <w:fldChar w:fldCharType="end"/>
        </w:r>
      </w:hyperlink>
    </w:p>
    <w:p w14:paraId="18951919" w14:textId="6CD7E935"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2" w:history="1">
        <w:r w:rsidR="00C72194" w:rsidRPr="0039162A">
          <w:rPr>
            <w:rStyle w:val="Hyperlink"/>
            <w:noProof/>
          </w:rPr>
          <w:t>Oral health services</w:t>
        </w:r>
        <w:r w:rsidR="00C72194">
          <w:rPr>
            <w:noProof/>
            <w:webHidden/>
          </w:rPr>
          <w:tab/>
        </w:r>
        <w:r w:rsidR="00C72194">
          <w:rPr>
            <w:noProof/>
            <w:webHidden/>
          </w:rPr>
          <w:fldChar w:fldCharType="begin"/>
        </w:r>
        <w:r w:rsidR="00C72194">
          <w:rPr>
            <w:noProof/>
            <w:webHidden/>
          </w:rPr>
          <w:instrText xml:space="preserve"> PAGEREF _Toc90030712 \h </w:instrText>
        </w:r>
        <w:r w:rsidR="00C72194">
          <w:rPr>
            <w:noProof/>
            <w:webHidden/>
          </w:rPr>
        </w:r>
        <w:r w:rsidR="00C72194">
          <w:rPr>
            <w:noProof/>
            <w:webHidden/>
          </w:rPr>
          <w:fldChar w:fldCharType="separate"/>
        </w:r>
        <w:r w:rsidR="00036B4D">
          <w:rPr>
            <w:noProof/>
            <w:webHidden/>
          </w:rPr>
          <w:t>24</w:t>
        </w:r>
        <w:r w:rsidR="00C72194">
          <w:rPr>
            <w:noProof/>
            <w:webHidden/>
          </w:rPr>
          <w:fldChar w:fldCharType="end"/>
        </w:r>
      </w:hyperlink>
    </w:p>
    <w:p w14:paraId="2AF09FE9" w14:textId="0DA10943"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3" w:history="1">
        <w:r w:rsidR="00C72194" w:rsidRPr="0039162A">
          <w:rPr>
            <w:rStyle w:val="Hyperlink"/>
            <w:noProof/>
          </w:rPr>
          <w:t>Policy and regulatory landscape</w:t>
        </w:r>
        <w:r w:rsidR="00C72194">
          <w:rPr>
            <w:noProof/>
            <w:webHidden/>
          </w:rPr>
          <w:tab/>
        </w:r>
        <w:r w:rsidR="00C72194">
          <w:rPr>
            <w:noProof/>
            <w:webHidden/>
          </w:rPr>
          <w:fldChar w:fldCharType="begin"/>
        </w:r>
        <w:r w:rsidR="00C72194">
          <w:rPr>
            <w:noProof/>
            <w:webHidden/>
          </w:rPr>
          <w:instrText xml:space="preserve"> PAGEREF _Toc90030713 \h </w:instrText>
        </w:r>
        <w:r w:rsidR="00C72194">
          <w:rPr>
            <w:noProof/>
            <w:webHidden/>
          </w:rPr>
        </w:r>
        <w:r w:rsidR="00C72194">
          <w:rPr>
            <w:noProof/>
            <w:webHidden/>
          </w:rPr>
          <w:fldChar w:fldCharType="separate"/>
        </w:r>
        <w:r w:rsidR="00036B4D">
          <w:rPr>
            <w:noProof/>
            <w:webHidden/>
          </w:rPr>
          <w:t>24</w:t>
        </w:r>
        <w:r w:rsidR="00C72194">
          <w:rPr>
            <w:noProof/>
            <w:webHidden/>
          </w:rPr>
          <w:fldChar w:fldCharType="end"/>
        </w:r>
      </w:hyperlink>
    </w:p>
    <w:p w14:paraId="6C338096" w14:textId="4686435D"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14" w:history="1">
        <w:r w:rsidR="00C72194" w:rsidRPr="0039162A">
          <w:rPr>
            <w:rStyle w:val="Hyperlink"/>
            <w:noProof/>
          </w:rPr>
          <w:t>Sexual &amp; Reproductive Health</w:t>
        </w:r>
        <w:r w:rsidR="00C72194">
          <w:rPr>
            <w:noProof/>
            <w:webHidden/>
          </w:rPr>
          <w:tab/>
        </w:r>
        <w:r w:rsidR="00C72194">
          <w:rPr>
            <w:noProof/>
            <w:webHidden/>
          </w:rPr>
          <w:fldChar w:fldCharType="begin"/>
        </w:r>
        <w:r w:rsidR="00C72194">
          <w:rPr>
            <w:noProof/>
            <w:webHidden/>
          </w:rPr>
          <w:instrText xml:space="preserve"> PAGEREF _Toc90030714 \h </w:instrText>
        </w:r>
        <w:r w:rsidR="00C72194">
          <w:rPr>
            <w:noProof/>
            <w:webHidden/>
          </w:rPr>
        </w:r>
        <w:r w:rsidR="00C72194">
          <w:rPr>
            <w:noProof/>
            <w:webHidden/>
          </w:rPr>
          <w:fldChar w:fldCharType="separate"/>
        </w:r>
        <w:r w:rsidR="00036B4D">
          <w:rPr>
            <w:noProof/>
            <w:webHidden/>
          </w:rPr>
          <w:t>25</w:t>
        </w:r>
        <w:r w:rsidR="00C72194">
          <w:rPr>
            <w:noProof/>
            <w:webHidden/>
          </w:rPr>
          <w:fldChar w:fldCharType="end"/>
        </w:r>
      </w:hyperlink>
    </w:p>
    <w:p w14:paraId="0ED8FD9F" w14:textId="5331AD5D"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5" w:history="1">
        <w:r w:rsidR="00C72194" w:rsidRPr="0039162A">
          <w:rPr>
            <w:rStyle w:val="Hyperlink"/>
            <w:noProof/>
          </w:rPr>
          <w:t>Sexual Health</w:t>
        </w:r>
        <w:r w:rsidR="00C72194">
          <w:rPr>
            <w:noProof/>
            <w:webHidden/>
          </w:rPr>
          <w:tab/>
        </w:r>
        <w:r w:rsidR="00C72194">
          <w:rPr>
            <w:noProof/>
            <w:webHidden/>
          </w:rPr>
          <w:fldChar w:fldCharType="begin"/>
        </w:r>
        <w:r w:rsidR="00C72194">
          <w:rPr>
            <w:noProof/>
            <w:webHidden/>
          </w:rPr>
          <w:instrText xml:space="preserve"> PAGEREF _Toc90030715 \h </w:instrText>
        </w:r>
        <w:r w:rsidR="00C72194">
          <w:rPr>
            <w:noProof/>
            <w:webHidden/>
          </w:rPr>
        </w:r>
        <w:r w:rsidR="00C72194">
          <w:rPr>
            <w:noProof/>
            <w:webHidden/>
          </w:rPr>
          <w:fldChar w:fldCharType="separate"/>
        </w:r>
        <w:r w:rsidR="00036B4D">
          <w:rPr>
            <w:noProof/>
            <w:webHidden/>
          </w:rPr>
          <w:t>25</w:t>
        </w:r>
        <w:r w:rsidR="00C72194">
          <w:rPr>
            <w:noProof/>
            <w:webHidden/>
          </w:rPr>
          <w:fldChar w:fldCharType="end"/>
        </w:r>
      </w:hyperlink>
    </w:p>
    <w:p w14:paraId="35866B71" w14:textId="126E65C3"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6" w:history="1">
        <w:r w:rsidR="00C72194" w:rsidRPr="0039162A">
          <w:rPr>
            <w:rStyle w:val="Hyperlink"/>
            <w:noProof/>
          </w:rPr>
          <w:t>Reproductive and Maternal Health</w:t>
        </w:r>
        <w:r w:rsidR="00C72194">
          <w:rPr>
            <w:noProof/>
            <w:webHidden/>
          </w:rPr>
          <w:tab/>
        </w:r>
        <w:r w:rsidR="00C72194">
          <w:rPr>
            <w:noProof/>
            <w:webHidden/>
          </w:rPr>
          <w:fldChar w:fldCharType="begin"/>
        </w:r>
        <w:r w:rsidR="00C72194">
          <w:rPr>
            <w:noProof/>
            <w:webHidden/>
          </w:rPr>
          <w:instrText xml:space="preserve"> PAGEREF _Toc90030716 \h </w:instrText>
        </w:r>
        <w:r w:rsidR="00C72194">
          <w:rPr>
            <w:noProof/>
            <w:webHidden/>
          </w:rPr>
        </w:r>
        <w:r w:rsidR="00C72194">
          <w:rPr>
            <w:noProof/>
            <w:webHidden/>
          </w:rPr>
          <w:fldChar w:fldCharType="separate"/>
        </w:r>
        <w:r w:rsidR="00036B4D">
          <w:rPr>
            <w:noProof/>
            <w:webHidden/>
          </w:rPr>
          <w:t>27</w:t>
        </w:r>
        <w:r w:rsidR="00C72194">
          <w:rPr>
            <w:noProof/>
            <w:webHidden/>
          </w:rPr>
          <w:fldChar w:fldCharType="end"/>
        </w:r>
      </w:hyperlink>
    </w:p>
    <w:p w14:paraId="00D4AE1D" w14:textId="7FECD7F6"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17" w:history="1">
        <w:r w:rsidR="00C72194" w:rsidRPr="0039162A">
          <w:rPr>
            <w:rStyle w:val="Hyperlink"/>
            <w:noProof/>
          </w:rPr>
          <w:t>Mental Health</w:t>
        </w:r>
        <w:r w:rsidR="00C72194">
          <w:rPr>
            <w:noProof/>
            <w:webHidden/>
          </w:rPr>
          <w:tab/>
        </w:r>
        <w:r w:rsidR="00C72194">
          <w:rPr>
            <w:noProof/>
            <w:webHidden/>
          </w:rPr>
          <w:fldChar w:fldCharType="begin"/>
        </w:r>
        <w:r w:rsidR="00C72194">
          <w:rPr>
            <w:noProof/>
            <w:webHidden/>
          </w:rPr>
          <w:instrText xml:space="preserve"> PAGEREF _Toc90030717 \h </w:instrText>
        </w:r>
        <w:r w:rsidR="00C72194">
          <w:rPr>
            <w:noProof/>
            <w:webHidden/>
          </w:rPr>
        </w:r>
        <w:r w:rsidR="00C72194">
          <w:rPr>
            <w:noProof/>
            <w:webHidden/>
          </w:rPr>
          <w:fldChar w:fldCharType="separate"/>
        </w:r>
        <w:r w:rsidR="00036B4D">
          <w:rPr>
            <w:noProof/>
            <w:webHidden/>
          </w:rPr>
          <w:t>31</w:t>
        </w:r>
        <w:r w:rsidR="00C72194">
          <w:rPr>
            <w:noProof/>
            <w:webHidden/>
          </w:rPr>
          <w:fldChar w:fldCharType="end"/>
        </w:r>
      </w:hyperlink>
    </w:p>
    <w:p w14:paraId="7A283CC3" w14:textId="17F90748"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8" w:history="1">
        <w:r w:rsidR="00C72194" w:rsidRPr="0039162A">
          <w:rPr>
            <w:rStyle w:val="Hyperlink"/>
            <w:noProof/>
          </w:rPr>
          <w:t>Key data and statistics</w:t>
        </w:r>
        <w:r w:rsidR="00C72194">
          <w:rPr>
            <w:noProof/>
            <w:webHidden/>
          </w:rPr>
          <w:tab/>
        </w:r>
        <w:r w:rsidR="00C72194">
          <w:rPr>
            <w:noProof/>
            <w:webHidden/>
          </w:rPr>
          <w:fldChar w:fldCharType="begin"/>
        </w:r>
        <w:r w:rsidR="00C72194">
          <w:rPr>
            <w:noProof/>
            <w:webHidden/>
          </w:rPr>
          <w:instrText xml:space="preserve"> PAGEREF _Toc90030718 \h </w:instrText>
        </w:r>
        <w:r w:rsidR="00C72194">
          <w:rPr>
            <w:noProof/>
            <w:webHidden/>
          </w:rPr>
        </w:r>
        <w:r w:rsidR="00C72194">
          <w:rPr>
            <w:noProof/>
            <w:webHidden/>
          </w:rPr>
          <w:fldChar w:fldCharType="separate"/>
        </w:r>
        <w:r w:rsidR="00036B4D">
          <w:rPr>
            <w:noProof/>
            <w:webHidden/>
          </w:rPr>
          <w:t>31</w:t>
        </w:r>
        <w:r w:rsidR="00C72194">
          <w:rPr>
            <w:noProof/>
            <w:webHidden/>
          </w:rPr>
          <w:fldChar w:fldCharType="end"/>
        </w:r>
      </w:hyperlink>
    </w:p>
    <w:p w14:paraId="74B007D0" w14:textId="4630A5DC"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19" w:history="1">
        <w:r w:rsidR="00C72194" w:rsidRPr="0039162A">
          <w:rPr>
            <w:rStyle w:val="Hyperlink"/>
            <w:noProof/>
          </w:rPr>
          <w:t>Existing research</w:t>
        </w:r>
        <w:r w:rsidR="00C72194">
          <w:rPr>
            <w:noProof/>
            <w:webHidden/>
          </w:rPr>
          <w:tab/>
        </w:r>
        <w:r w:rsidR="00C72194">
          <w:rPr>
            <w:noProof/>
            <w:webHidden/>
          </w:rPr>
          <w:fldChar w:fldCharType="begin"/>
        </w:r>
        <w:r w:rsidR="00C72194">
          <w:rPr>
            <w:noProof/>
            <w:webHidden/>
          </w:rPr>
          <w:instrText xml:space="preserve"> PAGEREF _Toc90030719 \h </w:instrText>
        </w:r>
        <w:r w:rsidR="00C72194">
          <w:rPr>
            <w:noProof/>
            <w:webHidden/>
          </w:rPr>
        </w:r>
        <w:r w:rsidR="00C72194">
          <w:rPr>
            <w:noProof/>
            <w:webHidden/>
          </w:rPr>
          <w:fldChar w:fldCharType="separate"/>
        </w:r>
        <w:r w:rsidR="00036B4D">
          <w:rPr>
            <w:noProof/>
            <w:webHidden/>
          </w:rPr>
          <w:t>36</w:t>
        </w:r>
        <w:r w:rsidR="00C72194">
          <w:rPr>
            <w:noProof/>
            <w:webHidden/>
          </w:rPr>
          <w:fldChar w:fldCharType="end"/>
        </w:r>
      </w:hyperlink>
    </w:p>
    <w:p w14:paraId="2028AF6D" w14:textId="7F8B58D7"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0" w:history="1">
        <w:r w:rsidR="00C72194" w:rsidRPr="0039162A">
          <w:rPr>
            <w:rStyle w:val="Hyperlink"/>
            <w:noProof/>
          </w:rPr>
          <w:t>Mental Health services</w:t>
        </w:r>
        <w:r w:rsidR="00C72194">
          <w:rPr>
            <w:noProof/>
            <w:webHidden/>
          </w:rPr>
          <w:tab/>
        </w:r>
        <w:r w:rsidR="00C72194">
          <w:rPr>
            <w:noProof/>
            <w:webHidden/>
          </w:rPr>
          <w:fldChar w:fldCharType="begin"/>
        </w:r>
        <w:r w:rsidR="00C72194">
          <w:rPr>
            <w:noProof/>
            <w:webHidden/>
          </w:rPr>
          <w:instrText xml:space="preserve"> PAGEREF _Toc90030720 \h </w:instrText>
        </w:r>
        <w:r w:rsidR="00C72194">
          <w:rPr>
            <w:noProof/>
            <w:webHidden/>
          </w:rPr>
        </w:r>
        <w:r w:rsidR="00C72194">
          <w:rPr>
            <w:noProof/>
            <w:webHidden/>
          </w:rPr>
          <w:fldChar w:fldCharType="separate"/>
        </w:r>
        <w:r w:rsidR="00036B4D">
          <w:rPr>
            <w:noProof/>
            <w:webHidden/>
          </w:rPr>
          <w:t>37</w:t>
        </w:r>
        <w:r w:rsidR="00C72194">
          <w:rPr>
            <w:noProof/>
            <w:webHidden/>
          </w:rPr>
          <w:fldChar w:fldCharType="end"/>
        </w:r>
      </w:hyperlink>
    </w:p>
    <w:p w14:paraId="53DE9B9F" w14:textId="40865A05"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1" w:history="1">
        <w:r w:rsidR="00C72194" w:rsidRPr="0039162A">
          <w:rPr>
            <w:rStyle w:val="Hyperlink"/>
            <w:noProof/>
          </w:rPr>
          <w:t>Mental Health Act 2001</w:t>
        </w:r>
        <w:r w:rsidR="00C72194">
          <w:rPr>
            <w:noProof/>
            <w:webHidden/>
          </w:rPr>
          <w:tab/>
        </w:r>
        <w:r w:rsidR="00C72194">
          <w:rPr>
            <w:noProof/>
            <w:webHidden/>
          </w:rPr>
          <w:fldChar w:fldCharType="begin"/>
        </w:r>
        <w:r w:rsidR="00C72194">
          <w:rPr>
            <w:noProof/>
            <w:webHidden/>
          </w:rPr>
          <w:instrText xml:space="preserve"> PAGEREF _Toc90030721 \h </w:instrText>
        </w:r>
        <w:r w:rsidR="00C72194">
          <w:rPr>
            <w:noProof/>
            <w:webHidden/>
          </w:rPr>
        </w:r>
        <w:r w:rsidR="00C72194">
          <w:rPr>
            <w:noProof/>
            <w:webHidden/>
          </w:rPr>
          <w:fldChar w:fldCharType="separate"/>
        </w:r>
        <w:r w:rsidR="00036B4D">
          <w:rPr>
            <w:noProof/>
            <w:webHidden/>
          </w:rPr>
          <w:t>38</w:t>
        </w:r>
        <w:r w:rsidR="00C72194">
          <w:rPr>
            <w:noProof/>
            <w:webHidden/>
          </w:rPr>
          <w:fldChar w:fldCharType="end"/>
        </w:r>
      </w:hyperlink>
    </w:p>
    <w:p w14:paraId="1E05175A" w14:textId="4E4443FD"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2" w:history="1">
        <w:r w:rsidR="00C72194" w:rsidRPr="0039162A">
          <w:rPr>
            <w:rStyle w:val="Hyperlink"/>
            <w:noProof/>
          </w:rPr>
          <w:t>Policy landscape</w:t>
        </w:r>
        <w:r w:rsidR="00C72194">
          <w:rPr>
            <w:noProof/>
            <w:webHidden/>
          </w:rPr>
          <w:tab/>
        </w:r>
        <w:r w:rsidR="00C72194">
          <w:rPr>
            <w:noProof/>
            <w:webHidden/>
          </w:rPr>
          <w:fldChar w:fldCharType="begin"/>
        </w:r>
        <w:r w:rsidR="00C72194">
          <w:rPr>
            <w:noProof/>
            <w:webHidden/>
          </w:rPr>
          <w:instrText xml:space="preserve"> PAGEREF _Toc90030722 \h </w:instrText>
        </w:r>
        <w:r w:rsidR="00C72194">
          <w:rPr>
            <w:noProof/>
            <w:webHidden/>
          </w:rPr>
        </w:r>
        <w:r w:rsidR="00C72194">
          <w:rPr>
            <w:noProof/>
            <w:webHidden/>
          </w:rPr>
          <w:fldChar w:fldCharType="separate"/>
        </w:r>
        <w:r w:rsidR="00036B4D">
          <w:rPr>
            <w:noProof/>
            <w:webHidden/>
          </w:rPr>
          <w:t>40</w:t>
        </w:r>
        <w:r w:rsidR="00C72194">
          <w:rPr>
            <w:noProof/>
            <w:webHidden/>
          </w:rPr>
          <w:fldChar w:fldCharType="end"/>
        </w:r>
      </w:hyperlink>
    </w:p>
    <w:p w14:paraId="445DA373" w14:textId="2D705B91"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3" w:history="1">
        <w:r w:rsidR="00C72194" w:rsidRPr="0039162A">
          <w:rPr>
            <w:rStyle w:val="Hyperlink"/>
            <w:noProof/>
          </w:rPr>
          <w:t>Regulatory landscape</w:t>
        </w:r>
        <w:r w:rsidR="00C72194">
          <w:rPr>
            <w:noProof/>
            <w:webHidden/>
          </w:rPr>
          <w:tab/>
        </w:r>
        <w:r w:rsidR="00C72194">
          <w:rPr>
            <w:noProof/>
            <w:webHidden/>
          </w:rPr>
          <w:fldChar w:fldCharType="begin"/>
        </w:r>
        <w:r w:rsidR="00C72194">
          <w:rPr>
            <w:noProof/>
            <w:webHidden/>
          </w:rPr>
          <w:instrText xml:space="preserve"> PAGEREF _Toc90030723 \h </w:instrText>
        </w:r>
        <w:r w:rsidR="00C72194">
          <w:rPr>
            <w:noProof/>
            <w:webHidden/>
          </w:rPr>
        </w:r>
        <w:r w:rsidR="00C72194">
          <w:rPr>
            <w:noProof/>
            <w:webHidden/>
          </w:rPr>
          <w:fldChar w:fldCharType="separate"/>
        </w:r>
        <w:r w:rsidR="00036B4D">
          <w:rPr>
            <w:noProof/>
            <w:webHidden/>
          </w:rPr>
          <w:t>42</w:t>
        </w:r>
        <w:r w:rsidR="00C72194">
          <w:rPr>
            <w:noProof/>
            <w:webHidden/>
          </w:rPr>
          <w:fldChar w:fldCharType="end"/>
        </w:r>
      </w:hyperlink>
    </w:p>
    <w:p w14:paraId="57543EC1" w14:textId="0E76C427"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24" w:history="1">
        <w:r w:rsidR="00C72194" w:rsidRPr="0039162A">
          <w:rPr>
            <w:rStyle w:val="Hyperlink"/>
            <w:noProof/>
          </w:rPr>
          <w:t>Physical Health</w:t>
        </w:r>
        <w:r w:rsidR="00C72194">
          <w:rPr>
            <w:noProof/>
            <w:webHidden/>
          </w:rPr>
          <w:tab/>
        </w:r>
        <w:r w:rsidR="00C72194">
          <w:rPr>
            <w:noProof/>
            <w:webHidden/>
          </w:rPr>
          <w:fldChar w:fldCharType="begin"/>
        </w:r>
        <w:r w:rsidR="00C72194">
          <w:rPr>
            <w:noProof/>
            <w:webHidden/>
          </w:rPr>
          <w:instrText xml:space="preserve"> PAGEREF _Toc90030724 \h </w:instrText>
        </w:r>
        <w:r w:rsidR="00C72194">
          <w:rPr>
            <w:noProof/>
            <w:webHidden/>
          </w:rPr>
        </w:r>
        <w:r w:rsidR="00C72194">
          <w:rPr>
            <w:noProof/>
            <w:webHidden/>
          </w:rPr>
          <w:fldChar w:fldCharType="separate"/>
        </w:r>
        <w:r w:rsidR="00036B4D">
          <w:rPr>
            <w:noProof/>
            <w:webHidden/>
          </w:rPr>
          <w:t>43</w:t>
        </w:r>
        <w:r w:rsidR="00C72194">
          <w:rPr>
            <w:noProof/>
            <w:webHidden/>
          </w:rPr>
          <w:fldChar w:fldCharType="end"/>
        </w:r>
      </w:hyperlink>
    </w:p>
    <w:p w14:paraId="55F852FF" w14:textId="4D612C93"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5" w:history="1">
        <w:r w:rsidR="00C72194" w:rsidRPr="0039162A">
          <w:rPr>
            <w:rStyle w:val="Hyperlink"/>
            <w:noProof/>
          </w:rPr>
          <w:t>Obesity</w:t>
        </w:r>
        <w:r w:rsidR="00C72194">
          <w:rPr>
            <w:noProof/>
            <w:webHidden/>
          </w:rPr>
          <w:tab/>
        </w:r>
        <w:r w:rsidR="00C72194">
          <w:rPr>
            <w:noProof/>
            <w:webHidden/>
          </w:rPr>
          <w:fldChar w:fldCharType="begin"/>
        </w:r>
        <w:r w:rsidR="00C72194">
          <w:rPr>
            <w:noProof/>
            <w:webHidden/>
          </w:rPr>
          <w:instrText xml:space="preserve"> PAGEREF _Toc90030725 \h </w:instrText>
        </w:r>
        <w:r w:rsidR="00C72194">
          <w:rPr>
            <w:noProof/>
            <w:webHidden/>
          </w:rPr>
        </w:r>
        <w:r w:rsidR="00C72194">
          <w:rPr>
            <w:noProof/>
            <w:webHidden/>
          </w:rPr>
          <w:fldChar w:fldCharType="separate"/>
        </w:r>
        <w:r w:rsidR="00036B4D">
          <w:rPr>
            <w:noProof/>
            <w:webHidden/>
          </w:rPr>
          <w:t>43</w:t>
        </w:r>
        <w:r w:rsidR="00C72194">
          <w:rPr>
            <w:noProof/>
            <w:webHidden/>
          </w:rPr>
          <w:fldChar w:fldCharType="end"/>
        </w:r>
      </w:hyperlink>
    </w:p>
    <w:p w14:paraId="3294D528" w14:textId="140A942F"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26" w:history="1">
        <w:r w:rsidR="00C72194" w:rsidRPr="0039162A">
          <w:rPr>
            <w:rStyle w:val="Hyperlink"/>
            <w:noProof/>
          </w:rPr>
          <w:t>Health Needs of People with Specific Disabilities</w:t>
        </w:r>
        <w:r w:rsidR="00C72194">
          <w:rPr>
            <w:noProof/>
            <w:webHidden/>
          </w:rPr>
          <w:tab/>
        </w:r>
        <w:r w:rsidR="00C72194">
          <w:rPr>
            <w:noProof/>
            <w:webHidden/>
          </w:rPr>
          <w:fldChar w:fldCharType="begin"/>
        </w:r>
        <w:r w:rsidR="00C72194">
          <w:rPr>
            <w:noProof/>
            <w:webHidden/>
          </w:rPr>
          <w:instrText xml:space="preserve"> PAGEREF _Toc90030726 \h </w:instrText>
        </w:r>
        <w:r w:rsidR="00C72194">
          <w:rPr>
            <w:noProof/>
            <w:webHidden/>
          </w:rPr>
        </w:r>
        <w:r w:rsidR="00C72194">
          <w:rPr>
            <w:noProof/>
            <w:webHidden/>
          </w:rPr>
          <w:fldChar w:fldCharType="separate"/>
        </w:r>
        <w:r w:rsidR="00036B4D">
          <w:rPr>
            <w:noProof/>
            <w:webHidden/>
          </w:rPr>
          <w:t>44</w:t>
        </w:r>
        <w:r w:rsidR="00C72194">
          <w:rPr>
            <w:noProof/>
            <w:webHidden/>
          </w:rPr>
          <w:fldChar w:fldCharType="end"/>
        </w:r>
      </w:hyperlink>
    </w:p>
    <w:p w14:paraId="12C2352D" w14:textId="0CB22D8E"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7" w:history="1">
        <w:r w:rsidR="00C72194" w:rsidRPr="0039162A">
          <w:rPr>
            <w:rStyle w:val="Hyperlink"/>
            <w:noProof/>
          </w:rPr>
          <w:t>People with Dementia</w:t>
        </w:r>
        <w:r w:rsidR="00C72194">
          <w:rPr>
            <w:noProof/>
            <w:webHidden/>
          </w:rPr>
          <w:tab/>
        </w:r>
        <w:r w:rsidR="00C72194">
          <w:rPr>
            <w:noProof/>
            <w:webHidden/>
          </w:rPr>
          <w:fldChar w:fldCharType="begin"/>
        </w:r>
        <w:r w:rsidR="00C72194">
          <w:rPr>
            <w:noProof/>
            <w:webHidden/>
          </w:rPr>
          <w:instrText xml:space="preserve"> PAGEREF _Toc90030727 \h </w:instrText>
        </w:r>
        <w:r w:rsidR="00C72194">
          <w:rPr>
            <w:noProof/>
            <w:webHidden/>
          </w:rPr>
        </w:r>
        <w:r w:rsidR="00C72194">
          <w:rPr>
            <w:noProof/>
            <w:webHidden/>
          </w:rPr>
          <w:fldChar w:fldCharType="separate"/>
        </w:r>
        <w:r w:rsidR="00036B4D">
          <w:rPr>
            <w:noProof/>
            <w:webHidden/>
          </w:rPr>
          <w:t>44</w:t>
        </w:r>
        <w:r w:rsidR="00C72194">
          <w:rPr>
            <w:noProof/>
            <w:webHidden/>
          </w:rPr>
          <w:fldChar w:fldCharType="end"/>
        </w:r>
      </w:hyperlink>
    </w:p>
    <w:p w14:paraId="3F7ECA6D" w14:textId="3311633D"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28" w:history="1">
        <w:r w:rsidR="00C72194" w:rsidRPr="0039162A">
          <w:rPr>
            <w:rStyle w:val="Hyperlink"/>
            <w:noProof/>
          </w:rPr>
          <w:t>People with Autism</w:t>
        </w:r>
        <w:r w:rsidR="00C72194">
          <w:rPr>
            <w:noProof/>
            <w:webHidden/>
          </w:rPr>
          <w:tab/>
        </w:r>
        <w:r w:rsidR="00C72194">
          <w:rPr>
            <w:noProof/>
            <w:webHidden/>
          </w:rPr>
          <w:fldChar w:fldCharType="begin"/>
        </w:r>
        <w:r w:rsidR="00C72194">
          <w:rPr>
            <w:noProof/>
            <w:webHidden/>
          </w:rPr>
          <w:instrText xml:space="preserve"> PAGEREF _Toc90030728 \h </w:instrText>
        </w:r>
        <w:r w:rsidR="00C72194">
          <w:rPr>
            <w:noProof/>
            <w:webHidden/>
          </w:rPr>
        </w:r>
        <w:r w:rsidR="00C72194">
          <w:rPr>
            <w:noProof/>
            <w:webHidden/>
          </w:rPr>
          <w:fldChar w:fldCharType="separate"/>
        </w:r>
        <w:r w:rsidR="00036B4D">
          <w:rPr>
            <w:noProof/>
            <w:webHidden/>
          </w:rPr>
          <w:t>45</w:t>
        </w:r>
        <w:r w:rsidR="00C72194">
          <w:rPr>
            <w:noProof/>
            <w:webHidden/>
          </w:rPr>
          <w:fldChar w:fldCharType="end"/>
        </w:r>
      </w:hyperlink>
    </w:p>
    <w:p w14:paraId="7E289195" w14:textId="3DFD21CD"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29" w:history="1">
        <w:r w:rsidR="00C72194" w:rsidRPr="0039162A">
          <w:rPr>
            <w:rStyle w:val="Hyperlink"/>
            <w:noProof/>
          </w:rPr>
          <w:t>Healthcare Technology and Research</w:t>
        </w:r>
        <w:r w:rsidR="00C72194">
          <w:rPr>
            <w:noProof/>
            <w:webHidden/>
          </w:rPr>
          <w:tab/>
        </w:r>
        <w:r w:rsidR="00C72194">
          <w:rPr>
            <w:noProof/>
            <w:webHidden/>
          </w:rPr>
          <w:fldChar w:fldCharType="begin"/>
        </w:r>
        <w:r w:rsidR="00C72194">
          <w:rPr>
            <w:noProof/>
            <w:webHidden/>
          </w:rPr>
          <w:instrText xml:space="preserve"> PAGEREF _Toc90030729 \h </w:instrText>
        </w:r>
        <w:r w:rsidR="00C72194">
          <w:rPr>
            <w:noProof/>
            <w:webHidden/>
          </w:rPr>
        </w:r>
        <w:r w:rsidR="00C72194">
          <w:rPr>
            <w:noProof/>
            <w:webHidden/>
          </w:rPr>
          <w:fldChar w:fldCharType="separate"/>
        </w:r>
        <w:r w:rsidR="00036B4D">
          <w:rPr>
            <w:noProof/>
            <w:webHidden/>
          </w:rPr>
          <w:t>46</w:t>
        </w:r>
        <w:r w:rsidR="00C72194">
          <w:rPr>
            <w:noProof/>
            <w:webHidden/>
          </w:rPr>
          <w:fldChar w:fldCharType="end"/>
        </w:r>
      </w:hyperlink>
    </w:p>
    <w:p w14:paraId="75660719" w14:textId="2104DF38"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0" w:history="1">
        <w:r w:rsidR="00C72194" w:rsidRPr="0039162A">
          <w:rPr>
            <w:rStyle w:val="Hyperlink"/>
            <w:noProof/>
          </w:rPr>
          <w:t>Health Research</w:t>
        </w:r>
        <w:r w:rsidR="00C72194">
          <w:rPr>
            <w:noProof/>
            <w:webHidden/>
          </w:rPr>
          <w:tab/>
        </w:r>
        <w:r w:rsidR="00C72194">
          <w:rPr>
            <w:noProof/>
            <w:webHidden/>
          </w:rPr>
          <w:fldChar w:fldCharType="begin"/>
        </w:r>
        <w:r w:rsidR="00C72194">
          <w:rPr>
            <w:noProof/>
            <w:webHidden/>
          </w:rPr>
          <w:instrText xml:space="preserve"> PAGEREF _Toc90030730 \h </w:instrText>
        </w:r>
        <w:r w:rsidR="00C72194">
          <w:rPr>
            <w:noProof/>
            <w:webHidden/>
          </w:rPr>
        </w:r>
        <w:r w:rsidR="00C72194">
          <w:rPr>
            <w:noProof/>
            <w:webHidden/>
          </w:rPr>
          <w:fldChar w:fldCharType="separate"/>
        </w:r>
        <w:r w:rsidR="00036B4D">
          <w:rPr>
            <w:noProof/>
            <w:webHidden/>
          </w:rPr>
          <w:t>46</w:t>
        </w:r>
        <w:r w:rsidR="00C72194">
          <w:rPr>
            <w:noProof/>
            <w:webHidden/>
          </w:rPr>
          <w:fldChar w:fldCharType="end"/>
        </w:r>
      </w:hyperlink>
    </w:p>
    <w:p w14:paraId="662B4197" w14:textId="14E4FF5E"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1" w:history="1">
        <w:r w:rsidR="00C72194" w:rsidRPr="0039162A">
          <w:rPr>
            <w:rStyle w:val="Hyperlink"/>
            <w:noProof/>
          </w:rPr>
          <w:t>eHealth, Telecare and Telehealth</w:t>
        </w:r>
        <w:r w:rsidR="00C72194">
          <w:rPr>
            <w:noProof/>
            <w:webHidden/>
          </w:rPr>
          <w:tab/>
        </w:r>
        <w:r w:rsidR="00C72194">
          <w:rPr>
            <w:noProof/>
            <w:webHidden/>
          </w:rPr>
          <w:fldChar w:fldCharType="begin"/>
        </w:r>
        <w:r w:rsidR="00C72194">
          <w:rPr>
            <w:noProof/>
            <w:webHidden/>
          </w:rPr>
          <w:instrText xml:space="preserve"> PAGEREF _Toc90030731 \h </w:instrText>
        </w:r>
        <w:r w:rsidR="00C72194">
          <w:rPr>
            <w:noProof/>
            <w:webHidden/>
          </w:rPr>
        </w:r>
        <w:r w:rsidR="00C72194">
          <w:rPr>
            <w:noProof/>
            <w:webHidden/>
          </w:rPr>
          <w:fldChar w:fldCharType="separate"/>
        </w:r>
        <w:r w:rsidR="00036B4D">
          <w:rPr>
            <w:noProof/>
            <w:webHidden/>
          </w:rPr>
          <w:t>47</w:t>
        </w:r>
        <w:r w:rsidR="00C72194">
          <w:rPr>
            <w:noProof/>
            <w:webHidden/>
          </w:rPr>
          <w:fldChar w:fldCharType="end"/>
        </w:r>
      </w:hyperlink>
    </w:p>
    <w:p w14:paraId="24803345" w14:textId="24986182"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32" w:history="1">
        <w:r w:rsidR="00C72194" w:rsidRPr="0039162A">
          <w:rPr>
            <w:rStyle w:val="Hyperlink"/>
            <w:noProof/>
          </w:rPr>
          <w:t>Intersectional Barriers and Challenges of Persons with Disabilities</w:t>
        </w:r>
        <w:r w:rsidR="00C72194">
          <w:rPr>
            <w:noProof/>
            <w:webHidden/>
          </w:rPr>
          <w:tab/>
        </w:r>
        <w:r w:rsidR="00C72194">
          <w:rPr>
            <w:noProof/>
            <w:webHidden/>
          </w:rPr>
          <w:fldChar w:fldCharType="begin"/>
        </w:r>
        <w:r w:rsidR="00C72194">
          <w:rPr>
            <w:noProof/>
            <w:webHidden/>
          </w:rPr>
          <w:instrText xml:space="preserve"> PAGEREF _Toc90030732 \h </w:instrText>
        </w:r>
        <w:r w:rsidR="00C72194">
          <w:rPr>
            <w:noProof/>
            <w:webHidden/>
          </w:rPr>
        </w:r>
        <w:r w:rsidR="00C72194">
          <w:rPr>
            <w:noProof/>
            <w:webHidden/>
          </w:rPr>
          <w:fldChar w:fldCharType="separate"/>
        </w:r>
        <w:r w:rsidR="00036B4D">
          <w:rPr>
            <w:noProof/>
            <w:webHidden/>
          </w:rPr>
          <w:t>48</w:t>
        </w:r>
        <w:r w:rsidR="00C72194">
          <w:rPr>
            <w:noProof/>
            <w:webHidden/>
          </w:rPr>
          <w:fldChar w:fldCharType="end"/>
        </w:r>
      </w:hyperlink>
    </w:p>
    <w:p w14:paraId="653BA9BE" w14:textId="2D39332B"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3" w:history="1">
        <w:r w:rsidR="00C72194" w:rsidRPr="0039162A">
          <w:rPr>
            <w:rStyle w:val="Hyperlink"/>
            <w:noProof/>
          </w:rPr>
          <w:t>Older Persons with Disabilities</w:t>
        </w:r>
        <w:r w:rsidR="00C72194">
          <w:rPr>
            <w:noProof/>
            <w:webHidden/>
          </w:rPr>
          <w:tab/>
        </w:r>
        <w:r w:rsidR="00C72194">
          <w:rPr>
            <w:noProof/>
            <w:webHidden/>
          </w:rPr>
          <w:fldChar w:fldCharType="begin"/>
        </w:r>
        <w:r w:rsidR="00C72194">
          <w:rPr>
            <w:noProof/>
            <w:webHidden/>
          </w:rPr>
          <w:instrText xml:space="preserve"> PAGEREF _Toc90030733 \h </w:instrText>
        </w:r>
        <w:r w:rsidR="00C72194">
          <w:rPr>
            <w:noProof/>
            <w:webHidden/>
          </w:rPr>
        </w:r>
        <w:r w:rsidR="00C72194">
          <w:rPr>
            <w:noProof/>
            <w:webHidden/>
          </w:rPr>
          <w:fldChar w:fldCharType="separate"/>
        </w:r>
        <w:r w:rsidR="00036B4D">
          <w:rPr>
            <w:noProof/>
            <w:webHidden/>
          </w:rPr>
          <w:t>48</w:t>
        </w:r>
        <w:r w:rsidR="00C72194">
          <w:rPr>
            <w:noProof/>
            <w:webHidden/>
          </w:rPr>
          <w:fldChar w:fldCharType="end"/>
        </w:r>
      </w:hyperlink>
    </w:p>
    <w:p w14:paraId="3CEBC965" w14:textId="32876E3C"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4" w:history="1">
        <w:r w:rsidR="00C72194" w:rsidRPr="0039162A">
          <w:rPr>
            <w:rStyle w:val="Hyperlink"/>
            <w:noProof/>
          </w:rPr>
          <w:t>Men with Disabilities</w:t>
        </w:r>
        <w:r w:rsidR="00C72194">
          <w:rPr>
            <w:noProof/>
            <w:webHidden/>
          </w:rPr>
          <w:tab/>
        </w:r>
        <w:r w:rsidR="00C72194">
          <w:rPr>
            <w:noProof/>
            <w:webHidden/>
          </w:rPr>
          <w:fldChar w:fldCharType="begin"/>
        </w:r>
        <w:r w:rsidR="00C72194">
          <w:rPr>
            <w:noProof/>
            <w:webHidden/>
          </w:rPr>
          <w:instrText xml:space="preserve"> PAGEREF _Toc90030734 \h </w:instrText>
        </w:r>
        <w:r w:rsidR="00C72194">
          <w:rPr>
            <w:noProof/>
            <w:webHidden/>
          </w:rPr>
        </w:r>
        <w:r w:rsidR="00C72194">
          <w:rPr>
            <w:noProof/>
            <w:webHidden/>
          </w:rPr>
          <w:fldChar w:fldCharType="separate"/>
        </w:r>
        <w:r w:rsidR="00036B4D">
          <w:rPr>
            <w:noProof/>
            <w:webHidden/>
          </w:rPr>
          <w:t>48</w:t>
        </w:r>
        <w:r w:rsidR="00C72194">
          <w:rPr>
            <w:noProof/>
            <w:webHidden/>
          </w:rPr>
          <w:fldChar w:fldCharType="end"/>
        </w:r>
      </w:hyperlink>
    </w:p>
    <w:p w14:paraId="3C9A0CB2" w14:textId="52966364"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5" w:history="1">
        <w:r w:rsidR="00C72194" w:rsidRPr="0039162A">
          <w:rPr>
            <w:rStyle w:val="Hyperlink"/>
            <w:noProof/>
          </w:rPr>
          <w:t>Women with Disabilities</w:t>
        </w:r>
        <w:r w:rsidR="00C72194">
          <w:rPr>
            <w:noProof/>
            <w:webHidden/>
          </w:rPr>
          <w:tab/>
        </w:r>
        <w:r w:rsidR="00C72194">
          <w:rPr>
            <w:noProof/>
            <w:webHidden/>
          </w:rPr>
          <w:fldChar w:fldCharType="begin"/>
        </w:r>
        <w:r w:rsidR="00C72194">
          <w:rPr>
            <w:noProof/>
            <w:webHidden/>
          </w:rPr>
          <w:instrText xml:space="preserve"> PAGEREF _Toc90030735 \h </w:instrText>
        </w:r>
        <w:r w:rsidR="00C72194">
          <w:rPr>
            <w:noProof/>
            <w:webHidden/>
          </w:rPr>
        </w:r>
        <w:r w:rsidR="00C72194">
          <w:rPr>
            <w:noProof/>
            <w:webHidden/>
          </w:rPr>
          <w:fldChar w:fldCharType="separate"/>
        </w:r>
        <w:r w:rsidR="00036B4D">
          <w:rPr>
            <w:noProof/>
            <w:webHidden/>
          </w:rPr>
          <w:t>49</w:t>
        </w:r>
        <w:r w:rsidR="00C72194">
          <w:rPr>
            <w:noProof/>
            <w:webHidden/>
          </w:rPr>
          <w:fldChar w:fldCharType="end"/>
        </w:r>
      </w:hyperlink>
    </w:p>
    <w:p w14:paraId="7CE5DCCE" w14:textId="3D11D27A"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6" w:history="1">
        <w:r w:rsidR="00C72194" w:rsidRPr="0039162A">
          <w:rPr>
            <w:rStyle w:val="Hyperlink"/>
            <w:noProof/>
          </w:rPr>
          <w:t>Ethnic Minorities with Disabilities</w:t>
        </w:r>
        <w:r w:rsidR="00C72194">
          <w:rPr>
            <w:noProof/>
            <w:webHidden/>
          </w:rPr>
          <w:tab/>
        </w:r>
        <w:r w:rsidR="00C72194">
          <w:rPr>
            <w:noProof/>
            <w:webHidden/>
          </w:rPr>
          <w:fldChar w:fldCharType="begin"/>
        </w:r>
        <w:r w:rsidR="00C72194">
          <w:rPr>
            <w:noProof/>
            <w:webHidden/>
          </w:rPr>
          <w:instrText xml:space="preserve"> PAGEREF _Toc90030736 \h </w:instrText>
        </w:r>
        <w:r w:rsidR="00C72194">
          <w:rPr>
            <w:noProof/>
            <w:webHidden/>
          </w:rPr>
        </w:r>
        <w:r w:rsidR="00C72194">
          <w:rPr>
            <w:noProof/>
            <w:webHidden/>
          </w:rPr>
          <w:fldChar w:fldCharType="separate"/>
        </w:r>
        <w:r w:rsidR="00036B4D">
          <w:rPr>
            <w:noProof/>
            <w:webHidden/>
          </w:rPr>
          <w:t>50</w:t>
        </w:r>
        <w:r w:rsidR="00C72194">
          <w:rPr>
            <w:noProof/>
            <w:webHidden/>
          </w:rPr>
          <w:fldChar w:fldCharType="end"/>
        </w:r>
      </w:hyperlink>
    </w:p>
    <w:p w14:paraId="1954CA5E" w14:textId="18B6F730" w:rsidR="00C72194" w:rsidRDefault="00024229">
      <w:pPr>
        <w:pStyle w:val="TOC2"/>
        <w:tabs>
          <w:tab w:val="right" w:leader="dot" w:pos="8630"/>
        </w:tabs>
        <w:rPr>
          <w:rFonts w:asciiTheme="minorHAnsi" w:eastAsiaTheme="minorEastAsia" w:hAnsiTheme="minorHAnsi" w:cstheme="minorBidi"/>
          <w:noProof/>
          <w:sz w:val="22"/>
          <w:szCs w:val="22"/>
          <w:lang w:eastAsia="en-IE"/>
        </w:rPr>
      </w:pPr>
      <w:hyperlink w:anchor="_Toc90030737" w:history="1">
        <w:r w:rsidR="00C72194" w:rsidRPr="0039162A">
          <w:rPr>
            <w:rStyle w:val="Hyperlink"/>
            <w:noProof/>
          </w:rPr>
          <w:t>LGBTI+ with Disabilities</w:t>
        </w:r>
        <w:r w:rsidR="00C72194">
          <w:rPr>
            <w:noProof/>
            <w:webHidden/>
          </w:rPr>
          <w:tab/>
        </w:r>
        <w:r w:rsidR="00C72194">
          <w:rPr>
            <w:noProof/>
            <w:webHidden/>
          </w:rPr>
          <w:fldChar w:fldCharType="begin"/>
        </w:r>
        <w:r w:rsidR="00C72194">
          <w:rPr>
            <w:noProof/>
            <w:webHidden/>
          </w:rPr>
          <w:instrText xml:space="preserve"> PAGEREF _Toc90030737 \h </w:instrText>
        </w:r>
        <w:r w:rsidR="00C72194">
          <w:rPr>
            <w:noProof/>
            <w:webHidden/>
          </w:rPr>
        </w:r>
        <w:r w:rsidR="00C72194">
          <w:rPr>
            <w:noProof/>
            <w:webHidden/>
          </w:rPr>
          <w:fldChar w:fldCharType="separate"/>
        </w:r>
        <w:r w:rsidR="00036B4D">
          <w:rPr>
            <w:noProof/>
            <w:webHidden/>
          </w:rPr>
          <w:t>54</w:t>
        </w:r>
        <w:r w:rsidR="00C72194">
          <w:rPr>
            <w:noProof/>
            <w:webHidden/>
          </w:rPr>
          <w:fldChar w:fldCharType="end"/>
        </w:r>
      </w:hyperlink>
    </w:p>
    <w:p w14:paraId="64E4319E" w14:textId="75741D9C"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38" w:history="1">
        <w:r w:rsidR="00C72194" w:rsidRPr="0039162A">
          <w:rPr>
            <w:rStyle w:val="Hyperlink"/>
            <w:noProof/>
          </w:rPr>
          <w:t>Impact of Covid-19 on People with Disabilities</w:t>
        </w:r>
        <w:r w:rsidR="00C72194">
          <w:rPr>
            <w:noProof/>
            <w:webHidden/>
          </w:rPr>
          <w:tab/>
        </w:r>
        <w:r w:rsidR="00C72194">
          <w:rPr>
            <w:noProof/>
            <w:webHidden/>
          </w:rPr>
          <w:fldChar w:fldCharType="begin"/>
        </w:r>
        <w:r w:rsidR="00C72194">
          <w:rPr>
            <w:noProof/>
            <w:webHidden/>
          </w:rPr>
          <w:instrText xml:space="preserve"> PAGEREF _Toc90030738 \h </w:instrText>
        </w:r>
        <w:r w:rsidR="00C72194">
          <w:rPr>
            <w:noProof/>
            <w:webHidden/>
          </w:rPr>
        </w:r>
        <w:r w:rsidR="00C72194">
          <w:rPr>
            <w:noProof/>
            <w:webHidden/>
          </w:rPr>
          <w:fldChar w:fldCharType="separate"/>
        </w:r>
        <w:r w:rsidR="00036B4D">
          <w:rPr>
            <w:noProof/>
            <w:webHidden/>
          </w:rPr>
          <w:t>56</w:t>
        </w:r>
        <w:r w:rsidR="00C72194">
          <w:rPr>
            <w:noProof/>
            <w:webHidden/>
          </w:rPr>
          <w:fldChar w:fldCharType="end"/>
        </w:r>
      </w:hyperlink>
    </w:p>
    <w:p w14:paraId="21506074" w14:textId="638758A8" w:rsidR="00C72194" w:rsidRDefault="00024229">
      <w:pPr>
        <w:pStyle w:val="TOC1"/>
        <w:tabs>
          <w:tab w:val="right" w:leader="dot" w:pos="8630"/>
        </w:tabs>
        <w:rPr>
          <w:rFonts w:asciiTheme="minorHAnsi" w:eastAsiaTheme="minorEastAsia" w:hAnsiTheme="minorHAnsi" w:cstheme="minorBidi"/>
          <w:b w:val="0"/>
          <w:noProof/>
          <w:sz w:val="22"/>
          <w:szCs w:val="22"/>
          <w:lang w:eastAsia="en-IE"/>
        </w:rPr>
      </w:pPr>
      <w:hyperlink w:anchor="_Toc90030739" w:history="1">
        <w:r w:rsidR="00C72194" w:rsidRPr="0039162A">
          <w:rPr>
            <w:rStyle w:val="Hyperlink"/>
            <w:noProof/>
          </w:rPr>
          <w:t>Summary &amp; Conclusion</w:t>
        </w:r>
        <w:r w:rsidR="00C72194">
          <w:rPr>
            <w:noProof/>
            <w:webHidden/>
          </w:rPr>
          <w:tab/>
        </w:r>
        <w:r w:rsidR="00C72194">
          <w:rPr>
            <w:noProof/>
            <w:webHidden/>
          </w:rPr>
          <w:fldChar w:fldCharType="begin"/>
        </w:r>
        <w:r w:rsidR="00C72194">
          <w:rPr>
            <w:noProof/>
            <w:webHidden/>
          </w:rPr>
          <w:instrText xml:space="preserve"> PAGEREF _Toc90030739 \h </w:instrText>
        </w:r>
        <w:r w:rsidR="00C72194">
          <w:rPr>
            <w:noProof/>
            <w:webHidden/>
          </w:rPr>
        </w:r>
        <w:r w:rsidR="00C72194">
          <w:rPr>
            <w:noProof/>
            <w:webHidden/>
          </w:rPr>
          <w:fldChar w:fldCharType="separate"/>
        </w:r>
        <w:r w:rsidR="00036B4D">
          <w:rPr>
            <w:noProof/>
            <w:webHidden/>
          </w:rPr>
          <w:t>58</w:t>
        </w:r>
        <w:r w:rsidR="00C72194">
          <w:rPr>
            <w:noProof/>
            <w:webHidden/>
          </w:rPr>
          <w:fldChar w:fldCharType="end"/>
        </w:r>
      </w:hyperlink>
    </w:p>
    <w:p w14:paraId="033FFC2F" w14:textId="6764770C" w:rsidR="006228D9" w:rsidRDefault="00C72194">
      <w:pPr>
        <w:spacing w:after="0"/>
      </w:pPr>
      <w:r>
        <w:fldChar w:fldCharType="end"/>
      </w:r>
      <w:r w:rsidR="006228D9">
        <w:br w:type="page"/>
      </w:r>
    </w:p>
    <w:p w14:paraId="0D1058E1" w14:textId="77777777" w:rsidR="00111D11" w:rsidRDefault="00111D11" w:rsidP="00111D11">
      <w:pPr>
        <w:pStyle w:val="Heading1"/>
      </w:pPr>
      <w:bookmarkStart w:id="3" w:name="_Toc90030686"/>
      <w:r>
        <w:lastRenderedPageBreak/>
        <w:t>Background to the UNCRPD Article review papers</w:t>
      </w:r>
      <w:bookmarkEnd w:id="3"/>
    </w:p>
    <w:p w14:paraId="607ED536" w14:textId="1D72458E" w:rsidR="00327495" w:rsidRDefault="00327495" w:rsidP="00327495">
      <w:pPr>
        <w:autoSpaceDE w:val="0"/>
        <w:autoSpaceDN w:val="0"/>
        <w:adjustRightInd w:val="0"/>
        <w:spacing w:after="237"/>
        <w:ind w:right="102"/>
        <w:rPr>
          <w:szCs w:val="26"/>
        </w:rPr>
      </w:pPr>
      <w:r>
        <w:rPr>
          <w:szCs w:val="26"/>
        </w:rPr>
        <w:t>The</w:t>
      </w:r>
      <w:r w:rsidRPr="002F33B0">
        <w:rPr>
          <w:szCs w:val="26"/>
        </w:rPr>
        <w:t xml:space="preserve"> </w:t>
      </w:r>
      <w:r>
        <w:rPr>
          <w:szCs w:val="26"/>
        </w:rPr>
        <w:t>National Disability Authority (</w:t>
      </w:r>
      <w:r w:rsidRPr="002F33B0">
        <w:rPr>
          <w:szCs w:val="26"/>
        </w:rPr>
        <w:t>NDA</w:t>
      </w:r>
      <w:r>
        <w:rPr>
          <w:szCs w:val="26"/>
        </w:rPr>
        <w:t>)</w:t>
      </w:r>
      <w:r w:rsidRPr="002F33B0">
        <w:rPr>
          <w:szCs w:val="26"/>
        </w:rPr>
        <w:t xml:space="preserve"> </w:t>
      </w:r>
      <w:r>
        <w:rPr>
          <w:szCs w:val="26"/>
        </w:rPr>
        <w:t>are developing</w:t>
      </w:r>
      <w:r w:rsidRPr="002F33B0">
        <w:rPr>
          <w:szCs w:val="26"/>
        </w:rPr>
        <w:t xml:space="preserve"> a series of in-depth papers on individual </w:t>
      </w:r>
      <w:r>
        <w:rPr>
          <w:szCs w:val="26"/>
        </w:rPr>
        <w:t>United Nations Convention on the Rights of Persons with Disabilities (</w:t>
      </w:r>
      <w:r w:rsidRPr="002F33B0">
        <w:rPr>
          <w:szCs w:val="26"/>
        </w:rPr>
        <w:t>UNCRPD</w:t>
      </w:r>
      <w:r>
        <w:rPr>
          <w:szCs w:val="26"/>
        </w:rPr>
        <w:t>)</w:t>
      </w:r>
      <w:r w:rsidRPr="002F33B0">
        <w:rPr>
          <w:szCs w:val="26"/>
        </w:rPr>
        <w:t xml:space="preserve"> articles. These papers detail the main data </w:t>
      </w:r>
      <w:r>
        <w:rPr>
          <w:szCs w:val="26"/>
        </w:rPr>
        <w:t>available relevant to specific A</w:t>
      </w:r>
      <w:r w:rsidRPr="002F33B0">
        <w:rPr>
          <w:szCs w:val="26"/>
        </w:rPr>
        <w:t xml:space="preserve">rticles and provides an overview of key policies, programmes, </w:t>
      </w:r>
      <w:r>
        <w:rPr>
          <w:szCs w:val="26"/>
        </w:rPr>
        <w:t xml:space="preserve">services, </w:t>
      </w:r>
      <w:r w:rsidRPr="002F33B0">
        <w:rPr>
          <w:szCs w:val="26"/>
        </w:rPr>
        <w:t>supports</w:t>
      </w:r>
      <w:r>
        <w:rPr>
          <w:szCs w:val="26"/>
        </w:rPr>
        <w:t xml:space="preserve"> and data</w:t>
      </w:r>
      <w:r w:rsidRPr="002F33B0">
        <w:rPr>
          <w:szCs w:val="26"/>
        </w:rPr>
        <w:t xml:space="preserve"> that exist in the Irish context. They are not a critique of what is currently in place but rather a record of what exists. Nevertheless, there are instances where certain gaps or concerns are highlighted, including those </w:t>
      </w:r>
      <w:r>
        <w:rPr>
          <w:szCs w:val="26"/>
        </w:rPr>
        <w:t>advised</w:t>
      </w:r>
      <w:r w:rsidRPr="002F33B0">
        <w:rPr>
          <w:szCs w:val="26"/>
        </w:rPr>
        <w:t xml:space="preserve"> by the NDA or other stakeholders. </w:t>
      </w:r>
    </w:p>
    <w:p w14:paraId="7CC6620A" w14:textId="1D0C35B1" w:rsidR="00327495" w:rsidRDefault="00327495" w:rsidP="00327495">
      <w:pPr>
        <w:autoSpaceDE w:val="0"/>
        <w:autoSpaceDN w:val="0"/>
        <w:adjustRightInd w:val="0"/>
        <w:spacing w:after="237"/>
        <w:ind w:right="102"/>
        <w:rPr>
          <w:szCs w:val="26"/>
        </w:rPr>
      </w:pPr>
      <w:r>
        <w:rPr>
          <w:rFonts w:cs="Gill Sans MT"/>
          <w:color w:val="000000"/>
          <w:szCs w:val="26"/>
        </w:rPr>
        <w:t xml:space="preserve">These papers were primarily developed through desk research. However, the papers were also informed by the NDA’s own work, </w:t>
      </w:r>
      <w:r w:rsidRPr="002F33B0">
        <w:rPr>
          <w:rFonts w:cs="Gill Sans MT"/>
          <w:color w:val="000000"/>
          <w:szCs w:val="26"/>
        </w:rPr>
        <w:t>updates and discussions at Departmental Disability Consultative Committees</w:t>
      </w:r>
      <w:r>
        <w:rPr>
          <w:rFonts w:cs="Gill Sans MT"/>
          <w:color w:val="000000"/>
          <w:szCs w:val="26"/>
        </w:rPr>
        <w:t>,</w:t>
      </w:r>
      <w:r w:rsidRPr="002F33B0">
        <w:rPr>
          <w:rFonts w:cs="Gill Sans MT"/>
          <w:color w:val="000000"/>
          <w:szCs w:val="26"/>
        </w:rPr>
        <w:t xml:space="preserve"> the </w:t>
      </w:r>
      <w:r>
        <w:rPr>
          <w:rFonts w:cs="Gill Sans MT"/>
          <w:color w:val="000000"/>
          <w:szCs w:val="26"/>
        </w:rPr>
        <w:t>National Disability Inclusion Strategy Steering Group, and other relevant committees. They were also informed by interactions with the</w:t>
      </w:r>
      <w:r w:rsidRPr="002F33B0">
        <w:rPr>
          <w:rFonts w:cs="Gill Sans MT"/>
          <w:color w:val="000000"/>
          <w:szCs w:val="26"/>
        </w:rPr>
        <w:t xml:space="preserve"> </w:t>
      </w:r>
      <w:r>
        <w:rPr>
          <w:rFonts w:cs="Gill Sans MT"/>
          <w:color w:val="000000"/>
          <w:szCs w:val="26"/>
        </w:rPr>
        <w:t>Disability Stakeholders Group and with</w:t>
      </w:r>
      <w:r w:rsidRPr="002F33B0">
        <w:rPr>
          <w:szCs w:val="26"/>
        </w:rPr>
        <w:t xml:space="preserve"> persons with disabilities, particularly through participation on a range of working and advisory groups across Government Departments on areas related to NDIS actions.</w:t>
      </w:r>
      <w:r>
        <w:rPr>
          <w:szCs w:val="26"/>
        </w:rPr>
        <w:t xml:space="preserve"> </w:t>
      </w:r>
      <w:r w:rsidRPr="00EF5E09">
        <w:rPr>
          <w:szCs w:val="26"/>
        </w:rPr>
        <w:t>Given their factual nature a mo</w:t>
      </w:r>
      <w:r>
        <w:rPr>
          <w:szCs w:val="26"/>
        </w:rPr>
        <w:t>re direct consultation process</w:t>
      </w:r>
      <w:r w:rsidRPr="00EF5E09">
        <w:rPr>
          <w:szCs w:val="26"/>
        </w:rPr>
        <w:t xml:space="preserve"> with persons with disabilities was not conducted. However, the NDA conduct</w:t>
      </w:r>
      <w:r>
        <w:rPr>
          <w:szCs w:val="26"/>
        </w:rPr>
        <w:t>s</w:t>
      </w:r>
      <w:r w:rsidRPr="00EF5E09">
        <w:rPr>
          <w:szCs w:val="26"/>
        </w:rPr>
        <w:t xml:space="preserve"> periodic consultations </w:t>
      </w:r>
      <w:r>
        <w:rPr>
          <w:szCs w:val="26"/>
        </w:rPr>
        <w:t>on issues related to</w:t>
      </w:r>
      <w:r w:rsidRPr="00EF5E09">
        <w:rPr>
          <w:szCs w:val="26"/>
        </w:rPr>
        <w:t xml:space="preserve"> articles of the UNCRPD </w:t>
      </w:r>
      <w:r>
        <w:rPr>
          <w:szCs w:val="26"/>
        </w:rPr>
        <w:t xml:space="preserve">and </w:t>
      </w:r>
      <w:r w:rsidRPr="00EF5E09">
        <w:rPr>
          <w:szCs w:val="26"/>
        </w:rPr>
        <w:t>seek</w:t>
      </w:r>
      <w:r>
        <w:rPr>
          <w:szCs w:val="26"/>
        </w:rPr>
        <w:t>s to include</w:t>
      </w:r>
      <w:r w:rsidRPr="00EF5E09">
        <w:rPr>
          <w:szCs w:val="26"/>
        </w:rPr>
        <w:t xml:space="preserve"> the lived experience of persons with disabilities individually and through th</w:t>
      </w:r>
      <w:r>
        <w:rPr>
          <w:szCs w:val="26"/>
        </w:rPr>
        <w:t>eir representative bodies in our work.</w:t>
      </w:r>
    </w:p>
    <w:p w14:paraId="61AC0946" w14:textId="77777777" w:rsidR="00327495" w:rsidRPr="002F33B0" w:rsidRDefault="00327495" w:rsidP="00327495">
      <w:pPr>
        <w:rPr>
          <w:szCs w:val="26"/>
        </w:rPr>
      </w:pPr>
      <w:r w:rsidRPr="002F33B0">
        <w:rPr>
          <w:szCs w:val="26"/>
        </w:rPr>
        <w:t xml:space="preserve">The purpose of the papers are multiple. They were developed initially to support the development of the State Party report to the UNCRPD Committee. In line with the NDA’s anticipated new statutory function under the UNCRPD, </w:t>
      </w:r>
      <w:r>
        <w:rPr>
          <w:strike/>
          <w:szCs w:val="26"/>
        </w:rPr>
        <w:t>t</w:t>
      </w:r>
      <w:r w:rsidRPr="002F33B0">
        <w:rPr>
          <w:szCs w:val="26"/>
        </w:rPr>
        <w:t>hey are also intended to be useful to support t</w:t>
      </w:r>
      <w:r>
        <w:rPr>
          <w:szCs w:val="26"/>
        </w:rPr>
        <w:t>he development by the Irish Human Rights and Equality Commission (IHREC) of the S</w:t>
      </w:r>
      <w:r w:rsidRPr="002F33B0">
        <w:rPr>
          <w:szCs w:val="26"/>
        </w:rPr>
        <w:t xml:space="preserve">tate’s parallel report to the UNCRPD Committee. They will also be used internally as reference papers within the NDA. </w:t>
      </w:r>
      <w:r w:rsidRPr="00EF5E09">
        <w:rPr>
          <w:szCs w:val="26"/>
        </w:rPr>
        <w:t>The NDA has published these documents on our website to make them available to a wider audience to support any work underway to develop shadow reports on implementation of UNCRPD in Ireland.</w:t>
      </w:r>
      <w:r>
        <w:rPr>
          <w:szCs w:val="26"/>
        </w:rPr>
        <w:t xml:space="preserve">  </w:t>
      </w:r>
    </w:p>
    <w:p w14:paraId="1FECB526" w14:textId="69BE8D4D" w:rsidR="00327495" w:rsidRPr="001E7023" w:rsidRDefault="00327495" w:rsidP="00327495">
      <w:pPr>
        <w:spacing w:after="200"/>
        <w:rPr>
          <w:rFonts w:cstheme="minorBidi"/>
          <w:szCs w:val="26"/>
        </w:rPr>
      </w:pPr>
      <w:r>
        <w:rPr>
          <w:szCs w:val="26"/>
        </w:rPr>
        <w:lastRenderedPageBreak/>
        <w:t>Due to the</w:t>
      </w:r>
      <w:r w:rsidRPr="002F33B0">
        <w:rPr>
          <w:szCs w:val="26"/>
        </w:rPr>
        <w:t xml:space="preserve"> the changing nature</w:t>
      </w:r>
      <w:r>
        <w:rPr>
          <w:szCs w:val="26"/>
        </w:rPr>
        <w:t xml:space="preserve"> of</w:t>
      </w:r>
      <w:r w:rsidRPr="002F33B0">
        <w:rPr>
          <w:szCs w:val="26"/>
        </w:rPr>
        <w:t xml:space="preserve"> policies, programmes, </w:t>
      </w:r>
      <w:r>
        <w:rPr>
          <w:szCs w:val="26"/>
        </w:rPr>
        <w:t xml:space="preserve">services, </w:t>
      </w:r>
      <w:r w:rsidRPr="002F33B0">
        <w:rPr>
          <w:szCs w:val="26"/>
        </w:rPr>
        <w:t>supports</w:t>
      </w:r>
      <w:r>
        <w:rPr>
          <w:szCs w:val="26"/>
        </w:rPr>
        <w:t xml:space="preserve"> and data</w:t>
      </w:r>
      <w:r w:rsidRPr="002F33B0">
        <w:rPr>
          <w:szCs w:val="26"/>
        </w:rPr>
        <w:t xml:space="preserve"> </w:t>
      </w:r>
      <w:r>
        <w:rPr>
          <w:szCs w:val="26"/>
        </w:rPr>
        <w:t xml:space="preserve">these reports will date and we will endeavour to update them </w:t>
      </w:r>
      <w:r w:rsidRPr="002F33B0">
        <w:rPr>
          <w:szCs w:val="26"/>
        </w:rPr>
        <w:t xml:space="preserve"> </w:t>
      </w:r>
      <w:r>
        <w:rPr>
          <w:szCs w:val="26"/>
        </w:rPr>
        <w:t>periodically</w:t>
      </w:r>
      <w:r w:rsidRPr="002F33B0">
        <w:rPr>
          <w:szCs w:val="26"/>
        </w:rPr>
        <w:t xml:space="preserve"> to reflect any changes. The papers are not intended to be exhaustive but seek to provide a broad overview of the main issues of relevance to each article.</w:t>
      </w:r>
    </w:p>
    <w:p w14:paraId="57311408" w14:textId="7A34DC31" w:rsidR="0066034B" w:rsidRDefault="00327495" w:rsidP="00327495">
      <w:pPr>
        <w:spacing w:after="0"/>
      </w:pPr>
      <w:r>
        <w:rPr>
          <w:szCs w:val="26"/>
        </w:rPr>
        <w:t xml:space="preserve">In the first instance </w:t>
      </w:r>
      <w:r w:rsidR="0066034B">
        <w:rPr>
          <w:szCs w:val="26"/>
        </w:rPr>
        <w:t>five</w:t>
      </w:r>
      <w:r>
        <w:rPr>
          <w:szCs w:val="26"/>
        </w:rPr>
        <w:t xml:space="preserve"> articles</w:t>
      </w:r>
      <w:r w:rsidR="0066034B">
        <w:rPr>
          <w:szCs w:val="26"/>
        </w:rPr>
        <w:t xml:space="preserve"> were reviewed</w:t>
      </w:r>
      <w:r>
        <w:rPr>
          <w:szCs w:val="26"/>
        </w:rPr>
        <w:t xml:space="preserve"> </w:t>
      </w:r>
      <w:r w:rsidR="0066034B">
        <w:rPr>
          <w:szCs w:val="26"/>
        </w:rPr>
        <w:t>and are</w:t>
      </w:r>
      <w:r>
        <w:rPr>
          <w:szCs w:val="26"/>
        </w:rPr>
        <w:t xml:space="preserve"> available at </w:t>
      </w:r>
      <w:hyperlink r:id="rId9" w:history="1">
        <w:r w:rsidR="0066034B" w:rsidRPr="00E47E8C">
          <w:rPr>
            <w:rStyle w:val="Hyperlink"/>
          </w:rPr>
          <w:t>https://nda.ie/publications/others/uncrpd/series-of-papers-on-individual-united-nations-convention-on-the-rights-of-persons-with-disabilities-uncrpd-articles.html</w:t>
        </w:r>
      </w:hyperlink>
    </w:p>
    <w:p w14:paraId="16A302CB" w14:textId="18A539FA" w:rsidR="0066034B" w:rsidRDefault="00327495" w:rsidP="0066034B">
      <w:pPr>
        <w:spacing w:after="0"/>
        <w:rPr>
          <w:szCs w:val="26"/>
        </w:rPr>
      </w:pPr>
      <w:r>
        <w:rPr>
          <w:szCs w:val="26"/>
        </w:rPr>
        <w:t>These were selected to reflect some of the main topics of concern to the stakeholders noted above and to include some of the cross-cutting issues such as children and women with disabilities. It is intended that the NDA will develop further papers during 2021</w:t>
      </w:r>
      <w:r w:rsidR="0066034B">
        <w:rPr>
          <w:szCs w:val="26"/>
        </w:rPr>
        <w:t xml:space="preserve"> and 2022.</w:t>
      </w:r>
    </w:p>
    <w:p w14:paraId="1FB93445" w14:textId="3817D8C1" w:rsidR="00327495" w:rsidRPr="00DA4E6A" w:rsidRDefault="00327495" w:rsidP="00327495">
      <w:pPr>
        <w:pStyle w:val="ListBullet"/>
        <w:numPr>
          <w:ilvl w:val="0"/>
          <w:numId w:val="1"/>
        </w:numPr>
      </w:pPr>
      <w:r>
        <w:t xml:space="preserve">Article 7, </w:t>
      </w:r>
      <w:r w:rsidRPr="00DA4E6A">
        <w:t>Children with Disabilities</w:t>
      </w:r>
    </w:p>
    <w:p w14:paraId="1F16F48A" w14:textId="77777777" w:rsidR="00327495" w:rsidRPr="00DA4E6A" w:rsidRDefault="00327495" w:rsidP="00327495">
      <w:pPr>
        <w:pStyle w:val="ListBullet"/>
        <w:numPr>
          <w:ilvl w:val="0"/>
          <w:numId w:val="1"/>
        </w:numPr>
      </w:pPr>
      <w:r>
        <w:t xml:space="preserve">Article 8, </w:t>
      </w:r>
      <w:r w:rsidRPr="00DA4E6A">
        <w:t>Awareness Raising</w:t>
      </w:r>
    </w:p>
    <w:p w14:paraId="6D2A48B2" w14:textId="77777777" w:rsidR="00327495" w:rsidRPr="00DA4E6A" w:rsidRDefault="00327495" w:rsidP="00327495">
      <w:pPr>
        <w:pStyle w:val="ListBullet"/>
        <w:numPr>
          <w:ilvl w:val="0"/>
          <w:numId w:val="1"/>
        </w:numPr>
      </w:pPr>
      <w:r>
        <w:t xml:space="preserve">Article 26, </w:t>
      </w:r>
      <w:r w:rsidRPr="00DA4E6A">
        <w:t>Work and employment</w:t>
      </w:r>
    </w:p>
    <w:p w14:paraId="0A33C835" w14:textId="77777777" w:rsidR="00327495" w:rsidRPr="00DA4E6A" w:rsidRDefault="00327495" w:rsidP="00327495">
      <w:pPr>
        <w:pStyle w:val="ListBullet"/>
        <w:numPr>
          <w:ilvl w:val="0"/>
          <w:numId w:val="1"/>
        </w:numPr>
      </w:pPr>
      <w:r>
        <w:t xml:space="preserve">Article 28, </w:t>
      </w:r>
      <w:r w:rsidRPr="00DA4E6A">
        <w:t>Adequate Standard of Living and Social Protection</w:t>
      </w:r>
    </w:p>
    <w:p w14:paraId="7F945053" w14:textId="77777777" w:rsidR="00327495" w:rsidRPr="00111D11" w:rsidRDefault="00327495" w:rsidP="00327495">
      <w:pPr>
        <w:pStyle w:val="ListBullet"/>
        <w:numPr>
          <w:ilvl w:val="0"/>
          <w:numId w:val="1"/>
        </w:numPr>
      </w:pPr>
      <w:r>
        <w:t xml:space="preserve">Article 31, </w:t>
      </w:r>
      <w:r w:rsidRPr="00DA4E6A">
        <w:t xml:space="preserve">Statistics and Data Collection </w:t>
      </w:r>
    </w:p>
    <w:p w14:paraId="2B261101" w14:textId="77146EEA" w:rsidR="00C040B7" w:rsidRDefault="00C040B7" w:rsidP="00053689">
      <w:pPr>
        <w:pStyle w:val="Heading1"/>
      </w:pPr>
      <w:bookmarkStart w:id="4" w:name="_Toc90030687"/>
      <w:r>
        <w:t>Introduction</w:t>
      </w:r>
      <w:bookmarkEnd w:id="4"/>
    </w:p>
    <w:p w14:paraId="3966851B" w14:textId="6950565A" w:rsidR="00C040B7" w:rsidRDefault="00C040B7" w:rsidP="00C040B7">
      <w:r>
        <w:t xml:space="preserve">The ratification of the UNCRPD by Ireland in 2018 with a specific article on </w:t>
      </w:r>
      <w:r w:rsidR="00A40316">
        <w:t>health</w:t>
      </w:r>
      <w:r>
        <w:t xml:space="preserve"> </w:t>
      </w:r>
      <w:r w:rsidR="00053689">
        <w:t>providers an impetus to focus on the</w:t>
      </w:r>
      <w:r>
        <w:t xml:space="preserve"> rights of </w:t>
      </w:r>
      <w:r w:rsidR="00A40316">
        <w:t>people with disabilit</w:t>
      </w:r>
      <w:r w:rsidR="00D72634">
        <w:t xml:space="preserve">ies </w:t>
      </w:r>
      <w:r w:rsidR="009C6D56">
        <w:t xml:space="preserve">to </w:t>
      </w:r>
      <w:r w:rsidR="00D72634">
        <w:t xml:space="preserve">access </w:t>
      </w:r>
      <w:r w:rsidR="00A40316">
        <w:t xml:space="preserve">appropriate health care. </w:t>
      </w:r>
      <w:r>
        <w:t xml:space="preserve"> </w:t>
      </w:r>
    </w:p>
    <w:p w14:paraId="2D0D1D2C" w14:textId="2208E52F" w:rsidR="00C040B7" w:rsidRDefault="00C040B7" w:rsidP="00C040B7">
      <w:r>
        <w:t xml:space="preserve">Following the convention text below this paper then examines the situation of </w:t>
      </w:r>
      <w:r w:rsidR="00A40316">
        <w:t xml:space="preserve">people with disabilities in relation to accessing appropriate health care, </w:t>
      </w:r>
      <w:r>
        <w:t xml:space="preserve">looking at key data and research, policies, legislation, and then looking at some specific areas such as </w:t>
      </w:r>
      <w:r w:rsidR="00A40316">
        <w:t xml:space="preserve">access to </w:t>
      </w:r>
      <w:r w:rsidR="00053689">
        <w:t xml:space="preserve">tertiary care and primary care and </w:t>
      </w:r>
      <w:r w:rsidR="00D72634">
        <w:t xml:space="preserve">preventative and </w:t>
      </w:r>
      <w:r w:rsidR="00053689">
        <w:t>public health programmes.</w:t>
      </w:r>
    </w:p>
    <w:p w14:paraId="7F7EFFD0" w14:textId="5D797387" w:rsidR="00C040B7" w:rsidRDefault="00D72634" w:rsidP="007D6745">
      <w:r>
        <w:lastRenderedPageBreak/>
        <w:t xml:space="preserve">In Ireland </w:t>
      </w:r>
      <w:r w:rsidR="00815C9C">
        <w:t xml:space="preserve">the delivery of </w:t>
      </w:r>
      <w:r>
        <w:t xml:space="preserve">health and social care </w:t>
      </w:r>
      <w:r w:rsidR="00815C9C">
        <w:t xml:space="preserve">is the responsibility of the Department of Health (in terms of policy and strategy) and the Health Services Executive (in terms of service delivery and service commissioning). However, this paper is largely focused on health and health care rather than social care. Social care is </w:t>
      </w:r>
      <w:r w:rsidR="009C6D56">
        <w:t xml:space="preserve">/ will be </w:t>
      </w:r>
      <w:r w:rsidR="00815C9C">
        <w:t xml:space="preserve">dealt with in other NDA UNCRPD papers. </w:t>
      </w:r>
    </w:p>
    <w:p w14:paraId="7A3CDD1D" w14:textId="77777777" w:rsidR="000D4EEB" w:rsidRDefault="000D4EEB" w:rsidP="000D4EEB">
      <w:pPr>
        <w:pStyle w:val="Heading1"/>
      </w:pPr>
      <w:bookmarkStart w:id="5" w:name="_Toc90030688"/>
      <w:r>
        <w:t>Convention text</w:t>
      </w:r>
      <w:bookmarkEnd w:id="5"/>
    </w:p>
    <w:p w14:paraId="4E4DAEDB" w14:textId="77777777" w:rsidR="000D4EEB" w:rsidRPr="000D4EEB" w:rsidRDefault="000D4EEB" w:rsidP="000D4EEB">
      <w:r>
        <w:t>Article 25 – Health</w:t>
      </w:r>
    </w:p>
    <w:p w14:paraId="1539EE83" w14:textId="77777777" w:rsidR="000D4EEB" w:rsidRPr="000D4EEB" w:rsidRDefault="000D4EEB" w:rsidP="000D4EEB">
      <w:r w:rsidRPr="000D4EEB">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6A7FE118" w14:textId="77777777" w:rsidR="000D4EEB" w:rsidRPr="000D4EEB" w:rsidRDefault="000D4EEB" w:rsidP="000C2D75">
      <w:pPr>
        <w:ind w:left="720"/>
      </w:pPr>
      <w:r w:rsidRPr="000D4EEB">
        <w:t>a) Provide persons with disabilities with the same range, quality and standard of free or affordable health care and programmes as provided to other persons, including in the area of sexual and reproductive health and population-based public health programmes;</w:t>
      </w:r>
    </w:p>
    <w:p w14:paraId="46EB36D3" w14:textId="77777777" w:rsidR="000D4EEB" w:rsidRPr="000D4EEB" w:rsidRDefault="000D4EEB" w:rsidP="000C2D75">
      <w:pPr>
        <w:ind w:left="720"/>
      </w:pPr>
      <w:r w:rsidRPr="000D4EEB">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14:paraId="48A32614" w14:textId="77777777" w:rsidR="000D4EEB" w:rsidRPr="000D4EEB" w:rsidRDefault="000D4EEB" w:rsidP="000C2D75">
      <w:pPr>
        <w:ind w:left="720"/>
      </w:pPr>
      <w:r w:rsidRPr="000D4EEB">
        <w:t>c) Provide these health services as close as possible to people’s own communities, including in rural areas;</w:t>
      </w:r>
    </w:p>
    <w:p w14:paraId="35F8968C" w14:textId="77777777" w:rsidR="000D4EEB" w:rsidRPr="000D4EEB" w:rsidRDefault="000D4EEB" w:rsidP="000C2D75">
      <w:pPr>
        <w:ind w:left="720"/>
      </w:pPr>
      <w:r w:rsidRPr="000D4EEB">
        <w:t xml:space="preserve">d) Require health professionals to provide care of the same quality to persons with disabilities as to others, including on the basis of free and informed consent by, inter alia, raising awareness of the human rights, dignity, autonomy and needs of persons </w:t>
      </w:r>
      <w:r w:rsidRPr="000D4EEB">
        <w:lastRenderedPageBreak/>
        <w:t>with disabilities through training and the promulgation of ethical standards for public and private health care;</w:t>
      </w:r>
    </w:p>
    <w:p w14:paraId="1CB44510" w14:textId="77777777" w:rsidR="000D4EEB" w:rsidRPr="000D4EEB" w:rsidRDefault="000D4EEB" w:rsidP="000C2D75">
      <w:pPr>
        <w:ind w:left="720"/>
      </w:pPr>
      <w:r w:rsidRPr="000D4EEB">
        <w:t>e) Prohibit discrimination against persons with disabilities in the provision of health insurance, and life insurance where such insurance is permitted by national law, which shall be provided in a fair and reasonable manner;</w:t>
      </w:r>
    </w:p>
    <w:p w14:paraId="4ACA463C" w14:textId="17C032AF" w:rsidR="000D4EEB" w:rsidRDefault="000D4EEB" w:rsidP="000C2D75">
      <w:pPr>
        <w:ind w:left="720"/>
      </w:pPr>
      <w:r w:rsidRPr="000D4EEB">
        <w:t>f) Prevent discriminatory denial of health care or health services or food and fluids on the basis of disability.</w:t>
      </w:r>
    </w:p>
    <w:p w14:paraId="43652643" w14:textId="5799F248" w:rsidR="00602962" w:rsidRDefault="00602962" w:rsidP="009E0528">
      <w:pPr>
        <w:pStyle w:val="Heading1"/>
      </w:pPr>
      <w:bookmarkStart w:id="6" w:name="_Toc90030689"/>
      <w:r>
        <w:t>Type of Right</w:t>
      </w:r>
      <w:bookmarkEnd w:id="6"/>
    </w:p>
    <w:p w14:paraId="34C5D475" w14:textId="3125B7B3" w:rsidR="00602962" w:rsidRDefault="00602962" w:rsidP="00602962">
      <w:r w:rsidRPr="009E0528">
        <w:t>The right to health is a social right and is therefore subject to progressive realisation.</w:t>
      </w:r>
    </w:p>
    <w:p w14:paraId="0A1E3548" w14:textId="77777777" w:rsidR="00412C00" w:rsidRDefault="00412C00" w:rsidP="00412C00">
      <w:pPr>
        <w:pStyle w:val="Heading1"/>
      </w:pPr>
      <w:bookmarkStart w:id="7" w:name="_Toc90030690"/>
      <w:r>
        <w:t>Key data and statistics</w:t>
      </w:r>
      <w:bookmarkEnd w:id="7"/>
    </w:p>
    <w:p w14:paraId="43EEB0C5" w14:textId="77777777" w:rsidR="00412C00" w:rsidRDefault="00412C00" w:rsidP="00412C00">
      <w:pPr>
        <w:pStyle w:val="Heading2"/>
      </w:pPr>
      <w:bookmarkStart w:id="8" w:name="_Toc90030691"/>
      <w:r>
        <w:t>Health profile of people with disabilities</w:t>
      </w:r>
      <w:bookmarkEnd w:id="8"/>
    </w:p>
    <w:p w14:paraId="37005673" w14:textId="77777777" w:rsidR="00412C00" w:rsidRDefault="00412C00" w:rsidP="00412C00">
      <w:pPr>
        <w:pStyle w:val="Heading3"/>
      </w:pPr>
      <w:r>
        <w:t>Mortality rates</w:t>
      </w:r>
    </w:p>
    <w:p w14:paraId="23014E4C" w14:textId="77777777" w:rsidR="00412C00" w:rsidRPr="00BE30FB" w:rsidRDefault="00412C00" w:rsidP="00412C00">
      <w:r w:rsidRPr="00BE30FB">
        <w:t>In 2019, the C</w:t>
      </w:r>
      <w:r>
        <w:t xml:space="preserve">entral </w:t>
      </w:r>
      <w:r w:rsidRPr="00BE30FB">
        <w:t>S</w:t>
      </w:r>
      <w:r>
        <w:t xml:space="preserve">tatistics </w:t>
      </w:r>
      <w:r w:rsidRPr="00BE30FB">
        <w:t>O</w:t>
      </w:r>
      <w:r>
        <w:t>ffice</w:t>
      </w:r>
      <w:r w:rsidRPr="00BE30FB">
        <w:t xml:space="preserve"> published analyses of the characteristics of people who died in the twelve month period following the 2016 Census.</w:t>
      </w:r>
      <w:r>
        <w:rPr>
          <w:rStyle w:val="FootnoteReference"/>
        </w:rPr>
        <w:footnoteReference w:id="1"/>
      </w:r>
      <w:r w:rsidRPr="00BE30FB">
        <w:t xml:space="preserve"> It uses standardised mortality rates which take into account different characteristics such as age so that rates can be compared across groups. The standardised mortality rate for persons with a disability was 1,232 per</w:t>
      </w:r>
      <w:r>
        <w:t xml:space="preserve"> </w:t>
      </w:r>
      <w:r w:rsidRPr="00BE30FB">
        <w:t xml:space="preserve">100,000 people in 2016-2017 (1,197 for females and 1,280 for males). The rate for persons without a disability was lower at 302 per 100,000 people (268 for females </w:t>
      </w:r>
      <w:r>
        <w:t>and 329 for males) (see Figure 1</w:t>
      </w:r>
      <w:r w:rsidRPr="00BE30FB">
        <w:t xml:space="preserve"> below). Because persons with disabilities make up only 13.5% of the </w:t>
      </w:r>
      <w:r w:rsidRPr="00BE30FB">
        <w:lastRenderedPageBreak/>
        <w:t>population</w:t>
      </w:r>
      <w:r>
        <w:t>,</w:t>
      </w:r>
      <w:r w:rsidRPr="00BE30FB">
        <w:t xml:space="preserve"> the absolute numbers of persons without disabilities dying is higher than those with a disability. However, the standardised mortality rate for:</w:t>
      </w:r>
    </w:p>
    <w:p w14:paraId="04258F42" w14:textId="77777777" w:rsidR="00412C00" w:rsidRPr="00BE30FB" w:rsidRDefault="00412C00" w:rsidP="00412C00">
      <w:pPr>
        <w:numPr>
          <w:ilvl w:val="0"/>
          <w:numId w:val="18"/>
        </w:numPr>
      </w:pPr>
      <w:r w:rsidRPr="00BE30FB">
        <w:t>persons with disabilities was 4.1 times higher than that of persons without disabilities,</w:t>
      </w:r>
    </w:p>
    <w:p w14:paraId="2FF57BB1" w14:textId="77777777" w:rsidR="00412C00" w:rsidRPr="00BE30FB" w:rsidRDefault="00412C00" w:rsidP="00412C00">
      <w:pPr>
        <w:numPr>
          <w:ilvl w:val="0"/>
          <w:numId w:val="18"/>
        </w:numPr>
      </w:pPr>
      <w:r w:rsidRPr="00BE30FB">
        <w:t>females with a disability was 4.5 times higher than that of females without a disability, and</w:t>
      </w:r>
    </w:p>
    <w:p w14:paraId="77970F49" w14:textId="77777777" w:rsidR="00412C00" w:rsidRPr="00BE30FB" w:rsidRDefault="00412C00" w:rsidP="00412C00">
      <w:pPr>
        <w:numPr>
          <w:ilvl w:val="0"/>
          <w:numId w:val="18"/>
        </w:numPr>
      </w:pPr>
      <w:r w:rsidRPr="00BE30FB">
        <w:t>males with a disability was 3.9 times higher than tha</w:t>
      </w:r>
      <w:r>
        <w:t>t of males without a disability</w:t>
      </w:r>
      <w:r>
        <w:rPr>
          <w:rStyle w:val="FootnoteReference"/>
        </w:rPr>
        <w:footnoteReference w:id="2"/>
      </w:r>
    </w:p>
    <w:p w14:paraId="7932697D" w14:textId="77777777" w:rsidR="00412C00" w:rsidRDefault="00412C00" w:rsidP="00412C00">
      <w:r w:rsidRPr="00BE30FB">
        <w:rPr>
          <w:noProof/>
          <w:lang w:eastAsia="en-IE"/>
        </w:rPr>
        <w:drawing>
          <wp:inline distT="0" distB="0" distL="0" distR="0" wp14:anchorId="33900C2F" wp14:editId="4BCD06FE">
            <wp:extent cx="6068060" cy="2381250"/>
            <wp:effectExtent l="0" t="0" r="8890" b="0"/>
            <wp:docPr id="1" name="Chart 1" descr="Bar chart showing that the standardises rate for people with a disability is significantly higher than for those without a disability. " title="Figure 1: Standardised death rates 2016-2017 by sex and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05D7EC" w14:textId="77777777" w:rsidR="00412C00" w:rsidRPr="00BE30FB" w:rsidRDefault="00412C00" w:rsidP="00412C00">
      <w:r w:rsidRPr="00DA7EA5">
        <w:t>An increase in relative standardised mortality rates for persons with disabilities compared to persons without disabilities may possibly reflect a lack of access to health or social care or poorer quality health and social care for persons with disabilities.</w:t>
      </w:r>
      <w:r>
        <w:rPr>
          <w:rStyle w:val="FootnoteReference"/>
        </w:rPr>
        <w:footnoteReference w:id="3"/>
      </w:r>
      <w:r>
        <w:t xml:space="preserve"> </w:t>
      </w:r>
      <w:r w:rsidRPr="00DA7EA5">
        <w:t>Th</w:t>
      </w:r>
      <w:r>
        <w:t>e NDA has observed that th</w:t>
      </w:r>
      <w:r w:rsidRPr="00DA7EA5">
        <w:t xml:space="preserve">is </w:t>
      </w:r>
      <w:r>
        <w:t xml:space="preserve">particular </w:t>
      </w:r>
      <w:r w:rsidRPr="00DA7EA5">
        <w:t xml:space="preserve">analysis </w:t>
      </w:r>
      <w:r>
        <w:t>may raise</w:t>
      </w:r>
      <w:r w:rsidRPr="00DA7EA5">
        <w:t xml:space="preserve"> more questions than it answers and plans to look at </w:t>
      </w:r>
      <w:r>
        <w:t>it</w:t>
      </w:r>
      <w:r w:rsidRPr="00DA7EA5">
        <w:t xml:space="preserve"> </w:t>
      </w:r>
      <w:r w:rsidRPr="00DA7EA5">
        <w:lastRenderedPageBreak/>
        <w:t>in more detail. Due to some changes in methodology</w:t>
      </w:r>
      <w:r>
        <w:t>,</w:t>
      </w:r>
      <w:r w:rsidRPr="00DA7EA5">
        <w:t xml:space="preserve"> these data are not directly comparable to a similar analysis conducted after the last census in 2006-2007</w:t>
      </w:r>
      <w:r>
        <w:t>.</w:t>
      </w:r>
      <w:r>
        <w:rPr>
          <w:rStyle w:val="FootnoteReference"/>
        </w:rPr>
        <w:footnoteReference w:id="4"/>
      </w:r>
    </w:p>
    <w:p w14:paraId="613947C8" w14:textId="77777777" w:rsidR="00412C00" w:rsidRDefault="00412C00" w:rsidP="00412C00">
      <w:pPr>
        <w:pStyle w:val="Heading3"/>
      </w:pPr>
      <w:r>
        <w:t xml:space="preserve">Self-reported health </w:t>
      </w:r>
    </w:p>
    <w:p w14:paraId="6D83B5B2" w14:textId="77777777" w:rsidR="00412C00" w:rsidRPr="005B649F" w:rsidRDefault="00412C00" w:rsidP="00412C00">
      <w:r>
        <w:t>Information available through the Central Statistics Office shows that t</w:t>
      </w:r>
      <w:r w:rsidRPr="00592E6D">
        <w:t xml:space="preserve">here is a stark difference in the percentage of persons with and without disabilities with regards to how they report their general </w:t>
      </w:r>
      <w:r>
        <w:t>health (Figure 2</w:t>
      </w:r>
      <w:r w:rsidRPr="00592E6D">
        <w:t>, CSO Census 2016).</w:t>
      </w:r>
      <w:r>
        <w:rPr>
          <w:rStyle w:val="FootnoteReference"/>
        </w:rPr>
        <w:footnoteReference w:id="5"/>
      </w:r>
      <w:r w:rsidRPr="00592E6D">
        <w:t xml:space="preserve"> Almost every person (92.7%) without a disability reports their health as being good or very good. This compares to 51.2% of persons with a disability. Similarly, 0.1% of persons without a disability report their health as bad or very bad</w:t>
      </w:r>
      <w:r>
        <w:t>,</w:t>
      </w:r>
      <w:r w:rsidRPr="00592E6D">
        <w:t xml:space="preserve"> compared to 11.0% of persons with a disability.</w:t>
      </w:r>
      <w:r>
        <w:t xml:space="preserve"> </w:t>
      </w:r>
      <w:r w:rsidRPr="00592E6D">
        <w:t xml:space="preserve">When looking at self-reported general health of people with different types of disabilities, people with a condition that substantially limits one or more basic physical activity and people with other disabilities including chronic illness are more likely to report having </w:t>
      </w:r>
      <w:r>
        <w:t>bad or very bad health (Figure 2</w:t>
      </w:r>
      <w:r w:rsidRPr="00592E6D">
        <w:t xml:space="preserve">). People with intellectual disabilities are least likely to report bad or very bad health. </w:t>
      </w:r>
    </w:p>
    <w:p w14:paraId="70DE5909" w14:textId="77777777" w:rsidR="00412C00" w:rsidRPr="00592E6D" w:rsidRDefault="00412C00" w:rsidP="00412C00">
      <w:pPr>
        <w:rPr>
          <w:b/>
        </w:rPr>
      </w:pPr>
      <w:r w:rsidRPr="00592E6D">
        <w:rPr>
          <w:noProof/>
          <w:lang w:eastAsia="en-IE"/>
        </w:rPr>
        <w:lastRenderedPageBreak/>
        <w:drawing>
          <wp:inline distT="0" distB="0" distL="0" distR="0" wp14:anchorId="29DBD4DC" wp14:editId="30D7A57F">
            <wp:extent cx="5731510" cy="3593804"/>
            <wp:effectExtent l="0" t="0" r="2540" b="6985"/>
            <wp:docPr id="2" name="Chart 2" descr="This is a horizontal bar chart that uses type of disability as per the census defintion and whether people report good or very good health versus s bad or very bad health. &#10;" title="Figure 2: General health of people according to type of disability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0A935A" w14:textId="77777777" w:rsidR="00412C00" w:rsidRDefault="00412C00" w:rsidP="00412C00">
      <w:pPr>
        <w:pStyle w:val="Heading3"/>
      </w:pPr>
      <w:r>
        <w:t>Levels of health screening</w:t>
      </w:r>
    </w:p>
    <w:p w14:paraId="7DC92C73" w14:textId="3FEC0FB3" w:rsidR="00412C00" w:rsidRDefault="00412C00" w:rsidP="00412C00">
      <w:r w:rsidRPr="005F393D">
        <w:t>In 201</w:t>
      </w:r>
      <w:r w:rsidR="00E93105">
        <w:t>9</w:t>
      </w:r>
      <w:r>
        <w:t>,</w:t>
      </w:r>
      <w:r w:rsidRPr="005F393D">
        <w:t xml:space="preserve"> the Irish Health Survey found that persons with a disability had higher or similar levels of health screening than persons without a disability.</w:t>
      </w:r>
      <w:r>
        <w:rPr>
          <w:rStyle w:val="FootnoteReference"/>
        </w:rPr>
        <w:footnoteReference w:id="6"/>
      </w:r>
      <w:r w:rsidRPr="005F393D">
        <w:t xml:space="preserve"> </w:t>
      </w:r>
      <w:r w:rsidR="00AB2BB5">
        <w:t xml:space="preserve">14% </w:t>
      </w:r>
      <w:r>
        <w:t xml:space="preserve">percent </w:t>
      </w:r>
      <w:r w:rsidRPr="005F393D">
        <w:t xml:space="preserve">of </w:t>
      </w:r>
      <w:r w:rsidR="00AB2BB5">
        <w:t>women</w:t>
      </w:r>
      <w:r w:rsidR="00AB2BB5" w:rsidRPr="005F393D">
        <w:t xml:space="preserve"> </w:t>
      </w:r>
      <w:r w:rsidRPr="005F393D">
        <w:t xml:space="preserve">with a disability had a mammogram </w:t>
      </w:r>
      <w:r w:rsidR="00AB2BB5">
        <w:t xml:space="preserve">in the previous 12 months </w:t>
      </w:r>
      <w:r w:rsidRPr="005F393D">
        <w:t xml:space="preserve">compared to </w:t>
      </w:r>
      <w:r w:rsidR="00AB2BB5">
        <w:t>13</w:t>
      </w:r>
      <w:r w:rsidRPr="005F393D">
        <w:t>% of person</w:t>
      </w:r>
      <w:r>
        <w:t xml:space="preserve">s without a disability </w:t>
      </w:r>
      <w:r w:rsidRPr="005F393D">
        <w:t xml:space="preserve">Corresponding figures for cervical smear </w:t>
      </w:r>
      <w:r w:rsidR="00E93105">
        <w:t xml:space="preserve">test </w:t>
      </w:r>
      <w:r w:rsidRPr="005F393D">
        <w:t xml:space="preserve">were </w:t>
      </w:r>
      <w:r w:rsidR="00AB2BB5">
        <w:t>17</w:t>
      </w:r>
      <w:r w:rsidRPr="005F393D">
        <w:t>% versus 2</w:t>
      </w:r>
      <w:r w:rsidR="00AB2BB5">
        <w:t>0</w:t>
      </w:r>
      <w:r w:rsidRPr="005F393D">
        <w:t xml:space="preserve">% and for </w:t>
      </w:r>
      <w:r w:rsidR="00E93105">
        <w:t xml:space="preserve">a </w:t>
      </w:r>
      <w:r w:rsidRPr="005F393D">
        <w:t xml:space="preserve">blood pressure </w:t>
      </w:r>
      <w:r w:rsidR="00E93105">
        <w:t xml:space="preserve">check the figures were </w:t>
      </w:r>
      <w:r w:rsidRPr="005F393D">
        <w:t>was 8</w:t>
      </w:r>
      <w:r w:rsidR="00AB2BB5">
        <w:t>8</w:t>
      </w:r>
      <w:r w:rsidRPr="005F393D">
        <w:t>% versus 6</w:t>
      </w:r>
      <w:r w:rsidR="00AB2BB5">
        <w:t>5</w:t>
      </w:r>
      <w:r w:rsidRPr="005F393D">
        <w:t xml:space="preserve">. </w:t>
      </w:r>
      <w:r>
        <w:t>Wave 3 of t</w:t>
      </w:r>
      <w:r w:rsidRPr="002C063C">
        <w:t>he Intellectual Disability Supplement to TILDA (</w:t>
      </w:r>
      <w:r w:rsidRPr="002C063C">
        <w:rPr>
          <w:b/>
        </w:rPr>
        <w:t>IDS-TILDA)</w:t>
      </w:r>
      <w:r>
        <w:t xml:space="preserve"> </w:t>
      </w:r>
      <w:r w:rsidRPr="002C063C">
        <w:t>found</w:t>
      </w:r>
      <w:r>
        <w:t xml:space="preserve"> that rates of</w:t>
      </w:r>
      <w:r w:rsidRPr="005E487B">
        <w:t xml:space="preserve"> flu vaccination </w:t>
      </w:r>
      <w:r>
        <w:t xml:space="preserve">amongst people with an intellectual disability over the age of 40 </w:t>
      </w:r>
      <w:r w:rsidRPr="005E487B">
        <w:t xml:space="preserve">were </w:t>
      </w:r>
      <w:r>
        <w:t>90.9%,</w:t>
      </w:r>
      <w:r w:rsidRPr="005E487B">
        <w:t xml:space="preserve"> substantially greater than for </w:t>
      </w:r>
      <w:r w:rsidRPr="005E487B">
        <w:lastRenderedPageBreak/>
        <w:t>the general older population, where 47.5% were reported</w:t>
      </w:r>
      <w:r>
        <w:t xml:space="preserve"> to have had a flu vaccination.</w:t>
      </w:r>
      <w:r>
        <w:rPr>
          <w:rStyle w:val="FootnoteReference"/>
        </w:rPr>
        <w:footnoteReference w:id="7"/>
      </w:r>
      <w:r>
        <w:t xml:space="preserve"> Participants reported</w:t>
      </w:r>
      <w:r w:rsidRPr="005E487B">
        <w:t xml:space="preserve"> accessing health screening services in</w:t>
      </w:r>
      <w:r>
        <w:t xml:space="preserve">cluding prostate cancer checks (77.1%) </w:t>
      </w:r>
      <w:r w:rsidRPr="005E487B">
        <w:t>and breast checks (77.3%). Levels of breast checks</w:t>
      </w:r>
      <w:r>
        <w:t xml:space="preserve"> among women with intellectual disabilities </w:t>
      </w:r>
      <w:r w:rsidRPr="005E487B">
        <w:t>were comparable with the general older population. In Wave 3 of TILDA, 64.6% of older adult women in the general population reported that they check their breasts for lumps regularly and 54.7% of older adult women in Ireland reported that they had a mammogram since their last interview, comparable to 57.2% of IDS</w:t>
      </w:r>
      <w:r>
        <w:t>-</w:t>
      </w:r>
      <w:r w:rsidRPr="005E487B">
        <w:t>TILDA participants. Rates for cholesterol checks were found to be higher among IDS-TILDA participants than for the older general population.</w:t>
      </w:r>
    </w:p>
    <w:p w14:paraId="29BB331C" w14:textId="21C35123" w:rsidR="00412C00" w:rsidRDefault="00412C00" w:rsidP="00412C00">
      <w:r w:rsidRPr="00964852">
        <w:t>The NDA’s research on decongregation</w:t>
      </w:r>
      <w:r w:rsidR="00C040B7">
        <w:rPr>
          <w:rStyle w:val="FootnoteReference"/>
        </w:rPr>
        <w:footnoteReference w:id="8"/>
      </w:r>
      <w:r w:rsidRPr="00964852">
        <w:t xml:space="preserve"> </w:t>
      </w:r>
      <w:r>
        <w:t xml:space="preserve">also </w:t>
      </w:r>
      <w:r w:rsidRPr="00964852">
        <w:t xml:space="preserve">indicates that people in residential settings – both community and institutional </w:t>
      </w:r>
      <w:r>
        <w:t>–</w:t>
      </w:r>
      <w:r w:rsidRPr="00964852">
        <w:t xml:space="preserve"> are the subject of very regular health monitoring. In addition to regular check-ups with GPs and psychiatric/psychology services</w:t>
      </w:r>
      <w:r>
        <w:t>,</w:t>
      </w:r>
      <w:r w:rsidRPr="00964852">
        <w:t xml:space="preserve"> </w:t>
      </w:r>
      <w:r w:rsidR="00911FF3">
        <w:t>individuals’’</w:t>
      </w:r>
      <w:r w:rsidR="00911FF3" w:rsidRPr="00964852">
        <w:t xml:space="preserve"> </w:t>
      </w:r>
      <w:r w:rsidRPr="00964852">
        <w:t>weight is usually monitored and this can lead to staff exercising control over their diets</w:t>
      </w:r>
      <w:r w:rsidR="00261C90">
        <w:t>, particularly in congregated / institutional settings</w:t>
      </w:r>
      <w:r w:rsidRPr="00964852">
        <w:t>.</w:t>
      </w:r>
      <w:r w:rsidR="00261C90">
        <w:t xml:space="preserve"> </w:t>
      </w:r>
      <w:r w:rsidR="00261C90" w:rsidRPr="00D161CA">
        <w:rPr>
          <w:color w:val="000000" w:themeColor="text1"/>
        </w:rPr>
        <w:t xml:space="preserve">The research suggest that </w:t>
      </w:r>
      <w:r w:rsidR="00261C90" w:rsidRPr="00D161CA">
        <w:rPr>
          <w:iCs/>
          <w:color w:val="000000" w:themeColor="text1"/>
        </w:rPr>
        <w:t xml:space="preserve">while some residents require careful monitoring due to poor or unstable health, </w:t>
      </w:r>
      <w:r w:rsidR="00261C90">
        <w:rPr>
          <w:iCs/>
          <w:color w:val="000000" w:themeColor="text1"/>
        </w:rPr>
        <w:t>others</w:t>
      </w:r>
      <w:r w:rsidR="00261C90" w:rsidRPr="00D161CA">
        <w:rPr>
          <w:iCs/>
          <w:color w:val="000000" w:themeColor="text1"/>
        </w:rPr>
        <w:t xml:space="preserve"> are healthy and fit and do not need, and perhaps do not want, their health to be closely monitored</w:t>
      </w:r>
      <w:r w:rsidR="00261C90">
        <w:rPr>
          <w:rStyle w:val="FootnoteReference"/>
          <w:iCs/>
          <w:color w:val="000000" w:themeColor="text1"/>
        </w:rPr>
        <w:footnoteReference w:id="9"/>
      </w:r>
      <w:r w:rsidR="00261C90">
        <w:rPr>
          <w:iCs/>
          <w:color w:val="000000" w:themeColor="text1"/>
        </w:rPr>
        <w:t>.</w:t>
      </w:r>
    </w:p>
    <w:p w14:paraId="0DA4926A" w14:textId="77777777" w:rsidR="00412C00" w:rsidRDefault="00412C00" w:rsidP="00412C00">
      <w:pPr>
        <w:pStyle w:val="Heading3"/>
      </w:pPr>
      <w:r>
        <w:t>Levels of polypharmacy</w:t>
      </w:r>
    </w:p>
    <w:p w14:paraId="7D91ACCB" w14:textId="439A0776" w:rsidR="00412C00" w:rsidRDefault="00412C00" w:rsidP="00412C00">
      <w:r>
        <w:t>It</w:t>
      </w:r>
      <w:r w:rsidRPr="00964852">
        <w:t xml:space="preserve"> </w:t>
      </w:r>
      <w:r>
        <w:t xml:space="preserve">is </w:t>
      </w:r>
      <w:r w:rsidR="00911FF3">
        <w:t xml:space="preserve">possible </w:t>
      </w:r>
      <w:r>
        <w:t>that a by-product of higher levels of</w:t>
      </w:r>
      <w:r w:rsidRPr="00964852">
        <w:t xml:space="preserve"> health monitoring</w:t>
      </w:r>
      <w:r>
        <w:t xml:space="preserve"> amongst persons with a disability</w:t>
      </w:r>
      <w:r w:rsidRPr="00964852">
        <w:t xml:space="preserve"> is the pol</w:t>
      </w:r>
      <w:r>
        <w:t xml:space="preserve">y-pharmacy experienced by many, </w:t>
      </w:r>
      <w:r w:rsidRPr="00964852">
        <w:t>which can result in unwanted side effects and ne</w:t>
      </w:r>
      <w:r>
        <w:t xml:space="preserve">gatively impact health outcome. </w:t>
      </w:r>
    </w:p>
    <w:p w14:paraId="589EE21A" w14:textId="77777777" w:rsidR="00412C00" w:rsidRDefault="00412C00" w:rsidP="00412C00">
      <w:r>
        <w:lastRenderedPageBreak/>
        <w:t>The IDS-TILDA report finds that p</w:t>
      </w:r>
      <w:r w:rsidRPr="00964852">
        <w:t xml:space="preserve">olypharmacy </w:t>
      </w:r>
      <w:r>
        <w:t>was</w:t>
      </w:r>
      <w:r w:rsidRPr="00964852">
        <w:t xml:space="preserve"> high </w:t>
      </w:r>
      <w:r>
        <w:t>amongst</w:t>
      </w:r>
      <w:r w:rsidRPr="00964852">
        <w:t xml:space="preserve"> Wave 3 </w:t>
      </w:r>
      <w:r>
        <w:t xml:space="preserve">participants </w:t>
      </w:r>
      <w:r w:rsidRPr="00964852">
        <w:t>at 39.5% and excessive polypharmacy at 32.7%</w:t>
      </w:r>
      <w:r>
        <w:t>,</w:t>
      </w:r>
      <w:r w:rsidRPr="00964852">
        <w:t xml:space="preserve"> with 47.4% of those taking 3-4 medications at Wave 2 having progressed to taking 5-9 medications (polypharmacy) at Wave 3.</w:t>
      </w:r>
      <w:r>
        <w:rPr>
          <w:rStyle w:val="FootnoteReference"/>
        </w:rPr>
        <w:footnoteReference w:id="10"/>
      </w:r>
    </w:p>
    <w:p w14:paraId="6254F11C" w14:textId="77777777" w:rsidR="00412C00" w:rsidRDefault="00412C00" w:rsidP="00412C00">
      <w:r w:rsidRPr="00964852">
        <w:t>More people with an intellectual disability (72%) aged over 40 were taking five or more medications compared to 32% of people without an intellectual disability aged over 55. This may be a result of the higher health needs of those with an intellectual disability or communications challenges in the relationship between healthcare provider and the individual, and the NDA advises that this area would require further work and examination.</w:t>
      </w:r>
    </w:p>
    <w:p w14:paraId="6FB2AE10" w14:textId="77777777" w:rsidR="00412C00" w:rsidRDefault="00412C00" w:rsidP="00412C00">
      <w:pPr>
        <w:pStyle w:val="Heading3"/>
      </w:pPr>
      <w:r>
        <w:t>Health outcomes</w:t>
      </w:r>
    </w:p>
    <w:p w14:paraId="34CC956C" w14:textId="77777777" w:rsidR="00412C00" w:rsidRDefault="00412C00" w:rsidP="00412C00">
      <w:r>
        <w:t>The</w:t>
      </w:r>
      <w:r w:rsidRPr="00D95D4C">
        <w:t xml:space="preserve"> P</w:t>
      </w:r>
      <w:r>
        <w:t>ositive Ageing Indicators report</w:t>
      </w:r>
      <w:r>
        <w:rPr>
          <w:rStyle w:val="FootnoteReference"/>
        </w:rPr>
        <w:footnoteReference w:id="11"/>
      </w:r>
      <w:r w:rsidRPr="00D95D4C">
        <w:t xml:space="preserve"> shows older people with intellectual disabilities have worse health than older people without a disability, with 65% of people aged over 55 having a chronic disease compared to 79% of people with an intellectual disability aged over 40. </w:t>
      </w:r>
    </w:p>
    <w:p w14:paraId="278D2295" w14:textId="77777777" w:rsidR="00412C00" w:rsidRDefault="00412C00" w:rsidP="00412C00">
      <w:r>
        <w:t xml:space="preserve">Initial findings from the NDA’s work on decongregation indicates that </w:t>
      </w:r>
      <w:r w:rsidRPr="00F84A1C">
        <w:t xml:space="preserve">some of the positive health outcomes that have flowed from deinstitutionalisation </w:t>
      </w:r>
      <w:r>
        <w:t>are not related to</w:t>
      </w:r>
      <w:r w:rsidRPr="00F84A1C">
        <w:t xml:space="preserve"> medical input</w:t>
      </w:r>
      <w:r>
        <w:t>,</w:t>
      </w:r>
      <w:r w:rsidRPr="00F84A1C">
        <w:t xml:space="preserve"> but rather relate to increased physical activity, quieter calmer environments, eating a more varied diet with more fresh food etc</w:t>
      </w:r>
      <w:r>
        <w:t>.</w:t>
      </w:r>
    </w:p>
    <w:p w14:paraId="6C747981" w14:textId="77777777" w:rsidR="00412C00" w:rsidRDefault="00412C00" w:rsidP="00412C00">
      <w:pPr>
        <w:pStyle w:val="Heading2"/>
      </w:pPr>
      <w:bookmarkStart w:id="9" w:name="_Toc90030692"/>
      <w:r>
        <w:t>Discrimination in healthcare</w:t>
      </w:r>
      <w:bookmarkEnd w:id="9"/>
    </w:p>
    <w:p w14:paraId="4B663FBA" w14:textId="77777777" w:rsidR="00412C00" w:rsidRDefault="00412C00" w:rsidP="00412C00">
      <w:pPr>
        <w:rPr>
          <w:bCs/>
        </w:rPr>
      </w:pPr>
      <w:r>
        <w:rPr>
          <w:bCs/>
        </w:rPr>
        <w:t>Research undertaken by the Economic and Social Research Institute and the Irish Human Rights and Equality Commission found that p</w:t>
      </w:r>
      <w:r w:rsidRPr="00931DAD">
        <w:rPr>
          <w:bCs/>
        </w:rPr>
        <w:t xml:space="preserve">eople with disabilities were most likely to report discrimination when accessing health services, though the situation changed considerably over time. In 2004, one-in-four reports of discrimination made by people with disabilities </w:t>
      </w:r>
      <w:r w:rsidRPr="00931DAD">
        <w:rPr>
          <w:bCs/>
        </w:rPr>
        <w:lastRenderedPageBreak/>
        <w:t>in the Equality module</w:t>
      </w:r>
      <w:r w:rsidRPr="00AA3E8F">
        <w:t xml:space="preserve"> </w:t>
      </w:r>
      <w:r w:rsidRPr="00AA3E8F">
        <w:rPr>
          <w:bCs/>
        </w:rPr>
        <w:t>of the Quarterly National Household Survey</w:t>
      </w:r>
      <w:r w:rsidRPr="00931DAD">
        <w:rPr>
          <w:bCs/>
        </w:rPr>
        <w:t xml:space="preserve"> related to health servi</w:t>
      </w:r>
      <w:r>
        <w:rPr>
          <w:bCs/>
        </w:rPr>
        <w:t>ces, but this figure fell to 21% in 2010 and 19% in 2014.</w:t>
      </w:r>
      <w:r>
        <w:rPr>
          <w:rStyle w:val="FootnoteReference"/>
          <w:bCs/>
        </w:rPr>
        <w:footnoteReference w:id="12"/>
      </w:r>
    </w:p>
    <w:p w14:paraId="2CA791C5" w14:textId="66EDC824" w:rsidR="00412C00" w:rsidRDefault="00412C00" w:rsidP="00412C00">
      <w:pPr>
        <w:rPr>
          <w:bCs/>
        </w:rPr>
      </w:pPr>
      <w:r>
        <w:rPr>
          <w:bCs/>
        </w:rPr>
        <w:t xml:space="preserve">The research attributes the higher degree of likelihood of discrimination in this area </w:t>
      </w:r>
      <w:r w:rsidRPr="005E4E1D">
        <w:rPr>
          <w:bCs/>
        </w:rPr>
        <w:t xml:space="preserve">to the fact that people with disabilities interact with health services on a much more frequent basis </w:t>
      </w:r>
      <w:r>
        <w:rPr>
          <w:bCs/>
        </w:rPr>
        <w:t>than those without disabilities, and therefore have a greater prospect of exposure to potential discrimination.</w:t>
      </w:r>
      <w:r>
        <w:rPr>
          <w:rStyle w:val="FootnoteReference"/>
          <w:bCs/>
        </w:rPr>
        <w:footnoteReference w:id="13"/>
      </w:r>
      <w:r>
        <w:rPr>
          <w:bCs/>
        </w:rPr>
        <w:t xml:space="preserve"> The NDA notes that it is unclear what particular health services or aspect of the health service is giving rise </w:t>
      </w:r>
      <w:r w:rsidRPr="005E4E1D">
        <w:rPr>
          <w:bCs/>
        </w:rPr>
        <w:t>to discrimination against people with disabilities</w:t>
      </w:r>
      <w:r w:rsidRPr="0039083C">
        <w:rPr>
          <w:bCs/>
        </w:rPr>
        <w:t xml:space="preserve"> (e.g. primary, </w:t>
      </w:r>
      <w:r>
        <w:rPr>
          <w:bCs/>
        </w:rPr>
        <w:t>specialised or acute care) or</w:t>
      </w:r>
      <w:r w:rsidRPr="0039083C">
        <w:rPr>
          <w:bCs/>
        </w:rPr>
        <w:t xml:space="preserve"> in what part of the process of accessing </w:t>
      </w:r>
      <w:r>
        <w:rPr>
          <w:bCs/>
        </w:rPr>
        <w:t xml:space="preserve">healthcare </w:t>
      </w:r>
      <w:r w:rsidRPr="0039083C">
        <w:rPr>
          <w:bCs/>
        </w:rPr>
        <w:t>services the discrimination is encountered (e.g. in obtaining an appointment, in gaining physical access to services, time spent on the waiting list, quality of care and aftercare).</w:t>
      </w:r>
      <w:r>
        <w:rPr>
          <w:bCs/>
        </w:rPr>
        <w:t xml:space="preserve"> </w:t>
      </w:r>
      <w:r w:rsidR="004924EC">
        <w:rPr>
          <w:bCs/>
        </w:rPr>
        <w:t xml:space="preserve">The ERSI research on disability and discrimination doesn’t look at intersectionality and discrimination. Intersectionality and the Irish health services is discussed further below. Further exploration in this regard may be necessary.  </w:t>
      </w:r>
    </w:p>
    <w:p w14:paraId="4CF55A51" w14:textId="77777777" w:rsidR="009C3BD7" w:rsidRDefault="000D4EEB" w:rsidP="00D1611A">
      <w:pPr>
        <w:pStyle w:val="Heading1"/>
      </w:pPr>
      <w:bookmarkStart w:id="10" w:name="_Toc90030693"/>
      <w:r>
        <w:t>Irish Healthcare System</w:t>
      </w:r>
      <w:bookmarkEnd w:id="10"/>
    </w:p>
    <w:p w14:paraId="7B96AC30" w14:textId="77777777" w:rsidR="00D05C74" w:rsidRDefault="00D05C74" w:rsidP="00D05C74">
      <w:r w:rsidRPr="00D05C74">
        <w:t>Ireland’s healthcare system is characterised by a complex mixture of public and private delivery and financing</w:t>
      </w:r>
      <w:r w:rsidR="00B55CAF">
        <w:t>,</w:t>
      </w:r>
      <w:r w:rsidRPr="00D05C74">
        <w:t xml:space="preserve"> and multiple eligibility t</w:t>
      </w:r>
      <w:r>
        <w:t>iers.</w:t>
      </w:r>
    </w:p>
    <w:p w14:paraId="5E58BAAD" w14:textId="77777777" w:rsidR="005F2182" w:rsidRPr="00D05C74" w:rsidRDefault="005F2182" w:rsidP="005F2182">
      <w:pPr>
        <w:pStyle w:val="Heading2"/>
      </w:pPr>
      <w:bookmarkStart w:id="11" w:name="_Toc90030694"/>
      <w:r>
        <w:lastRenderedPageBreak/>
        <w:t>Public Healthcare System</w:t>
      </w:r>
      <w:bookmarkEnd w:id="11"/>
    </w:p>
    <w:p w14:paraId="0CFE67D3" w14:textId="77777777" w:rsidR="00DE1AF1" w:rsidRDefault="00DE1AF1" w:rsidP="00D1611A">
      <w:pPr>
        <w:pStyle w:val="Heading3"/>
      </w:pPr>
      <w:r>
        <w:t xml:space="preserve">Entitlement </w:t>
      </w:r>
    </w:p>
    <w:p w14:paraId="16E1CF7D" w14:textId="77777777" w:rsidR="0000041D" w:rsidRDefault="0088596D" w:rsidP="00B14618">
      <w:r>
        <w:t>U</w:t>
      </w:r>
      <w:r w:rsidRPr="0088596D">
        <w:t>nder the provisions of the Health Act 1970 (as amended), </w:t>
      </w:r>
      <w:r>
        <w:t>e</w:t>
      </w:r>
      <w:r w:rsidR="00EB465C" w:rsidRPr="00EB465C">
        <w:t xml:space="preserve">ntitlement to </w:t>
      </w:r>
      <w:r w:rsidR="00C92ADC">
        <w:t xml:space="preserve">public </w:t>
      </w:r>
      <w:r w:rsidR="00EB465C" w:rsidRPr="00EB465C">
        <w:t xml:space="preserve">health services in Ireland is primarily based on residency and means. Any person, regardless of nationality, who is accepted as being ordinarily resident in Ireland, is entitled to either full eligibility or limited eligibility for </w:t>
      </w:r>
      <w:r w:rsidR="00D138A2">
        <w:t xml:space="preserve">public </w:t>
      </w:r>
      <w:r w:rsidR="00EB465C" w:rsidRPr="00EB465C">
        <w:t xml:space="preserve">health services. </w:t>
      </w:r>
    </w:p>
    <w:p w14:paraId="6FE1ACF9" w14:textId="77777777" w:rsidR="0000041D" w:rsidRDefault="00EB465C" w:rsidP="00B14618">
      <w:r w:rsidRPr="00EB465C">
        <w:t xml:space="preserve">Persons </w:t>
      </w:r>
      <w:r w:rsidR="0088596D">
        <w:t xml:space="preserve">who </w:t>
      </w:r>
      <w:r w:rsidR="00D138A2">
        <w:t xml:space="preserve">are ordinarily resident and who </w:t>
      </w:r>
      <w:r w:rsidR="0088596D">
        <w:t>satisfy a means test</w:t>
      </w:r>
      <w:r w:rsidR="00D138A2">
        <w:t>,</w:t>
      </w:r>
      <w:r w:rsidR="0088596D">
        <w:t xml:space="preserve"> and therefore </w:t>
      </w:r>
      <w:r w:rsidRPr="00EB465C">
        <w:t>with full eligibility</w:t>
      </w:r>
      <w:r w:rsidR="00D138A2">
        <w:t>,</w:t>
      </w:r>
      <w:r w:rsidRPr="00EB465C">
        <w:t xml:space="preserve"> receive a ‘Medical Card’</w:t>
      </w:r>
      <w:r w:rsidR="00D138A2">
        <w:t>.</w:t>
      </w:r>
      <w:r w:rsidR="00882019">
        <w:rPr>
          <w:rStyle w:val="FootnoteReference"/>
        </w:rPr>
        <w:footnoteReference w:id="14"/>
      </w:r>
      <w:r w:rsidR="00D138A2">
        <w:t xml:space="preserve"> The Medical Card </w:t>
      </w:r>
      <w:r w:rsidR="00423D58">
        <w:t>provides free access to a</w:t>
      </w:r>
      <w:r w:rsidRPr="00EB465C">
        <w:t xml:space="preserve"> range of services including general practitioner services, prescribed drugs and medicines, all in-patient public hospital services in public wards including consultants services, all out-patient public hospital services including consultants services, certain dental services, ophthalmic and aural services and appliances and a maternity and infant care service.</w:t>
      </w:r>
    </w:p>
    <w:p w14:paraId="3FB5BFFF" w14:textId="50ED1B09" w:rsidR="00423D58" w:rsidRDefault="00234091" w:rsidP="00B14618">
      <w:r>
        <w:t xml:space="preserve">From </w:t>
      </w:r>
      <w:r w:rsidR="00423D58" w:rsidRPr="00423D58">
        <w:t>1st December 2018, the medical card earnings disregard for persons in receipt of Disability Allowance was significantly increased, from €120 to €427 per week. As a result, the earnings of someone in receipt of Disability Allowance that can be disregarded under the medical card assessment process has increased from €6,240 a year to €22,204.</w:t>
      </w:r>
      <w:r w:rsidR="00423D58" w:rsidRPr="00423D58">
        <w:rPr>
          <w:vertAlign w:val="superscript"/>
        </w:rPr>
        <w:footnoteReference w:id="15"/>
      </w:r>
      <w:r w:rsidR="00986153">
        <w:t xml:space="preserve"> In practical terms, this </w:t>
      </w:r>
      <w:r w:rsidR="00081A34">
        <w:t>measure has enabled</w:t>
      </w:r>
      <w:r w:rsidR="00986153">
        <w:t xml:space="preserve"> </w:t>
      </w:r>
      <w:r w:rsidR="00986153" w:rsidRPr="00986153">
        <w:t>persons in receipt of a Disability Allowance payment to have a greater earnings capacity and still retain their medical card.</w:t>
      </w:r>
    </w:p>
    <w:p w14:paraId="3332FB4B" w14:textId="371B8803" w:rsidR="00081A34" w:rsidRDefault="00081A34" w:rsidP="00B14618">
      <w:r w:rsidRPr="00081A34">
        <w:t xml:space="preserve">Those whose income is above the maximum threshold for eligibility may be granted a Discretionary Medical Card. In deciding whether to make such a grant, the HSE considers </w:t>
      </w:r>
      <w:r w:rsidRPr="00081A34">
        <w:lastRenderedPageBreak/>
        <w:t>whether expenditure on personal medical expenses, and/or medical expenses for dependents, would result in ‘undue financial hardship’ being placed on the applicant.</w:t>
      </w:r>
      <w:r w:rsidRPr="00081A34">
        <w:rPr>
          <w:vertAlign w:val="superscript"/>
        </w:rPr>
        <w:footnoteReference w:id="16"/>
      </w:r>
      <w:r w:rsidRPr="00081A34">
        <w:t xml:space="preserve"> In practice, this scheme cover</w:t>
      </w:r>
      <w:r w:rsidR="002972C6">
        <w:t>s</w:t>
      </w:r>
      <w:r w:rsidRPr="00081A34">
        <w:t xml:space="preserve"> people with disabilities and medical conditions who have significant med</w:t>
      </w:r>
      <w:r w:rsidR="00442197">
        <w:t>a</w:t>
      </w:r>
      <w:r w:rsidRPr="00081A34">
        <w:t>ical expenses.</w:t>
      </w:r>
    </w:p>
    <w:p w14:paraId="3A937713" w14:textId="7B04651C" w:rsidR="000175E2" w:rsidRDefault="00BE757B" w:rsidP="000175E2">
      <w:r>
        <w:t>Persons</w:t>
      </w:r>
      <w:r w:rsidR="00126C1C">
        <w:t xml:space="preserve"> not eligible for a</w:t>
      </w:r>
      <w:r w:rsidR="00DC06DF">
        <w:t>ny</w:t>
      </w:r>
      <w:r w:rsidR="00126C1C">
        <w:t> Medical C</w:t>
      </w:r>
      <w:r w:rsidRPr="00BE757B">
        <w:t>ard</w:t>
      </w:r>
      <w:r>
        <w:t xml:space="preserve">, may </w:t>
      </w:r>
      <w:r w:rsidR="00D138A2">
        <w:t>satisfy the means test</w:t>
      </w:r>
      <w:r w:rsidRPr="00BE757B">
        <w:t xml:space="preserve"> for a G</w:t>
      </w:r>
      <w:r>
        <w:t xml:space="preserve">eneral </w:t>
      </w:r>
      <w:r w:rsidRPr="00BE757B">
        <w:t>P</w:t>
      </w:r>
      <w:r>
        <w:t xml:space="preserve">ractitioner or GP visit card. </w:t>
      </w:r>
      <w:r w:rsidR="00423D58">
        <w:t>The GP</w:t>
      </w:r>
      <w:r w:rsidR="00D138A2">
        <w:t xml:space="preserve"> visit card</w:t>
      </w:r>
      <w:r w:rsidR="00FB4D58" w:rsidRPr="00FB4D58">
        <w:t xml:space="preserve"> allows </w:t>
      </w:r>
      <w:r>
        <w:t>a person to visit a participating family doctor for free</w:t>
      </w:r>
      <w:r w:rsidR="00D138A2">
        <w:t>, although it does</w:t>
      </w:r>
      <w:r>
        <w:t xml:space="preserve"> not cover hospital charges, GP out-of-hours services or prescribed drugs.</w:t>
      </w:r>
      <w:r w:rsidR="00882019">
        <w:rPr>
          <w:rStyle w:val="FootnoteReference"/>
        </w:rPr>
        <w:footnoteReference w:id="17"/>
      </w:r>
      <w:r w:rsidR="00314CFE" w:rsidRPr="00314CFE">
        <w:rPr>
          <w:rFonts w:ascii="Arial" w:hAnsi="Arial" w:cs="Arial"/>
          <w:color w:val="000000"/>
          <w:sz w:val="27"/>
          <w:szCs w:val="27"/>
        </w:rPr>
        <w:t xml:space="preserve"> </w:t>
      </w:r>
      <w:r w:rsidR="00314CFE" w:rsidRPr="00314CFE">
        <w:t xml:space="preserve">All persons under the age of </w:t>
      </w:r>
      <w:r w:rsidR="00CB3C4A">
        <w:t>6</w:t>
      </w:r>
      <w:r w:rsidR="00314CFE" w:rsidRPr="00314CFE">
        <w:t xml:space="preserve"> years and over the age of 70 years are eligible for</w:t>
      </w:r>
      <w:r w:rsidR="00B55CAF">
        <w:t xml:space="preserve"> a</w:t>
      </w:r>
      <w:r w:rsidR="00314CFE" w:rsidRPr="00314CFE">
        <w:t xml:space="preserve"> GP </w:t>
      </w:r>
      <w:r w:rsidR="00B55CAF">
        <w:t>visit card</w:t>
      </w:r>
      <w:r w:rsidR="00314CFE" w:rsidRPr="00314CFE">
        <w:t>.</w:t>
      </w:r>
      <w:r w:rsidR="00F64F8C">
        <w:t xml:space="preserve"> Budget 2022 contained a committed to expanding eligibility</w:t>
      </w:r>
      <w:r w:rsidR="00F64F8C" w:rsidRPr="00314CFE">
        <w:t xml:space="preserve"> for</w:t>
      </w:r>
      <w:r w:rsidR="00F64F8C">
        <w:t xml:space="preserve"> the</w:t>
      </w:r>
      <w:r w:rsidR="00F64F8C" w:rsidRPr="00314CFE">
        <w:t xml:space="preserve"> GP </w:t>
      </w:r>
      <w:r w:rsidR="00F64F8C">
        <w:t xml:space="preserve">visit card to children up to 7 years of age.  </w:t>
      </w:r>
    </w:p>
    <w:p w14:paraId="464BDAC9" w14:textId="3BBAC073" w:rsidR="0017389A" w:rsidRDefault="0017389A" w:rsidP="000175E2">
      <w:r w:rsidRPr="0017389A">
        <w:t xml:space="preserve">At the end of </w:t>
      </w:r>
      <w:r w:rsidR="00A176F7" w:rsidRPr="0017389A">
        <w:t>20</w:t>
      </w:r>
      <w:r w:rsidR="00A176F7">
        <w:t>20</w:t>
      </w:r>
      <w:r w:rsidRPr="0017389A">
        <w:t xml:space="preserve">, </w:t>
      </w:r>
      <w:r w:rsidR="00A176F7" w:rsidRPr="00A176F7">
        <w:t>1,613,015</w:t>
      </w:r>
      <w:r w:rsidR="002146CE">
        <w:t xml:space="preserve"> </w:t>
      </w:r>
      <w:r w:rsidRPr="0017389A">
        <w:t xml:space="preserve">people in Ireland held a medical card and </w:t>
      </w:r>
      <w:r w:rsidR="00A176F7" w:rsidRPr="00A176F7">
        <w:t>533,379</w:t>
      </w:r>
      <w:r w:rsidRPr="0017389A">
        <w:t>held a GP visit card; in total, 2,</w:t>
      </w:r>
      <w:r w:rsidR="00A176F7">
        <w:t>146</w:t>
      </w:r>
      <w:r w:rsidRPr="0017389A">
        <w:t>,</w:t>
      </w:r>
      <w:r w:rsidR="00A176F7">
        <w:t>430</w:t>
      </w:r>
      <w:r w:rsidR="00A176F7" w:rsidRPr="0017389A">
        <w:t xml:space="preserve"> </w:t>
      </w:r>
      <w:r w:rsidRPr="0017389A">
        <w:t>held either card, 43% of the population</w:t>
      </w:r>
      <w:r>
        <w:t>.</w:t>
      </w:r>
      <w:r>
        <w:rPr>
          <w:rStyle w:val="FootnoteReference"/>
        </w:rPr>
        <w:footnoteReference w:id="18"/>
      </w:r>
    </w:p>
    <w:p w14:paraId="465C44BB" w14:textId="3E529161" w:rsidR="00986153" w:rsidRPr="000175E2" w:rsidRDefault="00314CFE" w:rsidP="000175E2">
      <w:r w:rsidRPr="00314CFE">
        <w:t>Persons with limited eligibility (those not awarded a medical card or GP visit card) are eligible for in-patient and outpatient public hospital services including consultant services, subject to certain charges.</w:t>
      </w:r>
    </w:p>
    <w:p w14:paraId="3122D6B8" w14:textId="77777777" w:rsidR="00DE1AF1" w:rsidRDefault="00DE1AF1" w:rsidP="00D1611A">
      <w:pPr>
        <w:pStyle w:val="Heading3"/>
      </w:pPr>
      <w:r>
        <w:t>State agencies and regulators of services</w:t>
      </w:r>
    </w:p>
    <w:p w14:paraId="20940D03" w14:textId="77777777" w:rsidR="00DE1AF1" w:rsidRPr="00DE1AF1" w:rsidRDefault="00DE1AF1" w:rsidP="00221F59">
      <w:pPr>
        <w:pStyle w:val="Heading4"/>
      </w:pPr>
      <w:r>
        <w:t>Health Service Executive</w:t>
      </w:r>
    </w:p>
    <w:p w14:paraId="1598B4C7" w14:textId="2BA14BA2" w:rsidR="0094476F" w:rsidRPr="0094476F" w:rsidRDefault="00033E47" w:rsidP="0094476F">
      <w:r w:rsidRPr="00033E47">
        <w:t xml:space="preserve">Statutory responsibility for the provision of health services is vested in the Health Service Executive under the Health Act 2004 which provides that the Health Service Executive has the responsibility to manage and deliver, or arrange to be delivered on its behalf, health and personal social services. </w:t>
      </w:r>
      <w:r w:rsidR="003918E1" w:rsidRPr="003918E1">
        <w:t xml:space="preserve">The HSE funds public hospitals and certain social care services directly under its authority, and is also the channel for state funding to voluntary organisations </w:t>
      </w:r>
      <w:r w:rsidR="003918E1" w:rsidRPr="003918E1">
        <w:lastRenderedPageBreak/>
        <w:t xml:space="preserve">and other organisations that provide health and personal social care services. These are defined under Sections 38 and 39 of the </w:t>
      </w:r>
      <w:r w:rsidR="003918E1">
        <w:t xml:space="preserve">Health </w:t>
      </w:r>
      <w:r w:rsidR="003918E1" w:rsidRPr="003918E1">
        <w:t>Act</w:t>
      </w:r>
      <w:r w:rsidR="003918E1">
        <w:t xml:space="preserve"> 2004. </w:t>
      </w:r>
      <w:r w:rsidR="0094476F">
        <w:t xml:space="preserve">Section 38 and 39 </w:t>
      </w:r>
      <w:r w:rsidR="0094476F" w:rsidRPr="0094476F">
        <w:t>organisations</w:t>
      </w:r>
      <w:r w:rsidR="0094476F">
        <w:t>,</w:t>
      </w:r>
      <w:r w:rsidR="0094476F" w:rsidRPr="0094476F">
        <w:t xml:space="preserve"> which are wholly or largely funded by the State</w:t>
      </w:r>
      <w:r w:rsidR="0094476F">
        <w:t>,</w:t>
      </w:r>
      <w:r w:rsidR="0094476F" w:rsidRPr="0094476F">
        <w:t xml:space="preserve"> are </w:t>
      </w:r>
      <w:r w:rsidR="0094476F">
        <w:t>generally</w:t>
      </w:r>
      <w:r w:rsidR="0094476F" w:rsidRPr="0094476F">
        <w:t xml:space="preserve"> autonomous in terms of governance arrangements.</w:t>
      </w:r>
    </w:p>
    <w:p w14:paraId="6AC40075" w14:textId="6883FEA9" w:rsidR="003918E1" w:rsidRDefault="003918E1" w:rsidP="00B14618">
      <w:r>
        <w:t xml:space="preserve">In 2019, an </w:t>
      </w:r>
      <w:r w:rsidRPr="003918E1">
        <w:t xml:space="preserve">Independent Review Group </w:t>
      </w:r>
      <w:r>
        <w:t>published a report which examined</w:t>
      </w:r>
      <w:r w:rsidRPr="003918E1">
        <w:t xml:space="preserve"> the role of voluntary organisations in public health and pe</w:t>
      </w:r>
      <w:r>
        <w:t>rsonal social care settings and made recommendations on the future evolution of their role.</w:t>
      </w:r>
      <w:r w:rsidR="008823F9">
        <w:t xml:space="preserve"> The recommendations addressed issues </w:t>
      </w:r>
      <w:r w:rsidR="00412C00">
        <w:t xml:space="preserve">such as </w:t>
      </w:r>
      <w:r w:rsidR="008823F9">
        <w:t xml:space="preserve">ownership and control of state funded assets, governance arrangements, the mapping of service provision by voluntary </w:t>
      </w:r>
      <w:r w:rsidR="00412C00">
        <w:t xml:space="preserve">providers, </w:t>
      </w:r>
      <w:r w:rsidR="00CB3C4A">
        <w:t xml:space="preserve">and </w:t>
      </w:r>
      <w:r w:rsidR="00412C00">
        <w:t>the development of a list of essential services which the state would fund.</w:t>
      </w:r>
      <w:r>
        <w:rPr>
          <w:rStyle w:val="FootnoteReference"/>
        </w:rPr>
        <w:footnoteReference w:id="19"/>
      </w:r>
    </w:p>
    <w:p w14:paraId="7C527692" w14:textId="77777777" w:rsidR="00033E47" w:rsidRDefault="00033E47" w:rsidP="00221F59">
      <w:pPr>
        <w:pStyle w:val="Heading4"/>
      </w:pPr>
      <w:r>
        <w:t>Health Information and Quality Authority (HIQA)</w:t>
      </w:r>
    </w:p>
    <w:p w14:paraId="029BB8BA" w14:textId="72A7CD91" w:rsidR="00033E47" w:rsidRDefault="00033E47" w:rsidP="00B14618">
      <w:r w:rsidRPr="00033E47">
        <w:t>The Health Information and Quality Authority (HIQA) is the independent Authority established to drive continuous improvement in Ireland’s health and personal social care services, monitor the safety and quality of these services and promote person-centred care for the benefit of the public. The Authority’s mandate extends across the quality and safety of the public, private (within its social care function) and voluntary sectors. Reporting to the Minister for Health and the Minister for Children</w:t>
      </w:r>
      <w:r w:rsidR="00CB3C4A">
        <w:t>, Equality, Disability, Integration</w:t>
      </w:r>
      <w:r w:rsidRPr="00033E47">
        <w:t xml:space="preserve"> and Youth, the Health Information and Quality Authority has s</w:t>
      </w:r>
      <w:r>
        <w:t xml:space="preserve">tatutory responsibility for: </w:t>
      </w:r>
    </w:p>
    <w:p w14:paraId="2B0A6A73" w14:textId="77777777" w:rsidR="00033E47" w:rsidRDefault="00033E47" w:rsidP="00033E47">
      <w:pPr>
        <w:pStyle w:val="ListBullet"/>
      </w:pPr>
      <w:r w:rsidRPr="00033E47">
        <w:t xml:space="preserve">Setting Standards for </w:t>
      </w:r>
      <w:r>
        <w:t xml:space="preserve">Health and Social Services; </w:t>
      </w:r>
    </w:p>
    <w:p w14:paraId="49A27E11" w14:textId="77777777" w:rsidR="00033E47" w:rsidRDefault="00033E47" w:rsidP="00033E47">
      <w:pPr>
        <w:pStyle w:val="ListBullet"/>
      </w:pPr>
      <w:r w:rsidRPr="00033E47">
        <w:t>Registering and inspecting residential centres for older people and residen</w:t>
      </w:r>
      <w:r>
        <w:t xml:space="preserve">tial disability centres; </w:t>
      </w:r>
    </w:p>
    <w:p w14:paraId="79CB3D2C" w14:textId="77777777" w:rsidR="00033E47" w:rsidRDefault="00033E47" w:rsidP="00033E47">
      <w:pPr>
        <w:pStyle w:val="ListBullet"/>
      </w:pPr>
      <w:r w:rsidRPr="00033E47">
        <w:t>Monitoring the quality and safety of health and persona</w:t>
      </w:r>
      <w:r>
        <w:t xml:space="preserve">l social care services; and </w:t>
      </w:r>
    </w:p>
    <w:p w14:paraId="04F6A983" w14:textId="77777777" w:rsidR="00033E47" w:rsidRDefault="00033E47" w:rsidP="00033E47">
      <w:pPr>
        <w:pStyle w:val="ListBullet"/>
      </w:pPr>
      <w:r w:rsidRPr="00033E47">
        <w:lastRenderedPageBreak/>
        <w:t>Investigating as necessary serious concerns about the health and welfare of peop</w:t>
      </w:r>
      <w:r>
        <w:t xml:space="preserve">le who use these services. </w:t>
      </w:r>
    </w:p>
    <w:p w14:paraId="05D1C90E" w14:textId="77777777" w:rsidR="00033E47" w:rsidRDefault="00033E47" w:rsidP="00221F59">
      <w:pPr>
        <w:pStyle w:val="Heading4"/>
      </w:pPr>
      <w:r>
        <w:t xml:space="preserve">Mental Health Commission &amp; </w:t>
      </w:r>
      <w:r w:rsidRPr="00033E47">
        <w:t>Inspectorate of Mental Health Services</w:t>
      </w:r>
    </w:p>
    <w:p w14:paraId="5C1AD5FB" w14:textId="77777777" w:rsidR="00033E47" w:rsidRDefault="00033E47" w:rsidP="00033E47">
      <w:r w:rsidRPr="00033E47">
        <w:t>The functions of the Mental Health Commission are to promote, encourage, and foster the maintenance of high standards and good practices in the delivery of mental health services and to take all reasonable steps to protect the inter</w:t>
      </w:r>
      <w:r>
        <w:t xml:space="preserve">ests of detained patients. </w:t>
      </w:r>
    </w:p>
    <w:p w14:paraId="0C8FEB5C" w14:textId="77777777" w:rsidR="00033E47" w:rsidRDefault="00033E47" w:rsidP="00033E47">
      <w:r w:rsidRPr="00033E47">
        <w:t>The Inspectorate of Mental Health Services is required by law to visit and inspect every approved centre annually and, as the Inspectorate thinks appropriate, to visit and inspect any other premises where mental health services are being provided. As part of the inspection process, the functions of the Inspectorate include ascertaining the degree of compliance by approved centres with any applicable Code of Practice or statutory regulations.</w:t>
      </w:r>
    </w:p>
    <w:p w14:paraId="0844CE7D" w14:textId="77777777" w:rsidR="00D1611A" w:rsidRDefault="00D1611A" w:rsidP="00D1611A">
      <w:pPr>
        <w:pStyle w:val="Heading2"/>
      </w:pPr>
      <w:bookmarkStart w:id="12" w:name="_Toc90030695"/>
      <w:r>
        <w:t>Private healthcare system</w:t>
      </w:r>
      <w:bookmarkEnd w:id="12"/>
    </w:p>
    <w:p w14:paraId="52B24F60" w14:textId="0246607D" w:rsidR="001C54DE" w:rsidRDefault="001C54DE" w:rsidP="000175E2">
      <w:r w:rsidRPr="001C54DE">
        <w:t>Alongside the public healthcare system, Ireland has a voluntary private health insurance market. The supplementary element of private health insurance in Ireland provides cover for hospital services, while the complementary element provides partial reimbursement of fees for day-to-day medical expenses including, inter alia, visits to GPs, physiotherapists, opticians, dentists and alternative practitioners,</w:t>
      </w:r>
      <w:r>
        <w:t xml:space="preserve"> </w:t>
      </w:r>
      <w:r w:rsidRPr="001C54DE">
        <w:t>as well as A&amp;E charges. The average premium paid per insur</w:t>
      </w:r>
      <w:r w:rsidR="008C303B">
        <w:t xml:space="preserve">ed person in </w:t>
      </w:r>
      <w:r w:rsidR="002146CE">
        <w:t xml:space="preserve">2020 </w:t>
      </w:r>
      <w:r w:rsidR="008C303B">
        <w:t xml:space="preserve">was </w:t>
      </w:r>
      <w:r w:rsidR="002146CE" w:rsidRPr="002146CE">
        <w:t>€1,142</w:t>
      </w:r>
      <w:r>
        <w:t>.</w:t>
      </w:r>
      <w:r w:rsidR="00423D58">
        <w:rPr>
          <w:rStyle w:val="FootnoteReference"/>
        </w:rPr>
        <w:footnoteReference w:id="20"/>
      </w:r>
      <w:r w:rsidR="002146CE">
        <w:t xml:space="preserve"> </w:t>
      </w:r>
    </w:p>
    <w:p w14:paraId="1D9BF809" w14:textId="77777777" w:rsidR="00221F59" w:rsidRDefault="000175E2" w:rsidP="000175E2">
      <w:r w:rsidRPr="000175E2">
        <w:t>All private health insuranc</w:t>
      </w:r>
      <w:r>
        <w:t xml:space="preserve">e providers are registered with and regulated by </w:t>
      </w:r>
      <w:r w:rsidRPr="000175E2">
        <w:t>the Health Insurance Authority. </w:t>
      </w:r>
      <w:r w:rsidR="00221F59" w:rsidRPr="00221F59">
        <w:t>Based on CSO population estimates, the percentage of the population with inpatie</w:t>
      </w:r>
      <w:r w:rsidR="00221F59">
        <w:t>nt health insurance plans stood</w:t>
      </w:r>
      <w:r w:rsidR="001C54DE">
        <w:t xml:space="preserve"> at 46</w:t>
      </w:r>
      <w:r w:rsidR="00221F59" w:rsidRPr="00221F59">
        <w:t xml:space="preserve">% at </w:t>
      </w:r>
      <w:r w:rsidR="00B55CAF">
        <w:t xml:space="preserve">the </w:t>
      </w:r>
      <w:r w:rsidR="00221F59" w:rsidRPr="00221F59">
        <w:t>end</w:t>
      </w:r>
      <w:r w:rsidR="00B55CAF">
        <w:t xml:space="preserve"> of</w:t>
      </w:r>
      <w:r w:rsidR="00221F59" w:rsidRPr="00221F59">
        <w:t xml:space="preserve"> December 2019</w:t>
      </w:r>
      <w:r w:rsidR="00221F59">
        <w:t>.</w:t>
      </w:r>
      <w:r w:rsidR="00221F59">
        <w:rPr>
          <w:rStyle w:val="FootnoteReference"/>
        </w:rPr>
        <w:footnoteReference w:id="21"/>
      </w:r>
      <w:r w:rsidR="001C54DE">
        <w:t xml:space="preserve"> </w:t>
      </w:r>
      <w:r w:rsidR="001C54DE" w:rsidRPr="001C54DE">
        <w:t>A</w:t>
      </w:r>
      <w:r w:rsidR="005C4607">
        <w:t xml:space="preserve">ccording to </w:t>
      </w:r>
      <w:r w:rsidR="005C4607">
        <w:lastRenderedPageBreak/>
        <w:t>the Health Insurance Authority, a</w:t>
      </w:r>
      <w:r w:rsidR="001C54DE" w:rsidRPr="001C54DE">
        <w:t>mong the key drivers of demand for private health insurance in Ireland are the perceived high costs of medical treatment and a lack of confidence in the standard of, and access to, public health services</w:t>
      </w:r>
      <w:r w:rsidR="001C54DE">
        <w:t>.</w:t>
      </w:r>
      <w:r w:rsidR="001C54DE">
        <w:rPr>
          <w:rStyle w:val="FootnoteReference"/>
        </w:rPr>
        <w:footnoteReference w:id="22"/>
      </w:r>
    </w:p>
    <w:p w14:paraId="038722CD" w14:textId="77777777" w:rsidR="001C54DE" w:rsidRPr="000175E2" w:rsidRDefault="001C54DE" w:rsidP="000175E2">
      <w:r w:rsidRPr="001C54DE">
        <w:t>The</w:t>
      </w:r>
      <w:r w:rsidR="005C4607">
        <w:t xml:space="preserve"> NDA is aware that the</w:t>
      </w:r>
      <w:r w:rsidRPr="001C54DE">
        <w:t xml:space="preserve"> Irish health system has been criticised for being a two-tier system, whereby private patients receive preferential treatment. One of the key issues that leads to such criticism is the degree of overlap between the public and private funding and delivery of healthcare in Ireland.</w:t>
      </w:r>
      <w:r w:rsidR="00423D58">
        <w:rPr>
          <w:rStyle w:val="FootnoteReference"/>
        </w:rPr>
        <w:footnoteReference w:id="23"/>
      </w:r>
    </w:p>
    <w:p w14:paraId="724EC86B" w14:textId="3AFE9358" w:rsidR="00D1611A" w:rsidRDefault="005B649F" w:rsidP="00D1611A">
      <w:r>
        <w:t xml:space="preserve">The total number of people with disabilities with private health insurance is not clear. </w:t>
      </w:r>
      <w:r w:rsidR="00D1611A" w:rsidRPr="00D1611A">
        <w:t>According to the IDS-TILDA</w:t>
      </w:r>
      <w:r w:rsidR="00B55CAF">
        <w:t xml:space="preserve"> Wave 3</w:t>
      </w:r>
      <w:r w:rsidR="00D1611A" w:rsidRPr="00D1611A">
        <w:t xml:space="preserve"> report, private health insurance was low for people with an intellectual disab</w:t>
      </w:r>
      <w:r w:rsidR="00D138A2">
        <w:t>ility at 0.5% compared with 35</w:t>
      </w:r>
      <w:r w:rsidR="00D1611A" w:rsidRPr="00D1611A">
        <w:t>% reported for the TILDA population.</w:t>
      </w:r>
      <w:r w:rsidR="005A7D6E">
        <w:rPr>
          <w:rStyle w:val="FootnoteReference"/>
        </w:rPr>
        <w:footnoteReference w:id="24"/>
      </w:r>
      <w:r w:rsidR="00D1611A" w:rsidRPr="00D1611A">
        <w:t xml:space="preserve"> </w:t>
      </w:r>
      <w:r w:rsidR="00D138A2">
        <w:t>However</w:t>
      </w:r>
      <w:r w:rsidR="00D1611A" w:rsidRPr="00D1611A">
        <w:t xml:space="preserve">, almost all older people with </w:t>
      </w:r>
      <w:r w:rsidR="00D138A2">
        <w:t>an intellectual disability</w:t>
      </w:r>
      <w:r w:rsidR="00D1611A" w:rsidRPr="00D1611A">
        <w:t xml:space="preserve"> had access to a medical or GP card (95.3%), compared with 38% of the general older population.</w:t>
      </w:r>
    </w:p>
    <w:p w14:paraId="2FA1337D" w14:textId="77777777" w:rsidR="00744055" w:rsidRPr="007F2320" w:rsidRDefault="00744055" w:rsidP="00744055">
      <w:r w:rsidRPr="007F2320">
        <w:t xml:space="preserve">The Health Insurance Acts (1994 – 2015) provide a legislative basis for the four principles of private health insurance in Ireland. These principles are: </w:t>
      </w:r>
    </w:p>
    <w:p w14:paraId="36DD1ABF" w14:textId="45A80A9B" w:rsidR="00744055" w:rsidRPr="007F2320" w:rsidRDefault="00744055" w:rsidP="00B147D0">
      <w:pPr>
        <w:pStyle w:val="ListBullet"/>
      </w:pPr>
      <w:r w:rsidRPr="007F2320">
        <w:t>lifetime community rating</w:t>
      </w:r>
    </w:p>
    <w:p w14:paraId="5B57DCEA" w14:textId="0D123BEA" w:rsidR="00744055" w:rsidRPr="007F2320" w:rsidRDefault="00744055" w:rsidP="00B147D0">
      <w:pPr>
        <w:pStyle w:val="ListBullet"/>
      </w:pPr>
      <w:r w:rsidRPr="007F2320">
        <w:t>open enrolment</w:t>
      </w:r>
    </w:p>
    <w:p w14:paraId="54C2DA71" w14:textId="50DF55FA" w:rsidR="00744055" w:rsidRPr="007F2320" w:rsidRDefault="00744055" w:rsidP="00B147D0">
      <w:pPr>
        <w:pStyle w:val="ListBullet"/>
      </w:pPr>
      <w:r w:rsidRPr="007F2320">
        <w:t>lifetime cover</w:t>
      </w:r>
    </w:p>
    <w:p w14:paraId="524178B6" w14:textId="706C1030" w:rsidR="00744055" w:rsidRPr="007F2320" w:rsidRDefault="007F2320" w:rsidP="007F2320">
      <w:pPr>
        <w:pStyle w:val="ListBullet"/>
      </w:pPr>
      <w:r w:rsidRPr="007F2320">
        <w:t>minimum benefit</w:t>
      </w:r>
    </w:p>
    <w:p w14:paraId="3ED29DD7" w14:textId="5C47926B" w:rsidR="00744055" w:rsidRPr="007F2320" w:rsidRDefault="0076260A" w:rsidP="00B147D0">
      <w:pPr>
        <w:pStyle w:val="ListBullet"/>
        <w:numPr>
          <w:ilvl w:val="0"/>
          <w:numId w:val="0"/>
        </w:numPr>
      </w:pPr>
      <w:r w:rsidRPr="007F2320">
        <w:lastRenderedPageBreak/>
        <w:t xml:space="preserve">The legislative framework </w:t>
      </w:r>
      <w:r w:rsidR="00260FC5" w:rsidRPr="007F2320">
        <w:t>is designed</w:t>
      </w:r>
      <w:r w:rsidRPr="007F2320">
        <w:t xml:space="preserve"> to ensure that people pay the same premium for the same cover regardless of age, gender or health status. </w:t>
      </w:r>
    </w:p>
    <w:p w14:paraId="6D5D571B" w14:textId="50E934C8" w:rsidR="0076260A" w:rsidRDefault="0076260A" w:rsidP="00B147D0">
      <w:pPr>
        <w:pStyle w:val="ListBullet"/>
        <w:numPr>
          <w:ilvl w:val="0"/>
          <w:numId w:val="0"/>
        </w:numPr>
      </w:pPr>
      <w:r w:rsidRPr="007F2320">
        <w:t>Part 4 of the Disability Act, 2005 provides protections in relati</w:t>
      </w:r>
      <w:r w:rsidR="00260FC5" w:rsidRPr="007F2320">
        <w:t>on</w:t>
      </w:r>
      <w:r w:rsidRPr="007F2320">
        <w:t xml:space="preserve"> to the </w:t>
      </w:r>
      <w:r w:rsidR="00260FC5" w:rsidRPr="007F2320">
        <w:t xml:space="preserve">health </w:t>
      </w:r>
      <w:r w:rsidRPr="007F2320">
        <w:t xml:space="preserve">insurance industry </w:t>
      </w:r>
      <w:r w:rsidR="00260FC5" w:rsidRPr="007F2320">
        <w:t xml:space="preserve">(and other sectors) </w:t>
      </w:r>
      <w:r w:rsidRPr="007F2320">
        <w:t xml:space="preserve">using genetic </w:t>
      </w:r>
      <w:r w:rsidR="00260FC5" w:rsidRPr="007F2320">
        <w:t xml:space="preserve">test results to inform decisions around </w:t>
      </w:r>
      <w:r w:rsidR="009A4571" w:rsidRPr="007F2320">
        <w:t>an individual’s cover or premium.</w:t>
      </w:r>
    </w:p>
    <w:p w14:paraId="4E722BCC" w14:textId="2A86312F" w:rsidR="001D6514" w:rsidRDefault="001D6514" w:rsidP="00D1611A">
      <w:r>
        <w:t>The European Commission has noted that t</w:t>
      </w:r>
      <w:r w:rsidRPr="001D6514">
        <w:t>he</w:t>
      </w:r>
      <w:r>
        <w:t xml:space="preserve"> Irish healthcare</w:t>
      </w:r>
      <w:r w:rsidRPr="001D6514">
        <w:t xml:space="preserve"> system is commonly referred to as ‘two-tiered’ because people with </w:t>
      </w:r>
      <w:r w:rsidR="00081A34">
        <w:t>private</w:t>
      </w:r>
      <w:r w:rsidRPr="001D6514">
        <w:t xml:space="preserve"> health insurance (or who are otherwise able to pay) obtain faster access to diagnostics and hospital treatments, even from public providers</w:t>
      </w:r>
      <w:r>
        <w:t>.</w:t>
      </w:r>
      <w:r>
        <w:rPr>
          <w:rStyle w:val="FootnoteReference"/>
        </w:rPr>
        <w:footnoteReference w:id="25"/>
      </w:r>
      <w:r w:rsidR="007A10B6">
        <w:t>At the end of July 2021 there</w:t>
      </w:r>
      <w:r w:rsidR="00CB3C4A">
        <w:t xml:space="preserve"> were</w:t>
      </w:r>
      <w:r w:rsidR="007A10B6">
        <w:t xml:space="preserve"> 567, 584 people on hospital ou</w:t>
      </w:r>
      <w:r w:rsidR="00911FF3">
        <w:t>t</w:t>
      </w:r>
      <w:r w:rsidR="007A10B6">
        <w:t>patient waiting lists</w:t>
      </w:r>
      <w:r w:rsidR="007A10B6">
        <w:rPr>
          <w:rStyle w:val="FootnoteReference"/>
        </w:rPr>
        <w:footnoteReference w:id="26"/>
      </w:r>
      <w:r w:rsidR="007A10B6">
        <w:t xml:space="preserve"> and 69, 597 on hospital inpatient / Day case waiting lists</w:t>
      </w:r>
      <w:r w:rsidR="007A10B6">
        <w:rPr>
          <w:rStyle w:val="FootnoteReference"/>
        </w:rPr>
        <w:footnoteReference w:id="27"/>
      </w:r>
      <w:r w:rsidR="007A10B6">
        <w:t xml:space="preserve">. </w:t>
      </w:r>
      <w:r w:rsidR="00911FF3">
        <w:t xml:space="preserve">Though it should be noted that Covid-19 related disruption to the health services has inflated these figures. </w:t>
      </w:r>
    </w:p>
    <w:p w14:paraId="41E6DEB0" w14:textId="77777777" w:rsidR="00D1611A" w:rsidRDefault="00D1611A" w:rsidP="00231DB2">
      <w:pPr>
        <w:pStyle w:val="Heading1"/>
      </w:pPr>
      <w:bookmarkStart w:id="13" w:name="_Toc90030696"/>
      <w:r>
        <w:t>Policy landscape</w:t>
      </w:r>
      <w:bookmarkEnd w:id="13"/>
    </w:p>
    <w:p w14:paraId="50F9E9AB" w14:textId="77777777" w:rsidR="00DE1AF1" w:rsidRDefault="00DE1AF1" w:rsidP="00D1611A">
      <w:pPr>
        <w:pStyle w:val="Heading2"/>
      </w:pPr>
      <w:bookmarkStart w:id="14" w:name="_Toc90030697"/>
      <w:r>
        <w:t>Sláintecare</w:t>
      </w:r>
      <w:bookmarkEnd w:id="14"/>
    </w:p>
    <w:p w14:paraId="1E8615E5" w14:textId="77777777" w:rsidR="00DE1AF1" w:rsidRDefault="00DE1AF1" w:rsidP="00033E47">
      <w:r w:rsidRPr="00CF331E">
        <w:t>The Oireachtas Committee on the Future of Healthcare was established to devise cross-party agreement on a single, long-term vision for health and social care and the direction of health policy in Ireland. The committee produced the </w:t>
      </w:r>
      <w:r w:rsidRPr="00DE1AF1">
        <w:rPr>
          <w:b/>
        </w:rPr>
        <w:t>Sláintecare Report</w:t>
      </w:r>
      <w:r w:rsidRPr="00DE1AF1">
        <w:t>,</w:t>
      </w:r>
      <w:r w:rsidRPr="00CF331E">
        <w:t> which was adopted by the government and published in May 2017.</w:t>
      </w:r>
      <w:r w:rsidR="00EF7A24">
        <w:rPr>
          <w:rStyle w:val="FootnoteReference"/>
        </w:rPr>
        <w:footnoteReference w:id="28"/>
      </w:r>
      <w:r>
        <w:t xml:space="preserve"> </w:t>
      </w:r>
      <w:r w:rsidRPr="00CF331E">
        <w:t xml:space="preserve">The Sláintecare vision is to achieve </w:t>
      </w:r>
      <w:r w:rsidRPr="00CF331E">
        <w:lastRenderedPageBreak/>
        <w:t>a universal single-tier health and social care system where everyone has equal access to services based on need, and not ability to pay.</w:t>
      </w:r>
      <w:r w:rsidR="007146EA">
        <w:t xml:space="preserve"> According to the report, h</w:t>
      </w:r>
      <w:r w:rsidR="000175E2" w:rsidRPr="000175E2">
        <w:t xml:space="preserve">ealth care delivery should take place in primary care and social settings meeting patients’ care needs in an integrated way across sectors. </w:t>
      </w:r>
      <w:r w:rsidR="00D95D4C">
        <w:t xml:space="preserve">The </w:t>
      </w:r>
      <w:r w:rsidR="000175E2" w:rsidRPr="000175E2">
        <w:t>report identifies measures structured around the domains of population health, entitlement and access, care integration, funding and governance</w:t>
      </w:r>
      <w:r w:rsidR="00BE23C6">
        <w:t>.</w:t>
      </w:r>
    </w:p>
    <w:p w14:paraId="1902C4B1" w14:textId="04B405EF" w:rsidR="00BE23C6" w:rsidRDefault="00BE23C6" w:rsidP="00033E47">
      <w:r>
        <w:t>The implementation costs</w:t>
      </w:r>
      <w:r w:rsidR="003401BB">
        <w:t xml:space="preserve"> are estimated to amount to €</w:t>
      </w:r>
      <w:r>
        <w:t>5.8 billion over a ten-year period as a result of service expansion and required investment in infrastructure and eHealth.</w:t>
      </w:r>
    </w:p>
    <w:p w14:paraId="09544977" w14:textId="4FDFEE84" w:rsidR="007A683C" w:rsidRDefault="007A683C" w:rsidP="00033E47">
      <w:r>
        <w:t xml:space="preserve">The Sláintecare Action Plan committed to conducting a Disability Capacity Review. The Disability Capacity Review was published by the Department of Health in 2021 (discussed further below) and identifies the need for increased investment </w:t>
      </w:r>
      <w:r w:rsidR="00923BD3">
        <w:t xml:space="preserve">in disability services </w:t>
      </w:r>
      <w:r>
        <w:t xml:space="preserve">of between 550 and 1000 million up to </w:t>
      </w:r>
      <w:r w:rsidR="00B147D0">
        <w:t>2032</w:t>
      </w:r>
      <w:r>
        <w:t xml:space="preserve">. </w:t>
      </w:r>
    </w:p>
    <w:p w14:paraId="1A406D41" w14:textId="77777777" w:rsidR="00D1611A" w:rsidRDefault="00D1611A" w:rsidP="00D1611A">
      <w:pPr>
        <w:pStyle w:val="Heading2"/>
      </w:pPr>
      <w:bookmarkStart w:id="15" w:name="_Toc90030698"/>
      <w:r>
        <w:t>Healthy Ireland</w:t>
      </w:r>
      <w:bookmarkEnd w:id="15"/>
    </w:p>
    <w:p w14:paraId="34AC1DDF" w14:textId="77777777" w:rsidR="00D1611A" w:rsidRDefault="00D1611A" w:rsidP="00033E47">
      <w:r w:rsidRPr="00FA0AF9">
        <w:rPr>
          <w:b/>
        </w:rPr>
        <w:t>Healthy Ireland – A Framework for Improved Health and Wellbeing 2013– 2025</w:t>
      </w:r>
      <w:r w:rsidRPr="00FA0AF9">
        <w:t xml:space="preserve"> </w:t>
      </w:r>
      <w:r>
        <w:t xml:space="preserve">is </w:t>
      </w:r>
      <w:r w:rsidRPr="00FA0AF9">
        <w:t>the national framework for action to improve the health and wellbeing of the people of Ireland.</w:t>
      </w:r>
      <w:r w:rsidR="00EF7A24">
        <w:rPr>
          <w:rStyle w:val="FootnoteReference"/>
        </w:rPr>
        <w:footnoteReference w:id="29"/>
      </w:r>
      <w:r>
        <w:t xml:space="preserve"> </w:t>
      </w:r>
      <w:r w:rsidRPr="00FA0AF9">
        <w:t>Healthy Ireland takes a whole-of-government and whole-of-society approach to improving health and wellbeing and the quality of people’s lives. It focuses on prevention, reducing inequalities and keeping people healthier for longer.</w:t>
      </w:r>
    </w:p>
    <w:p w14:paraId="4A02C3E3" w14:textId="77777777" w:rsidR="00513D62" w:rsidRDefault="00513D62" w:rsidP="00513D62">
      <w:pPr>
        <w:pStyle w:val="Heading2"/>
      </w:pPr>
      <w:bookmarkStart w:id="16" w:name="_Toc90030699"/>
      <w:r>
        <w:t>Drugs and Alcohol</w:t>
      </w:r>
      <w:bookmarkEnd w:id="16"/>
    </w:p>
    <w:p w14:paraId="6721A711" w14:textId="77777777" w:rsidR="00513D62" w:rsidRDefault="00513D62" w:rsidP="00513D62">
      <w:r w:rsidRPr="006B4AF4">
        <w:rPr>
          <w:b/>
        </w:rPr>
        <w:t>Reducing Harm, Supporting Recovery</w:t>
      </w:r>
      <w:r w:rsidRPr="006B4AF4">
        <w:t xml:space="preserve"> lays out the direction of government policy on drug and </w:t>
      </w:r>
      <w:r w:rsidR="005B649F">
        <w:t>alcohol use until 2025.</w:t>
      </w:r>
      <w:r w:rsidR="00EF7A24">
        <w:rPr>
          <w:rStyle w:val="FootnoteReference"/>
        </w:rPr>
        <w:footnoteReference w:id="30"/>
      </w:r>
      <w:r w:rsidR="005B649F">
        <w:t xml:space="preserve"> The </w:t>
      </w:r>
      <w:r w:rsidRPr="006B4AF4">
        <w:t>strategy aims to provide an integrated public health approach to drug and alcohol use, focused on promoting healthier lifestyles within society.</w:t>
      </w:r>
      <w:r>
        <w:t xml:space="preserve"> </w:t>
      </w:r>
      <w:r w:rsidRPr="006B4AF4">
        <w:t xml:space="preserve">The strategy contains </w:t>
      </w:r>
      <w:r>
        <w:t>a</w:t>
      </w:r>
      <w:r w:rsidRPr="006B4AF4">
        <w:t xml:space="preserve"> 50 point Action Plan from 2017 to 2020, and provides the scope to </w:t>
      </w:r>
      <w:r w:rsidRPr="006B4AF4">
        <w:lastRenderedPageBreak/>
        <w:t>develop further actions between 2021 and 2025 to ensure the continued relevance of the strategy to emerging needs into the future.</w:t>
      </w:r>
    </w:p>
    <w:p w14:paraId="11131B95" w14:textId="77777777" w:rsidR="00513D62" w:rsidRDefault="00513D62" w:rsidP="00033E47">
      <w:r>
        <w:t xml:space="preserve">The Strategy recognises the link between substance misuse and mental health issues, and also identifies a link between substance misuse and early school leaving, and </w:t>
      </w:r>
      <w:r w:rsidR="005B649F">
        <w:t xml:space="preserve">states </w:t>
      </w:r>
      <w:r>
        <w:t>that</w:t>
      </w:r>
      <w:r w:rsidR="005B649F">
        <w:t xml:space="preserve"> persons with learning disabilities are </w:t>
      </w:r>
      <w:r>
        <w:t>a</w:t>
      </w:r>
      <w:r w:rsidR="005B649F">
        <w:t xml:space="preserve">t risk </w:t>
      </w:r>
      <w:r>
        <w:t>in this regard.</w:t>
      </w:r>
      <w:r w:rsidRPr="006B4AF4">
        <w:rPr>
          <w:rFonts w:ascii="Arial" w:hAnsi="Arial" w:cs="Arial"/>
          <w:sz w:val="23"/>
          <w:szCs w:val="23"/>
          <w:lang w:eastAsia="en-IE"/>
        </w:rPr>
        <w:t xml:space="preserve"> </w:t>
      </w:r>
      <w:r>
        <w:t xml:space="preserve">One of the actions </w:t>
      </w:r>
      <w:r w:rsidR="005B649F">
        <w:t xml:space="preserve">detailed in the strategy </w:t>
      </w:r>
      <w:r>
        <w:t>relates to improving a</w:t>
      </w:r>
      <w:r w:rsidRPr="006B4AF4">
        <w:t>c</w:t>
      </w:r>
      <w:r>
        <w:t>c</w:t>
      </w:r>
      <w:r w:rsidRPr="006B4AF4">
        <w:t>ess to services for people who have a co-occur</w:t>
      </w:r>
      <w:r w:rsidR="00EC455E">
        <w:t>r</w:t>
      </w:r>
      <w:r w:rsidRPr="006B4AF4">
        <w:t xml:space="preserve">ing mental health and substance </w:t>
      </w:r>
      <w:r>
        <w:t>use problem</w:t>
      </w:r>
      <w:r w:rsidRPr="006B4AF4">
        <w:t>.</w:t>
      </w:r>
    </w:p>
    <w:p w14:paraId="2515E5E4" w14:textId="77777777" w:rsidR="002F76A1" w:rsidRDefault="00FF25B3" w:rsidP="002F76A1">
      <w:pPr>
        <w:pStyle w:val="Heading2"/>
      </w:pPr>
      <w:bookmarkStart w:id="17" w:name="_Toc90030700"/>
      <w:r>
        <w:t>National Trauma Policy</w:t>
      </w:r>
      <w:bookmarkEnd w:id="17"/>
    </w:p>
    <w:p w14:paraId="54212F99" w14:textId="77777777" w:rsidR="002F76A1" w:rsidRDefault="002F76A1" w:rsidP="002F76A1">
      <w:r>
        <w:t xml:space="preserve">In 2018, the Trauma Steering Group published a trauma policy for Ireland. </w:t>
      </w:r>
      <w:r w:rsidRPr="002F76A1">
        <w:t>The report recommends the establishment of an </w:t>
      </w:r>
      <w:r w:rsidRPr="002F76A1">
        <w:rPr>
          <w:iCs/>
        </w:rPr>
        <w:t>inclusive trauma system</w:t>
      </w:r>
      <w:r w:rsidRPr="002F76A1">
        <w:t>, where a network of facilities and services co-ordinate in the care of injured patients along standardised pathways.</w:t>
      </w:r>
      <w:r w:rsidR="00EF7A24">
        <w:rPr>
          <w:rStyle w:val="FootnoteReference"/>
        </w:rPr>
        <w:footnoteReference w:id="31"/>
      </w:r>
      <w:r w:rsidRPr="002F76A1">
        <w:t> </w:t>
      </w:r>
      <w:r>
        <w:t>T</w:t>
      </w:r>
      <w:r w:rsidRPr="002F76A1">
        <w:t xml:space="preserve">he primary aim of the development of a </w:t>
      </w:r>
      <w:r w:rsidRPr="00FF25B3">
        <w:rPr>
          <w:b/>
        </w:rPr>
        <w:t>Trauma System for Ireland</w:t>
      </w:r>
      <w:r w:rsidRPr="002F76A1">
        <w:t xml:space="preserve"> is to improve patient outcomes by </w:t>
      </w:r>
      <w:r w:rsidR="00423D58">
        <w:t>reducing</w:t>
      </w:r>
      <w:r w:rsidRPr="002F76A1">
        <w:t xml:space="preserve"> preventable death and disability from both intentional and unintentional injuries.</w:t>
      </w:r>
    </w:p>
    <w:p w14:paraId="182BDD45" w14:textId="77777777" w:rsidR="00FF25B3" w:rsidRDefault="00FF25B3" w:rsidP="00FF25B3">
      <w:pPr>
        <w:pStyle w:val="Heading2"/>
      </w:pPr>
      <w:bookmarkStart w:id="18" w:name="_Toc90030701"/>
      <w:r>
        <w:t>National Cancer Strategy 2017-2026</w:t>
      </w:r>
      <w:bookmarkEnd w:id="18"/>
    </w:p>
    <w:p w14:paraId="65D46DFD" w14:textId="77777777" w:rsidR="00FF25B3" w:rsidRDefault="00EB52F5" w:rsidP="002F76A1">
      <w:r>
        <w:t xml:space="preserve">The </w:t>
      </w:r>
      <w:r w:rsidRPr="00EF7A24">
        <w:rPr>
          <w:b/>
        </w:rPr>
        <w:t xml:space="preserve">National </w:t>
      </w:r>
      <w:r w:rsidR="00DF45A9" w:rsidRPr="00EF7A24">
        <w:rPr>
          <w:b/>
        </w:rPr>
        <w:t>Cancer Strategy</w:t>
      </w:r>
      <w:r w:rsidR="00DF45A9">
        <w:t xml:space="preserve"> recognises </w:t>
      </w:r>
      <w:r w:rsidRPr="00EB52F5">
        <w:t xml:space="preserve">that </w:t>
      </w:r>
      <w:r>
        <w:t xml:space="preserve">patients with cancer can experience </w:t>
      </w:r>
      <w:r w:rsidR="00DF45A9">
        <w:t>cancer-</w:t>
      </w:r>
      <w:r>
        <w:t>related distress</w:t>
      </w:r>
      <w:r w:rsidR="00CA7E26">
        <w:t xml:space="preserve"> and outlines a p</w:t>
      </w:r>
      <w:r w:rsidR="00CA7E26" w:rsidRPr="00CA7E26">
        <w:t>roposed model of hospital-community psycho-oncology and psycho-social care</w:t>
      </w:r>
      <w:r w:rsidR="00CA7E26">
        <w:t>.</w:t>
      </w:r>
      <w:r w:rsidR="00BA77C3">
        <w:rPr>
          <w:rStyle w:val="FootnoteReference"/>
        </w:rPr>
        <w:footnoteReference w:id="32"/>
      </w:r>
      <w:r w:rsidR="00CA7E26">
        <w:t xml:space="preserve"> Psycho-oncology commitments detailed in the Strategy include</w:t>
      </w:r>
      <w:r w:rsidR="00EF7A24">
        <w:t xml:space="preserve"> the</w:t>
      </w:r>
      <w:r w:rsidR="00CA7E26">
        <w:t xml:space="preserve"> appointment of </w:t>
      </w:r>
      <w:r w:rsidR="00CA7E26" w:rsidRPr="00CA7E26">
        <w:t xml:space="preserve">a National Clinical Lead for Psycho-oncology </w:t>
      </w:r>
      <w:r w:rsidR="00CA7E26">
        <w:t xml:space="preserve">in order </w:t>
      </w:r>
      <w:r w:rsidR="00CA7E26" w:rsidRPr="00CA7E26">
        <w:t xml:space="preserve">to drive the </w:t>
      </w:r>
      <w:r w:rsidR="00CA7E26">
        <w:t xml:space="preserve">delivery of networked services and establishment of a dedicated service within each designated cancer centre </w:t>
      </w:r>
      <w:r w:rsidR="00CA7E26" w:rsidRPr="00CA7E26">
        <w:t xml:space="preserve">to address the psychosocial needs of patients </w:t>
      </w:r>
      <w:r w:rsidR="00CA7E26">
        <w:t xml:space="preserve">with cancer and their families, which </w:t>
      </w:r>
      <w:r w:rsidR="00CA7E26" w:rsidRPr="00CA7E26">
        <w:t>will operate through a hub and spoke model.</w:t>
      </w:r>
      <w:r w:rsidR="00EF7A24">
        <w:rPr>
          <w:rStyle w:val="FootnoteReference"/>
        </w:rPr>
        <w:footnoteReference w:id="33"/>
      </w:r>
    </w:p>
    <w:p w14:paraId="218C7F85" w14:textId="77777777" w:rsidR="00DF45A9" w:rsidRDefault="00DF45A9" w:rsidP="00DF45A9">
      <w:pPr>
        <w:pStyle w:val="Heading2"/>
      </w:pPr>
      <w:bookmarkStart w:id="19" w:name="_Toc90030702"/>
      <w:r>
        <w:lastRenderedPageBreak/>
        <w:t>Patient Safety Strategy 2019-2024</w:t>
      </w:r>
      <w:bookmarkEnd w:id="19"/>
    </w:p>
    <w:p w14:paraId="2604C76B" w14:textId="43866B1D" w:rsidR="00DF45A9" w:rsidRDefault="005E73F2" w:rsidP="002F76A1">
      <w:r>
        <w:t>The HSE’s Patient Safety Strategy seeks to</w:t>
      </w:r>
      <w:r w:rsidRPr="005E73F2">
        <w:t xml:space="preserve"> improve the safety of all patients by identifying and reducing preventable harm within th</w:t>
      </w:r>
      <w:r>
        <w:t>e health and social care system.</w:t>
      </w:r>
      <w:r w:rsidR="00EF7A24">
        <w:rPr>
          <w:rStyle w:val="FootnoteReference"/>
        </w:rPr>
        <w:footnoteReference w:id="34"/>
      </w:r>
      <w:r>
        <w:t xml:space="preserve"> Commitment No.4 seeks to reduce common causes of patient harm and one of the patient safety improvement priorities in this regard is to improve patient safety for those with disabilities and mental health issues.</w:t>
      </w:r>
    </w:p>
    <w:p w14:paraId="16C80490" w14:textId="39D9561A" w:rsidR="00F50810" w:rsidRPr="008F2441" w:rsidRDefault="00F50810" w:rsidP="009C508D">
      <w:pPr>
        <w:pStyle w:val="CommentText"/>
        <w:rPr>
          <w:szCs w:val="26"/>
        </w:rPr>
      </w:pPr>
      <w:r w:rsidRPr="009C508D">
        <w:rPr>
          <w:rFonts w:ascii="Gill Sans MT" w:hAnsi="Gill Sans MT"/>
          <w:sz w:val="26"/>
          <w:szCs w:val="26"/>
          <w:lang w:val="en-IE"/>
        </w:rPr>
        <w:t>In 201</w:t>
      </w:r>
      <w:r w:rsidR="001E34D4">
        <w:rPr>
          <w:rFonts w:ascii="Gill Sans MT" w:hAnsi="Gill Sans MT"/>
          <w:sz w:val="26"/>
          <w:szCs w:val="26"/>
          <w:lang w:val="en-IE"/>
        </w:rPr>
        <w:t xml:space="preserve">9 an </w:t>
      </w:r>
      <w:r w:rsidR="009C508D" w:rsidRPr="009C508D">
        <w:rPr>
          <w:rFonts w:ascii="Gill Sans MT" w:hAnsi="Gill Sans MT"/>
          <w:spacing w:val="3"/>
          <w:sz w:val="26"/>
          <w:szCs w:val="26"/>
          <w:lang w:val="en"/>
        </w:rPr>
        <w:t>independent</w:t>
      </w:r>
      <w:r w:rsidRPr="009C508D">
        <w:rPr>
          <w:rFonts w:ascii="Gill Sans MT" w:hAnsi="Gill Sans MT"/>
          <w:spacing w:val="3"/>
          <w:sz w:val="26"/>
          <w:szCs w:val="26"/>
          <w:lang w:val="en"/>
        </w:rPr>
        <w:t xml:space="preserve"> Patient Advocacy Service was established to support those wishing to make a complaint about their experience of the public health service; and provide support to patients who may have been affected by a patient safety incident.</w:t>
      </w:r>
      <w:r w:rsidRPr="009C508D">
        <w:rPr>
          <w:rStyle w:val="FootnoteReference"/>
          <w:rFonts w:ascii="Gill Sans MT" w:hAnsi="Gill Sans MT"/>
          <w:spacing w:val="3"/>
          <w:sz w:val="26"/>
          <w:szCs w:val="26"/>
          <w:lang w:val="en"/>
        </w:rPr>
        <w:footnoteReference w:id="35"/>
      </w:r>
    </w:p>
    <w:p w14:paraId="20630CE5" w14:textId="77777777" w:rsidR="005065DC" w:rsidRDefault="005065DC" w:rsidP="005065DC">
      <w:pPr>
        <w:pStyle w:val="Heading2"/>
      </w:pPr>
      <w:bookmarkStart w:id="20" w:name="_Toc90030703"/>
      <w:r w:rsidRPr="005065DC">
        <w:t>National Strategy &amp; Policy for the Provision of Neuro-Rehabilitation Services in Ireland</w:t>
      </w:r>
      <w:bookmarkEnd w:id="20"/>
    </w:p>
    <w:p w14:paraId="12F26970" w14:textId="77777777" w:rsidR="005065DC" w:rsidRPr="005065DC" w:rsidRDefault="00B74E5F" w:rsidP="005065DC">
      <w:r>
        <w:t xml:space="preserve">The National Strategy and Policy, originally intended to cover the period 2011-2015, outlines </w:t>
      </w:r>
      <w:r w:rsidRPr="00B74E5F">
        <w:t>a national framework for the provision of neuro</w:t>
      </w:r>
      <w:r w:rsidR="00D33829">
        <w:t>-</w:t>
      </w:r>
      <w:r w:rsidRPr="00B74E5F">
        <w:t>rehabilitation services in Ireland.</w:t>
      </w:r>
      <w:r>
        <w:rPr>
          <w:rStyle w:val="FootnoteReference"/>
        </w:rPr>
        <w:footnoteReference w:id="36"/>
      </w:r>
      <w:r w:rsidR="00D33829">
        <w:t xml:space="preserve"> </w:t>
      </w:r>
      <w:r w:rsidR="005065DC">
        <w:t xml:space="preserve">An Implementation Framework for the Strategy, covering the period 2019-2021, </w:t>
      </w:r>
      <w:r w:rsidR="005065DC" w:rsidRPr="005065DC">
        <w:t>describes the design and service delivery required to implement the Strategy.</w:t>
      </w:r>
      <w:r w:rsidR="00E32453">
        <w:rPr>
          <w:rStyle w:val="FootnoteReference"/>
        </w:rPr>
        <w:footnoteReference w:id="37"/>
      </w:r>
      <w:r w:rsidR="005065DC" w:rsidRPr="005065DC">
        <w:t> </w:t>
      </w:r>
    </w:p>
    <w:p w14:paraId="78C3A2A9" w14:textId="77777777" w:rsidR="00650304" w:rsidRDefault="00650304" w:rsidP="00650304">
      <w:pPr>
        <w:pStyle w:val="Heading1"/>
      </w:pPr>
      <w:bookmarkStart w:id="21" w:name="_Toc90030704"/>
      <w:r>
        <w:t>Disability Services</w:t>
      </w:r>
      <w:bookmarkEnd w:id="21"/>
    </w:p>
    <w:p w14:paraId="04441759" w14:textId="5789105C" w:rsidR="00650304" w:rsidRDefault="00650304" w:rsidP="00650304">
      <w:r>
        <w:t xml:space="preserve">According to the HSE </w:t>
      </w:r>
      <w:r w:rsidR="00587316">
        <w:t xml:space="preserve">2020 </w:t>
      </w:r>
      <w:r>
        <w:t>Service Plan, d</w:t>
      </w:r>
      <w:r w:rsidRPr="00292178">
        <w:t>isability services</w:t>
      </w:r>
      <w:r>
        <w:t xml:space="preserve"> seek to</w:t>
      </w:r>
      <w:r w:rsidRPr="00292178">
        <w:t xml:space="preserve"> support and enable people with disabilities to live the life of their choosing in their own homes, in accommodation </w:t>
      </w:r>
      <w:r w:rsidRPr="00292178">
        <w:lastRenderedPageBreak/>
        <w:t>that is designed and / or adapted as necessary to meet their needs, enabling them to live ordinary lives in ordinary places as independentl</w:t>
      </w:r>
      <w:r w:rsidR="00EC455E">
        <w:t>y as possible.</w:t>
      </w:r>
      <w:r w:rsidR="00EF7A24">
        <w:rPr>
          <w:rStyle w:val="FootnoteReference"/>
        </w:rPr>
        <w:footnoteReference w:id="38"/>
      </w:r>
      <w:r w:rsidR="002530AB">
        <w:t xml:space="preserve"> HSE disability services include a range of </w:t>
      </w:r>
      <w:r w:rsidR="00587316">
        <w:t xml:space="preserve">health, social care and community </w:t>
      </w:r>
      <w:r w:rsidR="002530AB">
        <w:t xml:space="preserve">services </w:t>
      </w:r>
      <w:r w:rsidR="00417C2E">
        <w:t>s</w:t>
      </w:r>
      <w:r w:rsidR="002530AB">
        <w:t>u</w:t>
      </w:r>
      <w:r w:rsidR="00417C2E">
        <w:t>ch a</w:t>
      </w:r>
      <w:r w:rsidR="002530AB">
        <w:t>s personal assistance services, home care, respite care, residential care</w:t>
      </w:r>
      <w:r w:rsidR="00417C2E">
        <w:t xml:space="preserve"> and day care</w:t>
      </w:r>
      <w:r w:rsidR="00AB0958">
        <w:t xml:space="preserve"> (some of these are dealt with in the Article 19 </w:t>
      </w:r>
      <w:r w:rsidR="00417BD4">
        <w:t xml:space="preserve">and Article 27 </w:t>
      </w:r>
      <w:r w:rsidR="00AB0958">
        <w:t>paper</w:t>
      </w:r>
      <w:r w:rsidR="00417BD4">
        <w:t>s</w:t>
      </w:r>
      <w:r w:rsidR="001E34D4">
        <w:t xml:space="preserve"> in this series</w:t>
      </w:r>
      <w:r w:rsidR="00AB0958">
        <w:t>)</w:t>
      </w:r>
      <w:r w:rsidR="00417C2E">
        <w:t>.</w:t>
      </w:r>
    </w:p>
    <w:p w14:paraId="43405ED0" w14:textId="22E9C254" w:rsidR="00650304" w:rsidRDefault="00BF2B71" w:rsidP="00650304">
      <w:r>
        <w:t>The total budget allocated to disability services in 2019 was €</w:t>
      </w:r>
      <w:r w:rsidRPr="00BF2B71">
        <w:t>1,915.8</w:t>
      </w:r>
      <w:r>
        <w:t xml:space="preserve"> million</w:t>
      </w:r>
      <w:r w:rsidR="006F2525">
        <w:t>, while the 2020 budget increased to</w:t>
      </w:r>
      <w:r w:rsidRPr="00BF2B71">
        <w:t xml:space="preserve"> </w:t>
      </w:r>
      <w:r>
        <w:t>€</w:t>
      </w:r>
      <w:r w:rsidRPr="00BF2B71">
        <w:t>2,049.5</w:t>
      </w:r>
      <w:r>
        <w:t xml:space="preserve"> million.</w:t>
      </w:r>
      <w:r>
        <w:rPr>
          <w:rStyle w:val="FootnoteReference"/>
        </w:rPr>
        <w:footnoteReference w:id="39"/>
      </w:r>
      <w:r>
        <w:t xml:space="preserve"> </w:t>
      </w:r>
      <w:r w:rsidR="00CB44D8">
        <w:t xml:space="preserve">The Chairperson of </w:t>
      </w:r>
      <w:r w:rsidR="00C72696">
        <w:t>Working Group 1 of the Transforming Lives programme and the NDA undertook</w:t>
      </w:r>
      <w:r w:rsidR="00650304">
        <w:t xml:space="preserve"> forecasting work in order to estimate the demand for HSE-funded </w:t>
      </w:r>
      <w:r w:rsidR="00670463">
        <w:t>disability services up to 2026.</w:t>
      </w:r>
      <w:r w:rsidR="00EF7A24">
        <w:rPr>
          <w:rStyle w:val="FootnoteReference"/>
        </w:rPr>
        <w:footnoteReference w:id="40"/>
      </w:r>
      <w:r w:rsidR="00670463">
        <w:t xml:space="preserve"> </w:t>
      </w:r>
      <w:r w:rsidR="005F673D">
        <w:t>The report estimates</w:t>
      </w:r>
      <w:r w:rsidR="00650304">
        <w:t xml:space="preserve"> that current </w:t>
      </w:r>
      <w:r w:rsidR="005F673D">
        <w:t>expenditure</w:t>
      </w:r>
      <w:r w:rsidR="00650304">
        <w:t xml:space="preserve"> needs to increase by approximately 19-35%, and capital spending requirements need to increase by between €10</w:t>
      </w:r>
      <w:r w:rsidR="005F673D">
        <w:t>0-€300 million. The report notes</w:t>
      </w:r>
      <w:r w:rsidR="00650304">
        <w:t xml:space="preserve"> that gross spending on disability services fell between 2009 and 2016, at a time when the population requiring services grew, which has resulted in significant areas of unmet need, spanning residential, respite, therapy and other services.</w:t>
      </w:r>
    </w:p>
    <w:p w14:paraId="532A8DB2" w14:textId="77777777" w:rsidR="00C55AFD" w:rsidRDefault="00C55AFD" w:rsidP="00C55AFD">
      <w:pPr>
        <w:pStyle w:val="Heading2"/>
      </w:pPr>
      <w:bookmarkStart w:id="22" w:name="_Toc90030705"/>
      <w:r w:rsidRPr="004C7679">
        <w:t>Disability Capacity Review</w:t>
      </w:r>
      <w:bookmarkEnd w:id="22"/>
      <w:r w:rsidRPr="004C7679">
        <w:t xml:space="preserve"> </w:t>
      </w:r>
    </w:p>
    <w:p w14:paraId="228AB70A" w14:textId="77777777" w:rsidR="00C55AFD" w:rsidRDefault="00C55AFD" w:rsidP="00C55AFD">
      <w:r>
        <w:t xml:space="preserve">In July 2021 the Department of Health published </w:t>
      </w:r>
      <w:r w:rsidRPr="004C7679">
        <w:t>Disability Capacity Review to 2032</w:t>
      </w:r>
      <w:r>
        <w:t xml:space="preserve"> - A Review of Disability Social </w:t>
      </w:r>
      <w:r w:rsidRPr="004C7679">
        <w:t>Care Demand and Capacity Requirements up to 2032</w:t>
      </w:r>
      <w:r>
        <w:t xml:space="preserve">. The Capacity Review sets out the implications of demographic change and of meeting unmet demand for disability services. The costs of meeting both the changing demographic profile and unmet need is estimated to be between 550 million and 1000 million by 2032 over current expenditure levels.  </w:t>
      </w:r>
    </w:p>
    <w:p w14:paraId="17823538" w14:textId="58422255" w:rsidR="00EB0DA6" w:rsidRDefault="00EB0DA6" w:rsidP="00650304">
      <w:r>
        <w:lastRenderedPageBreak/>
        <w:t xml:space="preserve">The NDA is </w:t>
      </w:r>
      <w:r w:rsidR="00C55AFD">
        <w:t xml:space="preserve">also </w:t>
      </w:r>
      <w:r>
        <w:t>aware of</w:t>
      </w:r>
      <w:r w:rsidR="00BF2B71">
        <w:t xml:space="preserve"> the calls of disability service providers of the need to provide more funding to the sector.</w:t>
      </w:r>
      <w:r>
        <w:t xml:space="preserve"> </w:t>
      </w:r>
    </w:p>
    <w:p w14:paraId="79406F25" w14:textId="77777777" w:rsidR="00650304" w:rsidRDefault="00650304" w:rsidP="00650304">
      <w:pPr>
        <w:pStyle w:val="Heading2"/>
      </w:pPr>
      <w:bookmarkStart w:id="23" w:name="_Toc90030706"/>
      <w:r>
        <w:t>Therapy services</w:t>
      </w:r>
      <w:bookmarkEnd w:id="23"/>
    </w:p>
    <w:p w14:paraId="37F4DB6C" w14:textId="77777777" w:rsidR="00650304" w:rsidRDefault="00AB0958" w:rsidP="00650304">
      <w:r>
        <w:t xml:space="preserve">The HSE provides a range of therapy services to adults with disabilities including speech and language therapy, occupational therapy and physiotherapy. </w:t>
      </w:r>
      <w:r w:rsidR="00650304">
        <w:t>Based on unmet need recorded on the disability databases, provision of adult therapy services would need to double from its 2016 level</w:t>
      </w:r>
      <w:r w:rsidR="002610FB">
        <w:t xml:space="preserve"> </w:t>
      </w:r>
      <w:r w:rsidR="002610FB" w:rsidRPr="0031394A">
        <w:t xml:space="preserve">to meet current </w:t>
      </w:r>
      <w:r w:rsidR="0031394A">
        <w:t>demand</w:t>
      </w:r>
      <w:r w:rsidR="00650304" w:rsidRPr="0031394A">
        <w:t>.</w:t>
      </w:r>
      <w:r w:rsidR="0031394A">
        <w:rPr>
          <w:rStyle w:val="FootnoteReference"/>
        </w:rPr>
        <w:footnoteReference w:id="41"/>
      </w:r>
      <w:r w:rsidR="00650304" w:rsidRPr="0031394A">
        <w:t xml:space="preserve"> </w:t>
      </w:r>
      <w:r w:rsidR="00650304">
        <w:t>As the number of staff currently providing such services is not known, and service providers suggest that the expansion to date of children’s therapy services has been achieved partly through cutting services for adults, it is not possible to put any firm figures on the cost of meeting this shortfall. However, by extrapolating ratios from children’s services on staff numbers per service user, an additional 480 staff are required now, and a further 100 by 2026.</w:t>
      </w:r>
      <w:r w:rsidR="0031394A">
        <w:rPr>
          <w:rStyle w:val="FootnoteReference"/>
        </w:rPr>
        <w:footnoteReference w:id="42"/>
      </w:r>
    </w:p>
    <w:p w14:paraId="4792972D" w14:textId="77777777" w:rsidR="00650304" w:rsidRDefault="00650304" w:rsidP="00650304">
      <w:pPr>
        <w:pStyle w:val="Heading2"/>
      </w:pPr>
      <w:bookmarkStart w:id="24" w:name="_Toc90030707"/>
      <w:r>
        <w:t>Respite care</w:t>
      </w:r>
      <w:bookmarkEnd w:id="24"/>
    </w:p>
    <w:p w14:paraId="5DBE6420" w14:textId="793FCC2F" w:rsidR="002610FB" w:rsidRPr="002610FB" w:rsidRDefault="002610FB" w:rsidP="002610FB">
      <w:r>
        <w:t xml:space="preserve">Respite </w:t>
      </w:r>
      <w:r w:rsidR="00F1493A">
        <w:t xml:space="preserve">care </w:t>
      </w:r>
      <w:r>
        <w:t xml:space="preserve">services are provided </w:t>
      </w:r>
      <w:r w:rsidR="00F1493A">
        <w:t xml:space="preserve">both </w:t>
      </w:r>
      <w:r>
        <w:t>directly by the HSE and</w:t>
      </w:r>
      <w:r w:rsidR="00F1493A">
        <w:t xml:space="preserve"> by</w:t>
      </w:r>
      <w:r>
        <w:t xml:space="preserve"> funded service providers. Respite is provided to people with disabilities through overnight, short-term or holiday stays in an approved centre.</w:t>
      </w:r>
      <w:r w:rsidR="003E1EE0">
        <w:t xml:space="preserve"> The HSE 2020 Service Plan </w:t>
      </w:r>
      <w:r w:rsidR="00F1493A">
        <w:t>allocate</w:t>
      </w:r>
      <w:r w:rsidR="006A12E7">
        <w:t>d</w:t>
      </w:r>
      <w:r w:rsidR="003E1EE0">
        <w:t xml:space="preserve"> an additional €5million </w:t>
      </w:r>
      <w:r w:rsidR="00F1493A">
        <w:t xml:space="preserve">to respite services. In 2020, it is anticipated that </w:t>
      </w:r>
      <w:r w:rsidR="003E1EE0">
        <w:t xml:space="preserve">166,183 nights respite care </w:t>
      </w:r>
      <w:r w:rsidR="00F1493A">
        <w:t>(2019: 182,506) and 33,712 day only respite sessions (2019: 32,662) will be provided, benefiting 6,060 people with disabilities (2019: 6,559)</w:t>
      </w:r>
      <w:r w:rsidR="003E1EE0">
        <w:t>.</w:t>
      </w:r>
      <w:r w:rsidR="0031394A">
        <w:rPr>
          <w:rStyle w:val="FootnoteReference"/>
        </w:rPr>
        <w:footnoteReference w:id="43"/>
      </w:r>
      <w:r w:rsidR="003E1EE0">
        <w:t xml:space="preserve"> </w:t>
      </w:r>
      <w:r w:rsidR="00536E01">
        <w:t>At the end of September 2019, 16,856 nights respite care had been provided, and 79,911 day only respite sessions.</w:t>
      </w:r>
      <w:r w:rsidR="00536E01">
        <w:rPr>
          <w:rStyle w:val="FootnoteReference"/>
        </w:rPr>
        <w:footnoteReference w:id="44"/>
      </w:r>
    </w:p>
    <w:p w14:paraId="6C14041A" w14:textId="77777777" w:rsidR="00650304" w:rsidRDefault="00650304" w:rsidP="00033E47">
      <w:r>
        <w:lastRenderedPageBreak/>
        <w:t xml:space="preserve">Respite care estimates from the Health Research Board show that about 1,600 people with intellectual disabilities will require a service by 2021. Assuming a further 10% for additional respite provision for people with physical and sensory disabilities at the median stay of 17 nights, it is estimated that an additional €11million in </w:t>
      </w:r>
      <w:r w:rsidR="00231DB2">
        <w:t>current expenditure is required</w:t>
      </w:r>
      <w:r>
        <w:t xml:space="preserve"> for extra respite provision</w:t>
      </w:r>
      <w:r w:rsidR="0031394A">
        <w:t xml:space="preserve"> (from 2017 levels)</w:t>
      </w:r>
      <w:r>
        <w:t>, and additional capital expenditure of €10million.</w:t>
      </w:r>
      <w:r w:rsidR="000F1EE0">
        <w:rPr>
          <w:rStyle w:val="FootnoteReference"/>
        </w:rPr>
        <w:footnoteReference w:id="45"/>
      </w:r>
    </w:p>
    <w:p w14:paraId="56EE4989" w14:textId="79199523" w:rsidR="009475FC" w:rsidRDefault="009475FC" w:rsidP="00033E47">
      <w:r w:rsidRPr="009475FC">
        <w:t>Respite services for children and a</w:t>
      </w:r>
      <w:r>
        <w:t>dults with a disability are</w:t>
      </w:r>
      <w:r w:rsidRPr="009475FC">
        <w:t xml:space="preserve"> covered by</w:t>
      </w:r>
      <w:r>
        <w:t xml:space="preserve"> the</w:t>
      </w:r>
      <w:r w:rsidRPr="009475FC">
        <w:t xml:space="preserve"> </w:t>
      </w:r>
      <w:r w:rsidRPr="009475FC">
        <w:rPr>
          <w:iCs/>
        </w:rPr>
        <w:t>National Standards for Residential Services for Children and Adults with Disabilities</w:t>
      </w:r>
      <w:r w:rsidRPr="009475FC">
        <w:t xml:space="preserve"> and subject to inspection and registration with </w:t>
      </w:r>
      <w:r>
        <w:t>HIQA</w:t>
      </w:r>
      <w:r w:rsidR="000F1EE0">
        <w:rPr>
          <w:rStyle w:val="FootnoteReference"/>
        </w:rPr>
        <w:footnoteReference w:id="46"/>
      </w:r>
      <w:r w:rsidR="00F47110">
        <w:t xml:space="preserve">, however there is no national policy framework around the provision of respite services. </w:t>
      </w:r>
    </w:p>
    <w:p w14:paraId="0E8802C9" w14:textId="169128BF" w:rsidR="00625273" w:rsidRDefault="00625273" w:rsidP="00033E47">
      <w:r>
        <w:t>In 2019, the NDA commissioned research which explored the experiences of users of disability respite services.</w:t>
      </w:r>
      <w:r w:rsidR="0031394A">
        <w:rPr>
          <w:rStyle w:val="FootnoteReference"/>
        </w:rPr>
        <w:footnoteReference w:id="47"/>
      </w:r>
      <w:r>
        <w:t xml:space="preserve"> Overall, participants were very satisfied with their respite services and rated the quality highly.</w:t>
      </w:r>
      <w:r w:rsidR="007D3BD9">
        <w:t xml:space="preserve"> There were high levels of satisfaction with staff, the comfort of bedrooms and social spaces, and many participants spoke about the importance of respite in terms of their own wellbeing and independence, as well as building new relationships. The negative aspects of respite included being away from family, some negative interactions with staff and lack of accessibility and transport associated with respite houses and centres in rural locations. Participants also noted that respite services are limited, with some waiting more than two years from the point of referral. Some participants also expressed concerns about the lack of choice in terms of the respite they received, or the frequency of their respite service.</w:t>
      </w:r>
    </w:p>
    <w:p w14:paraId="12DF8FB8" w14:textId="77777777" w:rsidR="00231DB2" w:rsidRPr="00231DB2" w:rsidRDefault="00231DB2" w:rsidP="00231DB2">
      <w:pPr>
        <w:pStyle w:val="Heading3"/>
      </w:pPr>
      <w:r>
        <w:lastRenderedPageBreak/>
        <w:t xml:space="preserve">Accessible and disability-sensitive healthcare </w:t>
      </w:r>
    </w:p>
    <w:p w14:paraId="640EE053" w14:textId="77777777" w:rsidR="006F2525" w:rsidRDefault="00231DB2" w:rsidP="00231DB2">
      <w:pPr>
        <w:rPr>
          <w:bCs/>
        </w:rPr>
      </w:pPr>
      <w:r w:rsidRPr="00456DDB">
        <w:rPr>
          <w:bCs/>
        </w:rPr>
        <w:t xml:space="preserve">The HSE’s </w:t>
      </w:r>
      <w:r w:rsidRPr="00456DDB">
        <w:rPr>
          <w:b/>
          <w:bCs/>
        </w:rPr>
        <w:t>National Guidelines on Accessible Health and Social Care Services</w:t>
      </w:r>
      <w:r w:rsidRPr="00456DDB">
        <w:rPr>
          <w:bCs/>
        </w:rPr>
        <w:t xml:space="preserve"> provide practical guidance to all health and social care staff about how they can provide accessible services.</w:t>
      </w:r>
      <w:r w:rsidR="0031394A">
        <w:rPr>
          <w:rStyle w:val="FootnoteReference"/>
          <w:bCs/>
        </w:rPr>
        <w:footnoteReference w:id="48"/>
      </w:r>
      <w:r w:rsidRPr="00456DDB">
        <w:rPr>
          <w:bCs/>
        </w:rPr>
        <w:t xml:space="preserve"> The guidelines outline how to deliver disability-friendly services, how to make premises accessible, how to accommodate additional needs of people with disabilities, and how to communicate with people with disabilities in ways that are appropriate to their needs. </w:t>
      </w:r>
    </w:p>
    <w:p w14:paraId="25995040" w14:textId="56B11F69" w:rsidR="00231DB2" w:rsidRDefault="00231DB2" w:rsidP="00231DB2">
      <w:pPr>
        <w:rPr>
          <w:bCs/>
        </w:rPr>
      </w:pPr>
      <w:r w:rsidRPr="00456DDB">
        <w:rPr>
          <w:bCs/>
        </w:rPr>
        <w:t>The </w:t>
      </w:r>
      <w:r w:rsidRPr="00456DDB">
        <w:rPr>
          <w:b/>
          <w:bCs/>
        </w:rPr>
        <w:t>Dementia Friendly Hospital Guidelines from a Universal Design Approach</w:t>
      </w:r>
      <w:r w:rsidRPr="00456DDB">
        <w:rPr>
          <w:bCs/>
        </w:rPr>
        <w:t> provide detailed guidance in relation to dementia specific design issues and the Universal Design (UD) of acute hospitals in Ireland.</w:t>
      </w:r>
      <w:r w:rsidR="0031394A">
        <w:rPr>
          <w:rStyle w:val="FootnoteReference"/>
          <w:bCs/>
        </w:rPr>
        <w:footnoteReference w:id="49"/>
      </w:r>
      <w:r w:rsidR="00C910D8">
        <w:rPr>
          <w:bCs/>
        </w:rPr>
        <w:t xml:space="preserve"> </w:t>
      </w:r>
      <w:r w:rsidR="00BD4818" w:rsidRPr="00BD4818">
        <w:rPr>
          <w:bCs/>
        </w:rPr>
        <w:t xml:space="preserve">The HSE </w:t>
      </w:r>
      <w:r w:rsidR="00BD4818">
        <w:rPr>
          <w:bCs/>
        </w:rPr>
        <w:t xml:space="preserve">has also </w:t>
      </w:r>
      <w:r w:rsidR="00BD4818" w:rsidRPr="00BD4818">
        <w:rPr>
          <w:bCs/>
        </w:rPr>
        <w:t>appointed a National Specialist in Accessibility who provides guidance, advice and strategic support in the promotion of access for people with disabilities. The purpose of the role is also to develop a strategic framework for</w:t>
      </w:r>
      <w:r w:rsidR="00C910D8">
        <w:rPr>
          <w:bCs/>
        </w:rPr>
        <w:t xml:space="preserve"> the HSE on</w:t>
      </w:r>
      <w:r w:rsidR="00BD4818" w:rsidRPr="00BD4818">
        <w:rPr>
          <w:bCs/>
        </w:rPr>
        <w:t xml:space="preserve"> the implementation of Part 3 of th</w:t>
      </w:r>
      <w:r w:rsidR="00BD4818">
        <w:rPr>
          <w:bCs/>
        </w:rPr>
        <w:t xml:space="preserve">e Disability Act 2005, which </w:t>
      </w:r>
      <w:r w:rsidR="00BD4818">
        <w:rPr>
          <w:rFonts w:ascii="Arial" w:hAnsi="Arial" w:cs="Arial"/>
          <w:color w:val="4D5156"/>
          <w:sz w:val="21"/>
          <w:szCs w:val="21"/>
          <w:shd w:val="clear" w:color="auto" w:fill="FFFFFF"/>
        </w:rPr>
        <w:t>p</w:t>
      </w:r>
      <w:r w:rsidR="00BD4818" w:rsidRPr="00BD4818">
        <w:rPr>
          <w:bCs/>
        </w:rPr>
        <w:t>laces an obligation on public bodies to make their buildings and services</w:t>
      </w:r>
      <w:r w:rsidR="00BD4818">
        <w:rPr>
          <w:bCs/>
        </w:rPr>
        <w:t xml:space="preserve"> accessible.</w:t>
      </w:r>
      <w:r w:rsidR="00BD4818">
        <w:rPr>
          <w:rStyle w:val="FootnoteReference"/>
          <w:bCs/>
        </w:rPr>
        <w:footnoteReference w:id="50"/>
      </w:r>
    </w:p>
    <w:p w14:paraId="05A868E4" w14:textId="77700E86" w:rsidR="00025186" w:rsidRDefault="00BD4818" w:rsidP="00231DB2">
      <w:pPr>
        <w:rPr>
          <w:bCs/>
        </w:rPr>
      </w:pPr>
      <w:r>
        <w:rPr>
          <w:bCs/>
        </w:rPr>
        <w:t>An omnibus survey carried out by Ipsos MRBI for the NDA</w:t>
      </w:r>
      <w:r w:rsidR="00556C2F">
        <w:rPr>
          <w:bCs/>
        </w:rPr>
        <w:t xml:space="preserve"> in 2011</w:t>
      </w:r>
      <w:r>
        <w:rPr>
          <w:bCs/>
        </w:rPr>
        <w:t xml:space="preserve"> </w:t>
      </w:r>
      <w:r w:rsidR="00FE2BDF">
        <w:rPr>
          <w:bCs/>
        </w:rPr>
        <w:t>examined the accessibility of community facilities</w:t>
      </w:r>
      <w:r>
        <w:rPr>
          <w:bCs/>
        </w:rPr>
        <w:t xml:space="preserve">. </w:t>
      </w:r>
      <w:r w:rsidR="00FE2BDF">
        <w:rPr>
          <w:bCs/>
        </w:rPr>
        <w:t>The research revealed that c</w:t>
      </w:r>
      <w:r>
        <w:rPr>
          <w:bCs/>
        </w:rPr>
        <w:t>ommunity facilities that had</w:t>
      </w:r>
      <w:r w:rsidRPr="00BD4818">
        <w:rPr>
          <w:bCs/>
        </w:rPr>
        <w:t xml:space="preserve"> the lowest perceived access a</w:t>
      </w:r>
      <w:r w:rsidR="00FE2BDF">
        <w:rPr>
          <w:bCs/>
        </w:rPr>
        <w:t>mong</w:t>
      </w:r>
      <w:r>
        <w:rPr>
          <w:bCs/>
        </w:rPr>
        <w:t xml:space="preserve"> disability households wa</w:t>
      </w:r>
      <w:r w:rsidRPr="00BD4818">
        <w:rPr>
          <w:bCs/>
        </w:rPr>
        <w:t>s the doctor’s surgery.</w:t>
      </w:r>
      <w:r w:rsidR="00FE2BDF">
        <w:rPr>
          <w:rStyle w:val="FootnoteReference"/>
          <w:bCs/>
        </w:rPr>
        <w:footnoteReference w:id="51"/>
      </w:r>
      <w:r w:rsidR="00FE2BDF">
        <w:rPr>
          <w:bCs/>
        </w:rPr>
        <w:t xml:space="preserve"> </w:t>
      </w:r>
      <w:r w:rsidR="00F47110">
        <w:rPr>
          <w:bCs/>
        </w:rPr>
        <w:t>At the time j</w:t>
      </w:r>
      <w:r w:rsidR="00556C2F">
        <w:rPr>
          <w:bCs/>
        </w:rPr>
        <w:t>ust over a third</w:t>
      </w:r>
      <w:r w:rsidR="00FE2BDF">
        <w:rPr>
          <w:bCs/>
        </w:rPr>
        <w:t xml:space="preserve"> </w:t>
      </w:r>
      <w:r w:rsidR="00556C2F">
        <w:rPr>
          <w:bCs/>
        </w:rPr>
        <w:t>(</w:t>
      </w:r>
      <w:r w:rsidR="00FE2BDF">
        <w:rPr>
          <w:bCs/>
        </w:rPr>
        <w:t>34%</w:t>
      </w:r>
      <w:r w:rsidR="00556C2F">
        <w:rPr>
          <w:bCs/>
        </w:rPr>
        <w:t>)</w:t>
      </w:r>
      <w:r w:rsidR="00FE2BDF">
        <w:rPr>
          <w:bCs/>
        </w:rPr>
        <w:t xml:space="preserve"> of physical disability households reported that they could not access their </w:t>
      </w:r>
      <w:r w:rsidR="00FE2BDF">
        <w:rPr>
          <w:bCs/>
        </w:rPr>
        <w:lastRenderedPageBreak/>
        <w:t xml:space="preserve">local doctor’s surgery without having to go up or down steps. </w:t>
      </w:r>
      <w:r w:rsidR="00E94B67">
        <w:rPr>
          <w:bCs/>
        </w:rPr>
        <w:t xml:space="preserve">Previous </w:t>
      </w:r>
      <w:r w:rsidR="00025186">
        <w:rPr>
          <w:bCs/>
        </w:rPr>
        <w:t>NDA</w:t>
      </w:r>
      <w:r w:rsidR="00E94B67">
        <w:rPr>
          <w:bCs/>
        </w:rPr>
        <w:t xml:space="preserve"> commissioned reports</w:t>
      </w:r>
      <w:r w:rsidR="009A1409">
        <w:rPr>
          <w:bCs/>
        </w:rPr>
        <w:t xml:space="preserve"> </w:t>
      </w:r>
      <w:r w:rsidR="00025186">
        <w:rPr>
          <w:bCs/>
        </w:rPr>
        <w:t>ha</w:t>
      </w:r>
      <w:r w:rsidR="00E94B67">
        <w:rPr>
          <w:bCs/>
        </w:rPr>
        <w:t>ve</w:t>
      </w:r>
      <w:r w:rsidR="00025186">
        <w:rPr>
          <w:bCs/>
        </w:rPr>
        <w:t xml:space="preserve"> </w:t>
      </w:r>
      <w:r w:rsidR="00FE2BDF">
        <w:rPr>
          <w:bCs/>
        </w:rPr>
        <w:t xml:space="preserve">also </w:t>
      </w:r>
      <w:r w:rsidR="00E94B67">
        <w:rPr>
          <w:bCs/>
        </w:rPr>
        <w:t xml:space="preserve">highlighted </w:t>
      </w:r>
      <w:r w:rsidR="00025186">
        <w:rPr>
          <w:bCs/>
        </w:rPr>
        <w:t xml:space="preserve">that </w:t>
      </w:r>
      <w:r w:rsidR="00025186" w:rsidRPr="00025186">
        <w:rPr>
          <w:bCs/>
        </w:rPr>
        <w:t>not all G</w:t>
      </w:r>
      <w:r w:rsidR="00025186">
        <w:rPr>
          <w:bCs/>
        </w:rPr>
        <w:t xml:space="preserve">eneral </w:t>
      </w:r>
      <w:r w:rsidR="00025186" w:rsidRPr="00025186">
        <w:rPr>
          <w:bCs/>
        </w:rPr>
        <w:t>P</w:t>
      </w:r>
      <w:r w:rsidR="00025186">
        <w:rPr>
          <w:bCs/>
        </w:rPr>
        <w:t>ractitioner</w:t>
      </w:r>
      <w:r w:rsidR="00025186" w:rsidRPr="00025186">
        <w:rPr>
          <w:bCs/>
        </w:rPr>
        <w:t xml:space="preserve"> surgeries are accessible</w:t>
      </w:r>
      <w:r w:rsidR="00E94B67">
        <w:rPr>
          <w:rStyle w:val="FootnoteReference"/>
          <w:bCs/>
        </w:rPr>
        <w:footnoteReference w:id="52"/>
      </w:r>
      <w:r w:rsidR="00025186" w:rsidRPr="00025186">
        <w:rPr>
          <w:bCs/>
        </w:rPr>
        <w:t>.</w:t>
      </w:r>
    </w:p>
    <w:p w14:paraId="28CCAACD" w14:textId="77777777" w:rsidR="00231DB2" w:rsidRDefault="00231DB2" w:rsidP="00231DB2">
      <w:pPr>
        <w:pStyle w:val="Heading4"/>
      </w:pPr>
      <w:r>
        <w:t>Healthcare professionals</w:t>
      </w:r>
    </w:p>
    <w:p w14:paraId="4EC1483F" w14:textId="547E930C" w:rsidR="00231DB2" w:rsidRDefault="00231DB2" w:rsidP="00033E47">
      <w:r>
        <w:t>A variety of education, training and capacity-building materials are available to HSE healthcare professionals on disability-related issues. For instance, t</w:t>
      </w:r>
      <w:r w:rsidRPr="0051329D">
        <w:t>he HSE has developed Practice Guidance for Mental Health Services, which is supported by an extensive training programme.</w:t>
      </w:r>
      <w:r w:rsidR="00423D58">
        <w:rPr>
          <w:rStyle w:val="FootnoteReference"/>
        </w:rPr>
        <w:footnoteReference w:id="53"/>
      </w:r>
      <w:r>
        <w:t xml:space="preserve"> There is also an</w:t>
      </w:r>
      <w:r w:rsidRPr="005A09C7">
        <w:t> </w:t>
      </w:r>
      <w:r w:rsidRPr="005A09C7">
        <w:rPr>
          <w:bCs/>
        </w:rPr>
        <w:t>eLearning</w:t>
      </w:r>
      <w:r w:rsidRPr="005A09C7">
        <w:t xml:space="preserve"> module </w:t>
      </w:r>
      <w:r>
        <w:t>on the New Directions policy</w:t>
      </w:r>
      <w:r w:rsidRPr="005A09C7">
        <w:t xml:space="preserve"> for all management and frontline staff working in </w:t>
      </w:r>
      <w:r w:rsidRPr="005A09C7">
        <w:rPr>
          <w:bCs/>
        </w:rPr>
        <w:t>HSE</w:t>
      </w:r>
      <w:r w:rsidRPr="005A09C7">
        <w:t> funded Adult Day Services.</w:t>
      </w:r>
      <w:r w:rsidR="00423D58">
        <w:rPr>
          <w:rStyle w:val="FootnoteReference"/>
        </w:rPr>
        <w:footnoteReference w:id="54"/>
      </w:r>
      <w:r>
        <w:t xml:space="preserve"> </w:t>
      </w:r>
      <w:r w:rsidRPr="00CB44D8">
        <w:t>The HSE is currently developing training and capacity building materials to assist staff in dealing with the implications of the Assisted Decision Making (Capacity) Act 2015</w:t>
      </w:r>
      <w:r w:rsidR="00CB44D8" w:rsidRPr="00CB44D8">
        <w:t xml:space="preserve">. </w:t>
      </w:r>
      <w:r>
        <w:t xml:space="preserve"> </w:t>
      </w:r>
    </w:p>
    <w:p w14:paraId="47C1D8B5" w14:textId="68D7D552" w:rsidR="00D904CF" w:rsidRDefault="00D904CF" w:rsidP="00D904CF">
      <w:pPr>
        <w:pStyle w:val="Heading1"/>
      </w:pPr>
      <w:bookmarkStart w:id="25" w:name="_Toc90030708"/>
      <w:r>
        <w:t>Primary Care</w:t>
      </w:r>
      <w:bookmarkEnd w:id="25"/>
    </w:p>
    <w:p w14:paraId="52BE88AE" w14:textId="709F287A" w:rsidR="00D904CF" w:rsidRDefault="00005E2B" w:rsidP="00005E2B">
      <w:pPr>
        <w:pStyle w:val="Heading2"/>
      </w:pPr>
      <w:bookmarkStart w:id="26" w:name="_Toc90030709"/>
      <w:r>
        <w:t>Primary Care Therapies</w:t>
      </w:r>
      <w:bookmarkEnd w:id="26"/>
    </w:p>
    <w:p w14:paraId="24E0BA7F" w14:textId="32E01854" w:rsidR="00005E2B" w:rsidRPr="00005E2B" w:rsidRDefault="00AA6F56" w:rsidP="00005E2B">
      <w:r>
        <w:t>Primary c</w:t>
      </w:r>
      <w:r w:rsidRPr="00AA6F56">
        <w:t xml:space="preserve">are services cover many of the health or social care services </w:t>
      </w:r>
      <w:r>
        <w:t>available in the</w:t>
      </w:r>
      <w:r w:rsidRPr="00AA6F56">
        <w:t xml:space="preserve"> community, outside of the hospital setting. </w:t>
      </w:r>
      <w:r>
        <w:t xml:space="preserve">Primary care therapy services include physiotherapy, speech and language therapy and occupational therapy. </w:t>
      </w:r>
      <w:r w:rsidR="00DE7625">
        <w:t xml:space="preserve">The numbers detailed </w:t>
      </w:r>
      <w:r w:rsidR="005735DB">
        <w:t>in Table 1 and 2 below</w:t>
      </w:r>
      <w:r w:rsidR="00DE7625">
        <w:t xml:space="preserve"> relate to all persons seeking access to primary care therapies, not just persons with a disability.</w:t>
      </w:r>
    </w:p>
    <w:p w14:paraId="4F87D58E" w14:textId="1AEF06D0" w:rsidR="00D904CF" w:rsidRDefault="005735DB" w:rsidP="00D904CF">
      <w:pPr>
        <w:pStyle w:val="TableTitle"/>
      </w:pPr>
      <w:r>
        <w:lastRenderedPageBreak/>
        <w:t xml:space="preserve">Table 1: </w:t>
      </w:r>
      <w:r w:rsidR="00D904CF">
        <w:t xml:space="preserve">Assessment Waiting List </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2880"/>
        <w:gridCol w:w="2880"/>
      </w:tblGrid>
      <w:tr w:rsidR="00D904CF" w:rsidRPr="00D904CF" w14:paraId="1EE68AF2" w14:textId="77777777" w:rsidTr="00D904CF">
        <w:trPr>
          <w:tblHeader/>
        </w:trPr>
        <w:tc>
          <w:tcPr>
            <w:tcW w:w="2880" w:type="dxa"/>
            <w:tcBorders>
              <w:bottom w:val="single" w:sz="12" w:space="0" w:color="000000"/>
            </w:tcBorders>
            <w:shd w:val="clear" w:color="auto" w:fill="auto"/>
          </w:tcPr>
          <w:p w14:paraId="1F2A4229" w14:textId="14FDFA46" w:rsidR="00D904CF" w:rsidRPr="00D904CF" w:rsidRDefault="00D904CF" w:rsidP="00D904CF">
            <w:pPr>
              <w:pStyle w:val="TableHead"/>
              <w:rPr>
                <w:szCs w:val="26"/>
              </w:rPr>
            </w:pPr>
            <w:r w:rsidRPr="00D904CF">
              <w:rPr>
                <w:szCs w:val="26"/>
              </w:rPr>
              <w:t>Physiotherapy</w:t>
            </w:r>
          </w:p>
        </w:tc>
        <w:tc>
          <w:tcPr>
            <w:tcW w:w="2880" w:type="dxa"/>
            <w:tcBorders>
              <w:bottom w:val="single" w:sz="12" w:space="0" w:color="000000"/>
            </w:tcBorders>
            <w:shd w:val="clear" w:color="auto" w:fill="auto"/>
          </w:tcPr>
          <w:p w14:paraId="3338E69A" w14:textId="54AD417C" w:rsidR="00D904CF" w:rsidRPr="00D904CF" w:rsidRDefault="00005E2B" w:rsidP="00F764CA">
            <w:pPr>
              <w:pStyle w:val="TableHead"/>
              <w:jc w:val="right"/>
              <w:rPr>
                <w:szCs w:val="26"/>
              </w:rPr>
            </w:pPr>
            <w:r>
              <w:rPr>
                <w:szCs w:val="26"/>
              </w:rPr>
              <w:t>Expected Activity</w:t>
            </w:r>
            <w:r w:rsidR="00340C84">
              <w:rPr>
                <w:szCs w:val="26"/>
              </w:rPr>
              <w:t xml:space="preserve"> / Target</w:t>
            </w:r>
          </w:p>
        </w:tc>
        <w:tc>
          <w:tcPr>
            <w:tcW w:w="2880" w:type="dxa"/>
            <w:tcBorders>
              <w:bottom w:val="single" w:sz="12" w:space="0" w:color="000000"/>
            </w:tcBorders>
            <w:shd w:val="clear" w:color="auto" w:fill="auto"/>
          </w:tcPr>
          <w:p w14:paraId="28F37544" w14:textId="30E244BE" w:rsidR="00D904CF" w:rsidRPr="00D904CF" w:rsidRDefault="00340C84" w:rsidP="00F764CA">
            <w:pPr>
              <w:pStyle w:val="TableHead"/>
              <w:jc w:val="right"/>
              <w:rPr>
                <w:szCs w:val="26"/>
              </w:rPr>
            </w:pPr>
            <w:r>
              <w:rPr>
                <w:szCs w:val="26"/>
              </w:rPr>
              <w:t xml:space="preserve">January – </w:t>
            </w:r>
            <w:r w:rsidR="009B1815">
              <w:rPr>
                <w:szCs w:val="26"/>
              </w:rPr>
              <w:t>December</w:t>
            </w:r>
            <w:r>
              <w:rPr>
                <w:szCs w:val="26"/>
              </w:rPr>
              <w:t xml:space="preserve"> 2019</w:t>
            </w:r>
          </w:p>
        </w:tc>
      </w:tr>
      <w:tr w:rsidR="00D904CF" w:rsidRPr="00D904CF" w14:paraId="268A6D3A" w14:textId="77777777" w:rsidTr="00D904CF">
        <w:tc>
          <w:tcPr>
            <w:tcW w:w="2880" w:type="dxa"/>
            <w:tcBorders>
              <w:top w:val="single" w:sz="12" w:space="0" w:color="000000"/>
            </w:tcBorders>
            <w:shd w:val="clear" w:color="auto" w:fill="auto"/>
          </w:tcPr>
          <w:p w14:paraId="0D6D2635" w14:textId="3486FFE9" w:rsidR="00D904CF" w:rsidRPr="00D904CF" w:rsidRDefault="00D904CF" w:rsidP="00D904CF">
            <w:pPr>
              <w:pStyle w:val="TableRowHead"/>
              <w:rPr>
                <w:rFonts w:ascii="Gill Sans MT" w:hAnsi="Gill Sans MT"/>
                <w:b w:val="0"/>
                <w:szCs w:val="26"/>
              </w:rPr>
            </w:pPr>
            <w:r w:rsidRPr="00D904CF">
              <w:rPr>
                <w:rFonts w:ascii="Gill Sans MT" w:hAnsi="Gill Sans MT"/>
                <w:b w:val="0"/>
                <w:szCs w:val="26"/>
              </w:rPr>
              <w:t xml:space="preserve">Number seen </w:t>
            </w:r>
          </w:p>
        </w:tc>
        <w:tc>
          <w:tcPr>
            <w:tcW w:w="2880" w:type="dxa"/>
            <w:tcBorders>
              <w:top w:val="single" w:sz="12" w:space="0" w:color="000000"/>
            </w:tcBorders>
            <w:shd w:val="clear" w:color="auto" w:fill="auto"/>
          </w:tcPr>
          <w:p w14:paraId="2F5F6CE3" w14:textId="3AF90E33" w:rsidR="00D904CF" w:rsidRPr="00D904CF" w:rsidRDefault="009B1815" w:rsidP="00F764CA">
            <w:pPr>
              <w:pStyle w:val="TableCell"/>
              <w:jc w:val="right"/>
              <w:rPr>
                <w:szCs w:val="26"/>
              </w:rPr>
            </w:pPr>
            <w:r>
              <w:rPr>
                <w:szCs w:val="26"/>
              </w:rPr>
              <w:t>581,661</w:t>
            </w:r>
          </w:p>
        </w:tc>
        <w:tc>
          <w:tcPr>
            <w:tcW w:w="2880" w:type="dxa"/>
            <w:tcBorders>
              <w:top w:val="single" w:sz="12" w:space="0" w:color="000000"/>
            </w:tcBorders>
            <w:shd w:val="clear" w:color="auto" w:fill="auto"/>
          </w:tcPr>
          <w:p w14:paraId="7AE10BB1" w14:textId="358257B1" w:rsidR="00D904CF" w:rsidRPr="00D904CF" w:rsidRDefault="009B1815" w:rsidP="00F764CA">
            <w:pPr>
              <w:pStyle w:val="TableCell"/>
              <w:jc w:val="right"/>
              <w:rPr>
                <w:szCs w:val="26"/>
              </w:rPr>
            </w:pPr>
            <w:r>
              <w:rPr>
                <w:szCs w:val="26"/>
              </w:rPr>
              <w:t>568,736</w:t>
            </w:r>
          </w:p>
        </w:tc>
      </w:tr>
      <w:tr w:rsidR="00D904CF" w:rsidRPr="00D904CF" w14:paraId="7B7DF0BC" w14:textId="77777777" w:rsidTr="00D904CF">
        <w:tc>
          <w:tcPr>
            <w:tcW w:w="2880" w:type="dxa"/>
            <w:shd w:val="clear" w:color="auto" w:fill="auto"/>
          </w:tcPr>
          <w:p w14:paraId="278D2183" w14:textId="0D1F284B" w:rsidR="00D904CF" w:rsidRPr="00D904CF" w:rsidRDefault="00D904CF" w:rsidP="00D904CF">
            <w:pPr>
              <w:pStyle w:val="TableRowHead"/>
              <w:rPr>
                <w:rFonts w:ascii="Gill Sans MT" w:hAnsi="Gill Sans MT"/>
                <w:b w:val="0"/>
                <w:szCs w:val="26"/>
              </w:rPr>
            </w:pPr>
            <w:r w:rsidRPr="00D904CF">
              <w:rPr>
                <w:rFonts w:ascii="Gill Sans MT" w:hAnsi="Gill Sans MT"/>
                <w:b w:val="0"/>
                <w:szCs w:val="26"/>
              </w:rPr>
              <w:t>Total number waiting</w:t>
            </w:r>
          </w:p>
        </w:tc>
        <w:tc>
          <w:tcPr>
            <w:tcW w:w="2880" w:type="dxa"/>
            <w:shd w:val="clear" w:color="auto" w:fill="auto"/>
          </w:tcPr>
          <w:p w14:paraId="6C4B7774" w14:textId="12EDC1AE" w:rsidR="00D904CF" w:rsidRPr="00D904CF" w:rsidRDefault="00005E2B" w:rsidP="00F764CA">
            <w:pPr>
              <w:pStyle w:val="TableCell"/>
              <w:jc w:val="right"/>
              <w:rPr>
                <w:szCs w:val="26"/>
              </w:rPr>
            </w:pPr>
            <w:r>
              <w:rPr>
                <w:szCs w:val="26"/>
              </w:rPr>
              <w:t>34,023</w:t>
            </w:r>
          </w:p>
        </w:tc>
        <w:tc>
          <w:tcPr>
            <w:tcW w:w="2880" w:type="dxa"/>
            <w:shd w:val="clear" w:color="auto" w:fill="auto"/>
          </w:tcPr>
          <w:p w14:paraId="26328751" w14:textId="43BBF6ED" w:rsidR="00D904CF" w:rsidRPr="00D904CF" w:rsidRDefault="009B1815" w:rsidP="00F764CA">
            <w:pPr>
              <w:pStyle w:val="TableCell"/>
              <w:jc w:val="right"/>
              <w:rPr>
                <w:szCs w:val="26"/>
              </w:rPr>
            </w:pPr>
            <w:r>
              <w:rPr>
                <w:szCs w:val="26"/>
              </w:rPr>
              <w:t>38,177</w:t>
            </w:r>
          </w:p>
        </w:tc>
      </w:tr>
      <w:tr w:rsidR="00D904CF" w:rsidRPr="00D904CF" w14:paraId="10C4405A" w14:textId="77777777" w:rsidTr="00D904CF">
        <w:tc>
          <w:tcPr>
            <w:tcW w:w="2880" w:type="dxa"/>
            <w:shd w:val="clear" w:color="auto" w:fill="auto"/>
          </w:tcPr>
          <w:p w14:paraId="298952FC" w14:textId="243020A8" w:rsidR="00D904CF" w:rsidRPr="00D904CF" w:rsidRDefault="00D904CF" w:rsidP="00D904CF">
            <w:pPr>
              <w:pStyle w:val="TableRowHead"/>
              <w:rPr>
                <w:rFonts w:ascii="Gill Sans MT" w:hAnsi="Gill Sans MT"/>
                <w:b w:val="0"/>
                <w:szCs w:val="26"/>
              </w:rPr>
            </w:pPr>
            <w:r w:rsidRPr="00D904CF">
              <w:rPr>
                <w:rFonts w:ascii="Gill Sans MT" w:hAnsi="Gill Sans MT"/>
                <w:b w:val="0"/>
                <w:szCs w:val="26"/>
              </w:rPr>
              <w:t>% waiting less than 12 weeks</w:t>
            </w:r>
          </w:p>
        </w:tc>
        <w:tc>
          <w:tcPr>
            <w:tcW w:w="2880" w:type="dxa"/>
            <w:shd w:val="clear" w:color="auto" w:fill="auto"/>
          </w:tcPr>
          <w:p w14:paraId="14415C99" w14:textId="14D1F13A" w:rsidR="00D904CF" w:rsidRPr="00D904CF" w:rsidRDefault="009B1815" w:rsidP="00F764CA">
            <w:pPr>
              <w:pStyle w:val="TableCell"/>
              <w:jc w:val="right"/>
              <w:rPr>
                <w:szCs w:val="26"/>
              </w:rPr>
            </w:pPr>
            <w:r>
              <w:rPr>
                <w:szCs w:val="26"/>
              </w:rPr>
              <w:t>-</w:t>
            </w:r>
          </w:p>
        </w:tc>
        <w:tc>
          <w:tcPr>
            <w:tcW w:w="2880" w:type="dxa"/>
            <w:shd w:val="clear" w:color="auto" w:fill="auto"/>
          </w:tcPr>
          <w:p w14:paraId="2A8A2543" w14:textId="599C3A54" w:rsidR="00D904CF" w:rsidRPr="00D904CF" w:rsidRDefault="009B1815" w:rsidP="00F764CA">
            <w:pPr>
              <w:pStyle w:val="TableCell"/>
              <w:jc w:val="right"/>
              <w:rPr>
                <w:szCs w:val="26"/>
              </w:rPr>
            </w:pPr>
            <w:r>
              <w:rPr>
                <w:szCs w:val="26"/>
              </w:rPr>
              <w:t>50.2</w:t>
            </w:r>
            <w:r w:rsidR="00005E2B">
              <w:rPr>
                <w:szCs w:val="26"/>
              </w:rPr>
              <w:t>%</w:t>
            </w:r>
          </w:p>
        </w:tc>
      </w:tr>
      <w:tr w:rsidR="00D904CF" w:rsidRPr="00D904CF" w14:paraId="28F97AAC" w14:textId="77777777" w:rsidTr="00D904CF">
        <w:tc>
          <w:tcPr>
            <w:tcW w:w="2880" w:type="dxa"/>
            <w:shd w:val="clear" w:color="auto" w:fill="auto"/>
          </w:tcPr>
          <w:p w14:paraId="53E57B56" w14:textId="63B6EEF0" w:rsidR="00D904CF" w:rsidRPr="00005E2B" w:rsidRDefault="009B1815" w:rsidP="00D904CF">
            <w:pPr>
              <w:pStyle w:val="TableRowHead"/>
              <w:rPr>
                <w:rFonts w:ascii="Gill Sans MT" w:hAnsi="Gill Sans MT"/>
                <w:b w:val="0"/>
                <w:szCs w:val="26"/>
              </w:rPr>
            </w:pPr>
            <w:r>
              <w:rPr>
                <w:rFonts w:ascii="Gill Sans MT" w:hAnsi="Gill Sans MT"/>
                <w:b w:val="0"/>
                <w:szCs w:val="26"/>
              </w:rPr>
              <w:t xml:space="preserve">Number waiting more </w:t>
            </w:r>
            <w:r w:rsidR="00D904CF" w:rsidRPr="00005E2B">
              <w:rPr>
                <w:rFonts w:ascii="Gill Sans MT" w:hAnsi="Gill Sans MT"/>
                <w:b w:val="0"/>
                <w:szCs w:val="26"/>
              </w:rPr>
              <w:t>than 52 weeks</w:t>
            </w:r>
          </w:p>
        </w:tc>
        <w:tc>
          <w:tcPr>
            <w:tcW w:w="2880" w:type="dxa"/>
            <w:shd w:val="clear" w:color="auto" w:fill="auto"/>
          </w:tcPr>
          <w:p w14:paraId="25B96663" w14:textId="42563E95" w:rsidR="00D904CF" w:rsidRPr="00D904CF" w:rsidRDefault="009B1815" w:rsidP="00F764CA">
            <w:pPr>
              <w:pStyle w:val="TableCell"/>
              <w:jc w:val="right"/>
              <w:rPr>
                <w:szCs w:val="26"/>
              </w:rPr>
            </w:pPr>
            <w:r>
              <w:rPr>
                <w:szCs w:val="26"/>
              </w:rPr>
              <w:t>-</w:t>
            </w:r>
          </w:p>
        </w:tc>
        <w:tc>
          <w:tcPr>
            <w:tcW w:w="2880" w:type="dxa"/>
            <w:shd w:val="clear" w:color="auto" w:fill="auto"/>
          </w:tcPr>
          <w:p w14:paraId="5499BD21" w14:textId="1D0695D4" w:rsidR="00D904CF" w:rsidRPr="00D904CF" w:rsidRDefault="009B1815" w:rsidP="00F764CA">
            <w:pPr>
              <w:pStyle w:val="TableCell"/>
              <w:jc w:val="right"/>
              <w:rPr>
                <w:szCs w:val="26"/>
              </w:rPr>
            </w:pPr>
            <w:r>
              <w:rPr>
                <w:szCs w:val="26"/>
              </w:rPr>
              <w:t>3,051</w:t>
            </w:r>
          </w:p>
        </w:tc>
      </w:tr>
      <w:tr w:rsidR="00D904CF" w:rsidRPr="00D904CF" w14:paraId="5B7F9A8E" w14:textId="77777777" w:rsidTr="00D904CF">
        <w:tc>
          <w:tcPr>
            <w:tcW w:w="2880" w:type="dxa"/>
            <w:shd w:val="clear" w:color="auto" w:fill="auto"/>
          </w:tcPr>
          <w:p w14:paraId="05E3F09B" w14:textId="40C5BCB0" w:rsidR="00D904CF" w:rsidRPr="00D904CF" w:rsidRDefault="00D904CF" w:rsidP="00D904CF">
            <w:pPr>
              <w:pStyle w:val="TableRowHead"/>
              <w:rPr>
                <w:rFonts w:ascii="Gill Sans MT" w:hAnsi="Gill Sans MT"/>
                <w:szCs w:val="26"/>
              </w:rPr>
            </w:pPr>
            <w:r>
              <w:rPr>
                <w:rFonts w:ascii="Gill Sans MT" w:hAnsi="Gill Sans MT"/>
                <w:szCs w:val="26"/>
              </w:rPr>
              <w:t>Occupational Therapy</w:t>
            </w:r>
          </w:p>
        </w:tc>
        <w:tc>
          <w:tcPr>
            <w:tcW w:w="2880" w:type="dxa"/>
            <w:shd w:val="clear" w:color="auto" w:fill="auto"/>
          </w:tcPr>
          <w:p w14:paraId="14920ECD" w14:textId="77777777" w:rsidR="00D904CF" w:rsidRPr="00D904CF" w:rsidRDefault="00D904CF" w:rsidP="00F764CA">
            <w:pPr>
              <w:pStyle w:val="TableCell"/>
              <w:jc w:val="right"/>
              <w:rPr>
                <w:szCs w:val="26"/>
              </w:rPr>
            </w:pPr>
          </w:p>
        </w:tc>
        <w:tc>
          <w:tcPr>
            <w:tcW w:w="2880" w:type="dxa"/>
            <w:shd w:val="clear" w:color="auto" w:fill="auto"/>
          </w:tcPr>
          <w:p w14:paraId="424E938F" w14:textId="77777777" w:rsidR="00D904CF" w:rsidRPr="00D904CF" w:rsidRDefault="00D904CF" w:rsidP="00F764CA">
            <w:pPr>
              <w:pStyle w:val="TableCell"/>
              <w:jc w:val="right"/>
              <w:rPr>
                <w:szCs w:val="26"/>
              </w:rPr>
            </w:pPr>
          </w:p>
        </w:tc>
      </w:tr>
      <w:tr w:rsidR="00D904CF" w:rsidRPr="00D904CF" w14:paraId="63822222" w14:textId="77777777" w:rsidTr="00D904CF">
        <w:tc>
          <w:tcPr>
            <w:tcW w:w="2880" w:type="dxa"/>
            <w:shd w:val="clear" w:color="auto" w:fill="auto"/>
          </w:tcPr>
          <w:p w14:paraId="49592FF9" w14:textId="3809C01A" w:rsidR="00D904CF" w:rsidRPr="00005E2B" w:rsidRDefault="00D904CF" w:rsidP="00D904CF">
            <w:pPr>
              <w:pStyle w:val="TableRowHead"/>
              <w:rPr>
                <w:rFonts w:ascii="Gill Sans MT" w:hAnsi="Gill Sans MT"/>
                <w:b w:val="0"/>
                <w:szCs w:val="26"/>
              </w:rPr>
            </w:pPr>
            <w:r w:rsidRPr="00005E2B">
              <w:rPr>
                <w:rFonts w:ascii="Gill Sans MT" w:hAnsi="Gill Sans MT"/>
                <w:b w:val="0"/>
                <w:szCs w:val="26"/>
              </w:rPr>
              <w:t>Number seen</w:t>
            </w:r>
          </w:p>
        </w:tc>
        <w:tc>
          <w:tcPr>
            <w:tcW w:w="2880" w:type="dxa"/>
            <w:shd w:val="clear" w:color="auto" w:fill="auto"/>
          </w:tcPr>
          <w:p w14:paraId="7D923CFE" w14:textId="40F512E2" w:rsidR="00D904CF" w:rsidRPr="00D904CF" w:rsidRDefault="009B1815" w:rsidP="00F764CA">
            <w:pPr>
              <w:pStyle w:val="TableCell"/>
              <w:jc w:val="right"/>
              <w:rPr>
                <w:szCs w:val="26"/>
              </w:rPr>
            </w:pPr>
            <w:r>
              <w:rPr>
                <w:szCs w:val="26"/>
              </w:rPr>
              <w:t>356,314</w:t>
            </w:r>
          </w:p>
        </w:tc>
        <w:tc>
          <w:tcPr>
            <w:tcW w:w="2880" w:type="dxa"/>
            <w:shd w:val="clear" w:color="auto" w:fill="auto"/>
          </w:tcPr>
          <w:p w14:paraId="6E3ADECC" w14:textId="0190598C" w:rsidR="00D904CF" w:rsidRPr="00D904CF" w:rsidRDefault="009B1815" w:rsidP="00F764CA">
            <w:pPr>
              <w:pStyle w:val="TableCell"/>
              <w:jc w:val="right"/>
              <w:rPr>
                <w:szCs w:val="26"/>
              </w:rPr>
            </w:pPr>
            <w:r>
              <w:rPr>
                <w:szCs w:val="26"/>
              </w:rPr>
              <w:t>382,219</w:t>
            </w:r>
          </w:p>
        </w:tc>
      </w:tr>
      <w:tr w:rsidR="00D904CF" w:rsidRPr="00D904CF" w14:paraId="4D9FC2FD" w14:textId="77777777" w:rsidTr="00D904CF">
        <w:tc>
          <w:tcPr>
            <w:tcW w:w="2880" w:type="dxa"/>
            <w:shd w:val="clear" w:color="auto" w:fill="auto"/>
          </w:tcPr>
          <w:p w14:paraId="12644D18" w14:textId="447E8E85" w:rsidR="00D904CF" w:rsidRPr="00005E2B" w:rsidRDefault="00D904CF" w:rsidP="00D904CF">
            <w:pPr>
              <w:pStyle w:val="TableRowHead"/>
              <w:rPr>
                <w:rFonts w:ascii="Gill Sans MT" w:hAnsi="Gill Sans MT"/>
                <w:b w:val="0"/>
                <w:szCs w:val="26"/>
              </w:rPr>
            </w:pPr>
            <w:r w:rsidRPr="00005E2B">
              <w:rPr>
                <w:rFonts w:ascii="Gill Sans MT" w:hAnsi="Gill Sans MT"/>
                <w:b w:val="0"/>
                <w:szCs w:val="26"/>
              </w:rPr>
              <w:t>Total number waiting</w:t>
            </w:r>
          </w:p>
        </w:tc>
        <w:tc>
          <w:tcPr>
            <w:tcW w:w="2880" w:type="dxa"/>
            <w:shd w:val="clear" w:color="auto" w:fill="auto"/>
          </w:tcPr>
          <w:p w14:paraId="2CEE43EC" w14:textId="1CF1C9FA" w:rsidR="00D904CF" w:rsidRPr="00D904CF" w:rsidRDefault="00005E2B" w:rsidP="00F764CA">
            <w:pPr>
              <w:pStyle w:val="TableCell"/>
              <w:jc w:val="right"/>
              <w:rPr>
                <w:szCs w:val="26"/>
              </w:rPr>
            </w:pPr>
            <w:r>
              <w:rPr>
                <w:szCs w:val="26"/>
              </w:rPr>
              <w:t>31,220</w:t>
            </w:r>
          </w:p>
        </w:tc>
        <w:tc>
          <w:tcPr>
            <w:tcW w:w="2880" w:type="dxa"/>
            <w:shd w:val="clear" w:color="auto" w:fill="auto"/>
          </w:tcPr>
          <w:p w14:paraId="4BB08309" w14:textId="0D37FC87" w:rsidR="00D904CF" w:rsidRPr="00D904CF" w:rsidRDefault="009B1815" w:rsidP="00F764CA">
            <w:pPr>
              <w:pStyle w:val="TableCell"/>
              <w:jc w:val="right"/>
              <w:rPr>
                <w:szCs w:val="26"/>
              </w:rPr>
            </w:pPr>
            <w:r>
              <w:rPr>
                <w:szCs w:val="26"/>
              </w:rPr>
              <w:t>34,343</w:t>
            </w:r>
          </w:p>
        </w:tc>
      </w:tr>
      <w:tr w:rsidR="00D904CF" w:rsidRPr="00D904CF" w14:paraId="45E9A781" w14:textId="77777777" w:rsidTr="00D904CF">
        <w:tc>
          <w:tcPr>
            <w:tcW w:w="2880" w:type="dxa"/>
            <w:shd w:val="clear" w:color="auto" w:fill="auto"/>
          </w:tcPr>
          <w:p w14:paraId="05085222" w14:textId="0DFF8ED6" w:rsidR="00D904CF" w:rsidRPr="00005E2B" w:rsidRDefault="00005E2B" w:rsidP="00D904CF">
            <w:pPr>
              <w:pStyle w:val="TableRowHead"/>
              <w:rPr>
                <w:rFonts w:ascii="Gill Sans MT" w:hAnsi="Gill Sans MT"/>
                <w:b w:val="0"/>
                <w:szCs w:val="26"/>
              </w:rPr>
            </w:pPr>
            <w:r w:rsidRPr="00005E2B">
              <w:rPr>
                <w:rFonts w:ascii="Gill Sans MT" w:hAnsi="Gill Sans MT"/>
                <w:b w:val="0"/>
                <w:szCs w:val="26"/>
              </w:rPr>
              <w:t>% waiting less than 12 weeks</w:t>
            </w:r>
          </w:p>
        </w:tc>
        <w:tc>
          <w:tcPr>
            <w:tcW w:w="2880" w:type="dxa"/>
            <w:shd w:val="clear" w:color="auto" w:fill="auto"/>
          </w:tcPr>
          <w:p w14:paraId="2B439D3F" w14:textId="1C4673A9" w:rsidR="00D904CF" w:rsidRPr="00D904CF" w:rsidRDefault="009B1815" w:rsidP="00F764CA">
            <w:pPr>
              <w:pStyle w:val="TableCell"/>
              <w:jc w:val="right"/>
              <w:rPr>
                <w:szCs w:val="26"/>
              </w:rPr>
            </w:pPr>
            <w:r>
              <w:rPr>
                <w:szCs w:val="26"/>
              </w:rPr>
              <w:t>-</w:t>
            </w:r>
          </w:p>
        </w:tc>
        <w:tc>
          <w:tcPr>
            <w:tcW w:w="2880" w:type="dxa"/>
            <w:shd w:val="clear" w:color="auto" w:fill="auto"/>
          </w:tcPr>
          <w:p w14:paraId="5BF44AE2" w14:textId="6E4069A6" w:rsidR="00D904CF" w:rsidRPr="00D904CF" w:rsidRDefault="009B1815" w:rsidP="00F764CA">
            <w:pPr>
              <w:pStyle w:val="TableCell"/>
              <w:jc w:val="right"/>
              <w:rPr>
                <w:szCs w:val="26"/>
              </w:rPr>
            </w:pPr>
            <w:r>
              <w:rPr>
                <w:szCs w:val="26"/>
              </w:rPr>
              <w:t>26.7</w:t>
            </w:r>
            <w:r w:rsidR="00005E2B">
              <w:rPr>
                <w:szCs w:val="26"/>
              </w:rPr>
              <w:t>%</w:t>
            </w:r>
          </w:p>
        </w:tc>
      </w:tr>
      <w:tr w:rsidR="00D904CF" w:rsidRPr="00D904CF" w14:paraId="2F53393E" w14:textId="77777777" w:rsidTr="00D904CF">
        <w:tc>
          <w:tcPr>
            <w:tcW w:w="2880" w:type="dxa"/>
            <w:shd w:val="clear" w:color="auto" w:fill="auto"/>
          </w:tcPr>
          <w:p w14:paraId="2FCBCCD1" w14:textId="7BDF3C21" w:rsidR="00D904CF" w:rsidRPr="00005E2B" w:rsidRDefault="00005E2B" w:rsidP="009B1815">
            <w:pPr>
              <w:pStyle w:val="TableRowHead"/>
              <w:rPr>
                <w:rFonts w:ascii="Gill Sans MT" w:hAnsi="Gill Sans MT"/>
                <w:b w:val="0"/>
                <w:szCs w:val="26"/>
              </w:rPr>
            </w:pPr>
            <w:r w:rsidRPr="00005E2B">
              <w:rPr>
                <w:rFonts w:ascii="Gill Sans MT" w:hAnsi="Gill Sans MT"/>
                <w:b w:val="0"/>
                <w:szCs w:val="26"/>
              </w:rPr>
              <w:t>Number</w:t>
            </w:r>
            <w:r>
              <w:rPr>
                <w:rFonts w:ascii="Gill Sans MT" w:hAnsi="Gill Sans MT"/>
                <w:b w:val="0"/>
                <w:szCs w:val="26"/>
              </w:rPr>
              <w:t xml:space="preserve"> waiting</w:t>
            </w:r>
            <w:r w:rsidRPr="00005E2B">
              <w:rPr>
                <w:rFonts w:ascii="Gill Sans MT" w:hAnsi="Gill Sans MT"/>
                <w:b w:val="0"/>
                <w:szCs w:val="26"/>
              </w:rPr>
              <w:t xml:space="preserve"> </w:t>
            </w:r>
            <w:r w:rsidR="009B1815">
              <w:rPr>
                <w:rFonts w:ascii="Gill Sans MT" w:hAnsi="Gill Sans MT"/>
                <w:b w:val="0"/>
                <w:szCs w:val="26"/>
              </w:rPr>
              <w:t>more</w:t>
            </w:r>
            <w:r w:rsidRPr="00005E2B">
              <w:rPr>
                <w:rFonts w:ascii="Gill Sans MT" w:hAnsi="Gill Sans MT"/>
                <w:b w:val="0"/>
                <w:szCs w:val="26"/>
              </w:rPr>
              <w:t xml:space="preserve"> than 52 weeks</w:t>
            </w:r>
          </w:p>
        </w:tc>
        <w:tc>
          <w:tcPr>
            <w:tcW w:w="2880" w:type="dxa"/>
            <w:shd w:val="clear" w:color="auto" w:fill="auto"/>
          </w:tcPr>
          <w:p w14:paraId="387D364F" w14:textId="47D22518" w:rsidR="00D904CF" w:rsidRPr="00D904CF" w:rsidRDefault="009B1815" w:rsidP="00F764CA">
            <w:pPr>
              <w:pStyle w:val="TableCell"/>
              <w:jc w:val="right"/>
              <w:rPr>
                <w:szCs w:val="26"/>
              </w:rPr>
            </w:pPr>
            <w:r>
              <w:rPr>
                <w:szCs w:val="26"/>
              </w:rPr>
              <w:t>-</w:t>
            </w:r>
          </w:p>
        </w:tc>
        <w:tc>
          <w:tcPr>
            <w:tcW w:w="2880" w:type="dxa"/>
            <w:shd w:val="clear" w:color="auto" w:fill="auto"/>
          </w:tcPr>
          <w:p w14:paraId="36993A02" w14:textId="147AD270" w:rsidR="00D904CF" w:rsidRPr="00D904CF" w:rsidRDefault="009B1815" w:rsidP="00F764CA">
            <w:pPr>
              <w:pStyle w:val="TableCell"/>
              <w:jc w:val="right"/>
              <w:rPr>
                <w:szCs w:val="26"/>
              </w:rPr>
            </w:pPr>
            <w:r>
              <w:rPr>
                <w:szCs w:val="26"/>
              </w:rPr>
              <w:t>10,017</w:t>
            </w:r>
          </w:p>
        </w:tc>
      </w:tr>
      <w:tr w:rsidR="00D904CF" w:rsidRPr="00D904CF" w14:paraId="6D4F6665" w14:textId="77777777" w:rsidTr="00D904CF">
        <w:tc>
          <w:tcPr>
            <w:tcW w:w="2880" w:type="dxa"/>
            <w:shd w:val="clear" w:color="auto" w:fill="auto"/>
          </w:tcPr>
          <w:p w14:paraId="26C7C330" w14:textId="7BEAFC01" w:rsidR="00D904CF" w:rsidRPr="00D904CF" w:rsidRDefault="00005E2B" w:rsidP="00D904CF">
            <w:pPr>
              <w:pStyle w:val="TableRowHead"/>
              <w:rPr>
                <w:rFonts w:ascii="Gill Sans MT" w:hAnsi="Gill Sans MT"/>
                <w:szCs w:val="26"/>
              </w:rPr>
            </w:pPr>
            <w:r>
              <w:rPr>
                <w:rFonts w:ascii="Gill Sans MT" w:hAnsi="Gill Sans MT"/>
                <w:szCs w:val="26"/>
              </w:rPr>
              <w:t>Speech and Language Therapy</w:t>
            </w:r>
          </w:p>
        </w:tc>
        <w:tc>
          <w:tcPr>
            <w:tcW w:w="2880" w:type="dxa"/>
            <w:shd w:val="clear" w:color="auto" w:fill="auto"/>
          </w:tcPr>
          <w:p w14:paraId="5897BCBC" w14:textId="77777777" w:rsidR="00D904CF" w:rsidRPr="00D904CF" w:rsidRDefault="00D904CF" w:rsidP="00F764CA">
            <w:pPr>
              <w:pStyle w:val="TableCell"/>
              <w:jc w:val="right"/>
              <w:rPr>
                <w:szCs w:val="26"/>
              </w:rPr>
            </w:pPr>
          </w:p>
        </w:tc>
        <w:tc>
          <w:tcPr>
            <w:tcW w:w="2880" w:type="dxa"/>
            <w:shd w:val="clear" w:color="auto" w:fill="auto"/>
          </w:tcPr>
          <w:p w14:paraId="50307042" w14:textId="77777777" w:rsidR="00D904CF" w:rsidRPr="00D904CF" w:rsidRDefault="00D904CF" w:rsidP="00F764CA">
            <w:pPr>
              <w:pStyle w:val="TableCell"/>
              <w:jc w:val="right"/>
              <w:rPr>
                <w:szCs w:val="26"/>
              </w:rPr>
            </w:pPr>
          </w:p>
        </w:tc>
      </w:tr>
      <w:tr w:rsidR="00D904CF" w:rsidRPr="00D904CF" w14:paraId="6C0F2DAF" w14:textId="77777777" w:rsidTr="00D904CF">
        <w:tc>
          <w:tcPr>
            <w:tcW w:w="2880" w:type="dxa"/>
            <w:shd w:val="clear" w:color="auto" w:fill="auto"/>
          </w:tcPr>
          <w:p w14:paraId="1A182967" w14:textId="74CB0683" w:rsidR="00D904CF" w:rsidRPr="00005E2B" w:rsidRDefault="00005E2B" w:rsidP="00D904CF">
            <w:pPr>
              <w:pStyle w:val="TableRowHead"/>
              <w:rPr>
                <w:rFonts w:ascii="Gill Sans MT" w:hAnsi="Gill Sans MT"/>
                <w:b w:val="0"/>
                <w:szCs w:val="26"/>
              </w:rPr>
            </w:pPr>
            <w:r w:rsidRPr="00005E2B">
              <w:rPr>
                <w:rFonts w:ascii="Gill Sans MT" w:hAnsi="Gill Sans MT"/>
                <w:b w:val="0"/>
                <w:szCs w:val="26"/>
              </w:rPr>
              <w:t>Number seen</w:t>
            </w:r>
          </w:p>
        </w:tc>
        <w:tc>
          <w:tcPr>
            <w:tcW w:w="2880" w:type="dxa"/>
            <w:shd w:val="clear" w:color="auto" w:fill="auto"/>
          </w:tcPr>
          <w:p w14:paraId="2BF91FDF" w14:textId="66FDAF60" w:rsidR="00D904CF" w:rsidRPr="00D904CF" w:rsidRDefault="009B1815" w:rsidP="00F764CA">
            <w:pPr>
              <w:pStyle w:val="TableCell"/>
              <w:jc w:val="right"/>
              <w:rPr>
                <w:szCs w:val="26"/>
              </w:rPr>
            </w:pPr>
            <w:r>
              <w:rPr>
                <w:szCs w:val="26"/>
              </w:rPr>
              <w:t>279,803</w:t>
            </w:r>
          </w:p>
        </w:tc>
        <w:tc>
          <w:tcPr>
            <w:tcW w:w="2880" w:type="dxa"/>
            <w:shd w:val="clear" w:color="auto" w:fill="auto"/>
          </w:tcPr>
          <w:p w14:paraId="0F48847B" w14:textId="68BA20BF" w:rsidR="00D904CF" w:rsidRPr="00D904CF" w:rsidRDefault="009B1815" w:rsidP="00F764CA">
            <w:pPr>
              <w:pStyle w:val="TableCell"/>
              <w:jc w:val="right"/>
              <w:rPr>
                <w:szCs w:val="26"/>
              </w:rPr>
            </w:pPr>
            <w:r>
              <w:rPr>
                <w:szCs w:val="26"/>
              </w:rPr>
              <w:t>273,639</w:t>
            </w:r>
          </w:p>
        </w:tc>
      </w:tr>
      <w:tr w:rsidR="00D904CF" w:rsidRPr="00D904CF" w14:paraId="3D780F09" w14:textId="77777777" w:rsidTr="00D904CF">
        <w:tc>
          <w:tcPr>
            <w:tcW w:w="2880" w:type="dxa"/>
            <w:shd w:val="clear" w:color="auto" w:fill="auto"/>
          </w:tcPr>
          <w:p w14:paraId="1D588BF6" w14:textId="6634777B" w:rsidR="00D904CF" w:rsidRPr="00005E2B" w:rsidRDefault="00005E2B" w:rsidP="00D904CF">
            <w:pPr>
              <w:pStyle w:val="TableRowHead"/>
              <w:rPr>
                <w:rFonts w:ascii="Gill Sans MT" w:hAnsi="Gill Sans MT"/>
                <w:b w:val="0"/>
                <w:szCs w:val="26"/>
              </w:rPr>
            </w:pPr>
            <w:r w:rsidRPr="00005E2B">
              <w:rPr>
                <w:rFonts w:ascii="Gill Sans MT" w:hAnsi="Gill Sans MT"/>
                <w:b w:val="0"/>
                <w:szCs w:val="26"/>
              </w:rPr>
              <w:t>Total number waiting</w:t>
            </w:r>
          </w:p>
        </w:tc>
        <w:tc>
          <w:tcPr>
            <w:tcW w:w="2880" w:type="dxa"/>
            <w:shd w:val="clear" w:color="auto" w:fill="auto"/>
          </w:tcPr>
          <w:p w14:paraId="68FE19BB" w14:textId="6F6C630F" w:rsidR="00D904CF" w:rsidRPr="00D904CF" w:rsidRDefault="00005E2B" w:rsidP="00F764CA">
            <w:pPr>
              <w:pStyle w:val="TableCell"/>
              <w:jc w:val="right"/>
              <w:rPr>
                <w:szCs w:val="26"/>
              </w:rPr>
            </w:pPr>
            <w:r>
              <w:rPr>
                <w:szCs w:val="26"/>
              </w:rPr>
              <w:t>14,236</w:t>
            </w:r>
          </w:p>
        </w:tc>
        <w:tc>
          <w:tcPr>
            <w:tcW w:w="2880" w:type="dxa"/>
            <w:shd w:val="clear" w:color="auto" w:fill="auto"/>
          </w:tcPr>
          <w:p w14:paraId="772E1211" w14:textId="50116566" w:rsidR="00D904CF" w:rsidRPr="00D904CF" w:rsidRDefault="009B1815" w:rsidP="00F764CA">
            <w:pPr>
              <w:pStyle w:val="TableCell"/>
              <w:jc w:val="right"/>
              <w:rPr>
                <w:szCs w:val="26"/>
              </w:rPr>
            </w:pPr>
            <w:r>
              <w:rPr>
                <w:szCs w:val="26"/>
              </w:rPr>
              <w:t>16,710</w:t>
            </w:r>
          </w:p>
        </w:tc>
      </w:tr>
      <w:tr w:rsidR="00D904CF" w:rsidRPr="00D904CF" w14:paraId="2EB978EF" w14:textId="77777777" w:rsidTr="00D904CF">
        <w:tc>
          <w:tcPr>
            <w:tcW w:w="2880" w:type="dxa"/>
            <w:shd w:val="clear" w:color="auto" w:fill="auto"/>
          </w:tcPr>
          <w:p w14:paraId="41E5A5A9" w14:textId="63674262" w:rsidR="00D904CF" w:rsidRPr="00005E2B" w:rsidRDefault="00005E2B" w:rsidP="009B1815">
            <w:pPr>
              <w:pStyle w:val="TableRowHead"/>
              <w:rPr>
                <w:rFonts w:ascii="Gill Sans MT" w:hAnsi="Gill Sans MT"/>
                <w:b w:val="0"/>
                <w:szCs w:val="26"/>
              </w:rPr>
            </w:pPr>
            <w:r w:rsidRPr="00005E2B">
              <w:rPr>
                <w:rFonts w:ascii="Gill Sans MT" w:hAnsi="Gill Sans MT"/>
                <w:b w:val="0"/>
                <w:szCs w:val="26"/>
              </w:rPr>
              <w:t xml:space="preserve">Number waiting </w:t>
            </w:r>
            <w:r w:rsidR="009B1815">
              <w:rPr>
                <w:rFonts w:ascii="Gill Sans MT" w:hAnsi="Gill Sans MT"/>
                <w:b w:val="0"/>
                <w:szCs w:val="26"/>
              </w:rPr>
              <w:t>more</w:t>
            </w:r>
            <w:r w:rsidRPr="00005E2B">
              <w:rPr>
                <w:rFonts w:ascii="Gill Sans MT" w:hAnsi="Gill Sans MT"/>
                <w:b w:val="0"/>
                <w:szCs w:val="26"/>
              </w:rPr>
              <w:t xml:space="preserve"> than 52 weeks</w:t>
            </w:r>
          </w:p>
        </w:tc>
        <w:tc>
          <w:tcPr>
            <w:tcW w:w="2880" w:type="dxa"/>
            <w:shd w:val="clear" w:color="auto" w:fill="auto"/>
          </w:tcPr>
          <w:p w14:paraId="2211129F" w14:textId="2075B3EA" w:rsidR="00D904CF" w:rsidRPr="00D904CF" w:rsidRDefault="009B1815" w:rsidP="00F764CA">
            <w:pPr>
              <w:pStyle w:val="TableCell"/>
              <w:jc w:val="right"/>
              <w:rPr>
                <w:szCs w:val="26"/>
              </w:rPr>
            </w:pPr>
            <w:r>
              <w:rPr>
                <w:szCs w:val="26"/>
              </w:rPr>
              <w:t>-</w:t>
            </w:r>
          </w:p>
        </w:tc>
        <w:tc>
          <w:tcPr>
            <w:tcW w:w="2880" w:type="dxa"/>
            <w:shd w:val="clear" w:color="auto" w:fill="auto"/>
          </w:tcPr>
          <w:p w14:paraId="04042985" w14:textId="61E55213" w:rsidR="00D904CF" w:rsidRPr="00D904CF" w:rsidRDefault="009B1815" w:rsidP="00F764CA">
            <w:pPr>
              <w:pStyle w:val="TableCell"/>
              <w:jc w:val="right"/>
              <w:rPr>
                <w:szCs w:val="26"/>
              </w:rPr>
            </w:pPr>
            <w:r>
              <w:rPr>
                <w:szCs w:val="26"/>
              </w:rPr>
              <w:t>1,410</w:t>
            </w:r>
          </w:p>
        </w:tc>
      </w:tr>
    </w:tbl>
    <w:p w14:paraId="63ED7A7F" w14:textId="494C1614" w:rsidR="00005E2B" w:rsidRPr="00005E2B" w:rsidRDefault="00D904CF" w:rsidP="00AA6F56">
      <w:pPr>
        <w:pStyle w:val="TableNote"/>
      </w:pPr>
      <w:r>
        <w:t xml:space="preserve">Source: </w:t>
      </w:r>
      <w:r w:rsidR="00005E2B">
        <w:t xml:space="preserve">HSE Performance Report, </w:t>
      </w:r>
      <w:r w:rsidR="009B1815">
        <w:t>October</w:t>
      </w:r>
      <w:r w:rsidR="00005E2B">
        <w:t xml:space="preserve"> – </w:t>
      </w:r>
      <w:r w:rsidR="009B1815">
        <w:t>Dec</w:t>
      </w:r>
      <w:r w:rsidR="00005E2B">
        <w:t>ember 2019</w:t>
      </w:r>
      <w:r w:rsidR="00B147D0">
        <w:rPr>
          <w:rStyle w:val="FootnoteReference"/>
        </w:rPr>
        <w:footnoteReference w:id="55"/>
      </w:r>
    </w:p>
    <w:p w14:paraId="2E4641BB" w14:textId="64C9F28B" w:rsidR="00D904CF" w:rsidRDefault="005735DB" w:rsidP="00A009D0">
      <w:pPr>
        <w:pStyle w:val="TableTitle"/>
      </w:pPr>
      <w:r>
        <w:t xml:space="preserve">Table 2: </w:t>
      </w:r>
      <w:r w:rsidR="00A009D0">
        <w:t>Treatment Waiting List</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2880"/>
        <w:gridCol w:w="2880"/>
      </w:tblGrid>
      <w:tr w:rsidR="00A009D0" w:rsidRPr="00A009D0" w14:paraId="744C5563" w14:textId="77777777" w:rsidTr="00A009D0">
        <w:trPr>
          <w:tblHeader/>
        </w:trPr>
        <w:tc>
          <w:tcPr>
            <w:tcW w:w="2880" w:type="dxa"/>
            <w:tcBorders>
              <w:bottom w:val="single" w:sz="12" w:space="0" w:color="000000"/>
            </w:tcBorders>
            <w:shd w:val="clear" w:color="auto" w:fill="auto"/>
          </w:tcPr>
          <w:p w14:paraId="57FFCC03" w14:textId="26BBC34D" w:rsidR="00A009D0" w:rsidRPr="00A009D0" w:rsidRDefault="00A009D0" w:rsidP="00A009D0">
            <w:pPr>
              <w:pStyle w:val="TableHead"/>
            </w:pPr>
            <w:r>
              <w:t>Speech &amp; Language Therapy</w:t>
            </w:r>
          </w:p>
        </w:tc>
        <w:tc>
          <w:tcPr>
            <w:tcW w:w="2880" w:type="dxa"/>
            <w:tcBorders>
              <w:bottom w:val="single" w:sz="12" w:space="0" w:color="000000"/>
            </w:tcBorders>
            <w:shd w:val="clear" w:color="auto" w:fill="auto"/>
          </w:tcPr>
          <w:p w14:paraId="0B427AFD" w14:textId="28A7CE9B" w:rsidR="00A009D0" w:rsidRPr="00A009D0" w:rsidRDefault="00A009D0" w:rsidP="00F764CA">
            <w:pPr>
              <w:pStyle w:val="TableHead"/>
              <w:jc w:val="right"/>
            </w:pPr>
            <w:r>
              <w:t>Expected Activity / Target</w:t>
            </w:r>
          </w:p>
        </w:tc>
        <w:tc>
          <w:tcPr>
            <w:tcW w:w="2880" w:type="dxa"/>
            <w:tcBorders>
              <w:bottom w:val="single" w:sz="12" w:space="0" w:color="000000"/>
            </w:tcBorders>
            <w:shd w:val="clear" w:color="auto" w:fill="auto"/>
          </w:tcPr>
          <w:p w14:paraId="107504F8" w14:textId="2CE9D902" w:rsidR="00A009D0" w:rsidRPr="00A009D0" w:rsidRDefault="00A009D0" w:rsidP="00F764CA">
            <w:pPr>
              <w:pStyle w:val="TableHead"/>
              <w:jc w:val="right"/>
            </w:pPr>
            <w:r>
              <w:t xml:space="preserve">January – </w:t>
            </w:r>
            <w:r w:rsidR="008E1504">
              <w:t>Dec</w:t>
            </w:r>
            <w:r>
              <w:t>ember 2019</w:t>
            </w:r>
          </w:p>
        </w:tc>
      </w:tr>
      <w:tr w:rsidR="00A009D0" w:rsidRPr="00A009D0" w14:paraId="3305F69B" w14:textId="77777777" w:rsidTr="00A009D0">
        <w:tc>
          <w:tcPr>
            <w:tcW w:w="2880" w:type="dxa"/>
            <w:tcBorders>
              <w:top w:val="single" w:sz="12" w:space="0" w:color="000000"/>
            </w:tcBorders>
            <w:shd w:val="clear" w:color="auto" w:fill="auto"/>
          </w:tcPr>
          <w:p w14:paraId="2F74B91E" w14:textId="409667D0" w:rsidR="00A009D0" w:rsidRPr="00A009D0" w:rsidRDefault="00A009D0" w:rsidP="00A009D0">
            <w:pPr>
              <w:pStyle w:val="TableRowHead"/>
              <w:rPr>
                <w:rFonts w:ascii="Gill Sans MT" w:hAnsi="Gill Sans MT"/>
                <w:b w:val="0"/>
              </w:rPr>
            </w:pPr>
            <w:r w:rsidRPr="00A009D0">
              <w:rPr>
                <w:rFonts w:ascii="Gill Sans MT" w:hAnsi="Gill Sans MT"/>
                <w:b w:val="0"/>
              </w:rPr>
              <w:t>Total number waiting</w:t>
            </w:r>
          </w:p>
        </w:tc>
        <w:tc>
          <w:tcPr>
            <w:tcW w:w="2880" w:type="dxa"/>
            <w:tcBorders>
              <w:top w:val="single" w:sz="12" w:space="0" w:color="000000"/>
            </w:tcBorders>
            <w:shd w:val="clear" w:color="auto" w:fill="auto"/>
          </w:tcPr>
          <w:p w14:paraId="2BEE7B02" w14:textId="2BFFBFA1" w:rsidR="00A009D0" w:rsidRPr="00A009D0" w:rsidRDefault="00A009D0" w:rsidP="00F764CA">
            <w:pPr>
              <w:pStyle w:val="TableCell"/>
              <w:jc w:val="right"/>
            </w:pPr>
            <w:r>
              <w:t>7,939</w:t>
            </w:r>
          </w:p>
        </w:tc>
        <w:tc>
          <w:tcPr>
            <w:tcW w:w="2880" w:type="dxa"/>
            <w:tcBorders>
              <w:top w:val="single" w:sz="12" w:space="0" w:color="000000"/>
            </w:tcBorders>
            <w:shd w:val="clear" w:color="auto" w:fill="auto"/>
          </w:tcPr>
          <w:p w14:paraId="76F1BDA9" w14:textId="12E6CB58" w:rsidR="00A009D0" w:rsidRPr="00A009D0" w:rsidRDefault="008E1504" w:rsidP="00F764CA">
            <w:pPr>
              <w:pStyle w:val="TableCell"/>
              <w:jc w:val="right"/>
            </w:pPr>
            <w:r>
              <w:t>9,039</w:t>
            </w:r>
          </w:p>
        </w:tc>
      </w:tr>
      <w:tr w:rsidR="00A009D0" w:rsidRPr="00A009D0" w14:paraId="5982194A" w14:textId="77777777" w:rsidTr="00A009D0">
        <w:tc>
          <w:tcPr>
            <w:tcW w:w="2880" w:type="dxa"/>
            <w:shd w:val="clear" w:color="auto" w:fill="auto"/>
          </w:tcPr>
          <w:p w14:paraId="06D255AE" w14:textId="513C110B" w:rsidR="00A009D0" w:rsidRPr="00A009D0" w:rsidRDefault="00A009D0" w:rsidP="008E1504">
            <w:pPr>
              <w:pStyle w:val="TableRowHead"/>
              <w:rPr>
                <w:rFonts w:ascii="Gill Sans MT" w:hAnsi="Gill Sans MT"/>
                <w:b w:val="0"/>
              </w:rPr>
            </w:pPr>
            <w:r w:rsidRPr="00A009D0">
              <w:rPr>
                <w:rFonts w:ascii="Gill Sans MT" w:hAnsi="Gill Sans MT"/>
                <w:b w:val="0"/>
              </w:rPr>
              <w:lastRenderedPageBreak/>
              <w:t xml:space="preserve">Number waiting </w:t>
            </w:r>
            <w:r w:rsidR="008E1504">
              <w:rPr>
                <w:rFonts w:ascii="Gill Sans MT" w:hAnsi="Gill Sans MT"/>
                <w:b w:val="0"/>
              </w:rPr>
              <w:t>more</w:t>
            </w:r>
            <w:r w:rsidRPr="00A009D0">
              <w:rPr>
                <w:rFonts w:ascii="Gill Sans MT" w:hAnsi="Gill Sans MT"/>
                <w:b w:val="0"/>
              </w:rPr>
              <w:t xml:space="preserve"> than 52 weeks</w:t>
            </w:r>
          </w:p>
        </w:tc>
        <w:tc>
          <w:tcPr>
            <w:tcW w:w="2880" w:type="dxa"/>
            <w:shd w:val="clear" w:color="auto" w:fill="auto"/>
          </w:tcPr>
          <w:p w14:paraId="4E2D9E9F" w14:textId="60073D3B" w:rsidR="00A009D0" w:rsidRPr="00A009D0" w:rsidRDefault="008E1504" w:rsidP="00F764CA">
            <w:pPr>
              <w:pStyle w:val="TableCell"/>
              <w:jc w:val="right"/>
            </w:pPr>
            <w:r>
              <w:t>-</w:t>
            </w:r>
          </w:p>
        </w:tc>
        <w:tc>
          <w:tcPr>
            <w:tcW w:w="2880" w:type="dxa"/>
            <w:shd w:val="clear" w:color="auto" w:fill="auto"/>
          </w:tcPr>
          <w:p w14:paraId="472B0C42" w14:textId="6F4EAA05" w:rsidR="00A009D0" w:rsidRPr="00A009D0" w:rsidRDefault="00A009D0" w:rsidP="00F764CA">
            <w:pPr>
              <w:pStyle w:val="TableCell"/>
              <w:jc w:val="right"/>
            </w:pPr>
            <w:r>
              <w:t>1,</w:t>
            </w:r>
            <w:r w:rsidR="008E1504">
              <w:t>617</w:t>
            </w:r>
          </w:p>
        </w:tc>
      </w:tr>
    </w:tbl>
    <w:p w14:paraId="1E93FC8D" w14:textId="5564F510" w:rsidR="00A009D0" w:rsidRDefault="00A009D0" w:rsidP="00A009D0">
      <w:pPr>
        <w:pStyle w:val="TableNote"/>
      </w:pPr>
      <w:r>
        <w:t xml:space="preserve">Source: </w:t>
      </w:r>
      <w:r w:rsidRPr="00A009D0">
        <w:t xml:space="preserve">HSE Performance Report, </w:t>
      </w:r>
      <w:r w:rsidR="008E1504">
        <w:t>October</w:t>
      </w:r>
      <w:r w:rsidRPr="00A009D0">
        <w:t xml:space="preserve"> – </w:t>
      </w:r>
      <w:r w:rsidR="008E1504">
        <w:t>Dec</w:t>
      </w:r>
      <w:r w:rsidRPr="00A009D0">
        <w:t>ember 2019</w:t>
      </w:r>
      <w:r w:rsidR="00B147D0">
        <w:rPr>
          <w:rStyle w:val="FootnoteReference"/>
        </w:rPr>
        <w:footnoteReference w:id="56"/>
      </w:r>
    </w:p>
    <w:p w14:paraId="69B449A3" w14:textId="77777777" w:rsidR="00A009D0" w:rsidRPr="00A009D0" w:rsidRDefault="00A009D0" w:rsidP="00A009D0"/>
    <w:p w14:paraId="67FD878E" w14:textId="77777777" w:rsidR="00DA6B87" w:rsidRDefault="00DA6B87" w:rsidP="00456DDB">
      <w:pPr>
        <w:pStyle w:val="Heading1"/>
      </w:pPr>
      <w:bookmarkStart w:id="27" w:name="_Toc90030710"/>
      <w:r>
        <w:t>Oral Health</w:t>
      </w:r>
      <w:bookmarkEnd w:id="27"/>
    </w:p>
    <w:p w14:paraId="0446374B" w14:textId="77777777" w:rsidR="00B17D69" w:rsidRDefault="00B17D69" w:rsidP="00B17D69">
      <w:pPr>
        <w:pStyle w:val="Heading2"/>
      </w:pPr>
      <w:bookmarkStart w:id="28" w:name="_Toc90030711"/>
      <w:r>
        <w:t>Key data and statistics</w:t>
      </w:r>
      <w:bookmarkEnd w:id="28"/>
    </w:p>
    <w:p w14:paraId="14C3F085" w14:textId="77777777" w:rsidR="00B17D69" w:rsidRPr="00B17D69" w:rsidRDefault="00B17D69" w:rsidP="00B17D69">
      <w:pPr>
        <w:pStyle w:val="Heading3"/>
      </w:pPr>
      <w:r>
        <w:t>National Oral Health Survey</w:t>
      </w:r>
    </w:p>
    <w:p w14:paraId="3BEEE19A" w14:textId="037D7A90" w:rsidR="0076203B" w:rsidRDefault="00CD601B" w:rsidP="0076203B">
      <w:r>
        <w:t>The NDA notes that a</w:t>
      </w:r>
      <w:r w:rsidR="009C5B5F">
        <w:t xml:space="preserve"> National Oral Health S</w:t>
      </w:r>
      <w:r w:rsidR="00A22D05">
        <w:t>urvey</w:t>
      </w:r>
      <w:r w:rsidR="00966338">
        <w:t xml:space="preserve"> of adults with an intellectual disability </w:t>
      </w:r>
      <w:r>
        <w:t>was undertaken in 2003. It comprised</w:t>
      </w:r>
      <w:r w:rsidR="00A22D05">
        <w:t xml:space="preserve"> of </w:t>
      </w:r>
      <w:r w:rsidR="00481AF9">
        <w:t xml:space="preserve">281 </w:t>
      </w:r>
      <w:r w:rsidR="00A22D05">
        <w:t xml:space="preserve">adults with an </w:t>
      </w:r>
      <w:r w:rsidR="00A22D05" w:rsidRPr="00A22D05">
        <w:t>intellectual disability</w:t>
      </w:r>
      <w:r w:rsidR="0076203B">
        <w:t xml:space="preserve"> in </w:t>
      </w:r>
      <w:r w:rsidR="00481AF9">
        <w:t xml:space="preserve">27 </w:t>
      </w:r>
      <w:r w:rsidR="0076203B">
        <w:t>residential care</w:t>
      </w:r>
      <w:r w:rsidR="00481AF9">
        <w:t xml:space="preserve"> units</w:t>
      </w:r>
      <w:r w:rsidR="0076203B">
        <w:t xml:space="preserve"> </w:t>
      </w:r>
      <w:r>
        <w:t xml:space="preserve">and </w:t>
      </w:r>
      <w:r w:rsidR="0076203B">
        <w:t>was carried out</w:t>
      </w:r>
      <w:r w:rsidR="00481AF9">
        <w:t xml:space="preserve"> by</w:t>
      </w:r>
      <w:r w:rsidR="0076203B">
        <w:t xml:space="preserve"> 1</w:t>
      </w:r>
      <w:r w:rsidR="0076203B" w:rsidRPr="0076203B">
        <w:t>0 teams of den</w:t>
      </w:r>
      <w:r w:rsidR="0076203B">
        <w:t>tists and dental nurses.</w:t>
      </w:r>
      <w:r w:rsidR="0076203B">
        <w:rPr>
          <w:rStyle w:val="FootnoteReference"/>
        </w:rPr>
        <w:footnoteReference w:id="57"/>
      </w:r>
      <w:r w:rsidR="0076203B">
        <w:t xml:space="preserve"> It found that:</w:t>
      </w:r>
    </w:p>
    <w:p w14:paraId="5651AF21" w14:textId="77777777" w:rsidR="0076203B" w:rsidRDefault="0076203B" w:rsidP="0076203B">
      <w:pPr>
        <w:pStyle w:val="ListBullet"/>
      </w:pPr>
      <w:r w:rsidRPr="0076203B">
        <w:t>Treatment of decayed teeth by extraction is more common among adults with an intellectual disability that in adu</w:t>
      </w:r>
      <w:r>
        <w:t>lts from the general population</w:t>
      </w:r>
    </w:p>
    <w:p w14:paraId="16B86B31" w14:textId="7FD38ACD" w:rsidR="0076203B" w:rsidRDefault="0076203B" w:rsidP="0076203B">
      <w:pPr>
        <w:pStyle w:val="ListBullet"/>
      </w:pPr>
      <w:r w:rsidRPr="0076203B">
        <w:t>Loss of all natural teeth is much more common in adults with an intellectual disability than</w:t>
      </w:r>
      <w:r>
        <w:t xml:space="preserve"> </w:t>
      </w:r>
      <w:r w:rsidRPr="0076203B">
        <w:t>adults in the general population</w:t>
      </w:r>
      <w:r w:rsidR="00966338">
        <w:t xml:space="preserve">; </w:t>
      </w:r>
      <w:r>
        <w:t>61%</w:t>
      </w:r>
      <w:r w:rsidRPr="0076203B">
        <w:t xml:space="preserve"> of adults with an intellectual disability</w:t>
      </w:r>
      <w:r>
        <w:t xml:space="preserve"> </w:t>
      </w:r>
      <w:r w:rsidRPr="0076203B">
        <w:t>in full time resi</w:t>
      </w:r>
      <w:r w:rsidR="00C234A2">
        <w:t>dential care aged 55+ years had</w:t>
      </w:r>
      <w:r w:rsidRPr="0076203B">
        <w:t xml:space="preserve"> no natural teeth compared to 41% of adults</w:t>
      </w:r>
      <w:r>
        <w:t xml:space="preserve"> </w:t>
      </w:r>
      <w:r w:rsidRPr="0076203B">
        <w:t>aged 65+ years in the general population. The majority of the adults with an intellectual disability who are missing all their own natural teeth do not wear dentures and have been</w:t>
      </w:r>
      <w:r>
        <w:t xml:space="preserve"> </w:t>
      </w:r>
      <w:r w:rsidRPr="0076203B">
        <w:t>assessed by the dentists as not being suitable for dentur</w:t>
      </w:r>
      <w:r>
        <w:t>es</w:t>
      </w:r>
    </w:p>
    <w:p w14:paraId="3BF50759" w14:textId="77777777" w:rsidR="0076203B" w:rsidRDefault="0076203B" w:rsidP="0076203B">
      <w:pPr>
        <w:pStyle w:val="ListBullet"/>
      </w:pPr>
      <w:r>
        <w:lastRenderedPageBreak/>
        <w:t>T</w:t>
      </w:r>
      <w:r w:rsidRPr="0076203B">
        <w:t>he vast majority of adults examined as part of this study had gingivitis (early gum disease)</w:t>
      </w:r>
    </w:p>
    <w:p w14:paraId="4227C549" w14:textId="77777777" w:rsidR="004811B6" w:rsidRDefault="0076203B" w:rsidP="002C063C">
      <w:pPr>
        <w:pStyle w:val="ListBullet"/>
        <w:numPr>
          <w:ilvl w:val="0"/>
          <w:numId w:val="0"/>
        </w:numPr>
      </w:pPr>
      <w:r>
        <w:t>The</w:t>
      </w:r>
      <w:r w:rsidRPr="0076203B">
        <w:t xml:space="preserve"> study </w:t>
      </w:r>
      <w:r w:rsidR="00342593">
        <w:t>recommended that</w:t>
      </w:r>
      <w:r w:rsidRPr="0076203B">
        <w:t xml:space="preserve"> both primary and secondary</w:t>
      </w:r>
      <w:r>
        <w:t xml:space="preserve"> </w:t>
      </w:r>
      <w:r w:rsidRPr="0076203B">
        <w:t>dental services for adults with an intellectual disability in residential care in Ireland</w:t>
      </w:r>
      <w:r w:rsidR="00342593">
        <w:t xml:space="preserve"> be expanded</w:t>
      </w:r>
      <w:r w:rsidR="00C234A2">
        <w:t>, and</w:t>
      </w:r>
      <w:r w:rsidR="00342593">
        <w:t xml:space="preserve"> that</w:t>
      </w:r>
      <w:r w:rsidRPr="0076203B">
        <w:t xml:space="preserve"> training </w:t>
      </w:r>
      <w:r w:rsidR="00342593">
        <w:t xml:space="preserve">be provided to </w:t>
      </w:r>
      <w:r w:rsidRPr="0076203B">
        <w:t>care staff in oral health care for adults with an intellectual disability</w:t>
      </w:r>
      <w:r>
        <w:t>.</w:t>
      </w:r>
      <w:r w:rsidR="003B1498">
        <w:t xml:space="preserve"> </w:t>
      </w:r>
    </w:p>
    <w:p w14:paraId="0AC86733" w14:textId="77777777" w:rsidR="004811B6" w:rsidRDefault="004811B6" w:rsidP="004811B6">
      <w:pPr>
        <w:pStyle w:val="Heading3"/>
      </w:pPr>
      <w:r>
        <w:t>IDS-TILDA</w:t>
      </w:r>
    </w:p>
    <w:p w14:paraId="452BD5A9" w14:textId="77777777" w:rsidR="002C063C" w:rsidRDefault="00C234A2" w:rsidP="002C063C">
      <w:pPr>
        <w:pStyle w:val="ListBullet"/>
        <w:numPr>
          <w:ilvl w:val="0"/>
          <w:numId w:val="0"/>
        </w:numPr>
      </w:pPr>
      <w:r>
        <w:t>Results of Wave 3 of t</w:t>
      </w:r>
      <w:r w:rsidR="002C063C" w:rsidRPr="002C063C">
        <w:t>he Intellectual Disability Supplement to TILDA (</w:t>
      </w:r>
      <w:r w:rsidR="002C063C" w:rsidRPr="002C063C">
        <w:rPr>
          <w:b/>
        </w:rPr>
        <w:t>IDS-TILDA)</w:t>
      </w:r>
      <w:r>
        <w:t xml:space="preserve">, </w:t>
      </w:r>
      <w:r w:rsidRPr="00C234A2">
        <w:t>a longitudinal study researching ageing in Ireland among people with an intellect</w:t>
      </w:r>
      <w:r>
        <w:t>ual disability aged 40 and over, found that</w:t>
      </w:r>
      <w:r w:rsidR="0042550B">
        <w:rPr>
          <w:rStyle w:val="FootnoteReference"/>
        </w:rPr>
        <w:footnoteReference w:id="58"/>
      </w:r>
      <w:r>
        <w:t>:</w:t>
      </w:r>
    </w:p>
    <w:p w14:paraId="3DB08ED5" w14:textId="77777777" w:rsidR="002C063C" w:rsidRDefault="00342593" w:rsidP="002C063C">
      <w:pPr>
        <w:pStyle w:val="ListBullet"/>
      </w:pPr>
      <w:r>
        <w:t>28.3%</w:t>
      </w:r>
      <w:r w:rsidR="002C063C" w:rsidRPr="002C063C">
        <w:t xml:space="preserve"> participants reported that they had</w:t>
      </w:r>
      <w:r w:rsidR="002C063C">
        <w:t xml:space="preserve"> no teeth at all. </w:t>
      </w:r>
      <w:r w:rsidR="002C063C" w:rsidRPr="002C063C">
        <w:t>In contrast, only 16.9% of Wave 3 TILDA partici</w:t>
      </w:r>
      <w:r w:rsidR="002C063C">
        <w:t>pants reported total tooth loss</w:t>
      </w:r>
    </w:p>
    <w:p w14:paraId="3964646F" w14:textId="77777777" w:rsidR="002C063C" w:rsidRDefault="002C063C" w:rsidP="002C063C">
      <w:pPr>
        <w:pStyle w:val="ListBullet"/>
      </w:pPr>
      <w:r w:rsidRPr="002C063C">
        <w:t xml:space="preserve">When total tooth loss occurred, </w:t>
      </w:r>
      <w:r w:rsidR="00C234A2">
        <w:t>67.8% of</w:t>
      </w:r>
      <w:r w:rsidRPr="002C063C">
        <w:t xml:space="preserve"> people with intellectual disability </w:t>
      </w:r>
      <w:r w:rsidR="00C234A2">
        <w:t>without any teeth</w:t>
      </w:r>
      <w:r w:rsidRPr="002C063C">
        <w:t xml:space="preserve"> did not receive prosthetic dentures to restore </w:t>
      </w:r>
      <w:r w:rsidR="007C32D4">
        <w:t>function.</w:t>
      </w:r>
      <w:r w:rsidRPr="002C063C">
        <w:t xml:space="preserve"> Conversely, this did not occur among the TILDA Wave 3 sample</w:t>
      </w:r>
      <w:r w:rsidR="00C234A2">
        <w:t>,</w:t>
      </w:r>
      <w:r w:rsidRPr="002C063C">
        <w:t xml:space="preserve"> where only 5.3% of those without teeth were without dentures</w:t>
      </w:r>
    </w:p>
    <w:p w14:paraId="5B6DD51B" w14:textId="1B2A2BEE" w:rsidR="002C063C" w:rsidRDefault="002C063C" w:rsidP="002C063C">
      <w:pPr>
        <w:pStyle w:val="ListBullet"/>
      </w:pPr>
      <w:r w:rsidRPr="002C063C">
        <w:t xml:space="preserve">As with the general population, tooth loss increased with age among participants </w:t>
      </w:r>
      <w:r>
        <w:t xml:space="preserve">with an intellectual disability. </w:t>
      </w:r>
      <w:r w:rsidR="003030DF">
        <w:t>Only 7</w:t>
      </w:r>
      <w:r w:rsidRPr="002C063C">
        <w:t>% of people under 50 years were edentulous</w:t>
      </w:r>
      <w:r w:rsidR="00F47110">
        <w:t xml:space="preserve"> (without teeth)</w:t>
      </w:r>
      <w:r w:rsidRPr="002C063C">
        <w:t>, compared to 23.1% of those aged 50-64 years and</w:t>
      </w:r>
      <w:r w:rsidR="003030DF">
        <w:t xml:space="preserve"> 50.6% of those aged 65+ years</w:t>
      </w:r>
    </w:p>
    <w:p w14:paraId="1F956465" w14:textId="77777777" w:rsidR="002C063C" w:rsidRDefault="002C063C" w:rsidP="002C063C">
      <w:pPr>
        <w:pStyle w:val="ListBullet"/>
      </w:pPr>
      <w:r w:rsidRPr="002C063C">
        <w:t xml:space="preserve">The frequency of total tooth loss also increased across residential settings; 19.6% of those living independently / with family </w:t>
      </w:r>
      <w:r w:rsidR="003030DF">
        <w:t>were edentulous</w:t>
      </w:r>
      <w:r w:rsidR="00C234A2">
        <w:t>,</w:t>
      </w:r>
      <w:r w:rsidR="003030DF">
        <w:t xml:space="preserve"> compared to 23</w:t>
      </w:r>
      <w:r w:rsidRPr="002C063C">
        <w:t>% in community group homes</w:t>
      </w:r>
      <w:r w:rsidR="003030DF">
        <w:t xml:space="preserve"> and 36.3% in residential care</w:t>
      </w:r>
    </w:p>
    <w:p w14:paraId="41394CA2" w14:textId="69ED9DB2" w:rsidR="002C063C" w:rsidRDefault="002C063C" w:rsidP="002C063C">
      <w:pPr>
        <w:pStyle w:val="ListBullet"/>
      </w:pPr>
      <w:r w:rsidRPr="002C063C">
        <w:lastRenderedPageBreak/>
        <w:t xml:space="preserve">Self-reported oral health was almost identical in the TILDA and IDS-TILDA samples. IDS-TILDA </w:t>
      </w:r>
      <w:r w:rsidR="00C234A2">
        <w:t xml:space="preserve">saw </w:t>
      </w:r>
      <w:r w:rsidRPr="002C063C">
        <w:t>39.4% of participants reporting excellent or ver</w:t>
      </w:r>
      <w:r w:rsidR="003030DF">
        <w:t>y good oral health</w:t>
      </w:r>
      <w:r w:rsidRPr="002C063C">
        <w:t>. T</w:t>
      </w:r>
      <w:r w:rsidR="003030DF">
        <w:t xml:space="preserve">his compared to 39.5% </w:t>
      </w:r>
      <w:r w:rsidRPr="002C063C">
        <w:t xml:space="preserve">in TILDA. Despite poorer oral conditions, people with </w:t>
      </w:r>
      <w:r w:rsidR="003030DF">
        <w:t>intellectual disabilities</w:t>
      </w:r>
      <w:r w:rsidRPr="002C063C">
        <w:t xml:space="preserve"> were just as likely to be happy with their oral health</w:t>
      </w:r>
      <w:r w:rsidR="00F47110">
        <w:t>.</w:t>
      </w:r>
    </w:p>
    <w:p w14:paraId="4E3DC9CD" w14:textId="77777777" w:rsidR="003B1498" w:rsidRDefault="003B1498" w:rsidP="003B1498">
      <w:pPr>
        <w:pStyle w:val="Heading2"/>
      </w:pPr>
      <w:bookmarkStart w:id="29" w:name="_Toc90030712"/>
      <w:r>
        <w:t>Oral health services</w:t>
      </w:r>
      <w:bookmarkEnd w:id="29"/>
    </w:p>
    <w:p w14:paraId="3373AD57" w14:textId="59CAB364" w:rsidR="003B1498" w:rsidRPr="003B1498" w:rsidRDefault="003B1498" w:rsidP="003B1498">
      <w:r w:rsidRPr="003B1498">
        <w:t xml:space="preserve">Primary oral healthcare services for medical card holders (including </w:t>
      </w:r>
      <w:r w:rsidR="008D57EB">
        <w:t>for medical card holders</w:t>
      </w:r>
      <w:r w:rsidRPr="003B1498">
        <w:t xml:space="preserve"> with a disability) are provided by local dentists and their teams. The dentist is the first point of contact for all oral healthcare services, and most oral healthcare </w:t>
      </w:r>
      <w:r w:rsidR="00966338">
        <w:t>is</w:t>
      </w:r>
      <w:r w:rsidR="00966338" w:rsidRPr="003B1498">
        <w:t xml:space="preserve"> </w:t>
      </w:r>
      <w:r w:rsidRPr="003B1498">
        <w:t>delivered in this primary oral healthcare setting. Community oral healthcare services provide services to vulnerable people, including persons with a disability, referred from their local dentist for episodic care. However, in some cases – such as for people living in residential care or for people with moderate to profound disabilities – services may be provided long term by community oral healthcare services.</w:t>
      </w:r>
      <w:r w:rsidR="0042550B">
        <w:rPr>
          <w:rStyle w:val="FootnoteReference"/>
        </w:rPr>
        <w:footnoteReference w:id="59"/>
      </w:r>
    </w:p>
    <w:p w14:paraId="77CDC3B6" w14:textId="77777777" w:rsidR="00B17D69" w:rsidRDefault="00B17D69" w:rsidP="003B1498">
      <w:pPr>
        <w:pStyle w:val="Heading2"/>
      </w:pPr>
      <w:bookmarkStart w:id="30" w:name="_Toc90030713"/>
      <w:r>
        <w:t>Policy and regulatory landscape</w:t>
      </w:r>
      <w:bookmarkEnd w:id="30"/>
    </w:p>
    <w:p w14:paraId="2BDA068B" w14:textId="77777777" w:rsidR="003B1498" w:rsidRPr="003B1498" w:rsidRDefault="003B1498" w:rsidP="003B1498">
      <w:pPr>
        <w:pStyle w:val="Heading3"/>
      </w:pPr>
      <w:r w:rsidRPr="003B1498">
        <w:t>Oral Health and Disability: the way forward</w:t>
      </w:r>
    </w:p>
    <w:p w14:paraId="6639CBD9" w14:textId="4C35101B" w:rsidR="007064F0" w:rsidRDefault="00966338" w:rsidP="00B14618">
      <w:r>
        <w:t>In 2005, t</w:t>
      </w:r>
      <w:r w:rsidR="00481AF9">
        <w:t xml:space="preserve">he NDA, the Dental Health Foundation and Trinity College Dublin published a position paper entitled </w:t>
      </w:r>
      <w:r w:rsidR="00481AF9" w:rsidRPr="00481AF9">
        <w:t>“</w:t>
      </w:r>
      <w:r w:rsidR="00481AF9" w:rsidRPr="00481AF9">
        <w:rPr>
          <w:b/>
        </w:rPr>
        <w:t>Oral Health and Disability: the way forward</w:t>
      </w:r>
      <w:r w:rsidR="00481AF9" w:rsidRPr="00481AF9">
        <w:t>”</w:t>
      </w:r>
      <w:r w:rsidR="007064F0">
        <w:t xml:space="preserve"> outlining ten recommendations for enhancing the oral health of people with disabilities.</w:t>
      </w:r>
      <w:r w:rsidR="0042550B">
        <w:rPr>
          <w:rStyle w:val="FootnoteReference"/>
        </w:rPr>
        <w:footnoteReference w:id="60"/>
      </w:r>
      <w:r w:rsidR="007064F0">
        <w:t xml:space="preserve"> Recommendations included c</w:t>
      </w:r>
      <w:r w:rsidR="007064F0" w:rsidRPr="007064F0">
        <w:t>onduct</w:t>
      </w:r>
      <w:r w:rsidR="007064F0">
        <w:t>ing</w:t>
      </w:r>
      <w:r w:rsidR="007064F0" w:rsidRPr="007064F0">
        <w:t xml:space="preserve"> research into the needs and preferences of people with disabilities, their family members and carers regarding or</w:t>
      </w:r>
      <w:r w:rsidR="007064F0">
        <w:t>al health service provision, c</w:t>
      </w:r>
      <w:r w:rsidR="007064F0" w:rsidRPr="007064F0">
        <w:t>onduct</w:t>
      </w:r>
      <w:r w:rsidR="007064F0">
        <w:t>ing</w:t>
      </w:r>
      <w:r w:rsidR="007064F0" w:rsidRPr="007064F0">
        <w:t xml:space="preserve"> research and develop</w:t>
      </w:r>
      <w:r w:rsidR="007064F0">
        <w:t>ing</w:t>
      </w:r>
      <w:r w:rsidR="007064F0" w:rsidRPr="007064F0">
        <w:t xml:space="preserve"> practice on the building of competence in oral health care f</w:t>
      </w:r>
      <w:r w:rsidR="007064F0">
        <w:t>or people with disabilities; and promoting</w:t>
      </w:r>
      <w:r w:rsidR="007064F0" w:rsidRPr="007064F0">
        <w:t xml:space="preserve"> debate on progressing the mainstreaming of provision whilst ensuring the development of spec</w:t>
      </w:r>
      <w:r w:rsidR="007064F0">
        <w:t>i</w:t>
      </w:r>
      <w:r w:rsidR="007064F0" w:rsidRPr="007064F0">
        <w:t>alist knowledge and skills</w:t>
      </w:r>
      <w:r w:rsidR="007759FF">
        <w:t>.</w:t>
      </w:r>
    </w:p>
    <w:p w14:paraId="524E3D5D" w14:textId="0F24CCD8" w:rsidR="003B1498" w:rsidRDefault="003B1498" w:rsidP="003B1498">
      <w:pPr>
        <w:pStyle w:val="Heading3"/>
      </w:pPr>
      <w:r w:rsidRPr="003B1498">
        <w:lastRenderedPageBreak/>
        <w:t>National Oral Health Policy, Smile agus Sláinte</w:t>
      </w:r>
      <w:r w:rsidR="00D949B1">
        <w:t xml:space="preserve"> (2019)</w:t>
      </w:r>
    </w:p>
    <w:p w14:paraId="1E950A74" w14:textId="77777777" w:rsidR="00DA6B87" w:rsidRDefault="00E1744A" w:rsidP="00B14618">
      <w:r>
        <w:t xml:space="preserve">The </w:t>
      </w:r>
      <w:r w:rsidRPr="003B1498">
        <w:t>Second Goal of the</w:t>
      </w:r>
      <w:r w:rsidRPr="00E1744A">
        <w:rPr>
          <w:b/>
        </w:rPr>
        <w:t xml:space="preserve"> </w:t>
      </w:r>
      <w:r w:rsidR="00DA6B87" w:rsidRPr="00E1744A">
        <w:rPr>
          <w:b/>
        </w:rPr>
        <w:t>National Oral Health Policy, Smile agus Sláinte</w:t>
      </w:r>
      <w:r>
        <w:t>,</w:t>
      </w:r>
      <w:r w:rsidRPr="00E1744A">
        <w:t xml:space="preserve"> is to reduce oral health inequalities across the population in Ireland by enabling vulnerable groups to access oral healthcare </w:t>
      </w:r>
      <w:r>
        <w:t>and improve their oral health.</w:t>
      </w:r>
      <w:r w:rsidR="0042550B">
        <w:rPr>
          <w:rStyle w:val="FootnoteReference"/>
        </w:rPr>
        <w:footnoteReference w:id="61"/>
      </w:r>
      <w:r>
        <w:t xml:space="preserve"> According to the Policy, this will </w:t>
      </w:r>
      <w:r w:rsidRPr="00E1744A">
        <w:t>be accomplished by providing appropriate additional support for persons with moderate and profound disabilities</w:t>
      </w:r>
      <w:r>
        <w:t xml:space="preserve">. </w:t>
      </w:r>
      <w:r w:rsidR="00E03415" w:rsidRPr="00E03415">
        <w:t>Facilitating vulnerable people, to access mainstream oral healthcare locally, in parallel with their peers, is</w:t>
      </w:r>
      <w:r w:rsidR="00E03415">
        <w:t xml:space="preserve"> a core principle of the Policy</w:t>
      </w:r>
      <w:r>
        <w:t>.</w:t>
      </w:r>
      <w:r>
        <w:rPr>
          <w:rStyle w:val="FootnoteReference"/>
        </w:rPr>
        <w:footnoteReference w:id="62"/>
      </w:r>
    </w:p>
    <w:p w14:paraId="56BECCAC" w14:textId="77777777" w:rsidR="004F1450" w:rsidRDefault="00E03415" w:rsidP="00B14618">
      <w:r>
        <w:t>Actions included in the Strategy include the development of oral health promotion programmes for people with disabilities in residential settings (</w:t>
      </w:r>
      <w:r w:rsidR="001D6CDE">
        <w:t>Action 7) and the development of a pathfinder survey in order to assess the oral health needs of vulnerable groups, with an initial focus on residential centres.</w:t>
      </w:r>
    </w:p>
    <w:p w14:paraId="70BEB5BA" w14:textId="77777777" w:rsidR="00E3296B" w:rsidRDefault="00E3296B" w:rsidP="00E3296B">
      <w:pPr>
        <w:pStyle w:val="Heading3"/>
      </w:pPr>
      <w:r>
        <w:t>HIQA standards</w:t>
      </w:r>
    </w:p>
    <w:p w14:paraId="5F4E9934" w14:textId="77777777" w:rsidR="003B1498" w:rsidRDefault="003B1498" w:rsidP="00B14618">
      <w:r>
        <w:t>HIQA has</w:t>
      </w:r>
      <w:r w:rsidRPr="00E03415">
        <w:t xml:space="preserve"> established standards of care for older people, and for people with disabilities living in residential care. For older people, the need for primary dental care provision is highlighted in HIQA’s National Standards for Residential Care Settings f</w:t>
      </w:r>
      <w:r w:rsidR="00602EEE">
        <w:t>or Older People in Ireland</w:t>
      </w:r>
      <w:r w:rsidR="000B4AB0">
        <w:t xml:space="preserve"> (Standard 4.1.3)</w:t>
      </w:r>
      <w:r w:rsidRPr="00E03415">
        <w:t>.</w:t>
      </w:r>
      <w:r w:rsidR="00F15EE5">
        <w:rPr>
          <w:rStyle w:val="FootnoteReference"/>
        </w:rPr>
        <w:footnoteReference w:id="63"/>
      </w:r>
      <w:r w:rsidRPr="00E03415">
        <w:t xml:space="preserve"> </w:t>
      </w:r>
      <w:r w:rsidR="008D57EB">
        <w:t xml:space="preserve">For persons with disabilities, HIQA’s </w:t>
      </w:r>
      <w:r w:rsidR="008D57EB" w:rsidRPr="008D57EB">
        <w:t xml:space="preserve">National Standards for Residential Services for Children and Adults with Disabilities </w:t>
      </w:r>
      <w:r w:rsidR="008D57EB">
        <w:t>provide that e</w:t>
      </w:r>
      <w:r w:rsidR="008D57EB" w:rsidRPr="008D57EB">
        <w:t xml:space="preserve">ach person </w:t>
      </w:r>
      <w:r w:rsidR="008D57EB">
        <w:t>should have</w:t>
      </w:r>
      <w:r w:rsidR="008D57EB" w:rsidRPr="008D57EB">
        <w:t xml:space="preserve"> access to screening, early detection and the full range of universal health and welfare services in</w:t>
      </w:r>
      <w:r w:rsidR="008D57EB">
        <w:t xml:space="preserve"> the community, including oral </w:t>
      </w:r>
      <w:r w:rsidR="008D57EB" w:rsidRPr="008D57EB">
        <w:t>services</w:t>
      </w:r>
      <w:r w:rsidR="000B4AB0">
        <w:t xml:space="preserve"> (Standard 4.1.3)</w:t>
      </w:r>
      <w:r w:rsidR="008D57EB">
        <w:t>.</w:t>
      </w:r>
      <w:r w:rsidR="00F15EE5">
        <w:rPr>
          <w:rStyle w:val="FootnoteReference"/>
        </w:rPr>
        <w:footnoteReference w:id="64"/>
      </w:r>
    </w:p>
    <w:p w14:paraId="65584AD0" w14:textId="77777777" w:rsidR="00650304" w:rsidRDefault="00650304" w:rsidP="00650304">
      <w:pPr>
        <w:pStyle w:val="Heading1"/>
      </w:pPr>
      <w:bookmarkStart w:id="31" w:name="_Toc90030714"/>
      <w:r>
        <w:lastRenderedPageBreak/>
        <w:t>Sexual &amp; Reproductive Health</w:t>
      </w:r>
      <w:bookmarkEnd w:id="31"/>
    </w:p>
    <w:p w14:paraId="073AEF1F" w14:textId="77777777" w:rsidR="00650304" w:rsidRDefault="00650304" w:rsidP="00650304">
      <w:pPr>
        <w:pStyle w:val="Heading2"/>
      </w:pPr>
      <w:bookmarkStart w:id="32" w:name="_Toc90030715"/>
      <w:r>
        <w:t>Sexual Health</w:t>
      </w:r>
      <w:bookmarkEnd w:id="32"/>
    </w:p>
    <w:p w14:paraId="7AF43EC4" w14:textId="77777777" w:rsidR="00191816" w:rsidRDefault="00191816" w:rsidP="00191816">
      <w:pPr>
        <w:pStyle w:val="Heading3"/>
      </w:pPr>
      <w:r>
        <w:t>Key data and statistics</w:t>
      </w:r>
    </w:p>
    <w:p w14:paraId="0718E27D" w14:textId="2044FCA0" w:rsidR="00191816" w:rsidRDefault="00BB4617" w:rsidP="00191816">
      <w:r>
        <w:t xml:space="preserve">Research </w:t>
      </w:r>
      <w:r w:rsidRPr="00BB4617">
        <w:t>jointly commissioned by the National Disability Authority and the Crisis Pregnancy Agency</w:t>
      </w:r>
      <w:r w:rsidR="00130CAE">
        <w:t xml:space="preserve"> in 2008</w:t>
      </w:r>
      <w:r>
        <w:t xml:space="preserve"> found that s</w:t>
      </w:r>
      <w:r w:rsidRPr="00BB4617">
        <w:t>exual healthcare and engaging in sexual relationships for those with intellectual disabilities is complicated by legal and technical issues surrounding capacity to consent, both to medical treatment (including contraception) and to sexual intercourse.</w:t>
      </w:r>
      <w:r>
        <w:rPr>
          <w:rStyle w:val="FootnoteReference"/>
        </w:rPr>
        <w:footnoteReference w:id="65"/>
      </w:r>
      <w:r w:rsidRPr="00BB4617">
        <w:t xml:space="preserve"> </w:t>
      </w:r>
      <w:r w:rsidR="006C65FD">
        <w:t xml:space="preserve">The legal framework around people with intellectual disabilities having consensual sexual relationships was changed by the </w:t>
      </w:r>
      <w:r w:rsidR="006C65FD" w:rsidRPr="006C65FD">
        <w:t>Criminal Law (Sexual Offences) Act 2017</w:t>
      </w:r>
      <w:r w:rsidR="006C65FD">
        <w:t xml:space="preserve">. </w:t>
      </w:r>
      <w:r w:rsidRPr="00BB4617">
        <w:t>Negative attitudes to sexual activity among people with intellectual disabilities, a desire to protect people with intellectual disabilities from exploitation and a lack of specialised care to support participation in decision-making can compromise the level of sexual health support received</w:t>
      </w:r>
      <w:r w:rsidR="007B3E7B">
        <w:t>.</w:t>
      </w:r>
    </w:p>
    <w:p w14:paraId="60B57D7F" w14:textId="77777777" w:rsidR="00BC4C5E" w:rsidRPr="00191816" w:rsidRDefault="00BC4C5E" w:rsidP="00191816">
      <w:r w:rsidRPr="00BC4C5E">
        <w:t>The</w:t>
      </w:r>
      <w:r>
        <w:t xml:space="preserve"> research also found that</w:t>
      </w:r>
      <w:r w:rsidRPr="00BC4C5E">
        <w:t xml:space="preserve"> pattern</w:t>
      </w:r>
      <w:r>
        <w:t>s</w:t>
      </w:r>
      <w:r w:rsidRPr="00BC4C5E">
        <w:t xml:space="preserve"> of contraceptive use amongst women with intellectual disability differs widely from that of the non-disabled population. </w:t>
      </w:r>
      <w:r>
        <w:t xml:space="preserve">The </w:t>
      </w:r>
      <w:r w:rsidRPr="00BC4C5E">
        <w:t>Pill, Depot Medroxyprogesterone Acetate and IUDs are the only methods used by most women with learning disabilities, with barrier methods being reported as unheard of. It has been argued that the prescribing of these particular methods of contraception assumes that women with learning disabilities are incapable or unreliable when it comes to contraceptive decision-makin</w:t>
      </w:r>
      <w:r>
        <w:t>g and managing their fertility.</w:t>
      </w:r>
      <w:r w:rsidR="00F15EE5">
        <w:rPr>
          <w:rStyle w:val="FootnoteReference"/>
        </w:rPr>
        <w:footnoteReference w:id="66"/>
      </w:r>
    </w:p>
    <w:p w14:paraId="2D9C51CC" w14:textId="77777777" w:rsidR="008603AB" w:rsidRPr="008603AB" w:rsidRDefault="008603AB" w:rsidP="008603AB">
      <w:pPr>
        <w:pStyle w:val="Heading3"/>
      </w:pPr>
      <w:r>
        <w:t>Policy landscape</w:t>
      </w:r>
    </w:p>
    <w:p w14:paraId="60FABEB9" w14:textId="77777777" w:rsidR="00650304" w:rsidRDefault="00650304" w:rsidP="00650304">
      <w:r w:rsidRPr="00557D3F">
        <w:t xml:space="preserve">The </w:t>
      </w:r>
      <w:r w:rsidRPr="00EB465C">
        <w:rPr>
          <w:b/>
        </w:rPr>
        <w:t>National Sexual Health Strategy 2015–2020</w:t>
      </w:r>
      <w:r w:rsidRPr="00557D3F">
        <w:t xml:space="preserve"> aims to improve sexual health and wellbeing and reduce negative sexual health outcomes</w:t>
      </w:r>
      <w:r>
        <w:t>.</w:t>
      </w:r>
      <w:r w:rsidR="000B4AB0">
        <w:rPr>
          <w:rStyle w:val="FootnoteReference"/>
        </w:rPr>
        <w:footnoteReference w:id="67"/>
      </w:r>
      <w:r>
        <w:t xml:space="preserve"> The Strategy identifies persons with </w:t>
      </w:r>
      <w:r>
        <w:lastRenderedPageBreak/>
        <w:t xml:space="preserve">an intellectual disability as one </w:t>
      </w:r>
      <w:r w:rsidRPr="00557D3F">
        <w:t>of vulnerable groups that require targeted support to improve their sexual health and wellbeing.</w:t>
      </w:r>
      <w:r w:rsidR="00BB4617">
        <w:t xml:space="preserve"> Actions outlined in the Strategy for at-risk and vulnerable groups include:</w:t>
      </w:r>
    </w:p>
    <w:p w14:paraId="0E73A137" w14:textId="77777777" w:rsidR="00BB4617" w:rsidRDefault="00BB4617" w:rsidP="00BB4617">
      <w:pPr>
        <w:pStyle w:val="ListBullet"/>
      </w:pPr>
      <w:r w:rsidRPr="00BB4617">
        <w:t>Develop</w:t>
      </w:r>
      <w:r>
        <w:t>ing</w:t>
      </w:r>
      <w:r w:rsidRPr="00BB4617">
        <w:t xml:space="preserve"> an evidence-informed response to targeting those most at risk of negative s</w:t>
      </w:r>
      <w:r>
        <w:t>exual health outcomes</w:t>
      </w:r>
    </w:p>
    <w:p w14:paraId="04FC84F0" w14:textId="77777777" w:rsidR="00BB4617" w:rsidRDefault="00BB4617" w:rsidP="00BB4617">
      <w:pPr>
        <w:pStyle w:val="ListBullet"/>
      </w:pPr>
      <w:r>
        <w:t>Ensuring</w:t>
      </w:r>
      <w:r w:rsidRPr="00BB4617">
        <w:t xml:space="preserve"> that all campaigns and interventions targeting those most at risk of negative sexual health outcomes will be inclusive with regard to the diversity of sexual experiences</w:t>
      </w:r>
      <w:r>
        <w:t xml:space="preserve"> and identities</w:t>
      </w:r>
    </w:p>
    <w:p w14:paraId="6684A960" w14:textId="77777777" w:rsidR="00BB4617" w:rsidRDefault="00BB4617" w:rsidP="00B767EF">
      <w:pPr>
        <w:pStyle w:val="ListBullet"/>
      </w:pPr>
      <w:r w:rsidRPr="00BB4617">
        <w:t>Develop</w:t>
      </w:r>
      <w:r>
        <w:t>ing</w:t>
      </w:r>
      <w:r w:rsidRPr="00BB4617">
        <w:t xml:space="preserve"> and maintain</w:t>
      </w:r>
      <w:r>
        <w:t>ing</w:t>
      </w:r>
      <w:r w:rsidRPr="00BB4617">
        <w:t xml:space="preserve"> positive prevention, access to condoms, testing, targeted education and outreach</w:t>
      </w:r>
    </w:p>
    <w:p w14:paraId="0A62BEF1" w14:textId="77777777" w:rsidR="00BB4617" w:rsidRDefault="00BB4617" w:rsidP="00B767EF">
      <w:pPr>
        <w:pStyle w:val="ListBullet"/>
      </w:pPr>
      <w:r w:rsidRPr="00BB4617">
        <w:t>Identify</w:t>
      </w:r>
      <w:r>
        <w:t>ing</w:t>
      </w:r>
      <w:r w:rsidRPr="00BB4617">
        <w:t xml:space="preserve"> and establish</w:t>
      </w:r>
      <w:r>
        <w:t>ing</w:t>
      </w:r>
      <w:r w:rsidRPr="00BB4617">
        <w:t xml:space="preserve"> links with other relevant strategies, particularly those relating to vulnerable and at-risk groups, to ensure their se</w:t>
      </w:r>
      <w:r>
        <w:t>xual health needs are addressed</w:t>
      </w:r>
    </w:p>
    <w:p w14:paraId="0943C8B8" w14:textId="0B47D429" w:rsidR="00F21A29" w:rsidRPr="001A2ACC" w:rsidRDefault="00F21A29" w:rsidP="001A2ACC">
      <w:pPr>
        <w:pStyle w:val="ListBullet"/>
        <w:numPr>
          <w:ilvl w:val="0"/>
          <w:numId w:val="0"/>
        </w:numPr>
      </w:pPr>
      <w:r w:rsidRPr="00DC28CD">
        <w:t>A Mid-Term Review of the Strategy</w:t>
      </w:r>
      <w:r>
        <w:t xml:space="preserve"> </w:t>
      </w:r>
      <w:r w:rsidR="00DC28CD">
        <w:t>provided no detail regarding the</w:t>
      </w:r>
      <w:r w:rsidR="003A6D12">
        <w:t xml:space="preserve"> specific </w:t>
      </w:r>
      <w:r w:rsidR="00DC28CD">
        <w:t>progress which has been achieved in terms of improving the sexual health and wellbeing of persons with an intellectual disability, who are considered one of the “at-risk groups” under the Strategy.</w:t>
      </w:r>
      <w:r w:rsidR="00DC28CD">
        <w:rPr>
          <w:rStyle w:val="FootnoteReference"/>
        </w:rPr>
        <w:footnoteReference w:id="68"/>
      </w:r>
      <w:r w:rsidR="008B6150">
        <w:t xml:space="preserve"> However, information received from the Department of Health indicates that it funds</w:t>
      </w:r>
      <w:r w:rsidR="008B6150" w:rsidRPr="008B6150">
        <w:t xml:space="preserve"> and</w:t>
      </w:r>
      <w:r w:rsidR="008B6150">
        <w:t xml:space="preserve"> co-ordinates</w:t>
      </w:r>
      <w:r w:rsidR="008B6150" w:rsidRPr="008B6150">
        <w:t xml:space="preserve"> a range of training</w:t>
      </w:r>
      <w:r w:rsidR="001A2ACC">
        <w:t>s</w:t>
      </w:r>
      <w:r w:rsidR="008B6150" w:rsidRPr="008B6150">
        <w:t xml:space="preserve"> to build the capacity of parents and of profess</w:t>
      </w:r>
      <w:r w:rsidR="008B6150">
        <w:t xml:space="preserve">ionals </w:t>
      </w:r>
      <w:r w:rsidR="008B6150" w:rsidRPr="008B6150">
        <w:t>to meet the relationship and sexuality education needs of children, young people and adults with physical and intellectual disabilities.</w:t>
      </w:r>
      <w:r w:rsidR="003A6D12">
        <w:rPr>
          <w:rStyle w:val="FootnoteReference"/>
        </w:rPr>
        <w:footnoteReference w:id="69"/>
      </w:r>
      <w:r w:rsidR="008B6150" w:rsidRPr="008B6150">
        <w:t xml:space="preserve"> </w:t>
      </w:r>
      <w:r w:rsidR="001A2ACC">
        <w:t>For instance, the</w:t>
      </w:r>
      <w:r w:rsidR="001A2ACC" w:rsidRPr="001A2ACC">
        <w:t xml:space="preserve"> </w:t>
      </w:r>
      <w:r w:rsidR="001A2ACC" w:rsidRPr="003A6D12">
        <w:t>Sexual Health and Crisis Pregnancy Programme</w:t>
      </w:r>
      <w:r w:rsidR="001A2ACC">
        <w:rPr>
          <w:b/>
        </w:rPr>
        <w:t xml:space="preserve"> </w:t>
      </w:r>
      <w:r w:rsidR="001A2ACC">
        <w:t>funds the Irish F</w:t>
      </w:r>
      <w:r w:rsidR="001A2ACC" w:rsidRPr="001A2ACC">
        <w:t>amily Planning Association to deliver their Speak Easy Plus programme to parents of young people with disabilities</w:t>
      </w:r>
      <w:r w:rsidR="001A2ACC">
        <w:t>, as well as professionals working with people with disabilities. Speak Easy Plus</w:t>
      </w:r>
      <w:r w:rsidR="003A6D12">
        <w:t xml:space="preserve"> helps parents,</w:t>
      </w:r>
      <w:r w:rsidR="001A2ACC" w:rsidRPr="001A2ACC">
        <w:t xml:space="preserve"> carers</w:t>
      </w:r>
      <w:r w:rsidR="003A6D12">
        <w:t xml:space="preserve"> and professionals</w:t>
      </w:r>
      <w:r w:rsidR="001A2ACC" w:rsidRPr="001A2ACC">
        <w:t xml:space="preserve"> to support children with regard to their relationship and sexuality education needs. </w:t>
      </w:r>
    </w:p>
    <w:p w14:paraId="0877F1EB" w14:textId="77777777" w:rsidR="00650304" w:rsidRDefault="00650304" w:rsidP="00650304">
      <w:r>
        <w:lastRenderedPageBreak/>
        <w:t>The</w:t>
      </w:r>
      <w:r w:rsidR="00CD601B">
        <w:t xml:space="preserve"> NDA is aware that some stakeholders </w:t>
      </w:r>
      <w:r>
        <w:t xml:space="preserve">have expressed concern that harmful and stereotypical </w:t>
      </w:r>
      <w:r w:rsidRPr="00E62834">
        <w:t>myths with respect to sexuality and disa</w:t>
      </w:r>
      <w:r>
        <w:t>bility, coupled with over protective laws</w:t>
      </w:r>
      <w:r w:rsidR="00CD601B">
        <w:t xml:space="preserve"> and poor service provision, have</w:t>
      </w:r>
      <w:r>
        <w:t xml:space="preserve"> resulted in the exclusion of people with disabilities </w:t>
      </w:r>
      <w:r w:rsidRPr="00E62834">
        <w:t>from services designed to meet individual needs of achieving sexual health.</w:t>
      </w:r>
      <w:r>
        <w:rPr>
          <w:rStyle w:val="FootnoteReference"/>
        </w:rPr>
        <w:footnoteReference w:id="70"/>
      </w:r>
      <w:r>
        <w:t xml:space="preserve"> </w:t>
      </w:r>
      <w:r w:rsidR="00CD601B">
        <w:t>Other stakeholders have</w:t>
      </w:r>
      <w:r>
        <w:t xml:space="preserve"> raised concerns regarding inequalities</w:t>
      </w:r>
      <w:r w:rsidR="00CF4D19">
        <w:t xml:space="preserve"> for people with intellectual disabilities</w:t>
      </w:r>
      <w:r>
        <w:t xml:space="preserve"> in accessing maternity services and contraception.</w:t>
      </w:r>
      <w:r>
        <w:rPr>
          <w:rStyle w:val="FootnoteReference"/>
        </w:rPr>
        <w:footnoteReference w:id="71"/>
      </w:r>
    </w:p>
    <w:p w14:paraId="7C888B40" w14:textId="77777777" w:rsidR="00650304" w:rsidRDefault="00650304" w:rsidP="00650304">
      <w:pPr>
        <w:pStyle w:val="Heading2"/>
      </w:pPr>
      <w:bookmarkStart w:id="33" w:name="_Toc90030716"/>
      <w:r>
        <w:t>Reproductive</w:t>
      </w:r>
      <w:r w:rsidR="00BC4C5E">
        <w:t xml:space="preserve"> and Maternal</w:t>
      </w:r>
      <w:r>
        <w:t xml:space="preserve"> Health</w:t>
      </w:r>
      <w:bookmarkEnd w:id="33"/>
    </w:p>
    <w:p w14:paraId="1D531003" w14:textId="77777777" w:rsidR="008603AB" w:rsidRDefault="008603AB" w:rsidP="008603AB">
      <w:pPr>
        <w:pStyle w:val="Heading3"/>
      </w:pPr>
      <w:r>
        <w:t>Key data and statistics</w:t>
      </w:r>
    </w:p>
    <w:p w14:paraId="1699FD03" w14:textId="77777777" w:rsidR="00DC7A17" w:rsidRPr="00DC7A17" w:rsidRDefault="00DC7A17" w:rsidP="00DC7A17">
      <w:r w:rsidRPr="00DC7A17">
        <w:t xml:space="preserve">There is currently no national level data collection and monitoring of perinatal mental </w:t>
      </w:r>
      <w:r w:rsidR="00EF06A9">
        <w:t>health complications in Ireland.</w:t>
      </w:r>
      <w:r w:rsidR="00EF06A9">
        <w:rPr>
          <w:rStyle w:val="FootnoteReference"/>
        </w:rPr>
        <w:footnoteReference w:id="72"/>
      </w:r>
      <w:r w:rsidRPr="00DC7A17">
        <w:t xml:space="preserve"> Of approximately 1,500 mothers reviewed by the liaison perinatal mental health team in the Coombe Women &amp; Infants University Hospital in 2013, 25% were diagnosed with antenatal depression, and a further 42% were diagnosed with postnatal depression.</w:t>
      </w:r>
      <w:r w:rsidR="008D0695">
        <w:rPr>
          <w:rStyle w:val="FootnoteReference"/>
        </w:rPr>
        <w:footnoteReference w:id="73"/>
      </w:r>
    </w:p>
    <w:p w14:paraId="2C8C1F3A" w14:textId="77777777" w:rsidR="00DC7A17" w:rsidRPr="00DC7A17" w:rsidRDefault="00DC7A17" w:rsidP="00DC7A17">
      <w:pPr>
        <w:pStyle w:val="Heading3"/>
      </w:pPr>
      <w:r>
        <w:t>Existing research</w:t>
      </w:r>
    </w:p>
    <w:p w14:paraId="1696C452" w14:textId="77777777" w:rsidR="00922BBC" w:rsidRPr="00922BBC" w:rsidRDefault="00922BBC" w:rsidP="00922BBC">
      <w:r>
        <w:t>The NDA commissioned a series of research reports</w:t>
      </w:r>
      <w:r w:rsidRPr="00922BBC">
        <w:t xml:space="preserve">, in a joint initiative with the National Women’s Council of Ireland, to explore the strengths and weaknesses of publicly funded Irish health services provided to women with disabilities in relation to pregnancy, childbirth </w:t>
      </w:r>
      <w:r w:rsidRPr="00922BBC">
        <w:lastRenderedPageBreak/>
        <w:t>and early motherhood. The research</w:t>
      </w:r>
      <w:r>
        <w:t xml:space="preserve"> was</w:t>
      </w:r>
      <w:r w:rsidRPr="00922BBC">
        <w:t xml:space="preserve"> carried out by a team of researchers from the School of Nursing and Midwifery in Trinity College, Dublin.</w:t>
      </w:r>
      <w:r w:rsidR="00D450B1">
        <w:rPr>
          <w:rStyle w:val="FootnoteReference"/>
        </w:rPr>
        <w:footnoteReference w:id="74"/>
      </w:r>
    </w:p>
    <w:p w14:paraId="30F645DF" w14:textId="77777777" w:rsidR="00922BBC" w:rsidRPr="00922BBC" w:rsidRDefault="00922BBC" w:rsidP="00922BBC">
      <w:pPr>
        <w:pStyle w:val="ListBullet"/>
      </w:pPr>
      <w:r w:rsidRPr="00922BBC">
        <w:t>The first report from this project, </w:t>
      </w:r>
      <w:r w:rsidRPr="00922BBC">
        <w:rPr>
          <w:b/>
          <w:bCs/>
        </w:rPr>
        <w:t>Women with Disabilities: barriers and facilitators to accessing services during pregnancy, childbirth and early motherhood</w:t>
      </w:r>
      <w:r w:rsidRPr="00922BBC">
        <w:t>, is a review of literature, both national and international, identifying the challenges that women with disabilities face in accessing health services during pregnancy, childbirth and early motherhood. The report also documents factors, identified in the literature, which facilitate access to these health services for women with disabilities.</w:t>
      </w:r>
    </w:p>
    <w:p w14:paraId="72E34BCF" w14:textId="77777777" w:rsidR="00922BBC" w:rsidRDefault="00922BBC" w:rsidP="00922BBC">
      <w:pPr>
        <w:pStyle w:val="ListBullet"/>
      </w:pPr>
      <w:r w:rsidRPr="00922BBC">
        <w:t>The second report from the project, </w:t>
      </w:r>
      <w:r w:rsidRPr="00922BBC">
        <w:rPr>
          <w:b/>
        </w:rPr>
        <w:t>Women with Disabilities: policies governing procedure and practice in service provision in Ireland during pregnancy, childbirth and early motherhood</w:t>
      </w:r>
      <w:r w:rsidRPr="00922BBC">
        <w:t>, is a review of policy governing maternity service provision for women with disabilities in Ireland and in 9 other jurisdictions. The report also contains the findings from a survey conducted with all 19 publicly-funded maternity hospitals/units in Ireland to identify the existence of policies in these facilities.</w:t>
      </w:r>
    </w:p>
    <w:p w14:paraId="14E02F33" w14:textId="77777777" w:rsidR="00922BBC" w:rsidRDefault="00922BBC" w:rsidP="00B767EF">
      <w:pPr>
        <w:pStyle w:val="ListBullet"/>
      </w:pPr>
      <w:r w:rsidRPr="00922BBC">
        <w:t>The third report from the project, </w:t>
      </w:r>
      <w:r w:rsidRPr="00922BBC">
        <w:rPr>
          <w:b/>
          <w:bCs/>
        </w:rPr>
        <w:t>The strengths and weaknesses of publicly-funded Irish health services provided to women with disabilities in relation to pregnancy, childbirth and early motherhood,</w:t>
      </w:r>
      <w:r w:rsidRPr="00922BBC">
        <w:t xml:space="preserve"> is a detailed exploration of women's views and experiences of the services they received during pregnancy, childbirth and early motherhood. The report also sets out findings of focus group discussions with service providers and professionals in the field. </w:t>
      </w:r>
    </w:p>
    <w:p w14:paraId="777F79B0" w14:textId="77777777" w:rsidR="00922BBC" w:rsidRDefault="00922BBC" w:rsidP="00DC28CD">
      <w:pPr>
        <w:pStyle w:val="ListBullet"/>
        <w:numPr>
          <w:ilvl w:val="0"/>
          <w:numId w:val="0"/>
        </w:numPr>
        <w:spacing w:before="0" w:after="240"/>
      </w:pPr>
      <w:r>
        <w:t>The findings from the third</w:t>
      </w:r>
      <w:r w:rsidRPr="00922BBC">
        <w:t xml:space="preserve"> study demonstrate that women’s experiences of the publicly</w:t>
      </w:r>
      <w:r>
        <w:t>-</w:t>
      </w:r>
      <w:r w:rsidRPr="00922BBC">
        <w:t>funded maternity services are varied, with weaknesses and strengths identified</w:t>
      </w:r>
      <w:r>
        <w:t>.</w:t>
      </w:r>
      <w:r w:rsidR="00613B48">
        <w:t xml:space="preserve"> Issues identified included lack of specialist services within the maternity care sector, difficulties communicating with healthcare staff, particularly for women with sensory disabilities, stigma of </w:t>
      </w:r>
      <w:r w:rsidR="00613B48">
        <w:lastRenderedPageBreak/>
        <w:t>healthcare staff, particularly towards women with mental health issues, and a perceived fragmented approach to care.</w:t>
      </w:r>
      <w:r w:rsidR="00D450B1">
        <w:rPr>
          <w:rStyle w:val="FootnoteReference"/>
        </w:rPr>
        <w:footnoteReference w:id="75"/>
      </w:r>
    </w:p>
    <w:p w14:paraId="706C3DAF" w14:textId="77777777" w:rsidR="00922BBC" w:rsidRDefault="00BC4C5E" w:rsidP="00DC28CD">
      <w:pPr>
        <w:pStyle w:val="ListBullet"/>
        <w:numPr>
          <w:ilvl w:val="0"/>
          <w:numId w:val="0"/>
        </w:numPr>
        <w:spacing w:before="0" w:after="240"/>
      </w:pPr>
      <w:r>
        <w:t>Research on women with intellectual disabilities experiencing crisis pregnancies has found that t</w:t>
      </w:r>
      <w:r w:rsidRPr="00BC4C5E">
        <w:t>here is a lack of empirical evidence on the individual experience of crisis pregnancy, pregnancy and childbirth among women with intellectual disability, to inform professional practice. There is limited research related to how a woman with intellectual disability conceptualises her pregnancy and whether it was unplanned, unwanted or a crisis for her. The research that does exist suggests that the number of women with intellectual disability having children is increasing and that when a woman announces her pregnancy, the reactions of people close to her are almost exclusively negative.</w:t>
      </w:r>
      <w:r>
        <w:rPr>
          <w:rStyle w:val="FootnoteReference"/>
        </w:rPr>
        <w:footnoteReference w:id="76"/>
      </w:r>
      <w:r w:rsidRPr="00BC4C5E">
        <w:t xml:space="preserve"> </w:t>
      </w:r>
    </w:p>
    <w:p w14:paraId="03876062" w14:textId="77777777" w:rsidR="00BC4C5E" w:rsidRDefault="00BC4C5E" w:rsidP="00DC28CD">
      <w:r w:rsidRPr="00BC4C5E">
        <w:t>Other challenges faced by women with an intellectual disability experiencing pregnancy and parenthood include accessing sexual health information, accessing sexual health services, inadequate information and negative attitudes to pregnancy and parenthood among service provi</w:t>
      </w:r>
      <w:r>
        <w:t>ders and the wider community.</w:t>
      </w:r>
    </w:p>
    <w:p w14:paraId="7B89422D" w14:textId="0394CD93" w:rsidR="00395A37" w:rsidRDefault="00395A37" w:rsidP="00BC4C5E">
      <w:r>
        <w:t xml:space="preserve">The </w:t>
      </w:r>
      <w:r w:rsidR="001C3924">
        <w:t xml:space="preserve">NDA is aware that the </w:t>
      </w:r>
      <w:r>
        <w:t xml:space="preserve">Centre for Disability Law and Policy at </w:t>
      </w:r>
      <w:r w:rsidRPr="006029D4">
        <w:t>NUI Galway are currently working on a proje</w:t>
      </w:r>
      <w:r>
        <w:t>ct, “</w:t>
      </w:r>
      <w:r w:rsidRPr="00CB288C">
        <w:rPr>
          <w:b/>
        </w:rPr>
        <w:t>Re(al) Productive Justice</w:t>
      </w:r>
      <w:r>
        <w:t xml:space="preserve">”, the objective of which is </w:t>
      </w:r>
      <w:r w:rsidRPr="006029D4">
        <w:t xml:space="preserve">to make visible the experiences of disabled people </w:t>
      </w:r>
      <w:r>
        <w:t xml:space="preserve">seeking reproductive justice. They are examining a range of issues </w:t>
      </w:r>
      <w:r w:rsidRPr="006029D4">
        <w:t>around fertility, contraception, abortion, pregnancy and childbirth</w:t>
      </w:r>
      <w:r>
        <w:t xml:space="preserve">, and </w:t>
      </w:r>
      <w:r w:rsidRPr="006029D4">
        <w:t>intend to create a toolkit of best practice for health and social care professionals.</w:t>
      </w:r>
      <w:r w:rsidR="00F15EE5">
        <w:rPr>
          <w:rStyle w:val="FootnoteReference"/>
        </w:rPr>
        <w:footnoteReference w:id="77"/>
      </w:r>
      <w:r w:rsidRPr="006029D4">
        <w:t> </w:t>
      </w:r>
    </w:p>
    <w:p w14:paraId="3D827971" w14:textId="495229BC" w:rsidR="00D13B54" w:rsidRDefault="00447481" w:rsidP="00BC4C5E">
      <w:r>
        <w:lastRenderedPageBreak/>
        <w:t>In 2020 HIQA published the</w:t>
      </w:r>
      <w:r w:rsidR="00D13B54">
        <w:t xml:space="preserve"> findings of the</w:t>
      </w:r>
      <w:r>
        <w:t xml:space="preserve"> </w:t>
      </w:r>
      <w:r w:rsidRPr="00447481">
        <w:t>National Maternity Experience Survey</w:t>
      </w:r>
      <w:r w:rsidR="001F7F6F">
        <w:rPr>
          <w:rStyle w:val="FootnoteReference"/>
        </w:rPr>
        <w:footnoteReference w:id="78"/>
      </w:r>
      <w:r>
        <w:t xml:space="preserve"> which reported on the </w:t>
      </w:r>
      <w:r w:rsidRPr="00447481">
        <w:t>experience of maternity care in Ireland.</w:t>
      </w:r>
      <w:r w:rsidR="00E7485D">
        <w:t xml:space="preserve"> </w:t>
      </w:r>
      <w:r w:rsidR="005E4C8C">
        <w:t>The</w:t>
      </w:r>
      <w:r w:rsidR="005E4C8C" w:rsidRPr="00E7485D">
        <w:t xml:space="preserve"> survey was completed by </w:t>
      </w:r>
      <w:r w:rsidR="005E4C8C">
        <w:t>3,204 mothers, and 217 of these (</w:t>
      </w:r>
      <w:r w:rsidR="005E4C8C" w:rsidRPr="00E7485D">
        <w:t>6.8%</w:t>
      </w:r>
      <w:r w:rsidR="005E4C8C">
        <w:t>)</w:t>
      </w:r>
      <w:r w:rsidR="005E4C8C" w:rsidRPr="00E7485D">
        <w:t xml:space="preserve"> indicated that they had a long-term disability, illness or condition.</w:t>
      </w:r>
      <w:r w:rsidR="005E4C8C">
        <w:t xml:space="preserve"> </w:t>
      </w:r>
      <w:r w:rsidR="007A09F3">
        <w:t>The survey asked mothers about their</w:t>
      </w:r>
      <w:r w:rsidR="007A09F3" w:rsidRPr="007A09F3">
        <w:t xml:space="preserve"> experiences through the full pathway of maternity care, including antenatal care, care during labour and birth, care in hospital after birth, specialised care if their baby was in a neonatal unit, care for feeding their baby, care at home after birth, and their overall experience of maternity care.</w:t>
      </w:r>
      <w:r w:rsidR="00E7485D" w:rsidRPr="00E7485D">
        <w:t xml:space="preserve"> </w:t>
      </w:r>
      <w:r>
        <w:t>The National Disability Authority has conducted a secondary analysis of the data to compare the experience</w:t>
      </w:r>
      <w:r w:rsidR="005E4C8C">
        <w:t>s</w:t>
      </w:r>
      <w:r>
        <w:t xml:space="preserve"> of </w:t>
      </w:r>
      <w:r w:rsidR="003B20F2">
        <w:t xml:space="preserve">maternity services of </w:t>
      </w:r>
      <w:r>
        <w:t xml:space="preserve">women with disabilities </w:t>
      </w:r>
      <w:r w:rsidR="003B20F2">
        <w:t>and those without a disability.</w:t>
      </w:r>
      <w:r w:rsidR="00D86917">
        <w:rPr>
          <w:rStyle w:val="FootnoteReference"/>
        </w:rPr>
        <w:footnoteReference w:id="79"/>
      </w:r>
      <w:r w:rsidR="003B20F2">
        <w:t xml:space="preserve"> </w:t>
      </w:r>
      <w:r w:rsidR="00D86917" w:rsidRPr="00D86917">
        <w:t xml:space="preserve">This </w:t>
      </w:r>
      <w:r w:rsidR="00D86917">
        <w:t>analysis</w:t>
      </w:r>
      <w:r w:rsidR="00D86917" w:rsidRPr="00D86917">
        <w:t xml:space="preserve"> found that women with disabilities generally had quite positive maternity experiences and the areas where they reported particularly strong or weak care were largely the same as those without disabilities. However, they did report less positive care experiences than those without dis</w:t>
      </w:r>
      <w:r w:rsidR="00AA30C5">
        <w:t>abilities in a number of areas</w:t>
      </w:r>
      <w:r w:rsidR="00B14EC0">
        <w:t>, including for example, on feeling treated with respect and dignity, feeling involved in decisions in their care, having their questions answered in a way they underst</w:t>
      </w:r>
      <w:r w:rsidR="002C5F7E">
        <w:t>ood</w:t>
      </w:r>
      <w:r w:rsidR="00B14EC0">
        <w:t>, and receiving enough information at different points of the maternity journey.</w:t>
      </w:r>
      <w:r w:rsidR="00AA30C5">
        <w:rPr>
          <w:rStyle w:val="FootnoteReference"/>
        </w:rPr>
        <w:footnoteReference w:id="80"/>
      </w:r>
      <w:r w:rsidR="00B14EC0">
        <w:t xml:space="preserve"> </w:t>
      </w:r>
    </w:p>
    <w:p w14:paraId="589DBC1E" w14:textId="51798224" w:rsidR="00E66E6F" w:rsidRDefault="00EA1E42" w:rsidP="00BC4C5E">
      <w:r>
        <w:t>The HSE has developed a suite of q</w:t>
      </w:r>
      <w:r w:rsidR="00E66E6F" w:rsidRPr="00E66E6F">
        <w:t xml:space="preserve">uality improvement plans based on the </w:t>
      </w:r>
      <w:r w:rsidR="00E66E6F">
        <w:t>National Maternity Experience Survey’s</w:t>
      </w:r>
      <w:r w:rsidR="00E66E6F" w:rsidRPr="00E66E6F">
        <w:t xml:space="preserve"> findings.</w:t>
      </w:r>
      <w:r w:rsidR="00E66E6F">
        <w:rPr>
          <w:rStyle w:val="FootnoteReference"/>
        </w:rPr>
        <w:footnoteReference w:id="81"/>
      </w:r>
      <w:r w:rsidR="001E4755">
        <w:t xml:space="preserve"> The</w:t>
      </w:r>
      <w:r w:rsidR="00E66E6F" w:rsidRPr="00E66E6F">
        <w:t xml:space="preserve"> NDA report makes a series of recommendations, including ways in which current or planned </w:t>
      </w:r>
      <w:r w:rsidR="001E4755">
        <w:t xml:space="preserve">quality improvement </w:t>
      </w:r>
      <w:r w:rsidR="00E66E6F" w:rsidRPr="00E66E6F">
        <w:t>initiatives can adequately ad</w:t>
      </w:r>
      <w:r w:rsidR="00E66E6F" w:rsidRPr="00E66E6F">
        <w:lastRenderedPageBreak/>
        <w:t xml:space="preserve">dress the needs of women with disabilities or additional care needs. </w:t>
      </w:r>
      <w:r w:rsidR="001E4755">
        <w:t>Th</w:t>
      </w:r>
      <w:r w:rsidR="00E66E6F" w:rsidRPr="00E66E6F">
        <w:t>e concern is that initiatives which aren’t accessible to all women may serve to perpetuate or exacerbate existing differences in the care experiences of those with and without disabilities.</w:t>
      </w:r>
    </w:p>
    <w:p w14:paraId="5BBCA97D" w14:textId="77777777" w:rsidR="008603AB" w:rsidRPr="003342DC" w:rsidRDefault="008603AB" w:rsidP="008603AB">
      <w:pPr>
        <w:pStyle w:val="Heading3"/>
      </w:pPr>
      <w:r>
        <w:t>Policy landscape</w:t>
      </w:r>
    </w:p>
    <w:p w14:paraId="6FBF0509" w14:textId="7017F70C" w:rsidR="00650304" w:rsidRDefault="00650304" w:rsidP="00650304">
      <w:r>
        <w:t xml:space="preserve">Ireland’s national maternity strategy, </w:t>
      </w:r>
      <w:r w:rsidRPr="00062AF3">
        <w:rPr>
          <w:b/>
        </w:rPr>
        <w:t>Creating a Better Future Together: National Maternity Strategy 2016–2026</w:t>
      </w:r>
      <w:r>
        <w:t xml:space="preserve">, contains very few references </w:t>
      </w:r>
      <w:r w:rsidR="000D697D">
        <w:t>to</w:t>
      </w:r>
      <w:r>
        <w:t xml:space="preserve"> disability, but places considerable focus on mental health. In terms of disability, the Strategy outlines the need to ensure that antenatal care is accessible to people with disabilities and that antenatal education places focused attention on women with disabilities. Actions related to mental health are outlined in the National Maternity Strategy Implementation Plan.</w:t>
      </w:r>
      <w:r w:rsidR="00B06147">
        <w:rPr>
          <w:rStyle w:val="FootnoteReference"/>
        </w:rPr>
        <w:footnoteReference w:id="82"/>
      </w:r>
      <w:r>
        <w:t xml:space="preserve"> </w:t>
      </w:r>
      <w:r w:rsidR="00F15EE5">
        <w:t>Actions</w:t>
      </w:r>
      <w:r>
        <w:t xml:space="preserve"> include identifying women </w:t>
      </w:r>
      <w:r w:rsidRPr="005A1591">
        <w:t xml:space="preserve">with a history of a mental health condition early and </w:t>
      </w:r>
      <w:r>
        <w:t xml:space="preserve">ensuring that </w:t>
      </w:r>
      <w:r w:rsidRPr="005A1591">
        <w:t>midwives work collaboratively with m</w:t>
      </w:r>
      <w:r w:rsidR="001C3924">
        <w:t>ental health and other services;</w:t>
      </w:r>
      <w:r>
        <w:t xml:space="preserve"> training health care professionals involved in antenatal and postnatal care to identify</w:t>
      </w:r>
      <w:r w:rsidRPr="005A1591">
        <w:t xml:space="preserve"> women at risk of developing or experiencing emotional</w:t>
      </w:r>
      <w:r>
        <w:t xml:space="preserve"> or mental health difficulties</w:t>
      </w:r>
      <w:r w:rsidRPr="005A1591">
        <w:t xml:space="preserve"> in the perinatal period</w:t>
      </w:r>
      <w:r w:rsidR="001C3924">
        <w:t>;</w:t>
      </w:r>
      <w:r>
        <w:t xml:space="preserve"> and adopting a </w:t>
      </w:r>
      <w:r w:rsidRPr="005A1591">
        <w:t>multidisciplinary approach to assessment and support for women at risk of developing or experiencing emotional or mental health difficulties in the perinatal period</w:t>
      </w:r>
      <w:r>
        <w:t>.</w:t>
      </w:r>
    </w:p>
    <w:p w14:paraId="0E31284D" w14:textId="77777777" w:rsidR="00C64D67" w:rsidRDefault="00C64D67" w:rsidP="00650304">
      <w:r w:rsidRPr="00C64D67">
        <w:t>The HSE’s Specialist Perinatal Mental Health Service Model of Care was launched in November 2017 and includes a model for an overall perinatal mental health service clinical pathway. This provides for screening for mental health problems such as depression, anxiety, psychosis at the first visit to the maternity service, called the booking visit. The project is currently at implementation stage with full time services available in the Rotunda and National Maternity Hospitals for the first</w:t>
      </w:r>
      <w:r>
        <w:t xml:space="preserve"> </w:t>
      </w:r>
      <w:r w:rsidRPr="00C64D67">
        <w:t>time, with services currently being developed in Limerick, Cork and Galway.</w:t>
      </w:r>
      <w:r>
        <w:rPr>
          <w:rStyle w:val="FootnoteReference"/>
        </w:rPr>
        <w:footnoteReference w:id="83"/>
      </w:r>
    </w:p>
    <w:p w14:paraId="0EE3D988" w14:textId="77777777" w:rsidR="00B6752E" w:rsidRDefault="00650304" w:rsidP="00650304">
      <w:r>
        <w:lastRenderedPageBreak/>
        <w:t xml:space="preserve">HIQA has expressed concern about the “limited progress” the HSE has made in advancing the Strategy and called for a </w:t>
      </w:r>
      <w:r w:rsidRPr="004A2611">
        <w:t>more comprehensive, time-bound and costed implementation plan</w:t>
      </w:r>
      <w:r>
        <w:t>.</w:t>
      </w:r>
      <w:r>
        <w:rPr>
          <w:rStyle w:val="FootnoteReference"/>
        </w:rPr>
        <w:footnoteReference w:id="84"/>
      </w:r>
    </w:p>
    <w:p w14:paraId="561CFBCA" w14:textId="77777777" w:rsidR="00B6752E" w:rsidRDefault="00B6752E" w:rsidP="00B6752E">
      <w:pPr>
        <w:pStyle w:val="Heading3"/>
      </w:pPr>
      <w:r w:rsidRPr="00B6752E">
        <w:t>Breastfeeding in a Healthy Ireland – Health Service Breastfeeding Action Plan 2016-2021</w:t>
      </w:r>
    </w:p>
    <w:p w14:paraId="30F455DE" w14:textId="0B685126" w:rsidR="00B6752E" w:rsidRDefault="00B6752E" w:rsidP="00B6752E">
      <w:r>
        <w:t>T</w:t>
      </w:r>
      <w:r w:rsidRPr="00B6752E">
        <w:t>he Breastfeeding Action Plan sets out the priority areas to be addressed over the next 5 years to improve breastfeeding supports, to enable more mothers in Ireland to breastfeed and to improve health outcomes for mothers and children in Ireland</w:t>
      </w:r>
      <w:r>
        <w:t>.</w:t>
      </w:r>
      <w:r w:rsidR="001C3924">
        <w:rPr>
          <w:rStyle w:val="FootnoteReference"/>
        </w:rPr>
        <w:footnoteReference w:id="85"/>
      </w:r>
      <w:r>
        <w:t xml:space="preserve"> It does not contain any disability</w:t>
      </w:r>
      <w:r w:rsidR="00E42533">
        <w:t xml:space="preserve"> or mental health</w:t>
      </w:r>
      <w:r>
        <w:t>-specific actions.</w:t>
      </w:r>
    </w:p>
    <w:p w14:paraId="288EE530" w14:textId="77777777" w:rsidR="00557D3F" w:rsidRDefault="00557D3F" w:rsidP="0000041D">
      <w:pPr>
        <w:pStyle w:val="Heading1"/>
      </w:pPr>
      <w:bookmarkStart w:id="34" w:name="_Toc90030717"/>
      <w:r>
        <w:t>Mental Health</w:t>
      </w:r>
      <w:bookmarkEnd w:id="34"/>
    </w:p>
    <w:p w14:paraId="0CFB3D7B" w14:textId="77777777" w:rsidR="00BE6898" w:rsidRDefault="00BE6898" w:rsidP="00BE6898">
      <w:pPr>
        <w:pStyle w:val="Heading2"/>
      </w:pPr>
      <w:bookmarkStart w:id="35" w:name="_Toc90030718"/>
      <w:r>
        <w:t>Key data and statistics</w:t>
      </w:r>
      <w:bookmarkEnd w:id="35"/>
    </w:p>
    <w:p w14:paraId="1D723F66" w14:textId="77777777" w:rsidR="00D64125" w:rsidRPr="00D64125" w:rsidRDefault="00977CEF" w:rsidP="00977CEF">
      <w:pPr>
        <w:pStyle w:val="Heading3"/>
      </w:pPr>
      <w:r>
        <w:t>Prevalence of mental health issues</w:t>
      </w:r>
    </w:p>
    <w:p w14:paraId="42F6E9DF" w14:textId="626D7AD2" w:rsidR="00FF610D" w:rsidRDefault="00FF610D" w:rsidP="00FF610D">
      <w:r w:rsidRPr="00BD7F42">
        <w:t>The 201</w:t>
      </w:r>
      <w:r w:rsidR="001F7F6F">
        <w:t>9</w:t>
      </w:r>
      <w:r w:rsidRPr="00BD7F42">
        <w:t xml:space="preserve"> Irish Health Survey found that </w:t>
      </w:r>
      <w:r w:rsidR="001F7F6F" w:rsidRPr="001F7F6F">
        <w:t>43% of persons with disabilities report some form of depression, well above the State a</w:t>
      </w:r>
      <w:r w:rsidR="001F7F6F">
        <w:t>verage of 14%</w:t>
      </w:r>
      <w:r w:rsidRPr="00BD7F42">
        <w:t>.</w:t>
      </w:r>
      <w:r w:rsidR="007914F6">
        <w:rPr>
          <w:rStyle w:val="FootnoteReference"/>
        </w:rPr>
        <w:footnoteReference w:id="86"/>
      </w:r>
      <w:r w:rsidRPr="00BD7F42">
        <w:t xml:space="preserve"> </w:t>
      </w:r>
      <w:r w:rsidR="001C3924">
        <w:t>The NDA notes that it</w:t>
      </w:r>
      <w:r w:rsidRPr="00BD7F42">
        <w:t xml:space="preserve"> </w:t>
      </w:r>
      <w:r w:rsidR="00CF4D19">
        <w:t>is</w:t>
      </w:r>
      <w:r w:rsidRPr="00BD7F42">
        <w:t xml:space="preserve"> important to </w:t>
      </w:r>
      <w:r w:rsidRPr="00BD7F42">
        <w:lastRenderedPageBreak/>
        <w:t xml:space="preserve">disaggregate this finding by type of disability and exclude those with a mental health related disability only to see if this difference persists. </w:t>
      </w:r>
      <w:r w:rsidR="001C3924">
        <w:rPr>
          <w:rStyle w:val="FootnoteReference"/>
        </w:rPr>
        <w:footnoteReference w:id="87"/>
      </w:r>
    </w:p>
    <w:p w14:paraId="1576E43C" w14:textId="77777777" w:rsidR="00FF610D" w:rsidRDefault="00FF610D" w:rsidP="00FF610D">
      <w:r w:rsidRPr="00BD7F42">
        <w:t xml:space="preserve">The NDA’s 2017 National Survey of Public Attitudes to Disability in Ireland found that </w:t>
      </w:r>
      <w:r w:rsidR="00D64125">
        <w:t xml:space="preserve">a higher proportion of </w:t>
      </w:r>
      <w:r w:rsidRPr="00BD7F42">
        <w:t xml:space="preserve">people with a disability </w:t>
      </w:r>
      <w:r w:rsidR="00D64125">
        <w:t>felt downhearted and depressed</w:t>
      </w:r>
      <w:r w:rsidR="00977CEF">
        <w:t xml:space="preserve"> than people without a disability (18% v 4%).</w:t>
      </w:r>
      <w:r w:rsidR="00977CEF">
        <w:rPr>
          <w:rStyle w:val="FootnoteReference"/>
        </w:rPr>
        <w:footnoteReference w:id="88"/>
      </w:r>
      <w:r w:rsidR="00977CEF">
        <w:t xml:space="preserve"> People with disabilities </w:t>
      </w:r>
      <w:r w:rsidRPr="00BD7F42">
        <w:t>had a statistically significantly lower mean satisfaction with life score (7.3) and a lower mean happiness score (7.4) compared to people without disabilities (8.0 and 8.2 respectively)</w:t>
      </w:r>
      <w:r w:rsidR="00086B92">
        <w:t>.</w:t>
      </w:r>
    </w:p>
    <w:p w14:paraId="0D1E8B92" w14:textId="77777777" w:rsidR="00FF610D" w:rsidRDefault="00FF610D" w:rsidP="00FF610D">
      <w:r>
        <w:t>The IDS-TILDA study reveals that the p</w:t>
      </w:r>
      <w:r w:rsidRPr="00554B25">
        <w:t xml:space="preserve">revalence of emotional, nervous and psychiatric conditions </w:t>
      </w:r>
      <w:r>
        <w:t>amongst people with intellectual disabilities over the age of 40 is</w:t>
      </w:r>
      <w:r w:rsidRPr="00554B25">
        <w:t xml:space="preserve"> high, with almost 52% of participants reporting having received a diagnosis.</w:t>
      </w:r>
      <w:r w:rsidR="00086B92">
        <w:rPr>
          <w:rStyle w:val="FootnoteReference"/>
        </w:rPr>
        <w:footnoteReference w:id="89"/>
      </w:r>
      <w:r w:rsidRPr="00554B25">
        <w:t xml:space="preserve"> Depression (15.8%), anxiety (32.4%) and mood disorders (15.1%) were the main contributors to poor mental health. This compares with the TILDA finding that 13% of people experienced ‘case-level’ symptoms for anxiety. </w:t>
      </w:r>
    </w:p>
    <w:p w14:paraId="67DD153C" w14:textId="2CDB8527" w:rsidR="00942540" w:rsidRDefault="00DC199D" w:rsidP="00942540">
      <w:pPr>
        <w:pStyle w:val="Heading3"/>
      </w:pPr>
      <w:r>
        <w:t>In</w:t>
      </w:r>
      <w:r w:rsidR="00B42A2E">
        <w:t xml:space="preserve">-patient </w:t>
      </w:r>
      <w:r w:rsidR="00942540">
        <w:t>mental health facilities</w:t>
      </w:r>
    </w:p>
    <w:p w14:paraId="27849DA7" w14:textId="24BFB14D" w:rsidR="00DC199D" w:rsidRPr="00DC199D" w:rsidRDefault="007C10EB" w:rsidP="00DC199D">
      <w:r>
        <w:t xml:space="preserve">At the end of </w:t>
      </w:r>
      <w:r w:rsidR="00E21A75">
        <w:t>2020</w:t>
      </w:r>
      <w:r>
        <w:t>, there were 2,</w:t>
      </w:r>
      <w:r w:rsidR="00F904AC">
        <w:t>65</w:t>
      </w:r>
      <w:r w:rsidR="00E21A75">
        <w:t xml:space="preserve">7 </w:t>
      </w:r>
      <w:r>
        <w:t>in-patient beds in approved centres</w:t>
      </w:r>
      <w:r w:rsidR="00821C18">
        <w:t xml:space="preserve"> across the country, </w:t>
      </w:r>
      <w:r w:rsidR="00F904AC">
        <w:t xml:space="preserve">713 </w:t>
      </w:r>
      <w:r w:rsidR="00821C18">
        <w:t>adult b</w:t>
      </w:r>
      <w:r>
        <w:t xml:space="preserve">eds in the independent sector, 103 registered forensic beds and </w:t>
      </w:r>
      <w:r w:rsidR="00F904AC">
        <w:t xml:space="preserve">79 </w:t>
      </w:r>
      <w:r>
        <w:t>mental health intellectual disability beds.</w:t>
      </w:r>
      <w:r>
        <w:rPr>
          <w:rStyle w:val="FootnoteReference"/>
        </w:rPr>
        <w:footnoteReference w:id="90"/>
      </w:r>
      <w:r>
        <w:t xml:space="preserve"> By way of comparison, a</w:t>
      </w:r>
      <w:r w:rsidR="00DC199D" w:rsidRPr="00DC199D">
        <w:t>t the end of 201</w:t>
      </w:r>
      <w:r w:rsidR="00F904AC">
        <w:t>9</w:t>
      </w:r>
      <w:r w:rsidR="00DC199D" w:rsidRPr="00DC199D">
        <w:t xml:space="preserve">, there were </w:t>
      </w:r>
      <w:r w:rsidR="00DC199D" w:rsidRPr="00DC199D">
        <w:lastRenderedPageBreak/>
        <w:t>2,</w:t>
      </w:r>
      <w:r w:rsidR="00F904AC" w:rsidRPr="00DC199D">
        <w:t>7</w:t>
      </w:r>
      <w:r w:rsidR="00F904AC">
        <w:t>03</w:t>
      </w:r>
      <w:r w:rsidR="00F904AC" w:rsidRPr="00DC199D">
        <w:t xml:space="preserve"> </w:t>
      </w:r>
      <w:r w:rsidR="00DC199D" w:rsidRPr="00DC199D">
        <w:t xml:space="preserve">in-patient beds in approved centres across the country, </w:t>
      </w:r>
      <w:r w:rsidR="00F904AC">
        <w:t>687</w:t>
      </w:r>
      <w:r w:rsidR="00F904AC" w:rsidRPr="00DC199D">
        <w:t xml:space="preserve"> </w:t>
      </w:r>
      <w:r w:rsidR="00DC199D" w:rsidRPr="00DC199D">
        <w:t xml:space="preserve">adult beds in the independent sector, 103 registered forensic beds and </w:t>
      </w:r>
      <w:r w:rsidR="00F904AC">
        <w:t>96</w:t>
      </w:r>
      <w:r w:rsidR="00F904AC" w:rsidRPr="00DC199D">
        <w:t xml:space="preserve"> </w:t>
      </w:r>
      <w:r w:rsidR="00DC199D" w:rsidRPr="00DC199D">
        <w:t>mental heal</w:t>
      </w:r>
      <w:r w:rsidR="00DC199D">
        <w:t>th intellectual disability beds.</w:t>
      </w:r>
      <w:r w:rsidR="00DC199D">
        <w:rPr>
          <w:rStyle w:val="FootnoteReference"/>
        </w:rPr>
        <w:footnoteReference w:id="91"/>
      </w:r>
    </w:p>
    <w:p w14:paraId="25A0D700" w14:textId="0E9AC894" w:rsidR="00C64D67" w:rsidRDefault="00C64D67" w:rsidP="00FF610D">
      <w:r w:rsidRPr="00C64D67">
        <w:t>A</w:t>
      </w:r>
      <w:r w:rsidR="00E21A75">
        <w:t>n</w:t>
      </w:r>
      <w:r w:rsidRPr="00C64D67">
        <w:t xml:space="preserve"> analysis of admissions to Irish psychiatric units and hospitals found that there was an equal proportion of male and female admissions (all), with males having a slightly higher rate of all admissions, at</w:t>
      </w:r>
      <w:r w:rsidR="00E21A75">
        <w:t xml:space="preserve"> </w:t>
      </w:r>
      <w:r w:rsidR="00450BAC" w:rsidRPr="00450BAC">
        <w:t>361.4 per 100,000 compared with 340.7 for females</w:t>
      </w:r>
      <w:r w:rsidRPr="00C64D67">
        <w:t>.</w:t>
      </w:r>
      <w:r w:rsidR="00BE5CD6">
        <w:rPr>
          <w:rStyle w:val="FootnoteReference"/>
        </w:rPr>
        <w:footnoteReference w:id="92"/>
      </w:r>
      <w:r w:rsidRPr="00C64D67">
        <w:t xml:space="preserve"> </w:t>
      </w:r>
    </w:p>
    <w:p w14:paraId="2664F1D8" w14:textId="0C7F922B" w:rsidR="00DC199D" w:rsidRPr="00DC199D" w:rsidRDefault="007C10EB" w:rsidP="00DC199D">
      <w:r>
        <w:t>In 2019</w:t>
      </w:r>
      <w:r w:rsidR="00DC199D" w:rsidRPr="00DC199D">
        <w:t xml:space="preserve">, </w:t>
      </w:r>
      <w:r w:rsidR="00A93D7A">
        <w:t>there were 2,390 involuntary admissions</w:t>
      </w:r>
      <w:r w:rsidR="001C3924">
        <w:t xml:space="preserve"> </w:t>
      </w:r>
      <w:r w:rsidR="00DC199D" w:rsidRPr="00DC199D">
        <w:t xml:space="preserve">to psychiatric hospitals. Of those involuntarily admitted, </w:t>
      </w:r>
      <w:r w:rsidR="001C3924">
        <w:t>54% were men and 46% were women.</w:t>
      </w:r>
      <w:r w:rsidR="001C3924">
        <w:rPr>
          <w:rStyle w:val="FootnoteReference"/>
        </w:rPr>
        <w:footnoteReference w:id="93"/>
      </w:r>
      <w:r w:rsidR="00DC199D" w:rsidRPr="00DC199D">
        <w:t xml:space="preserve"> </w:t>
      </w:r>
      <w:r w:rsidR="00DC199D" w:rsidRPr="00DC199D">
        <w:rPr>
          <w:lang w:val="en"/>
        </w:rPr>
        <w:t>If a person is admitted to hospital involuntarily, they are entitled to have</w:t>
      </w:r>
      <w:r w:rsidR="000B4B64">
        <w:rPr>
          <w:lang w:val="en"/>
        </w:rPr>
        <w:t xml:space="preserve"> the detention order reviewed by</w:t>
      </w:r>
      <w:r w:rsidR="00DC199D" w:rsidRPr="00DC199D">
        <w:rPr>
          <w:lang w:val="en"/>
        </w:rPr>
        <w:t xml:space="preserve"> a mental health tribunal within 21 days of their admission.</w:t>
      </w:r>
      <w:r w:rsidR="001C3924">
        <w:rPr>
          <w:rStyle w:val="FootnoteReference"/>
          <w:lang w:val="en"/>
        </w:rPr>
        <w:footnoteReference w:id="94"/>
      </w:r>
      <w:r w:rsidR="00DC199D" w:rsidRPr="00DC199D">
        <w:rPr>
          <w:lang w:val="en"/>
        </w:rPr>
        <w:t xml:space="preserve"> The M</w:t>
      </w:r>
      <w:r w:rsidR="000B4B64">
        <w:rPr>
          <w:lang w:val="en"/>
        </w:rPr>
        <w:t xml:space="preserve">ental </w:t>
      </w:r>
      <w:r w:rsidR="00DC199D" w:rsidRPr="00DC199D">
        <w:rPr>
          <w:lang w:val="en"/>
        </w:rPr>
        <w:t>H</w:t>
      </w:r>
      <w:r w:rsidR="000B4B64">
        <w:rPr>
          <w:lang w:val="en"/>
        </w:rPr>
        <w:t xml:space="preserve">ealth </w:t>
      </w:r>
      <w:r w:rsidR="00DC199D" w:rsidRPr="00DC199D">
        <w:rPr>
          <w:lang w:val="en"/>
        </w:rPr>
        <w:t>C</w:t>
      </w:r>
      <w:r w:rsidR="000B4B64">
        <w:rPr>
          <w:lang w:val="en"/>
        </w:rPr>
        <w:t>ommission</w:t>
      </w:r>
      <w:r w:rsidR="00DC199D" w:rsidRPr="00DC199D">
        <w:rPr>
          <w:lang w:val="en"/>
        </w:rPr>
        <w:t xml:space="preserve"> is responsible for establishing these tribunals</w:t>
      </w:r>
      <w:r w:rsidR="000B4B64">
        <w:rPr>
          <w:lang w:val="en"/>
        </w:rPr>
        <w:t xml:space="preserve"> and each tribunal comprises three people – a solicitor or barrister as chair, a consultant psychiatrist and a lay person</w:t>
      </w:r>
      <w:r w:rsidR="00DC199D" w:rsidRPr="00DC199D">
        <w:rPr>
          <w:lang w:val="en"/>
        </w:rPr>
        <w:t>. The function of the mental health tribunal is to either revoke or affirm an adm</w:t>
      </w:r>
      <w:r w:rsidR="00821C18">
        <w:rPr>
          <w:lang w:val="en"/>
        </w:rPr>
        <w:t>ission or renewal order. In 2019</w:t>
      </w:r>
      <w:r w:rsidR="00DC199D" w:rsidRPr="00DC199D">
        <w:rPr>
          <w:lang w:val="en"/>
        </w:rPr>
        <w:t xml:space="preserve">, </w:t>
      </w:r>
      <w:r w:rsidR="00EE1D95">
        <w:t>12</w:t>
      </w:r>
      <w:r w:rsidR="00DC199D" w:rsidRPr="00DC199D">
        <w:t>%</w:t>
      </w:r>
      <w:r w:rsidR="00EE1D95">
        <w:t xml:space="preserve"> (245)</w:t>
      </w:r>
      <w:r w:rsidR="00DC199D" w:rsidRPr="00DC199D">
        <w:t xml:space="preserve"> of tribunal hearings </w:t>
      </w:r>
      <w:r w:rsidR="00EE1D95">
        <w:t>resulted in a revocation of</w:t>
      </w:r>
      <w:r w:rsidR="001C3924">
        <w:t xml:space="preserve"> the admission or renewal order.</w:t>
      </w:r>
      <w:r w:rsidR="001C3924">
        <w:rPr>
          <w:rStyle w:val="FootnoteReference"/>
        </w:rPr>
        <w:footnoteReference w:id="95"/>
      </w:r>
    </w:p>
    <w:p w14:paraId="099EB2F4" w14:textId="77777777" w:rsidR="00942540" w:rsidRDefault="00942540" w:rsidP="00942540">
      <w:r w:rsidRPr="00A251F1">
        <w:t>On 28 November 2018</w:t>
      </w:r>
      <w:r w:rsidR="001C3924">
        <w:t>,</w:t>
      </w:r>
      <w:r w:rsidRPr="00A251F1">
        <w:t xml:space="preserve"> the </w:t>
      </w:r>
      <w:r w:rsidR="001C3924">
        <w:t xml:space="preserve">Mental Health </w:t>
      </w:r>
      <w:r w:rsidRPr="00A251F1">
        <w:t>Commission conducted an in-patient census across all of its regulated in-patient mental health services (approved centres).</w:t>
      </w:r>
      <w:r w:rsidR="0063603E">
        <w:rPr>
          <w:rStyle w:val="FootnoteReference"/>
        </w:rPr>
        <w:footnoteReference w:id="96"/>
      </w:r>
      <w:r w:rsidRPr="00A251F1">
        <w:t xml:space="preserve"> This included all residents who were in-patient in the unit, absent without leave, on approved leave, </w:t>
      </w:r>
      <w:r w:rsidRPr="00A251F1">
        <w:lastRenderedPageBreak/>
        <w:t>or transferred to another facility (e.g. a general hospital) but not discharged.</w:t>
      </w:r>
      <w:r>
        <w:t xml:space="preserve"> The census revealed that there were 2,345 residents, 52% male and 47% female. This figure represented a national occupancy rate of 84%.</w:t>
      </w:r>
    </w:p>
    <w:p w14:paraId="2843F90F" w14:textId="433A463A" w:rsidR="00942540" w:rsidRDefault="00942540" w:rsidP="00942540">
      <w:r>
        <w:t xml:space="preserve">The primary diagnosis of </w:t>
      </w:r>
      <w:r w:rsidRPr="002A47B8">
        <w:t xml:space="preserve">39% </w:t>
      </w:r>
      <w:r>
        <w:t>of residents was s</w:t>
      </w:r>
      <w:r w:rsidRPr="002A47B8">
        <w:t>chizophrenia disorders</w:t>
      </w:r>
      <w:r>
        <w:t>,</w:t>
      </w:r>
      <w:r w:rsidRPr="002A47B8">
        <w:t xml:space="preserve"> 19% </w:t>
      </w:r>
      <w:r>
        <w:t>had d</w:t>
      </w:r>
      <w:r w:rsidRPr="002A47B8">
        <w:t>epressive disorders</w:t>
      </w:r>
      <w:r>
        <w:t>, 12% had o</w:t>
      </w:r>
      <w:r w:rsidRPr="002A47B8">
        <w:t>rganic disorders (including dementia)</w:t>
      </w:r>
      <w:r>
        <w:t>, 7% had mania and 4% had p</w:t>
      </w:r>
      <w:r w:rsidRPr="002A47B8">
        <w:t>ersonality disorder</w:t>
      </w:r>
      <w:r>
        <w:t>s. 52% had been admitted less than three months beforehand, 41% were admitted longer than six months, 29% were admitted for more than two years and 18% were admitted for over five years.</w:t>
      </w:r>
      <w:r w:rsidR="000F0810">
        <w:rPr>
          <w:rStyle w:val="FootnoteReference"/>
        </w:rPr>
        <w:footnoteReference w:id="97"/>
      </w:r>
    </w:p>
    <w:p w14:paraId="52B673B0" w14:textId="1EC0838B" w:rsidR="0063603E" w:rsidRPr="00DC199D" w:rsidRDefault="00EF3C9F" w:rsidP="0063603E">
      <w:r w:rsidRPr="00EF3C9F">
        <w:t>Seclusion was used in 42% of approved centres in 2018</w:t>
      </w:r>
      <w:r w:rsidRPr="00EF3C9F">
        <w:rPr>
          <w:vertAlign w:val="superscript"/>
        </w:rPr>
        <w:footnoteReference w:id="98"/>
      </w:r>
      <w:r w:rsidRPr="00EF3C9F">
        <w:t xml:space="preserve"> and 43% in 2019.</w:t>
      </w:r>
      <w:r w:rsidRPr="00EF3C9F">
        <w:rPr>
          <w:vertAlign w:val="superscript"/>
        </w:rPr>
        <w:footnoteReference w:id="99"/>
      </w:r>
      <w:r w:rsidR="002A4F67">
        <w:t xml:space="preserve"> A 2019 report shows that s</w:t>
      </w:r>
      <w:r w:rsidR="0063603E" w:rsidRPr="00DC199D">
        <w:t xml:space="preserve">eclusion was used in </w:t>
      </w:r>
      <w:r w:rsidR="000F4DCE">
        <w:t xml:space="preserve">42% of approved centres in 2018 </w:t>
      </w:r>
      <w:r w:rsidR="0063603E" w:rsidRPr="00DC199D">
        <w:t>41% in 2017 and, as compared to 42% in 2016.</w:t>
      </w:r>
      <w:r w:rsidR="0063603E">
        <w:rPr>
          <w:rStyle w:val="FootnoteReference"/>
        </w:rPr>
        <w:footnoteReference w:id="100"/>
      </w:r>
      <w:r w:rsidR="0063603E" w:rsidRPr="00DC199D">
        <w:t xml:space="preserve"> There were 1,392 episodes of seclusion in 2017, a decrease from the 1,475 episodes in 2016, but which again increased in 2018 to 1,799. </w:t>
      </w:r>
      <w:r w:rsidR="001312A5">
        <w:t xml:space="preserve">The seclusion involved </w:t>
      </w:r>
      <w:r w:rsidR="0063603E" w:rsidRPr="00DC199D">
        <w:t xml:space="preserve">646 </w:t>
      </w:r>
      <w:r w:rsidR="001312A5">
        <w:t>individuals</w:t>
      </w:r>
      <w:r w:rsidR="0063603E" w:rsidRPr="00DC199D">
        <w:t xml:space="preserve"> in 2017 and 760 people were secluded in 2018. In 2017 and 2018, more male residents than female residents were secluded (63% and 65% respectively</w:t>
      </w:r>
      <w:r w:rsidR="001312A5">
        <w:t>)</w:t>
      </w:r>
      <w:r w:rsidR="0063603E" w:rsidRPr="00DC199D">
        <w:t>. In 2017, there were 211 episodes where a person was locked in seclusion for over 24 hours. In 2018, this rose to 317 episodes. In 2017, there were 49 episodes where a person was locked in seclusion for over 72 hours. This compares to 81 episodes in 2018.</w:t>
      </w:r>
      <w:r w:rsidR="0063603E" w:rsidRPr="00DC199D">
        <w:rPr>
          <w:vertAlign w:val="superscript"/>
        </w:rPr>
        <w:footnoteReference w:id="101"/>
      </w:r>
    </w:p>
    <w:p w14:paraId="3C810C77" w14:textId="0CBB736F" w:rsidR="00942540" w:rsidRDefault="0063603E" w:rsidP="00FF610D">
      <w:r w:rsidRPr="00DC199D">
        <w:lastRenderedPageBreak/>
        <w:t xml:space="preserve">Physical restraint was used in </w:t>
      </w:r>
      <w:r w:rsidR="002A4F67">
        <w:t>89% of approved centres in 2019</w:t>
      </w:r>
      <w:r w:rsidR="002A4F67">
        <w:rPr>
          <w:rStyle w:val="FootnoteReference"/>
        </w:rPr>
        <w:footnoteReference w:id="102"/>
      </w:r>
      <w:r w:rsidR="002A4F67">
        <w:t>,</w:t>
      </w:r>
      <w:r w:rsidRPr="00DC199D">
        <w:t xml:space="preserve"> 85% in 2018</w:t>
      </w:r>
      <w:r w:rsidR="002A4F67">
        <w:t xml:space="preserve"> and 81% in 2017</w:t>
      </w:r>
      <w:r w:rsidRPr="00DC199D">
        <w:t>.</w:t>
      </w:r>
      <w:r>
        <w:rPr>
          <w:rStyle w:val="FootnoteReference"/>
        </w:rPr>
        <w:footnoteReference w:id="103"/>
      </w:r>
      <w:r w:rsidRPr="00DC199D">
        <w:t xml:space="preserve"> </w:t>
      </w:r>
      <w:r w:rsidR="002A4F67">
        <w:t>In 2019, 50% of physical restraints were compliant with the Code of Practice on Physical Restraint, a significant improvement from 2016 where the rate of compliance was 22%.</w:t>
      </w:r>
      <w:r w:rsidR="002A4F67">
        <w:rPr>
          <w:rStyle w:val="FootnoteReference"/>
        </w:rPr>
        <w:footnoteReference w:id="104"/>
      </w:r>
      <w:r w:rsidR="002A4F67">
        <w:t xml:space="preserve"> </w:t>
      </w:r>
      <w:r w:rsidRPr="00DC199D">
        <w:t>There were 4,773 episodes of physical restraint in 2017 and 5,665 in 2018. This was a year-on-year increase from 3,525 in 2016. 1,125 people were physically restrained in 2017 and 1,207 in 2018. More male residents than female residents were physically restrained (53.9% male in 2017 and 51% male in 2018). 86.8% of episodes of physical restraint in 2017 and 87.6% in 2018 lasted for less than 15 minutes.</w:t>
      </w:r>
      <w:r w:rsidRPr="00DC199D">
        <w:rPr>
          <w:vertAlign w:val="superscript"/>
        </w:rPr>
        <w:footnoteReference w:id="105"/>
      </w:r>
    </w:p>
    <w:p w14:paraId="3F129B10" w14:textId="0FC7230B" w:rsidR="00104E2C" w:rsidRDefault="007016B0" w:rsidP="00BE6898">
      <w:r>
        <w:t>In 2018,</w:t>
      </w:r>
      <w:r w:rsidR="00BE6898" w:rsidRPr="00794067">
        <w:t xml:space="preserve"> </w:t>
      </w:r>
      <w:r w:rsidR="0038579F">
        <w:t xml:space="preserve">the Mental Health Commission estimated that </w:t>
      </w:r>
      <w:r w:rsidR="00BE6898" w:rsidRPr="00794067">
        <w:t>1,</w:t>
      </w:r>
      <w:r>
        <w:t>200</w:t>
      </w:r>
      <w:r w:rsidR="00BE6898" w:rsidRPr="00794067">
        <w:t xml:space="preserve"> people lived</w:t>
      </w:r>
      <w:r w:rsidR="00BE6898" w:rsidRPr="00794067">
        <w:rPr>
          <w:b/>
        </w:rPr>
        <w:t xml:space="preserve"> </w:t>
      </w:r>
      <w:r w:rsidR="00BE6898" w:rsidRPr="00794067">
        <w:t>in</w:t>
      </w:r>
      <w:r w:rsidR="00046B04">
        <w:t xml:space="preserve"> 118</w:t>
      </w:r>
      <w:r w:rsidR="00BE6898" w:rsidRPr="00794067">
        <w:t xml:space="preserve"> 24-hour supervised mental health residences</w:t>
      </w:r>
      <w:r w:rsidR="00BE6898">
        <w:t>.</w:t>
      </w:r>
      <w:r w:rsidR="00F15EE5">
        <w:rPr>
          <w:rStyle w:val="FootnoteReference"/>
        </w:rPr>
        <w:footnoteReference w:id="106"/>
      </w:r>
      <w:r w:rsidR="00BE6898">
        <w:t xml:space="preserve"> </w:t>
      </w:r>
      <w:r w:rsidR="00104E2C" w:rsidRPr="00104E2C">
        <w:t xml:space="preserve">In </w:t>
      </w:r>
      <w:r w:rsidR="0038579F">
        <w:t>2019, 33% of 18 residences inspected had 10 or more beds,</w:t>
      </w:r>
      <w:r w:rsidR="0038579F">
        <w:rPr>
          <w:rStyle w:val="FootnoteReference"/>
        </w:rPr>
        <w:footnoteReference w:id="107"/>
      </w:r>
      <w:r w:rsidR="000C6F5B">
        <w:t xml:space="preserve"> while that figure</w:t>
      </w:r>
      <w:r w:rsidR="0038579F">
        <w:t xml:space="preserve"> stood at </w:t>
      </w:r>
      <w:r w:rsidR="00104E2C" w:rsidRPr="00104E2C">
        <w:t xml:space="preserve">43% of 54 </w:t>
      </w:r>
      <w:r w:rsidR="000C6F5B">
        <w:t xml:space="preserve">residences inspected </w:t>
      </w:r>
      <w:r w:rsidR="0038579F">
        <w:t>in 2018</w:t>
      </w:r>
      <w:r w:rsidR="00104E2C" w:rsidRPr="00104E2C">
        <w:t>.</w:t>
      </w:r>
      <w:r w:rsidR="00F15EE5">
        <w:rPr>
          <w:rStyle w:val="FootnoteReference"/>
        </w:rPr>
        <w:footnoteReference w:id="108"/>
      </w:r>
      <w:r w:rsidR="00104E2C" w:rsidRPr="00104E2C">
        <w:t xml:space="preserve"> </w:t>
      </w:r>
    </w:p>
    <w:p w14:paraId="47D3971E" w14:textId="77777777" w:rsidR="00CA7647" w:rsidRPr="00CA7647" w:rsidRDefault="00CA7647" w:rsidP="00A251F1">
      <w:pPr>
        <w:rPr>
          <w:lang w:val="en"/>
        </w:rPr>
      </w:pPr>
      <w:r w:rsidRPr="00CA7647">
        <w:t>In January 2019, there were 35 loc</w:t>
      </w:r>
      <w:r w:rsidR="001C3924">
        <w:t>al Mental Health forums across nine</w:t>
      </w:r>
      <w:r w:rsidRPr="00CA7647">
        <w:t xml:space="preserve"> CHO areas.</w:t>
      </w:r>
      <w:r w:rsidR="0047540E">
        <w:rPr>
          <w:rStyle w:val="FootnoteReference"/>
        </w:rPr>
        <w:footnoteReference w:id="109"/>
      </w:r>
      <w:r w:rsidRPr="00CA7647">
        <w:t xml:space="preserve"> </w:t>
      </w:r>
      <w:r w:rsidRPr="00CA7647">
        <w:rPr>
          <w:lang w:val="en"/>
        </w:rPr>
        <w:t xml:space="preserve">These fora act as a resource for service users and family members, carers and supporters to voice </w:t>
      </w:r>
      <w:r w:rsidRPr="00CA7647">
        <w:rPr>
          <w:lang w:val="en"/>
        </w:rPr>
        <w:lastRenderedPageBreak/>
        <w:t>their experiences, raise issues and be consulted and involved in mental health services developments in their area.</w:t>
      </w:r>
    </w:p>
    <w:p w14:paraId="1B593FBB" w14:textId="6BD4C375" w:rsidR="00AB7841" w:rsidRDefault="0038579F" w:rsidP="00A251F1">
      <w:r>
        <w:t>In 2019</w:t>
      </w:r>
      <w:r w:rsidR="00AB7841" w:rsidRPr="00AB7841">
        <w:t xml:space="preserve">, </w:t>
      </w:r>
      <w:r>
        <w:t>563</w:t>
      </w:r>
      <w:r w:rsidR="00AB7841" w:rsidRPr="00AB7841">
        <w:t xml:space="preserve"> deaths of people using mental health services were reported to the </w:t>
      </w:r>
      <w:r w:rsidR="00CF4D19">
        <w:t xml:space="preserve">Mental Health </w:t>
      </w:r>
      <w:r w:rsidR="00AB7841" w:rsidRPr="00AB7841">
        <w:t>Commission.</w:t>
      </w:r>
      <w:r w:rsidR="000F0810">
        <w:rPr>
          <w:rStyle w:val="FootnoteReference"/>
        </w:rPr>
        <w:footnoteReference w:id="110"/>
      </w:r>
      <w:r w:rsidR="00AB7841" w:rsidRPr="00AB7841">
        <w:t xml:space="preserve"> </w:t>
      </w:r>
      <w:r>
        <w:t>166</w:t>
      </w:r>
      <w:r w:rsidR="00AB7841" w:rsidRPr="00AB7841">
        <w:t xml:space="preserve"> of these related to regulated services (approved centres), while </w:t>
      </w:r>
      <w:r>
        <w:t>397</w:t>
      </w:r>
      <w:r w:rsidR="00AB7841" w:rsidRPr="00AB7841">
        <w:t xml:space="preserve"> related to other com</w:t>
      </w:r>
      <w:r w:rsidR="00AB7841">
        <w:t>munity mental health services. While d</w:t>
      </w:r>
      <w:r w:rsidR="00AB7841" w:rsidRPr="00AB7841">
        <w:t>eath by suicide may only be determined by a Coroner’s inquest, which may take place a n</w:t>
      </w:r>
      <w:r w:rsidR="00AB7841">
        <w:t>umber of months after the death</w:t>
      </w:r>
      <w:r w:rsidR="00AB7841" w:rsidRPr="00AB7841">
        <w:t xml:space="preserve">, </w:t>
      </w:r>
      <w:r>
        <w:t>168</w:t>
      </w:r>
      <w:r w:rsidR="00AB7841" w:rsidRPr="00AB7841">
        <w:t xml:space="preserve"> deaths were reported to </w:t>
      </w:r>
      <w:r w:rsidR="00AB7841">
        <w:t>the Commission</w:t>
      </w:r>
      <w:r w:rsidR="00AB7841" w:rsidRPr="00AB7841">
        <w:t xml:space="preserve"> by the service as ‘suspected suicides’.</w:t>
      </w:r>
      <w:r w:rsidR="000F0810">
        <w:rPr>
          <w:rStyle w:val="FootnoteReference"/>
        </w:rPr>
        <w:footnoteReference w:id="111"/>
      </w:r>
    </w:p>
    <w:p w14:paraId="37D4890C" w14:textId="299D47D9" w:rsidR="00DE3B98" w:rsidRDefault="00DE3B98" w:rsidP="00DE3B98">
      <w:pPr>
        <w:pStyle w:val="Heading3"/>
      </w:pPr>
      <w:r>
        <w:t>Community Mental Healthcare</w:t>
      </w:r>
    </w:p>
    <w:p w14:paraId="28F7535D" w14:textId="139899DD" w:rsidR="00B32038" w:rsidRDefault="005735DB" w:rsidP="005735DB">
      <w:r>
        <w:t xml:space="preserve">The number of referrals and consultations for general adult mental health services and psychiatry of later life services are outlined in Tables 3 and 4 below. </w:t>
      </w:r>
    </w:p>
    <w:p w14:paraId="1A038DE9" w14:textId="62AFB021" w:rsidR="00DE3B98" w:rsidRDefault="005735DB" w:rsidP="00DE3B98">
      <w:pPr>
        <w:pStyle w:val="TableTitle"/>
      </w:pPr>
      <w:r>
        <w:t xml:space="preserve">Table 3: </w:t>
      </w:r>
      <w:r w:rsidR="00DE3B98">
        <w:t>General Adult Mental Health services</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2880"/>
        <w:gridCol w:w="2880"/>
      </w:tblGrid>
      <w:tr w:rsidR="00DE3B98" w:rsidRPr="00DE3B98" w14:paraId="4164EFDE" w14:textId="77777777" w:rsidTr="00DE3B98">
        <w:trPr>
          <w:tblHeader/>
        </w:trPr>
        <w:tc>
          <w:tcPr>
            <w:tcW w:w="2880" w:type="dxa"/>
            <w:tcBorders>
              <w:bottom w:val="single" w:sz="12" w:space="0" w:color="000000"/>
            </w:tcBorders>
            <w:shd w:val="clear" w:color="auto" w:fill="auto"/>
          </w:tcPr>
          <w:p w14:paraId="2B39EA33" w14:textId="77777777" w:rsidR="00DE3B98" w:rsidRPr="00DE3B98" w:rsidRDefault="00DE3B98" w:rsidP="00DE3B98">
            <w:pPr>
              <w:pStyle w:val="TableHead"/>
            </w:pPr>
          </w:p>
        </w:tc>
        <w:tc>
          <w:tcPr>
            <w:tcW w:w="2880" w:type="dxa"/>
            <w:tcBorders>
              <w:bottom w:val="single" w:sz="12" w:space="0" w:color="000000"/>
            </w:tcBorders>
            <w:shd w:val="clear" w:color="auto" w:fill="auto"/>
          </w:tcPr>
          <w:p w14:paraId="67DA83A9" w14:textId="45C51E9E" w:rsidR="00DE3B98" w:rsidRPr="00DE3B98" w:rsidRDefault="00DE3B98" w:rsidP="00DE3B98">
            <w:pPr>
              <w:pStyle w:val="TableHead"/>
            </w:pPr>
            <w:r>
              <w:t>Expected Activity / Target</w:t>
            </w:r>
          </w:p>
        </w:tc>
        <w:tc>
          <w:tcPr>
            <w:tcW w:w="2880" w:type="dxa"/>
            <w:tcBorders>
              <w:bottom w:val="single" w:sz="12" w:space="0" w:color="000000"/>
            </w:tcBorders>
            <w:shd w:val="clear" w:color="auto" w:fill="auto"/>
          </w:tcPr>
          <w:p w14:paraId="44F9E221" w14:textId="5D50CA9F" w:rsidR="00DE3B98" w:rsidRPr="00DE3B98" w:rsidRDefault="00DE3B98" w:rsidP="00BD151A">
            <w:pPr>
              <w:pStyle w:val="TableHead"/>
            </w:pPr>
            <w:r>
              <w:t xml:space="preserve">January – </w:t>
            </w:r>
            <w:r w:rsidR="00BD151A">
              <w:t>December</w:t>
            </w:r>
            <w:r>
              <w:t xml:space="preserve"> 2019</w:t>
            </w:r>
          </w:p>
        </w:tc>
      </w:tr>
      <w:tr w:rsidR="00DE3B98" w:rsidRPr="00DE3B98" w14:paraId="18DCF83A" w14:textId="77777777" w:rsidTr="00DE3B98">
        <w:tc>
          <w:tcPr>
            <w:tcW w:w="2880" w:type="dxa"/>
            <w:tcBorders>
              <w:top w:val="single" w:sz="12" w:space="0" w:color="000000"/>
            </w:tcBorders>
            <w:shd w:val="clear" w:color="auto" w:fill="auto"/>
          </w:tcPr>
          <w:p w14:paraId="5852F65B" w14:textId="61A4246A" w:rsidR="00DE3B98" w:rsidRPr="00DE3B98" w:rsidRDefault="00DE3B98" w:rsidP="00DE3B98">
            <w:pPr>
              <w:pStyle w:val="TableRowHead"/>
              <w:rPr>
                <w:rFonts w:ascii="Gill Sans MT" w:hAnsi="Gill Sans MT"/>
              </w:rPr>
            </w:pPr>
            <w:r w:rsidRPr="00DE3B98">
              <w:rPr>
                <w:rFonts w:ascii="Gill Sans MT" w:hAnsi="Gill Sans MT"/>
              </w:rPr>
              <w:t>Number of referrals received</w:t>
            </w:r>
          </w:p>
        </w:tc>
        <w:tc>
          <w:tcPr>
            <w:tcW w:w="2880" w:type="dxa"/>
            <w:tcBorders>
              <w:top w:val="single" w:sz="12" w:space="0" w:color="000000"/>
            </w:tcBorders>
            <w:shd w:val="clear" w:color="auto" w:fill="auto"/>
          </w:tcPr>
          <w:p w14:paraId="01C1F1AE" w14:textId="6CB61BFA" w:rsidR="00DE3B98" w:rsidRPr="00DE3B98" w:rsidRDefault="002D20FA" w:rsidP="00DE3B98">
            <w:pPr>
              <w:pStyle w:val="TableCell"/>
            </w:pPr>
            <w:r>
              <w:t>43,819</w:t>
            </w:r>
          </w:p>
        </w:tc>
        <w:tc>
          <w:tcPr>
            <w:tcW w:w="2880" w:type="dxa"/>
            <w:tcBorders>
              <w:top w:val="single" w:sz="12" w:space="0" w:color="000000"/>
            </w:tcBorders>
            <w:shd w:val="clear" w:color="auto" w:fill="auto"/>
          </w:tcPr>
          <w:p w14:paraId="086153EA" w14:textId="0873DB17" w:rsidR="00DE3B98" w:rsidRPr="00DE3B98" w:rsidRDefault="002D20FA" w:rsidP="00DE3B98">
            <w:pPr>
              <w:pStyle w:val="TableCell"/>
            </w:pPr>
            <w:r>
              <w:t>43,680</w:t>
            </w:r>
          </w:p>
        </w:tc>
      </w:tr>
      <w:tr w:rsidR="00DE3B98" w:rsidRPr="00DE3B98" w14:paraId="35A638EE" w14:textId="77777777" w:rsidTr="00DE3B98">
        <w:tc>
          <w:tcPr>
            <w:tcW w:w="2880" w:type="dxa"/>
            <w:shd w:val="clear" w:color="auto" w:fill="auto"/>
          </w:tcPr>
          <w:p w14:paraId="702B86B9" w14:textId="23D13925" w:rsidR="00DE3B98" w:rsidRPr="00DE3B98" w:rsidRDefault="00DE3B98" w:rsidP="00DE3B98">
            <w:pPr>
              <w:pStyle w:val="TableRowHead"/>
              <w:rPr>
                <w:rFonts w:ascii="Gill Sans MT" w:hAnsi="Gill Sans MT"/>
              </w:rPr>
            </w:pPr>
            <w:r w:rsidRPr="00DE3B98">
              <w:rPr>
                <w:rFonts w:ascii="Gill Sans MT" w:hAnsi="Gill Sans MT"/>
              </w:rPr>
              <w:t>Number of referrals seen</w:t>
            </w:r>
          </w:p>
        </w:tc>
        <w:tc>
          <w:tcPr>
            <w:tcW w:w="2880" w:type="dxa"/>
            <w:shd w:val="clear" w:color="auto" w:fill="auto"/>
          </w:tcPr>
          <w:p w14:paraId="50DC6AF8" w14:textId="433E6077" w:rsidR="00DE3B98" w:rsidRPr="00DE3B98" w:rsidRDefault="002D20FA" w:rsidP="00DE3B98">
            <w:pPr>
              <w:pStyle w:val="TableCell"/>
            </w:pPr>
            <w:r>
              <w:t>28,716</w:t>
            </w:r>
          </w:p>
        </w:tc>
        <w:tc>
          <w:tcPr>
            <w:tcW w:w="2880" w:type="dxa"/>
            <w:shd w:val="clear" w:color="auto" w:fill="auto"/>
          </w:tcPr>
          <w:p w14:paraId="330082C9" w14:textId="2C768917" w:rsidR="00DE3B98" w:rsidRPr="00DE3B98" w:rsidRDefault="002D20FA" w:rsidP="00DE3B98">
            <w:pPr>
              <w:pStyle w:val="TableCell"/>
            </w:pPr>
            <w:r>
              <w:t>26,878</w:t>
            </w:r>
          </w:p>
        </w:tc>
      </w:tr>
      <w:tr w:rsidR="00DE3B98" w:rsidRPr="00DE3B98" w14:paraId="4DDE7D32" w14:textId="77777777" w:rsidTr="00DE3B98">
        <w:tc>
          <w:tcPr>
            <w:tcW w:w="2880" w:type="dxa"/>
            <w:shd w:val="clear" w:color="auto" w:fill="auto"/>
          </w:tcPr>
          <w:p w14:paraId="44E2C91E" w14:textId="64913520" w:rsidR="00DE3B98" w:rsidRPr="00DE3B98" w:rsidRDefault="00DE3B98" w:rsidP="00DE3B98">
            <w:pPr>
              <w:pStyle w:val="TableRowHead"/>
              <w:rPr>
                <w:rFonts w:ascii="Gill Sans MT" w:hAnsi="Gill Sans MT"/>
              </w:rPr>
            </w:pPr>
            <w:r w:rsidRPr="00DE3B98">
              <w:rPr>
                <w:rFonts w:ascii="Gill Sans MT" w:hAnsi="Gill Sans MT"/>
              </w:rPr>
              <w:t>% seen within 12 weeks</w:t>
            </w:r>
          </w:p>
        </w:tc>
        <w:tc>
          <w:tcPr>
            <w:tcW w:w="2880" w:type="dxa"/>
            <w:shd w:val="clear" w:color="auto" w:fill="auto"/>
          </w:tcPr>
          <w:p w14:paraId="4B4A68C0" w14:textId="6D8D8588" w:rsidR="00DE3B98" w:rsidRPr="00DE3B98" w:rsidRDefault="00DE3B98" w:rsidP="00DE3B98">
            <w:pPr>
              <w:pStyle w:val="TableCell"/>
            </w:pPr>
            <w:r>
              <w:t>75%</w:t>
            </w:r>
          </w:p>
        </w:tc>
        <w:tc>
          <w:tcPr>
            <w:tcW w:w="2880" w:type="dxa"/>
            <w:shd w:val="clear" w:color="auto" w:fill="auto"/>
          </w:tcPr>
          <w:p w14:paraId="00A17A53" w14:textId="212F32F5" w:rsidR="00DE3B98" w:rsidRPr="00DE3B98" w:rsidRDefault="002D20FA" w:rsidP="00DE3B98">
            <w:pPr>
              <w:pStyle w:val="TableCell"/>
            </w:pPr>
            <w:r>
              <w:t>72.9</w:t>
            </w:r>
            <w:r w:rsidR="00DE3B98">
              <w:t>%</w:t>
            </w:r>
          </w:p>
        </w:tc>
      </w:tr>
    </w:tbl>
    <w:p w14:paraId="44C0C5B7" w14:textId="77FC3B2C" w:rsidR="00DE3B98" w:rsidRPr="00DE3B98" w:rsidRDefault="00DE3B98" w:rsidP="00DE3B98">
      <w:pPr>
        <w:pStyle w:val="TableNote"/>
      </w:pPr>
      <w:r>
        <w:t xml:space="preserve">Source: </w:t>
      </w:r>
      <w:r w:rsidR="00B32038">
        <w:t xml:space="preserve">HSE Performance Report, </w:t>
      </w:r>
      <w:r w:rsidR="00BD151A">
        <w:t>October</w:t>
      </w:r>
      <w:r w:rsidRPr="00DE3B98">
        <w:t xml:space="preserve"> – </w:t>
      </w:r>
      <w:r w:rsidR="00BD151A">
        <w:t>December</w:t>
      </w:r>
      <w:r w:rsidRPr="00DE3B98">
        <w:t xml:space="preserve"> 2019</w:t>
      </w:r>
      <w:r w:rsidR="00FA1CE7">
        <w:rPr>
          <w:rStyle w:val="FootnoteReference"/>
        </w:rPr>
        <w:footnoteReference w:id="112"/>
      </w:r>
    </w:p>
    <w:p w14:paraId="39C510DF" w14:textId="576291D4" w:rsidR="00DE3B98" w:rsidRDefault="005735DB" w:rsidP="00DE3B98">
      <w:pPr>
        <w:pStyle w:val="TableTitle"/>
      </w:pPr>
      <w:r>
        <w:t xml:space="preserve">Table 4: </w:t>
      </w:r>
      <w:r w:rsidR="00DE3B98">
        <w:t>Psychiatry of Later Life services</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2880"/>
        <w:gridCol w:w="2880"/>
      </w:tblGrid>
      <w:tr w:rsidR="00DE3B98" w:rsidRPr="00DE3B98" w14:paraId="2E545848" w14:textId="77777777" w:rsidTr="00CB44D8">
        <w:trPr>
          <w:tblHeader/>
        </w:trPr>
        <w:tc>
          <w:tcPr>
            <w:tcW w:w="2880" w:type="dxa"/>
            <w:tcBorders>
              <w:bottom w:val="single" w:sz="12" w:space="0" w:color="000000"/>
            </w:tcBorders>
            <w:shd w:val="clear" w:color="auto" w:fill="auto"/>
          </w:tcPr>
          <w:p w14:paraId="58250AA9" w14:textId="77777777" w:rsidR="00DE3B98" w:rsidRPr="00DE3B98" w:rsidRDefault="00DE3B98" w:rsidP="00CB44D8">
            <w:pPr>
              <w:pStyle w:val="TableHead"/>
            </w:pPr>
          </w:p>
        </w:tc>
        <w:tc>
          <w:tcPr>
            <w:tcW w:w="2880" w:type="dxa"/>
            <w:tcBorders>
              <w:bottom w:val="single" w:sz="12" w:space="0" w:color="000000"/>
            </w:tcBorders>
            <w:shd w:val="clear" w:color="auto" w:fill="auto"/>
          </w:tcPr>
          <w:p w14:paraId="2016D275" w14:textId="77777777" w:rsidR="00DE3B98" w:rsidRPr="00DE3B98" w:rsidRDefault="00DE3B98" w:rsidP="00CB44D8">
            <w:pPr>
              <w:pStyle w:val="TableHead"/>
            </w:pPr>
            <w:r>
              <w:t>Expected Activity / Target</w:t>
            </w:r>
          </w:p>
        </w:tc>
        <w:tc>
          <w:tcPr>
            <w:tcW w:w="2880" w:type="dxa"/>
            <w:tcBorders>
              <w:bottom w:val="single" w:sz="12" w:space="0" w:color="000000"/>
            </w:tcBorders>
            <w:shd w:val="clear" w:color="auto" w:fill="auto"/>
          </w:tcPr>
          <w:p w14:paraId="26949CE9" w14:textId="444CB4C2" w:rsidR="00DE3B98" w:rsidRPr="00DE3B98" w:rsidRDefault="00DE3B98" w:rsidP="002D20FA">
            <w:pPr>
              <w:pStyle w:val="TableHead"/>
            </w:pPr>
            <w:r>
              <w:t xml:space="preserve">January – </w:t>
            </w:r>
            <w:r w:rsidR="002D20FA">
              <w:t>Dec</w:t>
            </w:r>
            <w:r>
              <w:t>ember 2019</w:t>
            </w:r>
          </w:p>
        </w:tc>
      </w:tr>
      <w:tr w:rsidR="00DE3B98" w:rsidRPr="00DE3B98" w14:paraId="7D1C0B7C" w14:textId="77777777" w:rsidTr="00CB44D8">
        <w:tc>
          <w:tcPr>
            <w:tcW w:w="2880" w:type="dxa"/>
            <w:tcBorders>
              <w:top w:val="single" w:sz="12" w:space="0" w:color="000000"/>
            </w:tcBorders>
            <w:shd w:val="clear" w:color="auto" w:fill="auto"/>
          </w:tcPr>
          <w:p w14:paraId="74CBA07D" w14:textId="77777777" w:rsidR="00DE3B98" w:rsidRPr="00DE3B98" w:rsidRDefault="00DE3B98" w:rsidP="00CB44D8">
            <w:pPr>
              <w:pStyle w:val="TableRowHead"/>
              <w:rPr>
                <w:rFonts w:ascii="Gill Sans MT" w:hAnsi="Gill Sans MT"/>
              </w:rPr>
            </w:pPr>
            <w:r w:rsidRPr="00DE3B98">
              <w:rPr>
                <w:rFonts w:ascii="Gill Sans MT" w:hAnsi="Gill Sans MT"/>
              </w:rPr>
              <w:t>Number of referrals received</w:t>
            </w:r>
          </w:p>
        </w:tc>
        <w:tc>
          <w:tcPr>
            <w:tcW w:w="2880" w:type="dxa"/>
            <w:tcBorders>
              <w:top w:val="single" w:sz="12" w:space="0" w:color="000000"/>
            </w:tcBorders>
            <w:shd w:val="clear" w:color="auto" w:fill="auto"/>
          </w:tcPr>
          <w:p w14:paraId="42D8CF8D" w14:textId="50660116" w:rsidR="00DE3B98" w:rsidRPr="00DE3B98" w:rsidRDefault="002D20FA" w:rsidP="00CB44D8">
            <w:pPr>
              <w:pStyle w:val="TableCell"/>
            </w:pPr>
            <w:r>
              <w:t>12,455</w:t>
            </w:r>
          </w:p>
        </w:tc>
        <w:tc>
          <w:tcPr>
            <w:tcW w:w="2880" w:type="dxa"/>
            <w:tcBorders>
              <w:top w:val="single" w:sz="12" w:space="0" w:color="000000"/>
            </w:tcBorders>
            <w:shd w:val="clear" w:color="auto" w:fill="auto"/>
          </w:tcPr>
          <w:p w14:paraId="129F1CAE" w14:textId="4376A038" w:rsidR="00DE3B98" w:rsidRPr="00DE3B98" w:rsidRDefault="002D20FA" w:rsidP="00CB44D8">
            <w:pPr>
              <w:pStyle w:val="TableCell"/>
            </w:pPr>
            <w:r>
              <w:t>12,423</w:t>
            </w:r>
          </w:p>
        </w:tc>
      </w:tr>
      <w:tr w:rsidR="00DE3B98" w:rsidRPr="00DE3B98" w14:paraId="3107216A" w14:textId="77777777" w:rsidTr="00CB44D8">
        <w:tc>
          <w:tcPr>
            <w:tcW w:w="2880" w:type="dxa"/>
            <w:shd w:val="clear" w:color="auto" w:fill="auto"/>
          </w:tcPr>
          <w:p w14:paraId="37F190CE" w14:textId="77777777" w:rsidR="00DE3B98" w:rsidRPr="00DE3B98" w:rsidRDefault="00DE3B98" w:rsidP="00CB44D8">
            <w:pPr>
              <w:pStyle w:val="TableRowHead"/>
              <w:rPr>
                <w:rFonts w:ascii="Gill Sans MT" w:hAnsi="Gill Sans MT"/>
              </w:rPr>
            </w:pPr>
            <w:r w:rsidRPr="00DE3B98">
              <w:rPr>
                <w:rFonts w:ascii="Gill Sans MT" w:hAnsi="Gill Sans MT"/>
              </w:rPr>
              <w:t>Number of referrals seen</w:t>
            </w:r>
          </w:p>
        </w:tc>
        <w:tc>
          <w:tcPr>
            <w:tcW w:w="2880" w:type="dxa"/>
            <w:shd w:val="clear" w:color="auto" w:fill="auto"/>
          </w:tcPr>
          <w:p w14:paraId="494CF2F2" w14:textId="2EF3638F" w:rsidR="00DE3B98" w:rsidRPr="00DE3B98" w:rsidRDefault="002D20FA" w:rsidP="00CB44D8">
            <w:pPr>
              <w:pStyle w:val="TableCell"/>
            </w:pPr>
            <w:r>
              <w:t>8,896</w:t>
            </w:r>
          </w:p>
        </w:tc>
        <w:tc>
          <w:tcPr>
            <w:tcW w:w="2880" w:type="dxa"/>
            <w:shd w:val="clear" w:color="auto" w:fill="auto"/>
          </w:tcPr>
          <w:p w14:paraId="28110C07" w14:textId="52CCA59B" w:rsidR="00DE3B98" w:rsidRPr="00DE3B98" w:rsidRDefault="002D20FA" w:rsidP="00CB44D8">
            <w:pPr>
              <w:pStyle w:val="TableCell"/>
            </w:pPr>
            <w:r>
              <w:t>8,921</w:t>
            </w:r>
          </w:p>
        </w:tc>
      </w:tr>
      <w:tr w:rsidR="00DE3B98" w:rsidRPr="00DE3B98" w14:paraId="5BC7A438" w14:textId="77777777" w:rsidTr="00CB44D8">
        <w:tc>
          <w:tcPr>
            <w:tcW w:w="2880" w:type="dxa"/>
            <w:shd w:val="clear" w:color="auto" w:fill="auto"/>
          </w:tcPr>
          <w:p w14:paraId="7999B42C" w14:textId="77777777" w:rsidR="00DE3B98" w:rsidRPr="00DE3B98" w:rsidRDefault="00DE3B98" w:rsidP="00CB44D8">
            <w:pPr>
              <w:pStyle w:val="TableRowHead"/>
              <w:rPr>
                <w:rFonts w:ascii="Gill Sans MT" w:hAnsi="Gill Sans MT"/>
              </w:rPr>
            </w:pPr>
            <w:r w:rsidRPr="00DE3B98">
              <w:rPr>
                <w:rFonts w:ascii="Gill Sans MT" w:hAnsi="Gill Sans MT"/>
              </w:rPr>
              <w:lastRenderedPageBreak/>
              <w:t>% seen within 12 weeks</w:t>
            </w:r>
          </w:p>
        </w:tc>
        <w:tc>
          <w:tcPr>
            <w:tcW w:w="2880" w:type="dxa"/>
            <w:shd w:val="clear" w:color="auto" w:fill="auto"/>
          </w:tcPr>
          <w:p w14:paraId="18A205EE" w14:textId="18E51210" w:rsidR="00DE3B98" w:rsidRPr="00DE3B98" w:rsidRDefault="00DE3B98" w:rsidP="00CB44D8">
            <w:pPr>
              <w:pStyle w:val="TableCell"/>
            </w:pPr>
            <w:r>
              <w:t>95%</w:t>
            </w:r>
          </w:p>
        </w:tc>
        <w:tc>
          <w:tcPr>
            <w:tcW w:w="2880" w:type="dxa"/>
            <w:shd w:val="clear" w:color="auto" w:fill="auto"/>
          </w:tcPr>
          <w:p w14:paraId="1ACA3E60" w14:textId="394F92B9" w:rsidR="00DE3B98" w:rsidRPr="00DE3B98" w:rsidRDefault="002D20FA" w:rsidP="00CB44D8">
            <w:pPr>
              <w:pStyle w:val="TableCell"/>
            </w:pPr>
            <w:r>
              <w:t>94</w:t>
            </w:r>
            <w:r w:rsidR="00DE3B98">
              <w:t>%</w:t>
            </w:r>
          </w:p>
        </w:tc>
      </w:tr>
    </w:tbl>
    <w:p w14:paraId="01C38404" w14:textId="2E51B9BB" w:rsidR="00DE3B98" w:rsidRPr="00DE3B98" w:rsidRDefault="00DE3B98" w:rsidP="00DE3B98">
      <w:pPr>
        <w:pStyle w:val="TableNote"/>
      </w:pPr>
      <w:r>
        <w:t xml:space="preserve">Source: </w:t>
      </w:r>
      <w:r w:rsidR="002D20FA">
        <w:t>HSE Performance Report, October</w:t>
      </w:r>
      <w:r w:rsidRPr="00DE3B98">
        <w:t xml:space="preserve"> – </w:t>
      </w:r>
      <w:r w:rsidR="002D20FA">
        <w:t>Dec</w:t>
      </w:r>
      <w:r w:rsidRPr="00DE3B98">
        <w:t>ember 2019</w:t>
      </w:r>
      <w:r w:rsidR="00FA1CE7">
        <w:rPr>
          <w:rStyle w:val="FootnoteReference"/>
        </w:rPr>
        <w:footnoteReference w:id="113"/>
      </w:r>
    </w:p>
    <w:p w14:paraId="49EE96A4" w14:textId="77777777" w:rsidR="00E42533" w:rsidRDefault="00E42533" w:rsidP="00E42533">
      <w:pPr>
        <w:pStyle w:val="Heading2"/>
      </w:pPr>
      <w:bookmarkStart w:id="36" w:name="_Toc90030719"/>
      <w:r>
        <w:t>Existing research</w:t>
      </w:r>
      <w:bookmarkEnd w:id="36"/>
    </w:p>
    <w:p w14:paraId="6115E3C6" w14:textId="77777777" w:rsidR="00E42533" w:rsidRDefault="00B767EF" w:rsidP="00A251F1">
      <w:r w:rsidRPr="00B767EF">
        <w:t>Mental Health Reform’s</w:t>
      </w:r>
      <w:r>
        <w:t xml:space="preserve"> report</w:t>
      </w:r>
      <w:r w:rsidRPr="00B767EF">
        <w:t xml:space="preserve"> </w:t>
      </w:r>
      <w:r w:rsidRPr="00B767EF">
        <w:rPr>
          <w:b/>
        </w:rPr>
        <w:t>My Voice Matters</w:t>
      </w:r>
      <w:r>
        <w:rPr>
          <w:b/>
        </w:rPr>
        <w:t xml:space="preserve"> </w:t>
      </w:r>
      <w:r>
        <w:t xml:space="preserve">explores </w:t>
      </w:r>
      <w:r w:rsidRPr="00B767EF">
        <w:t xml:space="preserve">people’s experiences of using </w:t>
      </w:r>
      <w:r>
        <w:t>community and in-patient</w:t>
      </w:r>
      <w:r w:rsidRPr="00B767EF">
        <w:t xml:space="preserve"> mental health services</w:t>
      </w:r>
      <w:r>
        <w:t xml:space="preserve">. </w:t>
      </w:r>
      <w:r w:rsidRPr="00B767EF">
        <w:t>The evidence indicates that the experienc</w:t>
      </w:r>
      <w:r w:rsidR="007758A7">
        <w:t>es of service users are mixed. It was noted that s</w:t>
      </w:r>
      <w:r w:rsidRPr="00B767EF">
        <w:t xml:space="preserve">ome participants </w:t>
      </w:r>
      <w:r w:rsidR="007758A7">
        <w:t>experienced</w:t>
      </w:r>
      <w:r w:rsidRPr="00B767EF">
        <w:t xml:space="preserve"> services consistent with aspects of national policy and standards. This is reflected in reports by participants of the following: positive experiences with mental health staff; feeling listened to; being treated with dignity and respect; being provided opportunities to be involved in their own care; having a recovery/care plan; being involved in conversations about recovery and being referred</w:t>
      </w:r>
      <w:r w:rsidR="0076029E">
        <w:t xml:space="preserve"> to talking therapies by mental health service</w:t>
      </w:r>
      <w:r w:rsidRPr="00B767EF">
        <w:t>s.</w:t>
      </w:r>
      <w:r w:rsidR="007758A7">
        <w:rPr>
          <w:rStyle w:val="FootnoteReference"/>
        </w:rPr>
        <w:footnoteReference w:id="114"/>
      </w:r>
    </w:p>
    <w:p w14:paraId="1FD006BD" w14:textId="77777777" w:rsidR="00B767EF" w:rsidRDefault="00B767EF" w:rsidP="00A251F1">
      <w:r>
        <w:t>However, a</w:t>
      </w:r>
      <w:r w:rsidRPr="00B767EF">
        <w:t xml:space="preserve"> large majority of participants reported having no individual recovery/care plan and a high focus on medication as part of their treatment and care. Only a minority reported being involved as much as they would like in decisions about the medication they take; many reported that their C</w:t>
      </w:r>
      <w:r>
        <w:t xml:space="preserve">ommunity </w:t>
      </w:r>
      <w:r w:rsidRPr="00B767EF">
        <w:t>M</w:t>
      </w:r>
      <w:r>
        <w:t xml:space="preserve">ental </w:t>
      </w:r>
      <w:r w:rsidRPr="00B767EF">
        <w:t>H</w:t>
      </w:r>
      <w:r>
        <w:t xml:space="preserve">ealth </w:t>
      </w:r>
      <w:r w:rsidRPr="00B767EF">
        <w:t>T</w:t>
      </w:r>
      <w:r>
        <w:t>eam</w:t>
      </w:r>
      <w:r w:rsidRPr="00B767EF">
        <w:t xml:space="preserve"> did not talk to them about recovery or how their mental health difficulty affects other areas of their life, and less than half felt that they were always treated with dignity and respect by community </w:t>
      </w:r>
      <w:r>
        <w:t>mental health service</w:t>
      </w:r>
      <w:r w:rsidRPr="00B767EF">
        <w:t>s.</w:t>
      </w:r>
      <w:r w:rsidR="00CA7647">
        <w:rPr>
          <w:rStyle w:val="FootnoteReference"/>
        </w:rPr>
        <w:footnoteReference w:id="115"/>
      </w:r>
      <w:r w:rsidRPr="00B767EF">
        <w:t xml:space="preserve"> </w:t>
      </w:r>
    </w:p>
    <w:p w14:paraId="0A9F320B" w14:textId="5BCE9655" w:rsidR="002E7FEB" w:rsidRDefault="00B7421D" w:rsidP="00A251F1">
      <w:r>
        <w:rPr>
          <w:lang w:val="en"/>
        </w:rPr>
        <w:lastRenderedPageBreak/>
        <w:t>The NDA notes that, i</w:t>
      </w:r>
      <w:r w:rsidR="002E7FEB">
        <w:rPr>
          <w:lang w:val="en"/>
        </w:rPr>
        <w:t xml:space="preserve">n 2011, the Mental Health Commission published </w:t>
      </w:r>
      <w:r w:rsidR="002E7FEB" w:rsidRPr="00EB5C19">
        <w:t>the findings of ‘</w:t>
      </w:r>
      <w:r w:rsidR="002E7FEB" w:rsidRPr="00EB5C19">
        <w:rPr>
          <w:b/>
        </w:rPr>
        <w:t>Your Views of Mental Health Inpatient Services’</w:t>
      </w:r>
      <w:r w:rsidR="002E7FEB">
        <w:t>,</w:t>
      </w:r>
      <w:r w:rsidR="002E7FEB" w:rsidRPr="00EB5C19">
        <w:t xml:space="preserve"> a survey which examined 710 service users’ experiences of their stay across 28 approved centres</w:t>
      </w:r>
      <w:r w:rsidR="002E7FEB">
        <w:t>.</w:t>
      </w:r>
      <w:r w:rsidR="002E7FEB">
        <w:rPr>
          <w:rStyle w:val="FootnoteReference"/>
        </w:rPr>
        <w:footnoteReference w:id="116"/>
      </w:r>
      <w:r w:rsidR="002E7FEB" w:rsidRPr="00EB5C19">
        <w:t xml:space="preserve"> </w:t>
      </w:r>
      <w:r w:rsidR="002E7FEB">
        <w:t>A</w:t>
      </w:r>
      <w:r w:rsidR="002E7FEB" w:rsidRPr="00EB5C19">
        <w:t xml:space="preserve"> large majority (84.4%) of respondents stated that they were satisfied overall with the service they received. Those who reported not having a discharge plan when leaving the hospital were approximately twice as likely to be dissatisfied overall wi</w:t>
      </w:r>
      <w:r w:rsidR="002E7FEB">
        <w:t xml:space="preserve">th the service they received. </w:t>
      </w:r>
      <w:r w:rsidR="002E7FEB" w:rsidRPr="00EB5C19">
        <w:t>Health status following hospital stay was a significant predictor of overall satisfaction, with those scoring higher on health status reporting greater satisfa</w:t>
      </w:r>
      <w:r w:rsidR="002E7FEB">
        <w:t>ction. 73.4%</w:t>
      </w:r>
      <w:r w:rsidR="002E7FEB" w:rsidRPr="00EB5C19">
        <w:t xml:space="preserve"> of respondents reported some level of improvement in their health status followi</w:t>
      </w:r>
      <w:r w:rsidR="002E7FEB">
        <w:t xml:space="preserve">ng their hospital stay and 68.1% indicated that they had either </w:t>
      </w:r>
      <w:r w:rsidR="002E7FEB" w:rsidRPr="00331F27">
        <w:t>Excellent, Very Good, or Good current perceived health status at the time of survey completion.</w:t>
      </w:r>
      <w:r w:rsidR="002E7FEB" w:rsidRPr="00BB4167">
        <w:t xml:space="preserve"> A key priority identified for the improvement of patient care was increasing patient participation in care.</w:t>
      </w:r>
    </w:p>
    <w:p w14:paraId="1F6A1073" w14:textId="208D8995" w:rsidR="00743A47" w:rsidRPr="00B767EF" w:rsidRDefault="00743A47" w:rsidP="00A251F1">
      <w:r w:rsidRPr="00743A47">
        <w:t xml:space="preserve">A discussion paper published by the Mental Health Commission on </w:t>
      </w:r>
      <w:r w:rsidRPr="00743A47">
        <w:rPr>
          <w:b/>
        </w:rPr>
        <w:t xml:space="preserve">Access to Acute Mental Health Beds in Ireland </w:t>
      </w:r>
      <w:r w:rsidRPr="00743A47">
        <w:t>found that while the number of acut</w:t>
      </w:r>
      <w:r>
        <w:t>e mental health beds available wa</w:t>
      </w:r>
      <w:r w:rsidRPr="00743A47">
        <w:t xml:space="preserve">s in accordance with </w:t>
      </w:r>
      <w:r>
        <w:t>Ireland’s previous mental health policy (A Vision for Change)</w:t>
      </w:r>
      <w:r w:rsidRPr="00743A47">
        <w:t>, a number of factors complicate</w:t>
      </w:r>
      <w:r>
        <w:t>d</w:t>
      </w:r>
      <w:r w:rsidRPr="00743A47">
        <w:t xml:space="preserve"> access.</w:t>
      </w:r>
      <w:r w:rsidRPr="00743A47">
        <w:rPr>
          <w:vertAlign w:val="superscript"/>
        </w:rPr>
        <w:footnoteReference w:id="117"/>
      </w:r>
      <w:r w:rsidRPr="00743A47">
        <w:t xml:space="preserve"> </w:t>
      </w:r>
      <w:r>
        <w:t>Data demonstrated</w:t>
      </w:r>
      <w:r w:rsidRPr="00743A47">
        <w:t xml:space="preserve"> a dearth of crisis houses, high support hostels and rehabilitat</w:t>
      </w:r>
      <w:r>
        <w:t xml:space="preserve">ion units. </w:t>
      </w:r>
      <w:r w:rsidR="001F0567">
        <w:t xml:space="preserve">Of note, </w:t>
      </w:r>
      <w:r>
        <w:t>12.3% of acute beds we</w:t>
      </w:r>
      <w:r w:rsidRPr="00743A47">
        <w:t xml:space="preserve">re occupied by people resident for 6 months or longer, pointing to a lack of appropriate alternative services. Similarly, </w:t>
      </w:r>
      <w:r>
        <w:t>no CHO wa</w:t>
      </w:r>
      <w:r w:rsidRPr="00743A47">
        <w:t>s meeting the recommended number of dedicated older-age adult acute beds. In addition, only 33% of acute units operated at the recognised level of less than 85% occupancy with 25% having an occupancy rate of over 100%.</w:t>
      </w:r>
    </w:p>
    <w:p w14:paraId="184F7803" w14:textId="77777777" w:rsidR="00EF04E3" w:rsidRDefault="00104E2C" w:rsidP="00BE6898">
      <w:pPr>
        <w:pStyle w:val="Heading2"/>
      </w:pPr>
      <w:bookmarkStart w:id="37" w:name="_Toc90030720"/>
      <w:r>
        <w:t>Mental Health s</w:t>
      </w:r>
      <w:r w:rsidR="00EF04E3">
        <w:t>ervices</w:t>
      </w:r>
      <w:bookmarkEnd w:id="37"/>
    </w:p>
    <w:p w14:paraId="3BBBBE6B" w14:textId="52B0245B" w:rsidR="00CA7647" w:rsidRDefault="00EF04E3" w:rsidP="00EF04E3">
      <w:r>
        <w:t>HSE s</w:t>
      </w:r>
      <w:r w:rsidRPr="00EF04E3">
        <w:t>pecialist mental health services are provided in local community areas. These services include acute inpatient services, day hospitals, outpatient clinics, community-based mental health teams (</w:t>
      </w:r>
      <w:r w:rsidR="001F0567">
        <w:t xml:space="preserve">including </w:t>
      </w:r>
      <w:r w:rsidRPr="00EF04E3">
        <w:t>CAMHs, general adult and psychiatry of later life services), mental health of intellectual disability, community residential and continuing care residential services. Sub-specialties include rehabilitation and recovery, eating disorders, liaison psychiatry and perinatal mental health</w:t>
      </w:r>
      <w:r w:rsidR="00CA7647">
        <w:t xml:space="preserve">. </w:t>
      </w:r>
    </w:p>
    <w:p w14:paraId="2C84D29C" w14:textId="0B5D5ECD" w:rsidR="00BD4053" w:rsidRDefault="00EF04E3" w:rsidP="00EF04E3">
      <w:r w:rsidRPr="00EF04E3">
        <w:t>Currently</w:t>
      </w:r>
      <w:r w:rsidR="00CA7647">
        <w:t>,</w:t>
      </w:r>
      <w:r w:rsidRPr="00EF04E3">
        <w:t xml:space="preserve"> C</w:t>
      </w:r>
      <w:r w:rsidR="007977E2">
        <w:t xml:space="preserve">hild and </w:t>
      </w:r>
      <w:r w:rsidRPr="00EF04E3">
        <w:t>A</w:t>
      </w:r>
      <w:r w:rsidR="007977E2">
        <w:t xml:space="preserve">dult </w:t>
      </w:r>
      <w:r w:rsidRPr="00EF04E3">
        <w:t>M</w:t>
      </w:r>
      <w:r w:rsidR="007977E2">
        <w:t xml:space="preserve">ental </w:t>
      </w:r>
      <w:r w:rsidRPr="00EF04E3">
        <w:t>H</w:t>
      </w:r>
      <w:r w:rsidR="007977E2">
        <w:t>ealth Services</w:t>
      </w:r>
      <w:r w:rsidR="001F0567">
        <w:t xml:space="preserve"> (CAMHs)</w:t>
      </w:r>
      <w:r w:rsidRPr="00EF04E3">
        <w:t xml:space="preserve"> serve young people aged up to 18 years, general adult</w:t>
      </w:r>
      <w:r w:rsidR="007977E2">
        <w:t xml:space="preserve"> community mental health</w:t>
      </w:r>
      <w:r w:rsidRPr="00EF04E3">
        <w:t xml:space="preserve"> services </w:t>
      </w:r>
      <w:r w:rsidR="007977E2">
        <w:t xml:space="preserve">are </w:t>
      </w:r>
      <w:r w:rsidRPr="00EF04E3">
        <w:t>for those aged 18 to 64 years and psychiatry of later life provides services for those aged 65 years and over.</w:t>
      </w:r>
      <w:r w:rsidR="007977E2">
        <w:t xml:space="preserve"> In </w:t>
      </w:r>
      <w:r w:rsidR="007C5864">
        <w:t>2021</w:t>
      </w:r>
      <w:r w:rsidR="007977E2">
        <w:t xml:space="preserve">, the HSE anticipates that </w:t>
      </w:r>
      <w:r w:rsidR="007C5864">
        <w:t>23.042</w:t>
      </w:r>
      <w:r w:rsidR="007977E2">
        <w:t xml:space="preserve"> adults will access general community health services, </w:t>
      </w:r>
      <w:r w:rsidR="007C5864">
        <w:t>7,388</w:t>
      </w:r>
      <w:r w:rsidR="007977E2">
        <w:t xml:space="preserve"> adults will access Psychiatry of Later Life mental health services and </w:t>
      </w:r>
      <w:r w:rsidR="007C5864">
        <w:t>9.338</w:t>
      </w:r>
      <w:r w:rsidR="007977E2">
        <w:t xml:space="preserve"> young people will access CAMHS services.</w:t>
      </w:r>
      <w:r w:rsidR="007977E2">
        <w:rPr>
          <w:rStyle w:val="FootnoteReference"/>
        </w:rPr>
        <w:footnoteReference w:id="118"/>
      </w:r>
    </w:p>
    <w:p w14:paraId="12AC1A2C" w14:textId="745661EE" w:rsidR="00DF5DC2" w:rsidRDefault="00DF5DC2" w:rsidP="00EF04E3">
      <w:r>
        <w:t>The HSE has reported that difficulties</w:t>
      </w:r>
      <w:r w:rsidRPr="00DF5DC2">
        <w:t xml:space="preserve"> in recruiting and retaining skilled staff continue</w:t>
      </w:r>
      <w:r>
        <w:t>s to be a significant challenge, with some services reporting</w:t>
      </w:r>
      <w:r w:rsidRPr="00DF5DC2">
        <w:t xml:space="preserve"> </w:t>
      </w:r>
      <w:r>
        <w:t>risks as a result</w:t>
      </w:r>
      <w:r w:rsidRPr="00DF5DC2">
        <w:t xml:space="preserve">. Concerns </w:t>
      </w:r>
      <w:r>
        <w:t xml:space="preserve">have been </w:t>
      </w:r>
      <w:r w:rsidRPr="00DF5DC2">
        <w:t xml:space="preserve">expressed </w:t>
      </w:r>
      <w:r>
        <w:t>by CHOs that</w:t>
      </w:r>
      <w:r w:rsidRPr="00DF5DC2">
        <w:t xml:space="preserve"> current financial constraints</w:t>
      </w:r>
      <w:r>
        <w:t xml:space="preserve"> mean that while essential services, such as</w:t>
      </w:r>
      <w:r w:rsidRPr="00DF5DC2">
        <w:t xml:space="preserve"> inpatient </w:t>
      </w:r>
      <w:r>
        <w:t xml:space="preserve">services, are maintained, </w:t>
      </w:r>
      <w:r w:rsidRPr="00DF5DC2">
        <w:t>strategic developments and preventative interventions in the community cannot be progressed</w:t>
      </w:r>
      <w:r>
        <w:t>, resulting in people’s needs escalating</w:t>
      </w:r>
      <w:r w:rsidRPr="00DF5DC2">
        <w:t xml:space="preserve"> </w:t>
      </w:r>
      <w:r>
        <w:t>such that they may require</w:t>
      </w:r>
      <w:r w:rsidRPr="00DF5DC2">
        <w:t xml:space="preserve"> inpatient services.</w:t>
      </w:r>
      <w:r>
        <w:rPr>
          <w:rStyle w:val="FootnoteReference"/>
        </w:rPr>
        <w:footnoteReference w:id="119"/>
      </w:r>
      <w:r w:rsidRPr="00DF5DC2">
        <w:t xml:space="preserve"> </w:t>
      </w:r>
      <w:r w:rsidR="00AE1841">
        <w:t>From 2020 Covid related absences impacted on capacity to deliver services. For example</w:t>
      </w:r>
      <w:r w:rsidR="00D84177">
        <w:t>,</w:t>
      </w:r>
      <w:r w:rsidR="00AE1841">
        <w:t xml:space="preserve"> Covid related </w:t>
      </w:r>
      <w:r w:rsidR="00D84177">
        <w:t xml:space="preserve">absences were </w:t>
      </w:r>
      <w:r w:rsidR="00AE1841">
        <w:t>recorded in January 2021 as over 3,000 Whole Time Equivalents</w:t>
      </w:r>
      <w:r w:rsidR="00D84177">
        <w:rPr>
          <w:rStyle w:val="FootnoteReference"/>
        </w:rPr>
        <w:footnoteReference w:id="120"/>
      </w:r>
      <w:r w:rsidR="00AE1841">
        <w:t xml:space="preserve">. </w:t>
      </w:r>
    </w:p>
    <w:p w14:paraId="7E9065F0" w14:textId="4762E295" w:rsidR="00BF2B71" w:rsidRDefault="00BF2B71" w:rsidP="00EF04E3">
      <w:r w:rsidRPr="00BF2B71">
        <w:t xml:space="preserve">The total budget allocated to </w:t>
      </w:r>
      <w:r w:rsidR="00F4764B">
        <w:t>mental health</w:t>
      </w:r>
      <w:r w:rsidRPr="00BF2B71">
        <w:t xml:space="preserve"> services in 2019 was €</w:t>
      </w:r>
      <w:r w:rsidR="00F4764B">
        <w:t>995.7</w:t>
      </w:r>
      <w:r w:rsidRPr="00BF2B71">
        <w:t xml:space="preserve"> million. The 2020 budget </w:t>
      </w:r>
      <w:r w:rsidR="006E4CF9">
        <w:t>was</w:t>
      </w:r>
      <w:r w:rsidR="006E4CF9" w:rsidRPr="00BF2B71">
        <w:t xml:space="preserve"> </w:t>
      </w:r>
      <w:r w:rsidRPr="00BF2B71">
        <w:t>€</w:t>
      </w:r>
      <w:r w:rsidR="00F4764B">
        <w:t>1,031.3</w:t>
      </w:r>
      <w:r>
        <w:t xml:space="preserve"> million.</w:t>
      </w:r>
      <w:r>
        <w:rPr>
          <w:rStyle w:val="FootnoteReference"/>
        </w:rPr>
        <w:footnoteReference w:id="121"/>
      </w:r>
    </w:p>
    <w:p w14:paraId="04A39C08" w14:textId="77777777" w:rsidR="004A7019" w:rsidRDefault="004A7019" w:rsidP="004A7019">
      <w:pPr>
        <w:pStyle w:val="Heading2"/>
      </w:pPr>
      <w:bookmarkStart w:id="38" w:name="_Toc90030721"/>
      <w:r>
        <w:t>Mental Health Act 2001</w:t>
      </w:r>
      <w:bookmarkEnd w:id="38"/>
    </w:p>
    <w:p w14:paraId="13A58B7E" w14:textId="77777777" w:rsidR="00E82AC9" w:rsidRDefault="00E82AC9" w:rsidP="00E82AC9">
      <w:r>
        <w:t xml:space="preserve">The Mental Health Act 2001 </w:t>
      </w:r>
      <w:r w:rsidRPr="00E82AC9">
        <w:t xml:space="preserve">provides a framework within which people who have a </w:t>
      </w:r>
      <w:r w:rsidR="002E7FEB">
        <w:t>“</w:t>
      </w:r>
      <w:r w:rsidRPr="00E82AC9">
        <w:t>mental disorder</w:t>
      </w:r>
      <w:r w:rsidR="002E7FEB">
        <w:t>”</w:t>
      </w:r>
      <w:r w:rsidRPr="00E82AC9">
        <w:t xml:space="preserve"> and require treatment or protection can be cared for and treate</w:t>
      </w:r>
      <w:r>
        <w:t xml:space="preserve">d. The legislation </w:t>
      </w:r>
      <w:r w:rsidRPr="00E82AC9">
        <w:t>puts in place mechanisms by which the standards, care and treatment in mental health services can be monitored, inspected</w:t>
      </w:r>
      <w:r>
        <w:t xml:space="preserve"> and regulated. The Act provides</w:t>
      </w:r>
      <w:r w:rsidRPr="00E82AC9">
        <w:t xml:space="preserve"> for the establishment of the Mental Health Commission as an independent statutory body to promote, encourage and foster the establishment and maintenance of high standards and good practice in the delivery of mental health services and to protect the interests of people detained unde</w:t>
      </w:r>
      <w:r>
        <w:t>r the 2001 Act. It also provides</w:t>
      </w:r>
      <w:r w:rsidRPr="00E82AC9">
        <w:t xml:space="preserve"> for the establishment of the Office of the Inspector of Mental Health Services. </w:t>
      </w:r>
    </w:p>
    <w:p w14:paraId="50E5172C" w14:textId="0EB2CEC2" w:rsidR="00E82AC9" w:rsidRPr="00E82AC9" w:rsidRDefault="00E82AC9" w:rsidP="00E82AC9">
      <w:r>
        <w:t xml:space="preserve">The NDA </w:t>
      </w:r>
      <w:r w:rsidR="00A75CD5">
        <w:t>has</w:t>
      </w:r>
      <w:r>
        <w:t xml:space="preserve"> called for the 2001 Act to be </w:t>
      </w:r>
      <w:r w:rsidRPr="00E82AC9">
        <w:t xml:space="preserve">audited and updated to render it compliant with </w:t>
      </w:r>
      <w:r>
        <w:t>the UNCRPD.</w:t>
      </w:r>
      <w:r w:rsidR="00B92126">
        <w:t xml:space="preserve"> Some of the issues identified by the NDA as requiring improvement </w:t>
      </w:r>
      <w:r w:rsidR="002E7FEB">
        <w:t xml:space="preserve">in the 2001 Act </w:t>
      </w:r>
      <w:r w:rsidR="00B92126">
        <w:t xml:space="preserve">include the removal of “intellectual disability” from the definition of “mental disorder” and dealing </w:t>
      </w:r>
      <w:r w:rsidR="007977E2">
        <w:t>with the omission of children f</w:t>
      </w:r>
      <w:r w:rsidR="00B92126">
        <w:t>r</w:t>
      </w:r>
      <w:r w:rsidR="007977E2">
        <w:t>o</w:t>
      </w:r>
      <w:r w:rsidR="00B92126">
        <w:t>m the legislation.</w:t>
      </w:r>
      <w:r w:rsidR="00B92126">
        <w:rPr>
          <w:rStyle w:val="FootnoteReference"/>
        </w:rPr>
        <w:footnoteReference w:id="122"/>
      </w:r>
    </w:p>
    <w:p w14:paraId="7FB6C7E0" w14:textId="359AB8EF" w:rsidR="0037706C" w:rsidRDefault="00EB03C8" w:rsidP="00EB03C8">
      <w:r w:rsidRPr="00EB03C8">
        <w:t xml:space="preserve">In 2012, an Expert Group was appointed to review the Mental Health Act 2001 and subsequently made a series of recommendations to update the existing legislation. </w:t>
      </w:r>
      <w:r w:rsidR="001A6F2E" w:rsidRPr="001A6F2E">
        <w:t>The report of the Expert Group was published in 2015 and set out a series of recommendations (165 in total) to update the Act in full.</w:t>
      </w:r>
      <w:r w:rsidR="0037706C">
        <w:rPr>
          <w:rStyle w:val="FootnoteReference"/>
        </w:rPr>
        <w:footnoteReference w:id="123"/>
      </w:r>
      <w:r w:rsidR="00E64266">
        <w:t xml:space="preserve"> </w:t>
      </w:r>
      <w:r w:rsidR="00E14D6F">
        <w:t>However</w:t>
      </w:r>
      <w:r w:rsidR="001A6F2E" w:rsidRPr="001A6F2E">
        <w:t xml:space="preserve">, </w:t>
      </w:r>
      <w:r w:rsidR="002D718D">
        <w:t xml:space="preserve">the NDA notes that </w:t>
      </w:r>
      <w:r w:rsidR="00A75CD5">
        <w:t xml:space="preserve">analysis by Mental Health Reform suggests that </w:t>
      </w:r>
      <w:r w:rsidR="001A6F2E" w:rsidRPr="001A6F2E">
        <w:t>just two of the Expert Group’s recommendations have come into effect</w:t>
      </w:r>
      <w:r w:rsidR="00E14D6F">
        <w:t xml:space="preserve"> to date</w:t>
      </w:r>
      <w:r w:rsidR="001A6F2E" w:rsidRPr="001A6F2E">
        <w:t>.</w:t>
      </w:r>
      <w:r w:rsidR="00E64266">
        <w:rPr>
          <w:rStyle w:val="FootnoteReference"/>
        </w:rPr>
        <w:footnoteReference w:id="124"/>
      </w:r>
      <w:r w:rsidR="001A6F2E" w:rsidRPr="001A6F2E">
        <w:t xml:space="preserve"> </w:t>
      </w:r>
    </w:p>
    <w:p w14:paraId="221ED4DD" w14:textId="77777777" w:rsidR="00EB03C8" w:rsidRDefault="001A6F2E" w:rsidP="00EB03C8">
      <w:r>
        <w:t>First</w:t>
      </w:r>
      <w:r w:rsidR="00E64266">
        <w:t>, the</w:t>
      </w:r>
      <w:r w:rsidRPr="001A6F2E">
        <w:t> </w:t>
      </w:r>
      <w:r w:rsidRPr="00E64266">
        <w:rPr>
          <w:bCs/>
        </w:rPr>
        <w:t>Mental Health</w:t>
      </w:r>
      <w:r w:rsidRPr="00E64266">
        <w:t> (Amendment) </w:t>
      </w:r>
      <w:r w:rsidRPr="00E64266">
        <w:rPr>
          <w:bCs/>
        </w:rPr>
        <w:t>Act</w:t>
      </w:r>
      <w:r w:rsidR="00E64266">
        <w:t> 2015 provides that</w:t>
      </w:r>
      <w:r w:rsidRPr="00E64266">
        <w:t> </w:t>
      </w:r>
      <w:r w:rsidR="00E64266" w:rsidRPr="00E64266">
        <w:rPr>
          <w:bCs/>
        </w:rPr>
        <w:t>Electroconvulsive Therapy (ECT) and medication (administered for over three months) can only be administered to an involuntary patient without consent where it has been determined that the patient is unable to consent to the treatment.</w:t>
      </w:r>
      <w:r>
        <w:t xml:space="preserve"> Secondly, t</w:t>
      </w:r>
      <w:r w:rsidR="00EB03C8" w:rsidRPr="00EB03C8">
        <w:t>he Mental Health (Renewal Orders) Act 2018 implemented one of the recommendations by stipulating that the involuntary detention of a person under a ‘renewal order’ cannot exceed a period of 6 months at any given time. In addition, a person who is detained against their will under a renewal order can now apply for a review of their detention at or after three months from the date the renewal order was made.</w:t>
      </w:r>
    </w:p>
    <w:p w14:paraId="13D8D8C3" w14:textId="77777777" w:rsidR="008623FE" w:rsidRDefault="008623FE" w:rsidP="00EB03C8">
      <w:r>
        <w:t>T</w:t>
      </w:r>
      <w:r w:rsidRPr="008623FE">
        <w:t>he</w:t>
      </w:r>
      <w:r w:rsidR="002D718D">
        <w:t xml:space="preserve"> NDA notes that the</w:t>
      </w:r>
      <w:r w:rsidRPr="008623FE">
        <w:t xml:space="preserve"> Oireachtas Joint Committee for the Future of Mental Health Care published </w:t>
      </w:r>
      <w:r>
        <w:t>a</w:t>
      </w:r>
      <w:r w:rsidRPr="008623FE">
        <w:t xml:space="preserve"> final report in October 2018</w:t>
      </w:r>
      <w:r w:rsidR="00596A69">
        <w:t xml:space="preserve">, which also recommended amendments to the Mental Health Act 2001. These included </w:t>
      </w:r>
      <w:r w:rsidRPr="008623FE">
        <w:t>to: ‘provide for the regulation of all premises where mental health services are provided and to strengthen the Mental Health Commission’s powers to impose penalties on service providers where they are found to be noncompliant with the reg</w:t>
      </w:r>
      <w:r w:rsidR="002D718D">
        <w:t>ulations’.</w:t>
      </w:r>
      <w:r w:rsidR="0037706C">
        <w:rPr>
          <w:rStyle w:val="FootnoteReference"/>
        </w:rPr>
        <w:footnoteReference w:id="125"/>
      </w:r>
    </w:p>
    <w:p w14:paraId="01006658" w14:textId="69FBBDB1" w:rsidR="00574449" w:rsidRPr="00574449" w:rsidRDefault="00574449" w:rsidP="00EB03C8">
      <w:r w:rsidRPr="00574449">
        <w:rPr>
          <w:b/>
        </w:rPr>
        <w:t>A Prospective Evaluation of the Operation and Effects of the Mental Health Act 2001 from the Viewpoints of Service Users and Health Professionals</w:t>
      </w:r>
      <w:r>
        <w:rPr>
          <w:b/>
        </w:rPr>
        <w:t xml:space="preserve"> </w:t>
      </w:r>
      <w:r>
        <w:t xml:space="preserve">found that the implementation of the 2001 Act in clinical practice succeeds in achieving certain basic goals such as ensuring that care is delivered to individuals experiencing a </w:t>
      </w:r>
      <w:r w:rsidR="000C6F5B">
        <w:t>‘</w:t>
      </w:r>
      <w:r>
        <w:t>mental disorder</w:t>
      </w:r>
      <w:r w:rsidR="000C6F5B">
        <w:t>’</w:t>
      </w:r>
      <w:r>
        <w:t xml:space="preserve"> and safeguarding certain human rights whilst that care is delivered coercively.</w:t>
      </w:r>
      <w:r w:rsidR="002E7FEB">
        <w:rPr>
          <w:rStyle w:val="FootnoteReference"/>
        </w:rPr>
        <w:footnoteReference w:id="126"/>
      </w:r>
      <w:r>
        <w:t xml:space="preserve"> However, key difficulties were identified in areas such as the community </w:t>
      </w:r>
      <w:r w:rsidR="00175286">
        <w:t>assessment and transfer of individuals to hospital, lack of information and emotional support at critical points in the process and with the adversarial nature of mental health tribunals.</w:t>
      </w:r>
    </w:p>
    <w:p w14:paraId="0762E59C" w14:textId="77777777" w:rsidR="00767C9E" w:rsidRDefault="004A7019" w:rsidP="004A7019">
      <w:r>
        <w:t xml:space="preserve">The National Disability Inclusion Strategy 2017-2021 commits the Department of Health to </w:t>
      </w:r>
      <w:r w:rsidRPr="004A7019">
        <w:t>amend</w:t>
      </w:r>
      <w:r>
        <w:t>ing</w:t>
      </w:r>
      <w:r w:rsidRPr="004A7019">
        <w:t xml:space="preserve"> the Mental Health Act 2001</w:t>
      </w:r>
      <w:r w:rsidR="00767C9E">
        <w:t>:</w:t>
      </w:r>
    </w:p>
    <w:p w14:paraId="780F4884" w14:textId="77777777" w:rsidR="00767C9E" w:rsidRDefault="004A7019" w:rsidP="00767C9E">
      <w:pPr>
        <w:pStyle w:val="ListBullet"/>
      </w:pPr>
      <w:r w:rsidRPr="004A7019">
        <w:t>to deal in a more complete and comprehensive manner with the operation of advance healthcare directives in the area of men</w:t>
      </w:r>
      <w:r>
        <w:t>tal health in the longer term</w:t>
      </w:r>
      <w:r w:rsidR="00767C9E">
        <w:t xml:space="preserve"> [action 62]</w:t>
      </w:r>
    </w:p>
    <w:p w14:paraId="7D5DFA28" w14:textId="77777777" w:rsidR="00767C9E" w:rsidRDefault="00767C9E" w:rsidP="00767C9E">
      <w:pPr>
        <w:pStyle w:val="ListBullet"/>
      </w:pPr>
      <w:r>
        <w:t>to align the 2001 Act</w:t>
      </w:r>
      <w:r w:rsidRPr="00767C9E">
        <w:t xml:space="preserve"> with the Assisted Decision-Making (Capacity) Act and the Expert Group report on Revie</w:t>
      </w:r>
      <w:r>
        <w:t>w of the Mental Health Act 2001 [action 13]</w:t>
      </w:r>
    </w:p>
    <w:p w14:paraId="1952BF0E" w14:textId="77777777" w:rsidR="00767C9E" w:rsidRDefault="00767C9E" w:rsidP="00767C9E">
      <w:pPr>
        <w:pStyle w:val="ListBullet"/>
      </w:pPr>
      <w:r w:rsidRPr="00767C9E">
        <w:t>to require the Inspector of Mental Health Services to conduct annual inspections of 24-hour staffed community residences</w:t>
      </w:r>
      <w:r>
        <w:t xml:space="preserve"> [action 95]</w:t>
      </w:r>
      <w:r w:rsidR="00835846">
        <w:rPr>
          <w:rStyle w:val="FootnoteReference"/>
        </w:rPr>
        <w:footnoteReference w:id="127"/>
      </w:r>
    </w:p>
    <w:p w14:paraId="16782C91" w14:textId="73D3DDF2" w:rsidR="00F94BA0" w:rsidRDefault="004A7019" w:rsidP="00767C9E">
      <w:pPr>
        <w:pStyle w:val="ListBullet"/>
        <w:numPr>
          <w:ilvl w:val="0"/>
          <w:numId w:val="0"/>
        </w:numPr>
      </w:pPr>
      <w:r>
        <w:t>However,</w:t>
      </w:r>
      <w:r w:rsidR="002D718D">
        <w:t xml:space="preserve"> the NDA notes that</w:t>
      </w:r>
      <w:r>
        <w:t xml:space="preserve"> progress</w:t>
      </w:r>
      <w:r w:rsidR="00767C9E">
        <w:t xml:space="preserve"> on</w:t>
      </w:r>
      <w:r w:rsidR="002D718D">
        <w:t xml:space="preserve"> delivering</w:t>
      </w:r>
      <w:r w:rsidR="00767C9E">
        <w:t xml:space="preserve"> these commitments</w:t>
      </w:r>
      <w:r>
        <w:t xml:space="preserve"> has been slower than anticipated. </w:t>
      </w:r>
      <w:r w:rsidR="00BD692D">
        <w:t>The</w:t>
      </w:r>
      <w:r w:rsidR="00767C9E">
        <w:t xml:space="preserve"> </w:t>
      </w:r>
      <w:r w:rsidRPr="004A7019">
        <w:t>Draft Heads of Bill were finalised and submitted to the Mental Health Com</w:t>
      </w:r>
      <w:r>
        <w:t>mission fo</w:t>
      </w:r>
      <w:r w:rsidR="00767C9E">
        <w:t>r detailed review in July 2019.</w:t>
      </w:r>
      <w:r w:rsidR="00767C9E">
        <w:rPr>
          <w:rStyle w:val="FootnoteReference"/>
        </w:rPr>
        <w:footnoteReference w:id="128"/>
      </w:r>
      <w:r w:rsidR="002D718D">
        <w:t xml:space="preserve"> </w:t>
      </w:r>
      <w:r w:rsidR="00BD692D">
        <w:t>The Department of Health initiated a public consultation on the Mental Health Act 2001 in early 2021. In November 2021</w:t>
      </w:r>
      <w:r w:rsidR="00415464">
        <w:t>,</w:t>
      </w:r>
      <w:r w:rsidR="00BD692D">
        <w:t xml:space="preserve"> the Oireachtas </w:t>
      </w:r>
      <w:r w:rsidR="002E0267">
        <w:t>Sub Committee on Mental Health commenced p</w:t>
      </w:r>
      <w:r w:rsidR="00BD692D" w:rsidRPr="00BD692D">
        <w:t>re-legislative scrutiny of the general scheme of the Mental Health (Amendment) Bill</w:t>
      </w:r>
      <w:r w:rsidR="002E0267">
        <w:t xml:space="preserve">. </w:t>
      </w:r>
    </w:p>
    <w:p w14:paraId="1B527E29" w14:textId="77777777" w:rsidR="006D1FF4" w:rsidRPr="004A7019" w:rsidRDefault="002D718D" w:rsidP="004A7019">
      <w:r>
        <w:t>The NDA further notes that, i</w:t>
      </w:r>
      <w:r w:rsidR="006D1FF4">
        <w:t>n April 2019, as a result of the COVID-19 pandemic, emergency legislation was introduced which made changes to the Mental Health Act 2001 and the operation of Mental Health Tribunals. The Emergency Measures in the Public Interest (Covid-19) Act 2020 provides that, when the need arises, the Mental Health Commission is authorised to appoint a lawyer from its existing panel of tribunal chairs to act as a one-person tribunal. According to the Mental Health Commission, the rationale for this measure is that it may not always be possible to convene a three-person tribunal during the public health emergency.</w:t>
      </w:r>
      <w:r w:rsidR="006D1FF4">
        <w:rPr>
          <w:rStyle w:val="FootnoteReference"/>
        </w:rPr>
        <w:footnoteReference w:id="129"/>
      </w:r>
      <w:r w:rsidR="008A5D01">
        <w:t xml:space="preserve"> It also provides that the 21 day time limit within which an admission or renewal order should be reviewed, can be extended by 14 days, and can be extended by a further 14 days in certain circumstances.</w:t>
      </w:r>
    </w:p>
    <w:p w14:paraId="46BEA94F" w14:textId="6C18DD85" w:rsidR="004A7019" w:rsidRDefault="00BE6898" w:rsidP="004A7019">
      <w:pPr>
        <w:pStyle w:val="Heading2"/>
      </w:pPr>
      <w:bookmarkStart w:id="39" w:name="_Toc90030722"/>
      <w:r>
        <w:t>Policy landscape</w:t>
      </w:r>
      <w:bookmarkEnd w:id="39"/>
    </w:p>
    <w:p w14:paraId="10F7155B" w14:textId="39B7BA54" w:rsidR="00623CDA" w:rsidRDefault="00623CDA" w:rsidP="00623CDA">
      <w:pPr>
        <w:pStyle w:val="Heading3"/>
      </w:pPr>
      <w:r>
        <w:t>Sharing the Vision: A Mental Health Policy for Everyone</w:t>
      </w:r>
    </w:p>
    <w:p w14:paraId="5DA1F45E" w14:textId="156F2283" w:rsidR="00D74F89" w:rsidRDefault="00623CDA" w:rsidP="00743A47">
      <w:r>
        <w:t xml:space="preserve">A </w:t>
      </w:r>
      <w:r w:rsidR="00743A47">
        <w:t>refreshed</w:t>
      </w:r>
      <w:r>
        <w:t xml:space="preserve"> mental health policy, entitled </w:t>
      </w:r>
      <w:r w:rsidRPr="00743A47">
        <w:rPr>
          <w:b/>
        </w:rPr>
        <w:t>Sharing the Vision</w:t>
      </w:r>
      <w:r w:rsidR="00743A47">
        <w:t>, was published in 2020</w:t>
      </w:r>
      <w:r>
        <w:t xml:space="preserve">. The new policy replaces, </w:t>
      </w:r>
      <w:r w:rsidR="00557D3F" w:rsidRPr="00EB465C">
        <w:rPr>
          <w:b/>
        </w:rPr>
        <w:t>A Vision for Change</w:t>
      </w:r>
      <w:r w:rsidR="00557D3F">
        <w:t>,</w:t>
      </w:r>
      <w:r>
        <w:t xml:space="preserve"> which was</w:t>
      </w:r>
      <w:r w:rsidR="00557D3F">
        <w:t xml:space="preserve"> </w:t>
      </w:r>
      <w:r w:rsidR="00743A47">
        <w:t>launched</w:t>
      </w:r>
      <w:r w:rsidR="00D44881">
        <w:t xml:space="preserve"> in 2006, </w:t>
      </w:r>
      <w:r>
        <w:t xml:space="preserve">and which </w:t>
      </w:r>
      <w:r w:rsidR="00743A47">
        <w:t>came to an end in 2016</w:t>
      </w:r>
      <w:r w:rsidR="00557D3F" w:rsidRPr="00557D3F">
        <w:t>.</w:t>
      </w:r>
      <w:r w:rsidR="00835846">
        <w:rPr>
          <w:rStyle w:val="FootnoteReference"/>
        </w:rPr>
        <w:footnoteReference w:id="130"/>
      </w:r>
      <w:r w:rsidR="00557D3F" w:rsidRPr="00557D3F">
        <w:t xml:space="preserve"> </w:t>
      </w:r>
      <w:r w:rsidR="00D74F89">
        <w:t xml:space="preserve">The policy sets </w:t>
      </w:r>
      <w:r w:rsidR="00D74F89" w:rsidRPr="00D74F89">
        <w:t>out current and future service priorities and includes a time-bound implementation plan as well as an Implementation Monitoring Committee</w:t>
      </w:r>
      <w:r w:rsidR="000F4DCE">
        <w:t xml:space="preserve"> (the Chairperson and membership of the Committee were announced in </w:t>
      </w:r>
      <w:r w:rsidR="002F4CA0">
        <w:t xml:space="preserve">late </w:t>
      </w:r>
      <w:r w:rsidR="000F4DCE">
        <w:t>2020)</w:t>
      </w:r>
      <w:r w:rsidR="000F4DCE">
        <w:rPr>
          <w:rStyle w:val="FootnoteReference"/>
        </w:rPr>
        <w:footnoteReference w:id="131"/>
      </w:r>
      <w:r w:rsidR="00120E75">
        <w:t>.</w:t>
      </w:r>
      <w:r w:rsidR="00A22C48">
        <w:t xml:space="preserve"> </w:t>
      </w:r>
      <w:r w:rsidR="00A22C48" w:rsidRPr="00A22C48">
        <w:t>The programme lays out recommendations for a “whole-of-government” app</w:t>
      </w:r>
      <w:r w:rsidR="00A22C48">
        <w:t>roach to mental health services, and centres on four domains, namely:</w:t>
      </w:r>
    </w:p>
    <w:p w14:paraId="202BFC0A" w14:textId="085EC56B" w:rsidR="00A22C48" w:rsidRDefault="00A22C48" w:rsidP="00A22C48">
      <w:pPr>
        <w:pStyle w:val="ListNumber"/>
      </w:pPr>
      <w:r>
        <w:t>Promotion, Prevention and Early Intervention</w:t>
      </w:r>
    </w:p>
    <w:p w14:paraId="36C85657" w14:textId="3ABF7BEA" w:rsidR="00A22C48" w:rsidRDefault="00A22C48" w:rsidP="00A22C48">
      <w:pPr>
        <w:pStyle w:val="ListNumber"/>
      </w:pPr>
      <w:r>
        <w:t>Service Access, Co-ordination and Continuity of Care</w:t>
      </w:r>
    </w:p>
    <w:p w14:paraId="5F0193ED" w14:textId="5D08B000" w:rsidR="00A22C48" w:rsidRDefault="00A22C48" w:rsidP="00A22C48">
      <w:pPr>
        <w:pStyle w:val="ListNumber"/>
      </w:pPr>
      <w:r>
        <w:t>Social Inclusion</w:t>
      </w:r>
    </w:p>
    <w:p w14:paraId="3154DAC6" w14:textId="1A92CBE2" w:rsidR="00A22C48" w:rsidRDefault="00A22C48" w:rsidP="00A22C48">
      <w:pPr>
        <w:pStyle w:val="ListNumber"/>
      </w:pPr>
      <w:r>
        <w:t>Accountability and Continuous Improvement</w:t>
      </w:r>
    </w:p>
    <w:p w14:paraId="224E518A" w14:textId="4A454B4E" w:rsidR="002318F7" w:rsidRDefault="00743A47" w:rsidP="0039718F">
      <w:r>
        <w:t>The refresh process leading to the publication of Sharing the Vision consisted of a number of steps.</w:t>
      </w:r>
      <w:r w:rsidR="00D74F89">
        <w:t xml:space="preserve"> </w:t>
      </w:r>
      <w:r w:rsidR="000C6F5B">
        <w:t>For instance, i</w:t>
      </w:r>
      <w:r w:rsidR="00596A69" w:rsidRPr="00596A69">
        <w:t>n February 2017, a report on the expert review of ‘A Vision for Change’ was published.</w:t>
      </w:r>
      <w:r w:rsidR="00835846">
        <w:rPr>
          <w:rStyle w:val="FootnoteReference"/>
        </w:rPr>
        <w:footnoteReference w:id="132"/>
      </w:r>
      <w:r w:rsidR="00596A69" w:rsidRPr="00596A69">
        <w:t xml:space="preserve"> It reviewed the implementation of ‘A Vision for Change’ and looked at international best practice. It covered the state of mental health services in Ireland today, including societal issues, prevention, recovery, social inclusion, governance and financing. It did not present recommendations but provided an evidence base on which future policy might be set. </w:t>
      </w:r>
      <w:r w:rsidR="00D44881">
        <w:t xml:space="preserve">Key points from the review included </w:t>
      </w:r>
      <w:r w:rsidR="00E80F88">
        <w:t xml:space="preserve">the importance of </w:t>
      </w:r>
      <w:r w:rsidR="00D44881">
        <w:t>prioritising</w:t>
      </w:r>
      <w:r w:rsidR="00D44881" w:rsidRPr="00D44881">
        <w:t xml:space="preserve"> mental health as a major societal issue</w:t>
      </w:r>
      <w:r w:rsidR="00D44881">
        <w:t>, recognising</w:t>
      </w:r>
      <w:r w:rsidR="00D44881" w:rsidRPr="00D44881">
        <w:t xml:space="preserve"> the importance of primary prevention and </w:t>
      </w:r>
      <w:r w:rsidR="00D44881">
        <w:t xml:space="preserve">the </w:t>
      </w:r>
      <w:r w:rsidR="00D44881" w:rsidRPr="00D44881">
        <w:t>prom</w:t>
      </w:r>
      <w:r w:rsidR="00D44881">
        <w:t xml:space="preserve">otion of positive mental health, placing a </w:t>
      </w:r>
      <w:r w:rsidR="00D44881" w:rsidRPr="00D44881">
        <w:t>strong focus on recovery and on the social inclusion of people with mental health difficulties more gene</w:t>
      </w:r>
      <w:r w:rsidR="00D44881">
        <w:t>rally, and harnessing the potential of eMental Health.</w:t>
      </w:r>
    </w:p>
    <w:p w14:paraId="0F859D80" w14:textId="77777777" w:rsidR="00063472" w:rsidRDefault="00063472" w:rsidP="00BE6898">
      <w:pPr>
        <w:pStyle w:val="Heading3"/>
      </w:pPr>
      <w:r>
        <w:t>Suicide prevention</w:t>
      </w:r>
    </w:p>
    <w:p w14:paraId="13F7E728" w14:textId="77777777" w:rsidR="00EB465C" w:rsidRDefault="00EB465C" w:rsidP="00063472">
      <w:r w:rsidRPr="00EB465C">
        <w:rPr>
          <w:b/>
          <w:iCs/>
        </w:rPr>
        <w:t>Connecting for Life</w:t>
      </w:r>
      <w:r w:rsidRPr="00EB465C">
        <w:rPr>
          <w:i/>
          <w:iCs/>
        </w:rPr>
        <w:t> </w:t>
      </w:r>
      <w:r w:rsidRPr="00EB465C">
        <w:t>is the national strategy to reduce suicide over the period 2015–2020.</w:t>
      </w:r>
      <w:r w:rsidR="009134EA">
        <w:rPr>
          <w:rStyle w:val="FootnoteReference"/>
        </w:rPr>
        <w:footnoteReference w:id="133"/>
      </w:r>
      <w:r w:rsidRPr="00EB465C">
        <w:t xml:space="preserve"> Connecting for Life sets out a vision of an Ireland where fewer lives are lost through suicide, and where communities and individuals are empowered to improve their mental health and wellbeing. </w:t>
      </w:r>
    </w:p>
    <w:p w14:paraId="286BB117" w14:textId="77777777" w:rsidR="00EB465C" w:rsidRDefault="00EB465C" w:rsidP="00EB465C">
      <w:pPr>
        <w:pStyle w:val="ListNumber"/>
        <w:numPr>
          <w:ilvl w:val="0"/>
          <w:numId w:val="0"/>
        </w:numPr>
        <w:ind w:left="360" w:hanging="360"/>
      </w:pPr>
      <w:r w:rsidRPr="00EB465C">
        <w:t>The defined outcomes of the strategy are:</w:t>
      </w:r>
    </w:p>
    <w:p w14:paraId="467584BD" w14:textId="77777777" w:rsidR="00EB465C" w:rsidRDefault="00EB465C" w:rsidP="00EB465C">
      <w:pPr>
        <w:pStyle w:val="ListBullet"/>
      </w:pPr>
      <w:r w:rsidRPr="00EB465C">
        <w:t>Reduced suicide rate in the whole population and amon</w:t>
      </w:r>
      <w:r>
        <w:t xml:space="preserve">gst specified priority groups </w:t>
      </w:r>
    </w:p>
    <w:p w14:paraId="25722825" w14:textId="77777777" w:rsidR="00EB465C" w:rsidRDefault="00EB465C" w:rsidP="00EB465C">
      <w:pPr>
        <w:pStyle w:val="ListBullet"/>
      </w:pPr>
      <w:r w:rsidRPr="00EB465C">
        <w:t>Reduced rate of presentations of self-harm in the whole population and amongst specified priority groups</w:t>
      </w:r>
    </w:p>
    <w:p w14:paraId="277AD2FC" w14:textId="77777777" w:rsidR="00C77AF0" w:rsidRDefault="00C77AF0" w:rsidP="00C77AF0">
      <w:pPr>
        <w:pStyle w:val="ListBullet"/>
        <w:numPr>
          <w:ilvl w:val="0"/>
          <w:numId w:val="0"/>
        </w:numPr>
      </w:pPr>
      <w:r>
        <w:t>As outlined in the Strategy</w:t>
      </w:r>
      <w:r w:rsidRPr="00C77AF0">
        <w:t>, particular demographic groups have consistently been shown by both national and international research evidence to have increased risk of suicidal behaviour</w:t>
      </w:r>
      <w:r>
        <w:t xml:space="preserve"> including</w:t>
      </w:r>
      <w:r w:rsidRPr="00C77AF0">
        <w:t xml:space="preserve"> people with mental health </w:t>
      </w:r>
      <w:r>
        <w:t>issues</w:t>
      </w:r>
      <w:r w:rsidRPr="00C77AF0">
        <w:t>.</w:t>
      </w:r>
      <w:r>
        <w:t xml:space="preserve"> </w:t>
      </w:r>
      <w:r w:rsidRPr="00C77AF0">
        <w:t>The</w:t>
      </w:r>
      <w:r>
        <w:t xml:space="preserve"> Strategy further notes that there is</w:t>
      </w:r>
      <w:r w:rsidRPr="00C77AF0">
        <w:t xml:space="preserve"> potentially increased vulnerability to suicidal behaviour </w:t>
      </w:r>
      <w:r>
        <w:t>amongst people with a disability, however</w:t>
      </w:r>
      <w:r w:rsidRPr="00C77AF0">
        <w:t xml:space="preserve"> the research evidence is either less consistent or limited.</w:t>
      </w:r>
      <w:r>
        <w:t xml:space="preserve"> The Strategy details a range of actions related to addressing mental health issues.</w:t>
      </w:r>
    </w:p>
    <w:p w14:paraId="2DFCC239" w14:textId="77777777" w:rsidR="006029D4" w:rsidRDefault="00063472" w:rsidP="00650304">
      <w:pPr>
        <w:pStyle w:val="ListBullet"/>
        <w:numPr>
          <w:ilvl w:val="0"/>
          <w:numId w:val="0"/>
        </w:numPr>
      </w:pPr>
      <w:r>
        <w:t>The Connecting for Life Evaluation Advisory Group undertook</w:t>
      </w:r>
      <w:r w:rsidRPr="00063472">
        <w:t xml:space="preserve"> an independent Interim Review of </w:t>
      </w:r>
      <w:r>
        <w:t>the Strategy to assess the</w:t>
      </w:r>
      <w:r w:rsidRPr="00063472">
        <w:t xml:space="preserve"> progress </w:t>
      </w:r>
      <w:r>
        <w:t>achieved</w:t>
      </w:r>
      <w:r w:rsidRPr="00063472">
        <w:t xml:space="preserve"> by the 22 government departments/ state agencies in delivering on their commitments under the strategy, and to identify potential for improvements and risks to full-implementation and sustainabilit</w:t>
      </w:r>
      <w:r>
        <w:t>y. Of the seven goals, the Evaluation Advisory Group was of the view that</w:t>
      </w:r>
      <w:r w:rsidR="0084749F">
        <w:t xml:space="preserve"> overall,</w:t>
      </w:r>
      <w:r>
        <w:t xml:space="preserve"> moderate progress had been achieved in respect of </w:t>
      </w:r>
      <w:r w:rsidR="0084749F">
        <w:t>four goals</w:t>
      </w:r>
      <w:r>
        <w:t>,</w:t>
      </w:r>
      <w:r w:rsidR="0084749F">
        <w:t xml:space="preserve"> good progress in respect of two goals</w:t>
      </w:r>
      <w:r>
        <w:t xml:space="preserve"> and </w:t>
      </w:r>
      <w:r w:rsidR="0084749F">
        <w:t>limited progress in respect of one goal.</w:t>
      </w:r>
      <w:r w:rsidR="009134EA">
        <w:rPr>
          <w:rStyle w:val="FootnoteReference"/>
        </w:rPr>
        <w:footnoteReference w:id="134"/>
      </w:r>
      <w:r w:rsidR="0084749F">
        <w:t xml:space="preserve"> The Group recommended that t</w:t>
      </w:r>
      <w:r w:rsidR="0084749F" w:rsidRPr="0084749F">
        <w:t xml:space="preserve">he Department of Health should extend the timeframe and </w:t>
      </w:r>
      <w:r w:rsidR="0084749F">
        <w:t>funding of Connecting for Life to 2024, and to this end, t</w:t>
      </w:r>
      <w:r w:rsidR="0084749F" w:rsidRPr="0084749F">
        <w:t>he HSE N</w:t>
      </w:r>
      <w:r w:rsidR="0084749F">
        <w:t xml:space="preserve">ational </w:t>
      </w:r>
      <w:r w:rsidR="0084749F" w:rsidRPr="0084749F">
        <w:t>O</w:t>
      </w:r>
      <w:r w:rsidR="0084749F">
        <w:t xml:space="preserve">ffice for </w:t>
      </w:r>
      <w:r w:rsidR="0084749F" w:rsidRPr="0084749F">
        <w:t>S</w:t>
      </w:r>
      <w:r w:rsidR="0084749F">
        <w:t xml:space="preserve">uicide </w:t>
      </w:r>
      <w:r w:rsidR="0084749F" w:rsidRPr="0084749F">
        <w:t>P</w:t>
      </w:r>
      <w:r w:rsidR="0084749F">
        <w:t>revention</w:t>
      </w:r>
      <w:r w:rsidR="0084749F" w:rsidRPr="0084749F">
        <w:t xml:space="preserve"> should develop a </w:t>
      </w:r>
      <w:r w:rsidR="0084749F">
        <w:t>Connecting for Life</w:t>
      </w:r>
      <w:r w:rsidR="0084749F" w:rsidRPr="0084749F">
        <w:t xml:space="preserve"> Implementation Plan </w:t>
      </w:r>
      <w:r w:rsidR="0084749F">
        <w:t>for the period 2020</w:t>
      </w:r>
      <w:r w:rsidR="0084749F" w:rsidRPr="0084749F">
        <w:t>-</w:t>
      </w:r>
      <w:r w:rsidR="0084749F">
        <w:t>2</w:t>
      </w:r>
      <w:r w:rsidR="0084749F" w:rsidRPr="0084749F">
        <w:t>2</w:t>
      </w:r>
      <w:r w:rsidR="0084749F">
        <w:t>.</w:t>
      </w:r>
    </w:p>
    <w:p w14:paraId="54B3D2C8" w14:textId="77777777" w:rsidR="00BE6898" w:rsidRDefault="00BE6898" w:rsidP="00BE6898">
      <w:pPr>
        <w:pStyle w:val="Heading2"/>
      </w:pPr>
      <w:bookmarkStart w:id="40" w:name="_Toc90030723"/>
      <w:r>
        <w:t>Regulatory landscape</w:t>
      </w:r>
      <w:bookmarkEnd w:id="40"/>
    </w:p>
    <w:p w14:paraId="11AA26D7" w14:textId="77777777" w:rsidR="007016B0" w:rsidRPr="007016B0" w:rsidRDefault="007016B0" w:rsidP="007016B0">
      <w:r w:rsidRPr="007016B0">
        <w:t>24-hour</w:t>
      </w:r>
      <w:r w:rsidR="00585B66">
        <w:t>,</w:t>
      </w:r>
      <w:r w:rsidRPr="007016B0">
        <w:t xml:space="preserve"> supervised mental health residences are not regulated by the Mental Health Commission, despite the stated concerns of the Inspe</w:t>
      </w:r>
      <w:r w:rsidR="002F76A1">
        <w:t>ctor of Mental Health Services.</w:t>
      </w:r>
      <w:r w:rsidRPr="007016B0">
        <w:t xml:space="preserve"> </w:t>
      </w:r>
      <w:r w:rsidR="004E55BC">
        <w:t>However, a</w:t>
      </w:r>
      <w:r w:rsidR="004E55BC" w:rsidRPr="004E55BC">
        <w:t>lthough 24-hour supervised residence are not regulated, the Inspector of Mental Hospitals can inspect them and has done so since 2005.</w:t>
      </w:r>
      <w:r w:rsidR="004E55BC">
        <w:rPr>
          <w:rStyle w:val="FootnoteReference"/>
        </w:rPr>
        <w:footnoteReference w:id="135"/>
      </w:r>
    </w:p>
    <w:p w14:paraId="47A0B3F6" w14:textId="7166DD20" w:rsidR="00AB7841" w:rsidRDefault="00C96FF8" w:rsidP="00AB7841">
      <w:pPr>
        <w:pStyle w:val="ListBullet"/>
        <w:numPr>
          <w:ilvl w:val="0"/>
          <w:numId w:val="0"/>
        </w:numPr>
      </w:pPr>
      <w:r w:rsidRPr="00C96FF8">
        <w:t>The Inspector of Mental Health Services visits and inspects every approved mental health centre at least once a year</w:t>
      </w:r>
      <w:r w:rsidR="007016B0">
        <w:t xml:space="preserve">. </w:t>
      </w:r>
      <w:r w:rsidRPr="00C96FF8">
        <w:t xml:space="preserve">The Inspector rates compliance against 31 Regulations, Part 4 of the Mental Health Act 2001, four Codes of Practice and two Statutory Rules. </w:t>
      </w:r>
      <w:r w:rsidR="002D4193">
        <w:t>In 2019</w:t>
      </w:r>
      <w:r w:rsidR="00B1594B">
        <w:t>, 78</w:t>
      </w:r>
      <w:r w:rsidR="008A3C9D">
        <w:t>% of centres complied with the national regulations.</w:t>
      </w:r>
      <w:r w:rsidR="004E55BC">
        <w:rPr>
          <w:rStyle w:val="FootnoteReference"/>
        </w:rPr>
        <w:footnoteReference w:id="136"/>
      </w:r>
      <w:r w:rsidR="008A3C9D">
        <w:t xml:space="preserve"> </w:t>
      </w:r>
      <w:r w:rsidR="00AB7841">
        <w:t>This c</w:t>
      </w:r>
      <w:r w:rsidR="00B1594B">
        <w:t>ompares to 79</w:t>
      </w:r>
      <w:r w:rsidR="008A3C9D" w:rsidRPr="008A3C9D">
        <w:t xml:space="preserve">% compliance in </w:t>
      </w:r>
      <w:r w:rsidR="002D4193">
        <w:t>2018, and 76% compliance in 2017</w:t>
      </w:r>
      <w:r w:rsidR="008A3C9D" w:rsidRPr="008A3C9D">
        <w:t>.</w:t>
      </w:r>
      <w:r w:rsidR="00AB7841" w:rsidRPr="00AB7841">
        <w:t xml:space="preserve"> A number of areas showed consistently high compliance across all services. These include resident identifiers (100%), </w:t>
      </w:r>
      <w:r w:rsidR="00B1594B">
        <w:t>health and safety (100%), and communication (97%)</w:t>
      </w:r>
      <w:r w:rsidR="00AB7841" w:rsidRPr="00AB7841">
        <w:t>.</w:t>
      </w:r>
      <w:r w:rsidR="00AB7841">
        <w:t xml:space="preserve"> However, some noted</w:t>
      </w:r>
      <w:r w:rsidR="004E5CD0" w:rsidRPr="004E5CD0">
        <w:t xml:space="preserve"> areas of concern </w:t>
      </w:r>
      <w:r w:rsidR="00AB7841">
        <w:t>included</w:t>
      </w:r>
      <w:r w:rsidR="004E5CD0" w:rsidRPr="004E5CD0">
        <w:t xml:space="preserve"> </w:t>
      </w:r>
      <w:r w:rsidR="00B1594B">
        <w:t xml:space="preserve">staffing </w:t>
      </w:r>
      <w:r w:rsidR="000C6F5B">
        <w:t xml:space="preserve">and </w:t>
      </w:r>
      <w:r w:rsidR="00B1594B">
        <w:t>general health, relating to the physical health of residents</w:t>
      </w:r>
      <w:r w:rsidR="004E5CD0" w:rsidRPr="004E5CD0">
        <w:t>.</w:t>
      </w:r>
      <w:r w:rsidR="004E55BC">
        <w:rPr>
          <w:rStyle w:val="FootnoteReference"/>
        </w:rPr>
        <w:footnoteReference w:id="137"/>
      </w:r>
      <w:r w:rsidR="004E5CD0" w:rsidRPr="004E5CD0">
        <w:t xml:space="preserve"> </w:t>
      </w:r>
    </w:p>
    <w:p w14:paraId="7B24C47F" w14:textId="109DC0C5" w:rsidR="00BE6898" w:rsidRDefault="004E5CD0" w:rsidP="00AB7841">
      <w:pPr>
        <w:pStyle w:val="ListBullet"/>
        <w:numPr>
          <w:ilvl w:val="0"/>
          <w:numId w:val="0"/>
        </w:numPr>
      </w:pPr>
      <w:r w:rsidRPr="004E5CD0">
        <w:t>The Commission took</w:t>
      </w:r>
      <w:r w:rsidR="00B1594B">
        <w:t xml:space="preserve"> </w:t>
      </w:r>
      <w:r w:rsidR="00415464">
        <w:t xml:space="preserve">17 </w:t>
      </w:r>
      <w:r w:rsidR="00B1594B">
        <w:t xml:space="preserve">enforcement actions relating to </w:t>
      </w:r>
      <w:r w:rsidR="00415464">
        <w:t xml:space="preserve">13 </w:t>
      </w:r>
      <w:r w:rsidR="00B1594B">
        <w:t xml:space="preserve">approved centres in </w:t>
      </w:r>
      <w:r w:rsidR="00415464">
        <w:t>2020</w:t>
      </w:r>
      <w:r w:rsidR="00B1594B">
        <w:t>. This compares with</w:t>
      </w:r>
      <w:r w:rsidRPr="004E5CD0">
        <w:t xml:space="preserve"> 4</w:t>
      </w:r>
      <w:r w:rsidR="00415464">
        <w:t>0</w:t>
      </w:r>
      <w:r w:rsidRPr="004E5CD0">
        <w:t xml:space="preserve"> enforcement actions in 201</w:t>
      </w:r>
      <w:r w:rsidR="00415464">
        <w:t>9</w:t>
      </w:r>
      <w:r w:rsidR="00B1594B">
        <w:t xml:space="preserve"> and </w:t>
      </w:r>
      <w:r w:rsidR="00415464">
        <w:t xml:space="preserve">44 </w:t>
      </w:r>
      <w:r w:rsidR="00B1594B">
        <w:t>enforcement actions in 201</w:t>
      </w:r>
      <w:r w:rsidR="00415464">
        <w:t>8</w:t>
      </w:r>
      <w:r w:rsidRPr="004E5CD0">
        <w:t>.</w:t>
      </w:r>
      <w:r w:rsidR="004E55BC">
        <w:rPr>
          <w:rStyle w:val="FootnoteReference"/>
        </w:rPr>
        <w:footnoteReference w:id="138"/>
      </w:r>
      <w:r w:rsidRPr="004E5CD0">
        <w:t xml:space="preserve"> </w:t>
      </w:r>
    </w:p>
    <w:p w14:paraId="4C933E10" w14:textId="77777777" w:rsidR="00650304" w:rsidRPr="007C287B" w:rsidRDefault="00650304" w:rsidP="00650304">
      <w:pPr>
        <w:pStyle w:val="Heading1"/>
      </w:pPr>
      <w:bookmarkStart w:id="41" w:name="_Toc90030724"/>
      <w:r>
        <w:t>Physical Health</w:t>
      </w:r>
      <w:bookmarkEnd w:id="41"/>
    </w:p>
    <w:p w14:paraId="47C0C474" w14:textId="77777777" w:rsidR="00650304" w:rsidRDefault="00650304" w:rsidP="00650304">
      <w:pPr>
        <w:pStyle w:val="Heading2"/>
      </w:pPr>
      <w:bookmarkStart w:id="42" w:name="_Toc90030725"/>
      <w:r>
        <w:t>Obesity</w:t>
      </w:r>
      <w:bookmarkEnd w:id="42"/>
    </w:p>
    <w:p w14:paraId="493D6B69" w14:textId="77777777" w:rsidR="002F76A1" w:rsidRPr="002F76A1" w:rsidRDefault="002F76A1" w:rsidP="002F76A1">
      <w:pPr>
        <w:pStyle w:val="Heading3"/>
      </w:pPr>
      <w:r>
        <w:t>Key data and statistics</w:t>
      </w:r>
    </w:p>
    <w:p w14:paraId="544E69BE" w14:textId="7B8B4E02" w:rsidR="00650304" w:rsidRDefault="005F6EC5" w:rsidP="00650304">
      <w:r>
        <w:t>Wave 3 of the IDS-TILDA</w:t>
      </w:r>
      <w:r w:rsidR="00650304" w:rsidRPr="003576DF">
        <w:t xml:space="preserve"> study found that 79.7% of participants were </w:t>
      </w:r>
      <w:r w:rsidR="00056C77">
        <w:t xml:space="preserve">overweight or </w:t>
      </w:r>
      <w:r w:rsidR="00650304" w:rsidRPr="003576DF">
        <w:t>obese, similar to rates reported by TILDA for the general older population (79%).</w:t>
      </w:r>
      <w:r>
        <w:rPr>
          <w:rStyle w:val="FootnoteReference"/>
        </w:rPr>
        <w:footnoteReference w:id="139"/>
      </w:r>
      <w:r w:rsidR="00650304" w:rsidRPr="003576DF">
        <w:t xml:space="preserve"> Higher levels of overweight and obesity were identified in those aged 50-64 years at 80.6% compared to 77.6% in those 65 years and over. Those with a mild/ moderate level of intellectual disability presented with greater levels of obesity at 87.5% versus 64.3% for those in the severe/profound disability.</w:t>
      </w:r>
      <w:r w:rsidR="00E37615">
        <w:rPr>
          <w:rStyle w:val="FootnoteReference"/>
        </w:rPr>
        <w:footnoteReference w:id="140"/>
      </w:r>
      <w:r w:rsidR="00650304" w:rsidRPr="003576DF">
        <w:t xml:space="preserve"> Females had higher prevalence of overweight and obesity compared to males at 83.1% versus 75.9% respectively. Females with a mild level of intellectual disability showed the highest levels of overwe</w:t>
      </w:r>
      <w:r w:rsidR="002F76A1">
        <w:t>ight and obesity at 89.1%</w:t>
      </w:r>
      <w:r w:rsidR="00650304" w:rsidRPr="003576DF">
        <w:t>.</w:t>
      </w:r>
    </w:p>
    <w:p w14:paraId="5F3B8C9E" w14:textId="77777777" w:rsidR="002F76A1" w:rsidRPr="003576DF" w:rsidRDefault="002F76A1" w:rsidP="002F76A1">
      <w:pPr>
        <w:pStyle w:val="Heading3"/>
      </w:pPr>
      <w:r>
        <w:t>Policy landscape</w:t>
      </w:r>
    </w:p>
    <w:p w14:paraId="0A8E6723" w14:textId="77777777" w:rsidR="00650304" w:rsidRPr="003576DF" w:rsidRDefault="00650304" w:rsidP="00650304">
      <w:pPr>
        <w:rPr>
          <w:bCs/>
        </w:rPr>
      </w:pPr>
      <w:r w:rsidRPr="003576DF">
        <w:rPr>
          <w:b/>
          <w:bCs/>
        </w:rPr>
        <w:t>A Healthy Weight for Ireland</w:t>
      </w:r>
      <w:r w:rsidRPr="003576DF">
        <w:rPr>
          <w:bCs/>
        </w:rPr>
        <w:t xml:space="preserve"> is Ireland’s Obesity Policy and Action Plan for the period 2016-2025.</w:t>
      </w:r>
      <w:r w:rsidR="00E37615">
        <w:rPr>
          <w:rStyle w:val="FootnoteReference"/>
          <w:bCs/>
        </w:rPr>
        <w:footnoteReference w:id="141"/>
      </w:r>
      <w:r w:rsidRPr="003576DF">
        <w:rPr>
          <w:bCs/>
        </w:rPr>
        <w:t xml:space="preserve"> It was launched in September 2016 under the auspices of the Healthy Ireland agenda, and aims to reverse obesity trends, prevent health complications and reduce the overall burden for individuals, families, the health system, and the wider society and economy. The Strategy notes that people with a disability are one of the groups most at risk of obesity. It also notes that obesity can impact on mental health.</w:t>
      </w:r>
    </w:p>
    <w:p w14:paraId="1417661C" w14:textId="77777777" w:rsidR="00650304" w:rsidRPr="003576DF" w:rsidRDefault="00650304" w:rsidP="00650304">
      <w:pPr>
        <w:rPr>
          <w:bCs/>
        </w:rPr>
      </w:pPr>
      <w:r w:rsidRPr="003576DF">
        <w:rPr>
          <w:bCs/>
        </w:rPr>
        <w:t>The Strategy prescribes 'Ten Steps Forward' to tackle obesity. Step 6 is as follows: “Mobilise the health services to better prevent and address overweight and obesity through effective community-based health promotion programmes, training and skills development and through enhanced systems for detection and referrals of overweight and obese patients at primary care level.” Under this Step, the HSE is required to develop and integrate evidence-based, effective, community-based health promotion programmes targeted at high-risk groups within all community health organisations.</w:t>
      </w:r>
      <w:r w:rsidR="00CD2189">
        <w:rPr>
          <w:rStyle w:val="FootnoteReference"/>
          <w:bCs/>
        </w:rPr>
        <w:footnoteReference w:id="142"/>
      </w:r>
    </w:p>
    <w:p w14:paraId="60B50315" w14:textId="77777777" w:rsidR="002D369E" w:rsidRDefault="009E6F6D" w:rsidP="00D1611A">
      <w:pPr>
        <w:pStyle w:val="Heading1"/>
      </w:pPr>
      <w:bookmarkStart w:id="43" w:name="_Toc90030726"/>
      <w:r>
        <w:t xml:space="preserve">Health Needs of People with </w:t>
      </w:r>
      <w:r w:rsidR="001466FB">
        <w:t>Specific Disabilities</w:t>
      </w:r>
      <w:bookmarkEnd w:id="43"/>
    </w:p>
    <w:p w14:paraId="1B441E57" w14:textId="77777777" w:rsidR="001466FB" w:rsidRDefault="001466FB" w:rsidP="001466FB">
      <w:pPr>
        <w:pStyle w:val="Heading2"/>
      </w:pPr>
      <w:bookmarkStart w:id="44" w:name="_Toc90030727"/>
      <w:r>
        <w:t>People with Dementia</w:t>
      </w:r>
      <w:bookmarkEnd w:id="44"/>
    </w:p>
    <w:p w14:paraId="1F4C9DB0" w14:textId="77777777" w:rsidR="002F76A1" w:rsidRDefault="002F76A1" w:rsidP="002F76A1">
      <w:pPr>
        <w:pStyle w:val="Heading3"/>
      </w:pPr>
      <w:r>
        <w:t>Key data and statistics</w:t>
      </w:r>
    </w:p>
    <w:p w14:paraId="7A5EED87" w14:textId="2C6CC960" w:rsidR="000501A4" w:rsidRDefault="000501A4" w:rsidP="002F76A1">
      <w:r>
        <w:t>The to</w:t>
      </w:r>
      <w:r w:rsidRPr="000501A4">
        <w:t xml:space="preserve">tal number of people with dementia in Ireland </w:t>
      </w:r>
      <w:r>
        <w:t>was estimated to range</w:t>
      </w:r>
      <w:r w:rsidRPr="000501A4">
        <w:t xml:space="preserve"> </w:t>
      </w:r>
      <w:r>
        <w:t xml:space="preserve">from </w:t>
      </w:r>
      <w:r w:rsidRPr="000501A4">
        <w:t>39 272 and 55 266</w:t>
      </w:r>
      <w:r>
        <w:t xml:space="preserve"> in 2018 (depending on measure used). </w:t>
      </w:r>
      <w:r w:rsidRPr="000501A4">
        <w:t xml:space="preserve">The incidence of dementia in </w:t>
      </w:r>
      <w:r>
        <w:t xml:space="preserve">Ireland </w:t>
      </w:r>
      <w:r w:rsidRPr="000501A4">
        <w:t>has increased as the population has aged</w:t>
      </w:r>
      <w:r>
        <w:t>. It is estimated to increase by nearly 8000 ne</w:t>
      </w:r>
      <w:r w:rsidRPr="000501A4">
        <w:t>w cases per year</w:t>
      </w:r>
      <w:r>
        <w:rPr>
          <w:rStyle w:val="FootnoteReference"/>
        </w:rPr>
        <w:footnoteReference w:id="143"/>
      </w:r>
      <w:r w:rsidRPr="000501A4">
        <w:t xml:space="preserve">. </w:t>
      </w:r>
    </w:p>
    <w:p w14:paraId="594A379C" w14:textId="5437C3CA" w:rsidR="002F76A1" w:rsidRPr="002F76A1" w:rsidRDefault="00C83018" w:rsidP="002F76A1">
      <w:r>
        <w:t xml:space="preserve">Wave 3 of the IDS-TILDA </w:t>
      </w:r>
      <w:r w:rsidR="00CD2189">
        <w:t xml:space="preserve">study </w:t>
      </w:r>
      <w:r>
        <w:t xml:space="preserve">shows that the prevalence of dementia in participants is high, with </w:t>
      </w:r>
      <w:r w:rsidR="00A46DC2">
        <w:t>9.1% of people with an intellectual d</w:t>
      </w:r>
      <w:r>
        <w:t>isability over the age of 40 having</w:t>
      </w:r>
      <w:r w:rsidR="00A46DC2">
        <w:t xml:space="preserve"> a diagnosis of Alzheimer’s disease or dementia.</w:t>
      </w:r>
      <w:r w:rsidR="00CD2189">
        <w:rPr>
          <w:rStyle w:val="FootnoteReference"/>
        </w:rPr>
        <w:footnoteReference w:id="144"/>
      </w:r>
      <w:r w:rsidRPr="00C83018">
        <w:t xml:space="preserve"> </w:t>
      </w:r>
      <w:r>
        <w:t>In Wave 3, 35.5%</w:t>
      </w:r>
      <w:r w:rsidRPr="00C83018">
        <w:t xml:space="preserve"> of people with Down syndrome had a doctor’s diagnosis of dementia</w:t>
      </w:r>
      <w:r>
        <w:t xml:space="preserve">, </w:t>
      </w:r>
      <w:r w:rsidRPr="00C83018">
        <w:t>compared to 3.4% of those with intellectual disability from other aetiologies.</w:t>
      </w:r>
    </w:p>
    <w:p w14:paraId="0F44513D" w14:textId="77777777" w:rsidR="002F76A1" w:rsidRPr="002F76A1" w:rsidRDefault="002F76A1" w:rsidP="002F76A1">
      <w:pPr>
        <w:pStyle w:val="Heading3"/>
      </w:pPr>
      <w:r>
        <w:t>Policy landscape</w:t>
      </w:r>
    </w:p>
    <w:p w14:paraId="4AED4469" w14:textId="77777777" w:rsidR="003C3396" w:rsidRDefault="003C3396" w:rsidP="002D369E">
      <w:r w:rsidRPr="003C3396">
        <w:t xml:space="preserve">The </w:t>
      </w:r>
      <w:r w:rsidRPr="003C3396">
        <w:rPr>
          <w:b/>
        </w:rPr>
        <w:t>Irish National Dementia Strategy</w:t>
      </w:r>
      <w:r w:rsidRPr="003C3396">
        <w:t xml:space="preserve"> was launched in December 2014.</w:t>
      </w:r>
      <w:r w:rsidR="00CD2189">
        <w:rPr>
          <w:rStyle w:val="FootnoteReference"/>
        </w:rPr>
        <w:footnoteReference w:id="145"/>
      </w:r>
      <w:r w:rsidRPr="003C3396">
        <w:t xml:space="preserve"> The Strategy aims to improve dementia care to allow people with dementia to live well for as long as possible and have services and supports delivered as well as possible. A National Dementia Office was established in the HSE in 2015 to drive the Strategy’s implementation. </w:t>
      </w:r>
    </w:p>
    <w:p w14:paraId="0B665347" w14:textId="77777777" w:rsidR="002D369E" w:rsidRDefault="003C3396" w:rsidP="002D369E">
      <w:r w:rsidRPr="003C3396">
        <w:t>A mid-term review of the Strategy (May 2018) noted that good progress has been made on implementing many of the Strategy’s 35 priority and additional actions but that additional financial and staffing resources will be required in the areas of diagnosis, post</w:t>
      </w:r>
      <w:r>
        <w:t>-</w:t>
      </w:r>
      <w:r w:rsidRPr="003C3396">
        <w:t>diagnostic supports, primary care, acute care, home care and housing if the Strategy is to be fully implemented</w:t>
      </w:r>
      <w:r>
        <w:t>.</w:t>
      </w:r>
      <w:r>
        <w:rPr>
          <w:rStyle w:val="FootnoteReference"/>
        </w:rPr>
        <w:footnoteReference w:id="146"/>
      </w:r>
    </w:p>
    <w:p w14:paraId="6F958A2E" w14:textId="77777777" w:rsidR="002D369E" w:rsidRDefault="001466FB" w:rsidP="001466FB">
      <w:pPr>
        <w:pStyle w:val="Heading2"/>
      </w:pPr>
      <w:bookmarkStart w:id="45" w:name="_Toc90030728"/>
      <w:r>
        <w:t xml:space="preserve">People with </w:t>
      </w:r>
      <w:r w:rsidR="002D369E">
        <w:t>Autism</w:t>
      </w:r>
      <w:bookmarkEnd w:id="45"/>
    </w:p>
    <w:p w14:paraId="56E2FA2D" w14:textId="77777777" w:rsidR="00A91E72" w:rsidRPr="00A91E72" w:rsidRDefault="00A91E72" w:rsidP="00A91E72">
      <w:pPr>
        <w:pStyle w:val="Heading3"/>
      </w:pPr>
      <w:r>
        <w:t>Key data and statistics</w:t>
      </w:r>
    </w:p>
    <w:p w14:paraId="5CA466BD" w14:textId="77777777" w:rsidR="002D369E" w:rsidRDefault="002D369E" w:rsidP="002D369E">
      <w:r>
        <w:t xml:space="preserve">In 2018, the Department of Health published a research report entitled </w:t>
      </w:r>
      <w:r w:rsidRPr="002D369E">
        <w:t>“Estimating prevalence of Autism Spectrum Disorder (ASD) in the Irish Population: A review of data sources and epidemiological studies”</w:t>
      </w:r>
      <w:r>
        <w:t xml:space="preserve"> with a view </w:t>
      </w:r>
      <w:r w:rsidRPr="002D369E">
        <w:t>to support</w:t>
      </w:r>
      <w:r>
        <w:t>ing</w:t>
      </w:r>
      <w:r w:rsidRPr="002D369E">
        <w:t xml:space="preserve"> the direction of future policy decisions and</w:t>
      </w:r>
      <w:r>
        <w:t xml:space="preserve"> to autism proof the</w:t>
      </w:r>
      <w:r w:rsidRPr="002D369E">
        <w:t xml:space="preserve"> health services. The paper describes the complexity of the changing classification of autism over many decades and developments in relation to screening and diagnostic instruments for autism</w:t>
      </w:r>
      <w:r>
        <w:t xml:space="preserve">. </w:t>
      </w:r>
      <w:r w:rsidRPr="002D369E">
        <w:t>The paper, drawing on a variety of sources, concludes that there is a robust case for estimating a prevalence rate of autism in children of 1-1.5% for the purposes of planning policy and services in Ireland.</w:t>
      </w:r>
      <w:r w:rsidR="00AE5E57">
        <w:rPr>
          <w:rStyle w:val="FootnoteReference"/>
        </w:rPr>
        <w:footnoteReference w:id="147"/>
      </w:r>
      <w:r w:rsidRPr="002D369E">
        <w:t> </w:t>
      </w:r>
    </w:p>
    <w:p w14:paraId="2A064B0F" w14:textId="0DE9BF8C" w:rsidR="002D369E" w:rsidRDefault="002D369E" w:rsidP="002D369E">
      <w:r w:rsidRPr="002D369E">
        <w:t>The second report is entitled: “Review of the Irish Health Services for Individuals with Autism Spectrum Disorders</w:t>
      </w:r>
      <w:r>
        <w:t>” reviewed</w:t>
      </w:r>
      <w:r w:rsidRPr="002D369E">
        <w:t xml:space="preserve"> current services </w:t>
      </w:r>
      <w:r>
        <w:t>for autistic people and identified examples of good practic</w:t>
      </w:r>
      <w:r w:rsidRPr="002D369E">
        <w:t xml:space="preserve">e that </w:t>
      </w:r>
      <w:r>
        <w:t>can be replicated wider in the health s</w:t>
      </w:r>
      <w:r w:rsidRPr="002D369E">
        <w:t>ervice.</w:t>
      </w:r>
      <w:r w:rsidR="00AE5E57">
        <w:rPr>
          <w:rStyle w:val="FootnoteReference"/>
        </w:rPr>
        <w:footnoteReference w:id="148"/>
      </w:r>
    </w:p>
    <w:p w14:paraId="5B661561" w14:textId="3DE86195" w:rsidR="00A877EC" w:rsidRDefault="00A877EC" w:rsidP="002D369E">
      <w:r>
        <w:t xml:space="preserve">The HSE </w:t>
      </w:r>
      <w:r w:rsidR="00D656C6">
        <w:t xml:space="preserve">also </w:t>
      </w:r>
      <w:r>
        <w:t>commissioned</w:t>
      </w:r>
      <w:r w:rsidRPr="00A877EC">
        <w:t xml:space="preserve"> a national review to identify pathways of care for individuals with Autism</w:t>
      </w:r>
      <w:r>
        <w:t xml:space="preserve">, entitled a </w:t>
      </w:r>
      <w:r w:rsidRPr="00366DB3">
        <w:rPr>
          <w:b/>
        </w:rPr>
        <w:t>National Review of Autism Services Past, Present and Way Forward</w:t>
      </w:r>
      <w:r>
        <w:t>.</w:t>
      </w:r>
      <w:r w:rsidR="00366DB3">
        <w:rPr>
          <w:rStyle w:val="FootnoteReference"/>
        </w:rPr>
        <w:footnoteReference w:id="149"/>
      </w:r>
      <w:r>
        <w:t xml:space="preserve"> It made a series of recommendations </w:t>
      </w:r>
      <w:r w:rsidR="00366DB3">
        <w:t xml:space="preserve">to ensure a more consistent national approach to care. </w:t>
      </w:r>
      <w:r w:rsidR="00D656C6">
        <w:t>In addition, t</w:t>
      </w:r>
      <w:r w:rsidR="00366DB3">
        <w:t xml:space="preserve">he NDA has published research on </w:t>
      </w:r>
      <w:r w:rsidR="00366DB3" w:rsidRPr="00366DB3">
        <w:rPr>
          <w:b/>
        </w:rPr>
        <w:t>Models of good Practice in Effectively Supporting the Needs of Adults with Autism, without a Concurrent Intellectual Disability, Living in the Community</w:t>
      </w:r>
      <w:r w:rsidR="00366DB3">
        <w:t xml:space="preserve">. </w:t>
      </w:r>
      <w:r w:rsidR="00D656C6">
        <w:t xml:space="preserve">Although evidence is limited, </w:t>
      </w:r>
      <w:r w:rsidR="00D656C6" w:rsidRPr="00D656C6">
        <w:t>it seems as though some level of specialist services</w:t>
      </w:r>
      <w:r w:rsidR="00D656C6">
        <w:t xml:space="preserve"> </w:t>
      </w:r>
      <w:r w:rsidR="00D656C6" w:rsidRPr="00D656C6">
        <w:t>will be required for adults with autism without an I</w:t>
      </w:r>
      <w:r w:rsidR="00D656C6">
        <w:t xml:space="preserve">ntellectual </w:t>
      </w:r>
      <w:r w:rsidR="00D656C6" w:rsidRPr="00D656C6">
        <w:t>D</w:t>
      </w:r>
      <w:r w:rsidR="00D656C6">
        <w:t>isability</w:t>
      </w:r>
      <w:r w:rsidR="00D656C6" w:rsidRPr="00D656C6">
        <w:t xml:space="preserve"> living in the community to ensure that they have a good quality of life and can meet their life goals.</w:t>
      </w:r>
      <w:r w:rsidR="00D656C6">
        <w:rPr>
          <w:rStyle w:val="FootnoteReference"/>
        </w:rPr>
        <w:footnoteReference w:id="150"/>
      </w:r>
      <w:r w:rsidR="00D656C6">
        <w:t xml:space="preserve"> The report makes a number of recommendations, including that </w:t>
      </w:r>
      <w:r w:rsidR="00D656C6" w:rsidRPr="00D656C6">
        <w:t>a clear pathway to diagnosis</w:t>
      </w:r>
      <w:r w:rsidR="00D656C6">
        <w:t xml:space="preserve"> be identified</w:t>
      </w:r>
      <w:r w:rsidR="00D656C6" w:rsidRPr="00D656C6">
        <w:t xml:space="preserve"> for adults who are suspected to be on the autistic spectrum</w:t>
      </w:r>
      <w:r w:rsidR="00D656C6">
        <w:t>.</w:t>
      </w:r>
    </w:p>
    <w:p w14:paraId="4E7A5597" w14:textId="77777777" w:rsidR="00A91E72" w:rsidRDefault="00A91E72" w:rsidP="00A91E72">
      <w:pPr>
        <w:pStyle w:val="Heading3"/>
      </w:pPr>
      <w:r>
        <w:t>Policy landscape</w:t>
      </w:r>
    </w:p>
    <w:p w14:paraId="46326536" w14:textId="77777777" w:rsidR="00821258" w:rsidRPr="00821258" w:rsidRDefault="00821258" w:rsidP="00821258">
      <w:r w:rsidRPr="00821258">
        <w:t xml:space="preserve">€2 million was </w:t>
      </w:r>
      <w:r w:rsidR="00DD0BF9">
        <w:t>allocated to the Autism Plan</w:t>
      </w:r>
      <w:r w:rsidRPr="00821258">
        <w:t xml:space="preserve"> in Budget 2020.</w:t>
      </w:r>
      <w:r w:rsidR="00875832">
        <w:t xml:space="preserve"> The NDA notes that,</w:t>
      </w:r>
      <w:r w:rsidR="00DD0BF9">
        <w:t xml:space="preserve"> over the period 2019-2020, this funding </w:t>
      </w:r>
      <w:r w:rsidR="00875832">
        <w:t>will</w:t>
      </w:r>
      <w:r w:rsidR="00DD0BF9">
        <w:t xml:space="preserve"> be </w:t>
      </w:r>
      <w:r w:rsidRPr="00821258">
        <w:t>used in a number of priority areas:</w:t>
      </w:r>
    </w:p>
    <w:p w14:paraId="16619CEA" w14:textId="77777777" w:rsidR="00821258" w:rsidRDefault="00821258" w:rsidP="00821258">
      <w:pPr>
        <w:pStyle w:val="ListBullet"/>
      </w:pPr>
      <w:r w:rsidRPr="00821258">
        <w:t>to implement a programme of awareness raising that can provide a better information resource for children and parents about what supports are available</w:t>
      </w:r>
    </w:p>
    <w:p w14:paraId="39CD7DBF" w14:textId="77777777" w:rsidR="00821258" w:rsidRDefault="00821258" w:rsidP="00821258">
      <w:pPr>
        <w:pStyle w:val="ListBullet"/>
      </w:pPr>
      <w:r w:rsidRPr="00821258">
        <w:t>a campaign to assist in creating awareness of the challenges, needs and experiences of people with autism</w:t>
      </w:r>
    </w:p>
    <w:p w14:paraId="1B5DDFD5" w14:textId="77777777" w:rsidR="001069D5" w:rsidRPr="001069D5" w:rsidRDefault="00821258" w:rsidP="001069D5">
      <w:pPr>
        <w:pStyle w:val="ListBullet"/>
      </w:pPr>
      <w:r w:rsidRPr="00821258">
        <w:t>to build capacity and competence amongst key professionals working with autism – including a national training programme for clinicians and the implementation of a tiered model of assessment in order to improve access to and responses by services for those with ASD</w:t>
      </w:r>
      <w:r w:rsidR="00AE5E57">
        <w:rPr>
          <w:rStyle w:val="FootnoteReference"/>
        </w:rPr>
        <w:footnoteReference w:id="151"/>
      </w:r>
    </w:p>
    <w:p w14:paraId="7B60A0E1" w14:textId="77777777" w:rsidR="003D122B" w:rsidRDefault="00757AF4" w:rsidP="003D122B">
      <w:pPr>
        <w:pStyle w:val="Heading1"/>
      </w:pPr>
      <w:bookmarkStart w:id="46" w:name="_Toc90030729"/>
      <w:r>
        <w:t>Healthcare Technology and Research</w:t>
      </w:r>
      <w:bookmarkEnd w:id="46"/>
    </w:p>
    <w:p w14:paraId="4508C1E9" w14:textId="77777777" w:rsidR="00757AF4" w:rsidRPr="00757AF4" w:rsidRDefault="00757AF4" w:rsidP="00757AF4">
      <w:pPr>
        <w:pStyle w:val="Heading2"/>
      </w:pPr>
      <w:bookmarkStart w:id="47" w:name="_Toc90030730"/>
      <w:r>
        <w:t>Health Research</w:t>
      </w:r>
      <w:bookmarkEnd w:id="47"/>
    </w:p>
    <w:p w14:paraId="7C03F051" w14:textId="77777777" w:rsidR="00590CCB" w:rsidRPr="00590CCB" w:rsidRDefault="00590CCB" w:rsidP="00757AF4">
      <w:pPr>
        <w:pStyle w:val="Heading3"/>
      </w:pPr>
      <w:r>
        <w:t>Health Research Regulations</w:t>
      </w:r>
    </w:p>
    <w:p w14:paraId="3E274A1D" w14:textId="3499DB65" w:rsidR="003D122B" w:rsidRDefault="003D122B" w:rsidP="006B4AF4">
      <w:pPr>
        <w:rPr>
          <w:bCs/>
        </w:rPr>
      </w:pPr>
      <w:r>
        <w:rPr>
          <w:bCs/>
        </w:rPr>
        <w:t>The Health Research R</w:t>
      </w:r>
      <w:r w:rsidRPr="003D122B">
        <w:rPr>
          <w:bCs/>
        </w:rPr>
        <w:t xml:space="preserve">egulations </w:t>
      </w:r>
      <w:r>
        <w:rPr>
          <w:bCs/>
        </w:rPr>
        <w:t xml:space="preserve">2018 </w:t>
      </w:r>
      <w:r w:rsidRPr="003D122B">
        <w:rPr>
          <w:bCs/>
        </w:rPr>
        <w:t>were published as a section of Data Protection legislation following the introduction of G</w:t>
      </w:r>
      <w:r w:rsidR="00835846">
        <w:rPr>
          <w:bCs/>
        </w:rPr>
        <w:t xml:space="preserve">eneral </w:t>
      </w:r>
      <w:r w:rsidRPr="003D122B">
        <w:rPr>
          <w:bCs/>
        </w:rPr>
        <w:t>D</w:t>
      </w:r>
      <w:r w:rsidR="00835846">
        <w:rPr>
          <w:bCs/>
        </w:rPr>
        <w:t xml:space="preserve">ata </w:t>
      </w:r>
      <w:r w:rsidRPr="003D122B">
        <w:rPr>
          <w:bCs/>
        </w:rPr>
        <w:t>P</w:t>
      </w:r>
      <w:r w:rsidR="00835846">
        <w:rPr>
          <w:bCs/>
        </w:rPr>
        <w:t xml:space="preserve">rotection </w:t>
      </w:r>
      <w:r w:rsidRPr="003D122B">
        <w:rPr>
          <w:bCs/>
        </w:rPr>
        <w:t>R</w:t>
      </w:r>
      <w:r w:rsidR="00835846">
        <w:rPr>
          <w:bCs/>
        </w:rPr>
        <w:t>egulation</w:t>
      </w:r>
      <w:r w:rsidRPr="003D122B">
        <w:rPr>
          <w:bCs/>
        </w:rPr>
        <w:t>.</w:t>
      </w:r>
      <w:r w:rsidR="00A01EC6">
        <w:rPr>
          <w:rStyle w:val="FootnoteReference"/>
          <w:bCs/>
        </w:rPr>
        <w:footnoteReference w:id="152"/>
      </w:r>
      <w:r w:rsidRPr="003D122B">
        <w:rPr>
          <w:bCs/>
        </w:rPr>
        <w:t xml:space="preserve"> </w:t>
      </w:r>
      <w:r>
        <w:rPr>
          <w:bCs/>
        </w:rPr>
        <w:t>T</w:t>
      </w:r>
      <w:r w:rsidRPr="003D122B">
        <w:rPr>
          <w:bCs/>
        </w:rPr>
        <w:t xml:space="preserve">hese regulations outline how personal data should be processed and managed in the carrying out of health research; define health research for the purposes of the legislation; describe how to obtain a “consent declaration” for </w:t>
      </w:r>
      <w:r w:rsidR="00171926">
        <w:rPr>
          <w:bCs/>
        </w:rPr>
        <w:t>research that includes participants who are unable to explicitly provide consent</w:t>
      </w:r>
      <w:r w:rsidRPr="003D122B">
        <w:rPr>
          <w:bCs/>
        </w:rPr>
        <w:t>; along with some other responsibilities.</w:t>
      </w:r>
    </w:p>
    <w:p w14:paraId="04530997" w14:textId="63EDDDB3" w:rsidR="00590CCB" w:rsidRDefault="00590CCB" w:rsidP="006B4AF4">
      <w:pPr>
        <w:rPr>
          <w:bCs/>
        </w:rPr>
      </w:pPr>
      <w:r>
        <w:rPr>
          <w:bCs/>
        </w:rPr>
        <w:t xml:space="preserve">The NDA has advised that there is a legislative gap regarding the participation of people who lack capacity in health research and have advised that this matter </w:t>
      </w:r>
      <w:r w:rsidR="006732F5">
        <w:rPr>
          <w:bCs/>
        </w:rPr>
        <w:t xml:space="preserve">could </w:t>
      </w:r>
      <w:r>
        <w:rPr>
          <w:bCs/>
        </w:rPr>
        <w:t xml:space="preserve">be </w:t>
      </w:r>
      <w:r w:rsidR="006732F5">
        <w:rPr>
          <w:bCs/>
        </w:rPr>
        <w:t xml:space="preserve">best </w:t>
      </w:r>
      <w:r>
        <w:rPr>
          <w:bCs/>
        </w:rPr>
        <w:t>addressed by way of an amendment to the Assisted Decision Making (Capacity) Act 2015.</w:t>
      </w:r>
    </w:p>
    <w:p w14:paraId="00A38B2D" w14:textId="77777777" w:rsidR="00590CCB" w:rsidRDefault="00590CCB" w:rsidP="00757AF4">
      <w:pPr>
        <w:pStyle w:val="Heading3"/>
      </w:pPr>
      <w:r>
        <w:t>National Research Ethics Committees Bill</w:t>
      </w:r>
    </w:p>
    <w:p w14:paraId="1D1EDBFF" w14:textId="4D378D7A" w:rsidR="00585F3E" w:rsidRPr="003D122B" w:rsidRDefault="00585F3E" w:rsidP="006B4AF4">
      <w:pPr>
        <w:rPr>
          <w:bCs/>
        </w:rPr>
      </w:pPr>
      <w:r>
        <w:rPr>
          <w:bCs/>
        </w:rPr>
        <w:t>Th</w:t>
      </w:r>
      <w:r w:rsidR="00A01EC6">
        <w:rPr>
          <w:bCs/>
        </w:rPr>
        <w:t xml:space="preserve">e Department of Health has </w:t>
      </w:r>
      <w:r>
        <w:rPr>
          <w:bCs/>
        </w:rPr>
        <w:t xml:space="preserve">published </w:t>
      </w:r>
      <w:r w:rsidRPr="00585F3E">
        <w:rPr>
          <w:bCs/>
        </w:rPr>
        <w:t xml:space="preserve">the </w:t>
      </w:r>
      <w:r>
        <w:rPr>
          <w:bCs/>
        </w:rPr>
        <w:t>General Scheme</w:t>
      </w:r>
      <w:r w:rsidRPr="00585F3E">
        <w:rPr>
          <w:bCs/>
        </w:rPr>
        <w:t xml:space="preserve"> of the National Research Ethics Committees Bill </w:t>
      </w:r>
      <w:r>
        <w:rPr>
          <w:bCs/>
        </w:rPr>
        <w:t>which will provide for the establishment of</w:t>
      </w:r>
      <w:r w:rsidRPr="00585F3E">
        <w:rPr>
          <w:bCs/>
        </w:rPr>
        <w:t xml:space="preserve"> a National Research Ethics Committee</w:t>
      </w:r>
      <w:r>
        <w:rPr>
          <w:bCs/>
        </w:rPr>
        <w:t>.</w:t>
      </w:r>
      <w:r w:rsidR="00A01EC6">
        <w:rPr>
          <w:rStyle w:val="FootnoteReference"/>
          <w:bCs/>
        </w:rPr>
        <w:footnoteReference w:id="153"/>
      </w:r>
      <w:r w:rsidR="00CE77CE">
        <w:rPr>
          <w:bCs/>
        </w:rPr>
        <w:t xml:space="preserve"> According to the Department, the </w:t>
      </w:r>
      <w:r w:rsidR="00CE77CE" w:rsidRPr="00CE77CE">
        <w:rPr>
          <w:bCs/>
        </w:rPr>
        <w:t>proposed legislation plans to develop a streamlined, regulated and fit-for-purpose model for the ethical review of health research projects.</w:t>
      </w:r>
      <w:r w:rsidR="00CE77CE">
        <w:rPr>
          <w:bCs/>
        </w:rPr>
        <w:t xml:space="preserve"> The NDA provided some initial observations on the General Scheme.</w:t>
      </w:r>
      <w:r w:rsidR="00321414">
        <w:rPr>
          <w:bCs/>
        </w:rPr>
        <w:t xml:space="preserve"> A </w:t>
      </w:r>
      <w:r w:rsidR="00321414" w:rsidRPr="0094389F">
        <w:rPr>
          <w:bCs/>
        </w:rPr>
        <w:t>National Office for Research Ethics Committees</w:t>
      </w:r>
      <w:r w:rsidR="00321414">
        <w:rPr>
          <w:bCs/>
        </w:rPr>
        <w:t xml:space="preserve"> was established in 2020. </w:t>
      </w:r>
    </w:p>
    <w:p w14:paraId="43EA8447" w14:textId="77777777" w:rsidR="00DF6033" w:rsidRDefault="00DF6033" w:rsidP="00757AF4">
      <w:pPr>
        <w:pStyle w:val="Heading2"/>
      </w:pPr>
      <w:bookmarkStart w:id="48" w:name="_Toc90030731"/>
      <w:r>
        <w:t>eHealth, Telecare and Telehealth</w:t>
      </w:r>
      <w:bookmarkEnd w:id="48"/>
    </w:p>
    <w:p w14:paraId="16E17771" w14:textId="77777777" w:rsidR="003C3396" w:rsidRDefault="003C3396" w:rsidP="00DF6033">
      <w:r w:rsidRPr="003C3396">
        <w:t>An eHealth – Strategy for Ireland was published in December 2013.</w:t>
      </w:r>
      <w:r w:rsidR="00A01EC6">
        <w:rPr>
          <w:rStyle w:val="FootnoteReference"/>
        </w:rPr>
        <w:footnoteReference w:id="154"/>
      </w:r>
      <w:r w:rsidRPr="003C3396">
        <w:t xml:space="preserve"> eHealth Ireland and the role of the Chief Information Officer were established in 2014 and are responsible for implementing the eHealth strategy and driving eHealth initiatives. The </w:t>
      </w:r>
      <w:r w:rsidR="00A01EC6">
        <w:t xml:space="preserve">European Commission have noted that the </w:t>
      </w:r>
      <w:r w:rsidRPr="003C3396">
        <w:t>development of a national Electronic Health Record (E.H.R.), along with the development of the Individual Health Identifier (I.H.I)</w:t>
      </w:r>
      <w:r w:rsidR="00A01EC6">
        <w:t>,</w:t>
      </w:r>
      <w:r w:rsidRPr="003C3396">
        <w:t xml:space="preserve"> are essential elements to ensure that patient data can be securely connected and </w:t>
      </w:r>
      <w:r w:rsidR="00A01EC6">
        <w:t>shared within the health servic</w:t>
      </w:r>
      <w:r w:rsidR="00AE5343">
        <w:t>e</w:t>
      </w:r>
      <w:r w:rsidRPr="003C3396">
        <w:t>.</w:t>
      </w:r>
      <w:r>
        <w:rPr>
          <w:rStyle w:val="FootnoteReference"/>
        </w:rPr>
        <w:footnoteReference w:id="155"/>
      </w:r>
    </w:p>
    <w:p w14:paraId="62AFEB89" w14:textId="1E2EECD4" w:rsidR="00DF6033" w:rsidRDefault="00DF6033" w:rsidP="00DF6033">
      <w:r>
        <w:t xml:space="preserve">In 2018, the NDA published a working paper </w:t>
      </w:r>
      <w:r w:rsidRPr="00DF6033">
        <w:t xml:space="preserve">based on a synthesis of three previous phases of research commissioned by the </w:t>
      </w:r>
      <w:r>
        <w:t>NDA</w:t>
      </w:r>
      <w:r w:rsidRPr="00DF6033">
        <w:t xml:space="preserve"> in 2014, 2016 and 2017, exploring some of the main issues around telecare and telehealth provision, and examples of good practice in other jurisdictions.</w:t>
      </w:r>
      <w:r w:rsidR="00AE5343">
        <w:rPr>
          <w:rStyle w:val="FootnoteReference"/>
        </w:rPr>
        <w:footnoteReference w:id="156"/>
      </w:r>
      <w:r>
        <w:t xml:space="preserve"> Entitled </w:t>
      </w:r>
      <w:r w:rsidRPr="00DF6033">
        <w:rPr>
          <w:b/>
        </w:rPr>
        <w:t>Effective implementation and monitoring of telehealth and telecare in Ireland: learning from international best practice</w:t>
      </w:r>
      <w:r>
        <w:t xml:space="preserve">, </w:t>
      </w:r>
      <w:r w:rsidR="00846994">
        <w:t>the working paper outlines the k</w:t>
      </w:r>
      <w:r w:rsidR="00846994" w:rsidRPr="00846994">
        <w:t xml:space="preserve">ey learning, opportunities and pitfalls that should inform the effective implementation and monitoring of </w:t>
      </w:r>
      <w:r w:rsidR="00846994">
        <w:t>telehealth and telecare</w:t>
      </w:r>
      <w:r w:rsidR="00846994" w:rsidRPr="00846994">
        <w:t xml:space="preserve"> in Ireland</w:t>
      </w:r>
      <w:r w:rsidR="00846994">
        <w:t xml:space="preserve">. These include embedding universal design into telehealth and telecare, the need for cultural change within the health and social care sector, upskilling staff and enhancing </w:t>
      </w:r>
      <w:r w:rsidR="00997808">
        <w:t>Wi-Fi</w:t>
      </w:r>
      <w:r w:rsidR="00846994">
        <w:t xml:space="preserve"> capabilities.</w:t>
      </w:r>
      <w:r w:rsidR="00321414">
        <w:t xml:space="preserve"> There was a significant expansion of telehealth and telecare during the Covid-19 lockdowns in Ireland. This will be discussed in more detail below. </w:t>
      </w:r>
    </w:p>
    <w:p w14:paraId="11EBDD89" w14:textId="77777777" w:rsidR="0045443E" w:rsidRDefault="0045443E" w:rsidP="0045443E">
      <w:pPr>
        <w:pStyle w:val="Heading1"/>
      </w:pPr>
      <w:bookmarkStart w:id="49" w:name="_Toc90030732"/>
      <w:r w:rsidRPr="005459F9">
        <w:t>Intersectional Barriers and Challenges of Persons with Disabilities</w:t>
      </w:r>
      <w:bookmarkEnd w:id="49"/>
    </w:p>
    <w:p w14:paraId="209E806D" w14:textId="77777777" w:rsidR="00D12AA7" w:rsidRDefault="00D12AA7" w:rsidP="0045443E">
      <w:pPr>
        <w:pStyle w:val="Heading2"/>
      </w:pPr>
      <w:bookmarkStart w:id="50" w:name="_Toc90030733"/>
      <w:r>
        <w:t>Older Persons with Disabilities</w:t>
      </w:r>
      <w:bookmarkEnd w:id="50"/>
    </w:p>
    <w:p w14:paraId="7BB19D27" w14:textId="77777777" w:rsidR="00D12AA7" w:rsidRDefault="00D12AA7" w:rsidP="00D12AA7">
      <w:r w:rsidRPr="00D12AA7">
        <w:t xml:space="preserve">The </w:t>
      </w:r>
      <w:r w:rsidRPr="00D12AA7">
        <w:rPr>
          <w:b/>
        </w:rPr>
        <w:t>National Positive Ageing Strategy</w:t>
      </w:r>
      <w:r w:rsidRPr="00D12AA7">
        <w:t xml:space="preserve"> aims </w:t>
      </w:r>
      <w:r w:rsidR="00513D5D">
        <w:t>“</w:t>
      </w:r>
      <w:r w:rsidRPr="00D12AA7">
        <w:t>to act as a catalyst for action and innovation to promote the health, wellbeing and quality of life of people as they age in Ireland by focusing attention on issues relevant to older people across the policy development and service delivery process.</w:t>
      </w:r>
      <w:r w:rsidR="00513D5D">
        <w:t>”</w:t>
      </w:r>
      <w:r w:rsidR="0069364E">
        <w:rPr>
          <w:rStyle w:val="FootnoteReference"/>
        </w:rPr>
        <w:footnoteReference w:id="157"/>
      </w:r>
      <w:r>
        <w:t xml:space="preserve"> The Strategy identifies </w:t>
      </w:r>
      <w:r w:rsidRPr="00D12AA7">
        <w:t>four National Goals to address key aspects of older people’s lives.</w:t>
      </w:r>
    </w:p>
    <w:p w14:paraId="67E6CCEA" w14:textId="77777777" w:rsidR="00685046" w:rsidRDefault="00D12AA7" w:rsidP="00EB465C">
      <w:r>
        <w:t>National Goal 2 commits to s</w:t>
      </w:r>
      <w:r w:rsidRPr="00D12AA7">
        <w:t>upport</w:t>
      </w:r>
      <w:r>
        <w:t>ing</w:t>
      </w:r>
      <w:r w:rsidRPr="00D12AA7">
        <w:t xml:space="preserve"> people as they age to maintain, improve or manage their physical and mental health and wellbeing</w:t>
      </w:r>
      <w:r w:rsidR="00513D5D">
        <w:t xml:space="preserve">, with one of the objectives thereunder (Objective 2.1) to prevent </w:t>
      </w:r>
      <w:r w:rsidRPr="00D12AA7">
        <w:t>and reduce disability, chronic disease and premature mortality as people age by supporting the development and implementation of policies to reduce associated lifestyle factors.</w:t>
      </w:r>
      <w:r w:rsidR="00181634">
        <w:t xml:space="preserve"> A number of areas for action are identified under Objective 2.1, including m</w:t>
      </w:r>
      <w:r w:rsidR="00181634" w:rsidRPr="00181634">
        <w:t>ental health (anxiety, depression, dementia) and mental capacity</w:t>
      </w:r>
      <w:r w:rsidR="00181634">
        <w:t>, falls and fractures prevention, and physical activity.</w:t>
      </w:r>
      <w:r w:rsidR="00181634">
        <w:rPr>
          <w:rStyle w:val="FootnoteReference"/>
        </w:rPr>
        <w:footnoteReference w:id="158"/>
      </w:r>
      <w:r w:rsidR="00181634" w:rsidRPr="00181634">
        <w:t xml:space="preserve"> These Action Areas set the strategic direction for activity rather than prescribe the specific measures </w:t>
      </w:r>
      <w:r w:rsidR="00181634">
        <w:t>to</w:t>
      </w:r>
      <w:r w:rsidR="00181634" w:rsidRPr="00181634">
        <w:t xml:space="preserve"> be taken to progress the implementation of the Strategy</w:t>
      </w:r>
      <w:r w:rsidR="00181634">
        <w:t>.</w:t>
      </w:r>
    </w:p>
    <w:p w14:paraId="1C500EA4" w14:textId="77777777" w:rsidR="00473B65" w:rsidRDefault="00473B65" w:rsidP="00473B65">
      <w:pPr>
        <w:pStyle w:val="Heading2"/>
      </w:pPr>
      <w:bookmarkStart w:id="51" w:name="_Toc90030734"/>
      <w:r>
        <w:t>Men with Disabilities</w:t>
      </w:r>
      <w:bookmarkEnd w:id="51"/>
    </w:p>
    <w:p w14:paraId="464E770E" w14:textId="77777777" w:rsidR="00D503F8" w:rsidRDefault="00D503F8" w:rsidP="00D503F8">
      <w:pPr>
        <w:pStyle w:val="Heading3"/>
      </w:pPr>
      <w:r>
        <w:t>Key data and statistics</w:t>
      </w:r>
    </w:p>
    <w:p w14:paraId="4B3A26E2" w14:textId="77777777" w:rsidR="00D503F8" w:rsidRPr="00D503F8" w:rsidRDefault="00D503F8" w:rsidP="00D503F8">
      <w:r>
        <w:t xml:space="preserve">Research </w:t>
      </w:r>
      <w:r w:rsidR="002367B5">
        <w:t xml:space="preserve">has been undertaken </w:t>
      </w:r>
      <w:r>
        <w:t>exploring the factors underpinning the high suicide rates among middle-aged</w:t>
      </w:r>
      <w:r w:rsidR="002367B5">
        <w:t xml:space="preserve"> men at risk of marginalisation. </w:t>
      </w:r>
      <w:r w:rsidR="002367B5" w:rsidRPr="002367B5">
        <w:t>Parti</w:t>
      </w:r>
      <w:r w:rsidR="00CD1E99">
        <w:t xml:space="preserve">cular risk factors identified </w:t>
      </w:r>
      <w:r w:rsidR="002367B5" w:rsidRPr="002367B5">
        <w:t>that are associated with increased psychological distress among more marginalised groups of middle-aged men include: mid-life transitions; decreasing life and career opportunities; unfulfilled aspirations and expectations; deteriorating physical health; increasing pressures associated with the provider role at middle-age; societal challenges to middle-aged masculinity; and rejection and isolation.</w:t>
      </w:r>
      <w:r w:rsidR="00DC7305">
        <w:rPr>
          <w:rStyle w:val="FootnoteReference"/>
        </w:rPr>
        <w:footnoteReference w:id="159"/>
      </w:r>
      <w:r w:rsidR="002367B5" w:rsidRPr="002367B5">
        <w:t xml:space="preserve"> The stigma attached to mental health and to men seeking support was also highlighted as a significant issue.</w:t>
      </w:r>
    </w:p>
    <w:p w14:paraId="10F27AEE" w14:textId="77777777" w:rsidR="00D503F8" w:rsidRPr="00D503F8" w:rsidRDefault="00D503F8" w:rsidP="00D503F8">
      <w:pPr>
        <w:pStyle w:val="Heading3"/>
      </w:pPr>
      <w:r>
        <w:t>Policy landscape</w:t>
      </w:r>
    </w:p>
    <w:p w14:paraId="4162B33C" w14:textId="77777777" w:rsidR="00473B65" w:rsidRPr="00473B65" w:rsidRDefault="00473B65" w:rsidP="00473B65">
      <w:r w:rsidRPr="00473B65">
        <w:t xml:space="preserve">One of the four themes of </w:t>
      </w:r>
      <w:r w:rsidR="00CD1E99" w:rsidRPr="00CD1E99">
        <w:rPr>
          <w:b/>
        </w:rPr>
        <w:t>Healthy Ireland: Men 2017-2021, the National Men's Health Action Plan</w:t>
      </w:r>
      <w:r w:rsidR="00CD1E99" w:rsidRPr="00473B65">
        <w:t xml:space="preserve"> </w:t>
      </w:r>
      <w:r w:rsidRPr="00473B65">
        <w:t>is to “Contribute to the implementation of the priority programmes for Healthy Ireland - healthy eating and active living, wellbeing and mental health, positive ageing, alcohol, tobacco free, and healthy childhood - with a particular emphasis on reducing health inequalities between different sub-populations of men”.</w:t>
      </w:r>
      <w:r w:rsidR="00750E17">
        <w:rPr>
          <w:rStyle w:val="FootnoteReference"/>
        </w:rPr>
        <w:footnoteReference w:id="160"/>
      </w:r>
      <w:r w:rsidRPr="00473B65">
        <w:t xml:space="preserve"> Relevant actions under Theme 2 include:</w:t>
      </w:r>
    </w:p>
    <w:p w14:paraId="0282D62C" w14:textId="77777777" w:rsidR="00473B65" w:rsidRPr="00473B65" w:rsidRDefault="00473B65" w:rsidP="00473B65">
      <w:pPr>
        <w:numPr>
          <w:ilvl w:val="0"/>
          <w:numId w:val="2"/>
        </w:numPr>
      </w:pPr>
      <w:r w:rsidRPr="00473B65">
        <w:t>Support the implementation of the ‘Connecting for Life’ Implementation Plan by developing and implementing new initiatives (e.g. with middle-aged men) that promote positive mental health and resilience among at risk groups of men</w:t>
      </w:r>
    </w:p>
    <w:p w14:paraId="705F137F" w14:textId="77777777" w:rsidR="00473B65" w:rsidRPr="00473B65" w:rsidRDefault="00473B65" w:rsidP="00473B65">
      <w:pPr>
        <w:numPr>
          <w:ilvl w:val="0"/>
          <w:numId w:val="2"/>
        </w:numPr>
      </w:pPr>
      <w:r w:rsidRPr="00473B65">
        <w:t xml:space="preserve">Support the HSE’s Plan for Wellbeing and Mental Health by continuing to implement and expand existing initiatives (e.g. Engaging Young Men, Mojo Project, 7 Key Questions) to promote positive mental health and resilience among at risk groups of men </w:t>
      </w:r>
    </w:p>
    <w:p w14:paraId="0A7BF437" w14:textId="77777777" w:rsidR="00473B65" w:rsidRPr="00473B65" w:rsidRDefault="00473B65" w:rsidP="00473B65">
      <w:pPr>
        <w:numPr>
          <w:ilvl w:val="0"/>
          <w:numId w:val="2"/>
        </w:numPr>
      </w:pPr>
      <w:r w:rsidRPr="00473B65">
        <w:t>Develop and implement new initiatives targeted at engaging Traveller men, with a particular focus on mental health and resilience building</w:t>
      </w:r>
    </w:p>
    <w:p w14:paraId="50549CF3" w14:textId="77777777" w:rsidR="0045443E" w:rsidRDefault="0045443E" w:rsidP="0045443E">
      <w:pPr>
        <w:pStyle w:val="Heading2"/>
      </w:pPr>
      <w:bookmarkStart w:id="52" w:name="_Toc90030735"/>
      <w:r>
        <w:t>Women with Disabilities</w:t>
      </w:r>
      <w:bookmarkEnd w:id="52"/>
    </w:p>
    <w:p w14:paraId="5915EE3E" w14:textId="77777777" w:rsidR="00225CE2" w:rsidRPr="00225CE2" w:rsidRDefault="00225CE2" w:rsidP="00225CE2">
      <w:pPr>
        <w:pStyle w:val="Heading3"/>
      </w:pPr>
      <w:r>
        <w:t xml:space="preserve">Existing research </w:t>
      </w:r>
    </w:p>
    <w:p w14:paraId="3961A3CE" w14:textId="77777777" w:rsidR="001B094D" w:rsidRDefault="00225CE2" w:rsidP="00DC7305">
      <w:r>
        <w:t xml:space="preserve">Research commissioned by the National Women’s Council of Ireland, the HSE and the Department of Health on </w:t>
      </w:r>
      <w:r w:rsidRPr="00225CE2">
        <w:rPr>
          <w:b/>
        </w:rPr>
        <w:t>Women’s Health in Ireland</w:t>
      </w:r>
      <w:r>
        <w:t xml:space="preserve"> </w:t>
      </w:r>
      <w:r w:rsidR="00546377">
        <w:t>found that b</w:t>
      </w:r>
      <w:r w:rsidR="00546377" w:rsidRPr="00546377">
        <w:t>ecause women have different life experiences and socio-economic realities to men, the mental health symptoms they present with, are also often different, as are their pathways into services, and their treatment needs.</w:t>
      </w:r>
      <w:r w:rsidR="00750E17">
        <w:rPr>
          <w:rStyle w:val="FootnoteReference"/>
        </w:rPr>
        <w:footnoteReference w:id="161"/>
      </w:r>
      <w:r w:rsidR="00546377" w:rsidRPr="00546377">
        <w:t xml:space="preserve"> Statistically more women than men report mental health problems, linked to this more women than men engage in self-harm. Women are also more likely to attempt suicide (with men more likely to die by suicide). Hospitalisation rates are somewhat lower for women than men for a variety of diagnoses. </w:t>
      </w:r>
      <w:r w:rsidR="001B094D">
        <w:t>The research also noted that w</w:t>
      </w:r>
      <w:r w:rsidR="001B094D" w:rsidRPr="001B094D">
        <w:t>omen with disabilities have lower uptake of health promotion and health screening services than women in general.</w:t>
      </w:r>
    </w:p>
    <w:p w14:paraId="71D5E329" w14:textId="77777777" w:rsidR="00DC7305" w:rsidRPr="00DC7305" w:rsidRDefault="00DC7305" w:rsidP="00DC7305">
      <w:pPr>
        <w:pStyle w:val="Heading3"/>
      </w:pPr>
      <w:r>
        <w:t>Policy landscape</w:t>
      </w:r>
    </w:p>
    <w:p w14:paraId="3578871E" w14:textId="77777777" w:rsidR="00225CE2" w:rsidRDefault="0045443E" w:rsidP="0045443E">
      <w:r>
        <w:t xml:space="preserve">The </w:t>
      </w:r>
      <w:r w:rsidRPr="00F13148">
        <w:rPr>
          <w:b/>
        </w:rPr>
        <w:t>National</w:t>
      </w:r>
      <w:r w:rsidR="00CB15B6" w:rsidRPr="00F13148">
        <w:rPr>
          <w:b/>
        </w:rPr>
        <w:t xml:space="preserve"> Strategy for Women and Girls 2017-2020</w:t>
      </w:r>
      <w:r w:rsidR="00CB15B6">
        <w:t xml:space="preserve"> </w:t>
      </w:r>
      <w:r w:rsidR="00225CE2">
        <w:t>is a</w:t>
      </w:r>
      <w:r w:rsidR="00225CE2" w:rsidRPr="00225CE2">
        <w:t xml:space="preserve"> cross-government strategy </w:t>
      </w:r>
      <w:r w:rsidR="00225CE2">
        <w:t xml:space="preserve">that </w:t>
      </w:r>
      <w:r w:rsidR="00225CE2" w:rsidRPr="00225CE2">
        <w:t>aims to create ‘an Ireland where all women enjoy equality with men and can achieve their full potential, while enjoying a</w:t>
      </w:r>
      <w:r w:rsidR="00225CE2">
        <w:t xml:space="preserve"> safe and fulfilling life’</w:t>
      </w:r>
      <w:r w:rsidR="00225CE2" w:rsidRPr="00225CE2">
        <w:t>.</w:t>
      </w:r>
      <w:r w:rsidR="00750E17">
        <w:rPr>
          <w:rStyle w:val="FootnoteReference"/>
        </w:rPr>
        <w:footnoteReference w:id="162"/>
      </w:r>
      <w:r w:rsidR="00225CE2" w:rsidRPr="00225CE2">
        <w:t xml:space="preserve"> To drive this goal across the health sector</w:t>
      </w:r>
      <w:r w:rsidR="00225CE2">
        <w:t>,</w:t>
      </w:r>
      <w:r w:rsidR="00225CE2" w:rsidRPr="00225CE2">
        <w:t xml:space="preserve"> the Strategy contains a formal commitment to </w:t>
      </w:r>
      <w:r w:rsidR="00F13148">
        <w:t>develop</w:t>
      </w:r>
      <w:r w:rsidR="00225CE2" w:rsidRPr="00225CE2">
        <w:t xml:space="preserve"> a Women’s Health Action Plan </w:t>
      </w:r>
      <w:r w:rsidR="00225CE2">
        <w:t>under</w:t>
      </w:r>
      <w:r w:rsidR="00225CE2" w:rsidRPr="00225CE2">
        <w:t xml:space="preserve"> Objective Two: Advance the Physical and Mental Health and Wellbeing of Women and Girls</w:t>
      </w:r>
      <w:r w:rsidR="00225CE2">
        <w:t>.</w:t>
      </w:r>
    </w:p>
    <w:p w14:paraId="6BE4610A" w14:textId="77777777" w:rsidR="00CB15B6" w:rsidRDefault="00CB15B6" w:rsidP="0045443E">
      <w:r w:rsidRPr="00CB15B6">
        <w:t>A new Women's Health Taskforce wa</w:t>
      </w:r>
      <w:r>
        <w:t>s established in September 2019</w:t>
      </w:r>
      <w:r w:rsidRPr="00CB15B6">
        <w:t xml:space="preserve"> by the Department of Health to </w:t>
      </w:r>
      <w:r w:rsidR="00876FE6" w:rsidRPr="00876FE6">
        <w:t>improve women’s health outcomes</w:t>
      </w:r>
      <w:r w:rsidR="00876FE6">
        <w:t xml:space="preserve"> and experiences of healthcare. </w:t>
      </w:r>
      <w:r w:rsidR="00876FE6" w:rsidRPr="00876FE6">
        <w:t>The Taskforce has been established for a two year period and will meet every 4-6 weeks.</w:t>
      </w:r>
      <w:r w:rsidR="00876FE6">
        <w:t xml:space="preserve"> </w:t>
      </w:r>
      <w:r w:rsidR="00876FE6" w:rsidRPr="00876FE6">
        <w:t>The first action will be to lead a ‘radical listening’ exercise that will invite women in Ireland to share their experiences of and solutions for the health system. This data combined with the available evidence will form the basis for future policy and action to improve women’s health in Ireland.</w:t>
      </w:r>
      <w:r w:rsidR="00876FE6">
        <w:rPr>
          <w:rStyle w:val="FootnoteReference"/>
        </w:rPr>
        <w:footnoteReference w:id="163"/>
      </w:r>
    </w:p>
    <w:p w14:paraId="336B9FFD" w14:textId="77777777" w:rsidR="0045443E" w:rsidRDefault="00E006D4" w:rsidP="0045443E">
      <w:pPr>
        <w:pStyle w:val="Heading2"/>
      </w:pPr>
      <w:bookmarkStart w:id="53" w:name="_Toc90030736"/>
      <w:r>
        <w:t>Ethnic Minorities</w:t>
      </w:r>
      <w:r w:rsidR="0045443E">
        <w:t xml:space="preserve"> with Disabilities</w:t>
      </w:r>
      <w:bookmarkEnd w:id="53"/>
    </w:p>
    <w:p w14:paraId="42E5815B" w14:textId="77777777" w:rsidR="0045443E" w:rsidRDefault="0045443E" w:rsidP="00E524B6">
      <w:r>
        <w:t>The</w:t>
      </w:r>
      <w:r w:rsidR="007E5482">
        <w:t xml:space="preserve"> </w:t>
      </w:r>
      <w:r w:rsidR="007E5482">
        <w:rPr>
          <w:b/>
        </w:rPr>
        <w:t>Second National Intercultural Health Strategy 2018-2023</w:t>
      </w:r>
      <w:r w:rsidR="00E524B6">
        <w:rPr>
          <w:b/>
        </w:rPr>
        <w:t xml:space="preserve"> </w:t>
      </w:r>
      <w:r w:rsidR="00E524B6" w:rsidRPr="00E524B6">
        <w:t>states that there is limited information</w:t>
      </w:r>
      <w:r w:rsidR="00DF4D7D">
        <w:t xml:space="preserve"> </w:t>
      </w:r>
      <w:r w:rsidR="00E524B6">
        <w:t xml:space="preserve">available in respect of the </w:t>
      </w:r>
      <w:r w:rsidR="00E524B6" w:rsidRPr="00E524B6">
        <w:t>numbers of minority</w:t>
      </w:r>
      <w:r w:rsidR="00E524B6">
        <w:t xml:space="preserve"> ethnic service users requiring </w:t>
      </w:r>
      <w:r w:rsidR="00E524B6" w:rsidRPr="00E524B6">
        <w:t>or accessing disability services</w:t>
      </w:r>
      <w:r w:rsidR="00E524B6">
        <w:t>.</w:t>
      </w:r>
      <w:r w:rsidR="00673A3F">
        <w:rPr>
          <w:rStyle w:val="FootnoteReference"/>
        </w:rPr>
        <w:footnoteReference w:id="164"/>
      </w:r>
      <w:r w:rsidR="00866A3B">
        <w:t xml:space="preserve"> One of the strategic objectives under Goal 2 is to address health inequalities relevant to service users in relation to disability and mental health.</w:t>
      </w:r>
      <w:r w:rsidR="00876FE6">
        <w:t xml:space="preserve"> Actions committed to in this regard include:</w:t>
      </w:r>
    </w:p>
    <w:p w14:paraId="79A04EBB" w14:textId="77777777" w:rsidR="00876FE6" w:rsidRDefault="00866A3B" w:rsidP="00E524B6">
      <w:pPr>
        <w:pStyle w:val="ListBullet"/>
      </w:pPr>
      <w:r w:rsidRPr="00866A3B">
        <w:t>Establish</w:t>
      </w:r>
      <w:r w:rsidR="00876FE6">
        <w:t>ing</w:t>
      </w:r>
      <w:r w:rsidRPr="00866A3B">
        <w:t xml:space="preserve"> links with relevant HSE structures to explore the extent and nature of disability within the cohort of minority ethnic service users and associated needs for appr</w:t>
      </w:r>
      <w:r w:rsidR="00876FE6">
        <w:t>opriate care and rehabilitation</w:t>
      </w:r>
    </w:p>
    <w:p w14:paraId="15F95180" w14:textId="77777777" w:rsidR="00876FE6" w:rsidRDefault="00866A3B" w:rsidP="00876FE6">
      <w:pPr>
        <w:pStyle w:val="ListBullet"/>
      </w:pPr>
      <w:r w:rsidRPr="00866A3B">
        <w:t>Collect</w:t>
      </w:r>
      <w:r w:rsidR="00876FE6">
        <w:t>ing</w:t>
      </w:r>
      <w:r w:rsidRPr="00866A3B">
        <w:t xml:space="preserve"> and publish</w:t>
      </w:r>
      <w:r w:rsidR="00876FE6">
        <w:t>ing</w:t>
      </w:r>
      <w:r w:rsidRPr="00866A3B">
        <w:t xml:space="preserve"> disaggregated data (by sex and complemented by disability) to inform policies and pr</w:t>
      </w:r>
      <w:r w:rsidR="00876FE6">
        <w:t>ogrammes and address inequities</w:t>
      </w:r>
    </w:p>
    <w:p w14:paraId="18B84ED4" w14:textId="77777777" w:rsidR="00876FE6" w:rsidRDefault="00876FE6" w:rsidP="00E524B6">
      <w:pPr>
        <w:pStyle w:val="ListBullet"/>
      </w:pPr>
      <w:r>
        <w:t>Promoting</w:t>
      </w:r>
      <w:r w:rsidR="00370F9B" w:rsidRPr="00370F9B">
        <w:t xml:space="preserve"> and support</w:t>
      </w:r>
      <w:r>
        <w:t>ing</w:t>
      </w:r>
      <w:r w:rsidR="00370F9B" w:rsidRPr="00370F9B">
        <w:t xml:space="preserve"> research into the mental health needs of service users f</w:t>
      </w:r>
      <w:r>
        <w:t>rom minority ethnic communities</w:t>
      </w:r>
    </w:p>
    <w:p w14:paraId="71B4DEC0" w14:textId="77777777" w:rsidR="00876FE6" w:rsidRDefault="00370F9B" w:rsidP="00E006D4">
      <w:pPr>
        <w:pStyle w:val="ListBullet"/>
      </w:pPr>
      <w:r w:rsidRPr="00370F9B">
        <w:t>Work</w:t>
      </w:r>
      <w:r w:rsidR="00876FE6">
        <w:t>ing</w:t>
      </w:r>
      <w:r w:rsidRPr="00370F9B">
        <w:t xml:space="preserve"> towards development of a comprehensive model in respect of provision of culturally competent assessment and treatment that is tailored to the unique mental health needs of vulnerable service users from diverse ethnic and cultural backgrounds and with a range of unique ca</w:t>
      </w:r>
      <w:r w:rsidR="00876FE6">
        <w:t>re needs</w:t>
      </w:r>
    </w:p>
    <w:p w14:paraId="42D24D62" w14:textId="77777777" w:rsidR="00E006D4" w:rsidRDefault="00370F9B" w:rsidP="00E006D4">
      <w:pPr>
        <w:pStyle w:val="ListBullet"/>
      </w:pPr>
      <w:r w:rsidRPr="00370F9B">
        <w:t>Work</w:t>
      </w:r>
      <w:r w:rsidR="00876FE6">
        <w:t>ing</w:t>
      </w:r>
      <w:r w:rsidRPr="00370F9B">
        <w:t xml:space="preserve"> with relevant organisations to explore and tackle the issue of mental health stigma among minority ethnic communities and the promotion of psychological wellbeing.</w:t>
      </w:r>
    </w:p>
    <w:p w14:paraId="18EF7628" w14:textId="77777777" w:rsidR="00FE7665" w:rsidRDefault="00A571C3" w:rsidP="00E006D4">
      <w:r>
        <w:t xml:space="preserve">The Mental Health Commission and Mental Health Reform have published guidelines </w:t>
      </w:r>
      <w:r w:rsidRPr="00A571C3">
        <w:t>for mental health services and staff on working with people from ethnic minority communities</w:t>
      </w:r>
      <w:r>
        <w:t>.</w:t>
      </w:r>
      <w:r w:rsidR="00896AB5">
        <w:rPr>
          <w:rStyle w:val="FootnoteReference"/>
        </w:rPr>
        <w:footnoteReference w:id="165"/>
      </w:r>
      <w:r w:rsidR="0074374B">
        <w:t xml:space="preserve"> The guidelines are structured around six themes, including respect for diverse beliefs and values, communication and language supports, and mental health training. </w:t>
      </w:r>
    </w:p>
    <w:p w14:paraId="35948FEF" w14:textId="77777777" w:rsidR="00FE7665" w:rsidRDefault="0074374B" w:rsidP="00E006D4">
      <w:r>
        <w:t>The report also identifies</w:t>
      </w:r>
      <w:r w:rsidR="00FE7665">
        <w:t xml:space="preserve"> a range of</w:t>
      </w:r>
      <w:r>
        <w:t xml:space="preserve"> barriers that people from ethnic minority groups experience in accessing mental health services</w:t>
      </w:r>
      <w:r w:rsidR="00FE7665">
        <w:t xml:space="preserve"> including a</w:t>
      </w:r>
      <w:r w:rsidR="00FE7665" w:rsidRPr="00FE7665">
        <w:t xml:space="preserve"> lack of understanding among mental health professionals of the social and cultural context for people from ethnic minority groups, including experiences of poverty, racism, discrimination and oth</w:t>
      </w:r>
      <w:r w:rsidR="00FE7665">
        <w:t>er types of social exclusion; a</w:t>
      </w:r>
      <w:r w:rsidR="00FE7665" w:rsidRPr="00FE7665">
        <w:t xml:space="preserve"> lack of understanding among people from ethnic minority communities about mental health ser</w:t>
      </w:r>
      <w:r w:rsidR="00FE7665">
        <w:t>vices and how to access them; i</w:t>
      </w:r>
      <w:r w:rsidR="00FE7665" w:rsidRPr="00FE7665">
        <w:t>ssues of mistrust of mental health services among people from ethnic minority groups</w:t>
      </w:r>
      <w:r w:rsidR="00FE7665">
        <w:t>; and a</w:t>
      </w:r>
      <w:r w:rsidR="00FE7665" w:rsidRPr="00FE7665">
        <w:t xml:space="preserve"> range of communication and language barriers, including lack of good quality interpretation services</w:t>
      </w:r>
      <w:r w:rsidR="00FE7665">
        <w:t>.</w:t>
      </w:r>
      <w:r w:rsidR="00FE7665">
        <w:rPr>
          <w:rStyle w:val="FootnoteReference"/>
        </w:rPr>
        <w:footnoteReference w:id="166"/>
      </w:r>
    </w:p>
    <w:p w14:paraId="1F628E88" w14:textId="77777777" w:rsidR="00E006D4" w:rsidRDefault="00E006D4" w:rsidP="00E006D4">
      <w:pPr>
        <w:pStyle w:val="Heading3"/>
      </w:pPr>
      <w:r>
        <w:t>Asylum-Seekers with Disabilities</w:t>
      </w:r>
    </w:p>
    <w:p w14:paraId="2302AE8E" w14:textId="77777777" w:rsidR="00BD3A80" w:rsidRPr="00BD3A80" w:rsidRDefault="00BD3A80" w:rsidP="00BD3A80">
      <w:r w:rsidRPr="00BD3A80">
        <w:t>Persons in the system</w:t>
      </w:r>
      <w:r>
        <w:t>, including those with disabilities,</w:t>
      </w:r>
      <w:r w:rsidRPr="00BD3A80">
        <w:t xml:space="preserve"> have access to mainstream health and social care services. Those who reside in Direct Provision are provided with a medical card and those who reside outside Direct Provision and fall within the relevant income thresholds are also entitled to a medical card</w:t>
      </w:r>
      <w:r>
        <w:t>.</w:t>
      </w:r>
    </w:p>
    <w:p w14:paraId="38EF4B70" w14:textId="77777777" w:rsidR="00560D96" w:rsidRDefault="007E597D" w:rsidP="00E006D4">
      <w:r>
        <w:t>In 2015</w:t>
      </w:r>
      <w:r w:rsidR="00E006D4" w:rsidRPr="00370F9B">
        <w:t>, the Working Group Report to Government on Improvements to the Protection Process, including Direct Provision and Supports to Asylum Seekers (</w:t>
      </w:r>
      <w:r w:rsidR="00E006D4">
        <w:t xml:space="preserve">otherwise known as </w:t>
      </w:r>
      <w:r w:rsidR="00E006D4" w:rsidRPr="00370F9B">
        <w:t>the McMahon report) made some important recommendations for changing the asylum system, including specific recommendations relating to healthcare.</w:t>
      </w:r>
      <w:r>
        <w:t xml:space="preserve"> It noted that i</w:t>
      </w:r>
      <w:r w:rsidR="00E006D4">
        <w:t>nternational p</w:t>
      </w:r>
      <w:r w:rsidR="00E006D4" w:rsidRPr="002E470C">
        <w:t>rotection applicants experience higher levels of self-reported symptoms of depression than persons granted refugee status, and suffer higher rates of anxiety and depressive disorders than other sections of society</w:t>
      </w:r>
      <w:r>
        <w:t>.</w:t>
      </w:r>
      <w:r w:rsidR="00896AB5">
        <w:rPr>
          <w:rStyle w:val="FootnoteReference"/>
        </w:rPr>
        <w:footnoteReference w:id="167"/>
      </w:r>
      <w:r w:rsidRPr="007E597D">
        <w:t xml:space="preserve"> </w:t>
      </w:r>
      <w:r>
        <w:t xml:space="preserve">It also </w:t>
      </w:r>
      <w:r w:rsidRPr="007E597D">
        <w:t xml:space="preserve">been noted that </w:t>
      </w:r>
      <w:r w:rsidR="00560D96">
        <w:t xml:space="preserve">there is </w:t>
      </w:r>
      <w:r w:rsidRPr="007E597D">
        <w:t>no dedicated national strategy to meet the unique mental health needs of protection applicants</w:t>
      </w:r>
      <w:r>
        <w:t>.</w:t>
      </w:r>
      <w:r>
        <w:rPr>
          <w:rStyle w:val="FootnoteReference"/>
        </w:rPr>
        <w:footnoteReference w:id="168"/>
      </w:r>
      <w:r w:rsidR="00BD3A80">
        <w:t xml:space="preserve"> </w:t>
      </w:r>
    </w:p>
    <w:p w14:paraId="4F2DD6F6" w14:textId="77777777" w:rsidR="00E006D4" w:rsidRDefault="00BD3A80" w:rsidP="00E006D4">
      <w:r>
        <w:t xml:space="preserve">The </w:t>
      </w:r>
      <w:r w:rsidR="00560D96">
        <w:t xml:space="preserve">McMahon </w:t>
      </w:r>
      <w:r>
        <w:t xml:space="preserve">report recommended that all </w:t>
      </w:r>
      <w:r w:rsidRPr="00BD3A80">
        <w:t>staff working in Direct Provision accommodation centres should be provided with mental health awareness training by the HSE</w:t>
      </w:r>
      <w:r>
        <w:t>. Information from the June 2017 Final Progress Report indicates that this work has commenced on this action but was not yet completed.</w:t>
      </w:r>
      <w:r>
        <w:rPr>
          <w:rStyle w:val="FootnoteReference"/>
        </w:rPr>
        <w:footnoteReference w:id="169"/>
      </w:r>
    </w:p>
    <w:p w14:paraId="2C9C7BF4" w14:textId="77777777" w:rsidR="00E006D4" w:rsidRDefault="00E006D4" w:rsidP="00E006D4">
      <w:pPr>
        <w:pStyle w:val="Heading3"/>
      </w:pPr>
      <w:r>
        <w:t>Roma with Disabilities</w:t>
      </w:r>
    </w:p>
    <w:p w14:paraId="0A4BF84A" w14:textId="77777777" w:rsidR="00E006D4" w:rsidRDefault="00E006D4" w:rsidP="00E006D4">
      <w:r w:rsidRPr="00DF4D7D">
        <w:rPr>
          <w:b/>
        </w:rPr>
        <w:t>Roma in Ireland: A National Needs Assessment</w:t>
      </w:r>
      <w:r w:rsidR="00DF4D7D">
        <w:t xml:space="preserve"> sought </w:t>
      </w:r>
      <w:r w:rsidR="00DF4D7D" w:rsidRPr="00DF4D7D">
        <w:t>to establish how best to improve state agencies’ interaction with the Roma community in Ireland</w:t>
      </w:r>
      <w:r w:rsidR="00DF4D7D">
        <w:t>. The assessment was undertaken by Pavee Point Traveller and Roma Centre, in part</w:t>
      </w:r>
      <w:r w:rsidR="002B6052">
        <w:t>ner</w:t>
      </w:r>
      <w:r w:rsidR="00DF4D7D">
        <w:t>ship with the</w:t>
      </w:r>
      <w:r w:rsidRPr="00370F9B">
        <w:t xml:space="preserve"> Department</w:t>
      </w:r>
      <w:r w:rsidR="00DF4D7D">
        <w:t xml:space="preserve"> of Justice and Equality.</w:t>
      </w:r>
      <w:r w:rsidR="00DF4D7D">
        <w:rPr>
          <w:rStyle w:val="FootnoteReference"/>
        </w:rPr>
        <w:footnoteReference w:id="170"/>
      </w:r>
      <w:r w:rsidR="00DF4D7D">
        <w:t xml:space="preserve"> The report highlights </w:t>
      </w:r>
      <w:r w:rsidR="002B6052">
        <w:t>the prevalence of</w:t>
      </w:r>
      <w:r w:rsidRPr="00370F9B">
        <w:t xml:space="preserve"> mental health </w:t>
      </w:r>
      <w:r w:rsidR="002B6052">
        <w:t>issues within the Roma community</w:t>
      </w:r>
      <w:r w:rsidRPr="00370F9B">
        <w:t xml:space="preserve">; over half (51.3%) of </w:t>
      </w:r>
      <w:r w:rsidR="002B6052">
        <w:t xml:space="preserve">108 </w:t>
      </w:r>
      <w:r w:rsidRPr="00370F9B">
        <w:t>respondents reported more than 14 days of the previous month when their mental health was not good.</w:t>
      </w:r>
      <w:r w:rsidR="00DF4D7D" w:rsidRPr="00DF4D7D">
        <w:t xml:space="preserve"> </w:t>
      </w:r>
      <w:r w:rsidR="00DF4D7D">
        <w:t>The report recommends that</w:t>
      </w:r>
      <w:r w:rsidR="00DF4D7D" w:rsidRPr="00DF4D7D">
        <w:t xml:space="preserve"> mental health outcomes for Roma </w:t>
      </w:r>
      <w:r w:rsidR="00DF4D7D">
        <w:t xml:space="preserve">be improved </w:t>
      </w:r>
      <w:r w:rsidR="00DF4D7D" w:rsidRPr="00DF4D7D">
        <w:t>by ensuring that health service staff are supported to respond effectively to their needs.</w:t>
      </w:r>
    </w:p>
    <w:p w14:paraId="1F80EEA6" w14:textId="77777777" w:rsidR="00E006D4" w:rsidRDefault="00E006D4" w:rsidP="00E006D4">
      <w:pPr>
        <w:pStyle w:val="Heading3"/>
      </w:pPr>
      <w:r>
        <w:t>Travellers with Disabilities</w:t>
      </w:r>
    </w:p>
    <w:p w14:paraId="30501FE3" w14:textId="77777777" w:rsidR="0074374B" w:rsidRDefault="00043A7A" w:rsidP="00E006D4">
      <w:r>
        <w:t xml:space="preserve">In 2010, the </w:t>
      </w:r>
      <w:r w:rsidR="00E006D4" w:rsidRPr="00EC6ED1">
        <w:rPr>
          <w:b/>
        </w:rPr>
        <w:t>All</w:t>
      </w:r>
      <w:r w:rsidRPr="00EC6ED1">
        <w:rPr>
          <w:b/>
        </w:rPr>
        <w:t xml:space="preserve"> Ireland Traveller Health Study,</w:t>
      </w:r>
      <w:r w:rsidR="00E006D4" w:rsidRPr="00EC6ED1">
        <w:rPr>
          <w:b/>
        </w:rPr>
        <w:t xml:space="preserve"> Our Geels</w:t>
      </w:r>
      <w:r>
        <w:t>, was published.</w:t>
      </w:r>
      <w:r w:rsidR="006A6B35">
        <w:rPr>
          <w:rStyle w:val="FootnoteReference"/>
        </w:rPr>
        <w:footnoteReference w:id="171"/>
      </w:r>
      <w:r w:rsidR="00EC6ED1">
        <w:t xml:space="preserve"> </w:t>
      </w:r>
      <w:r w:rsidR="006A6B35">
        <w:t xml:space="preserve">It showed that </w:t>
      </w:r>
      <w:r w:rsidR="00EC6ED1" w:rsidRPr="00EC6ED1">
        <w:t xml:space="preserve">62.7% of </w:t>
      </w:r>
      <w:r w:rsidR="00EC6ED1">
        <w:t>Traveller women and</w:t>
      </w:r>
      <w:r w:rsidR="00EC6ED1" w:rsidRPr="00EC6ED1">
        <w:t xml:space="preserve"> 59.4% Traveller men </w:t>
      </w:r>
      <w:r w:rsidR="00EC6ED1">
        <w:t>reported</w:t>
      </w:r>
      <w:r w:rsidR="00EC6ED1" w:rsidRPr="00EC6ED1">
        <w:t xml:space="preserve"> that their </w:t>
      </w:r>
      <w:r w:rsidR="00EC6ED1">
        <w:t>mental health was not good for one</w:t>
      </w:r>
      <w:r w:rsidR="00EC6ED1" w:rsidRPr="00EC6ED1">
        <w:t xml:space="preserve"> or more days in the last 30 days.</w:t>
      </w:r>
      <w:r w:rsidR="00EC6ED1">
        <w:t xml:space="preserve"> In addition, </w:t>
      </w:r>
      <w:r w:rsidR="00EC6ED1" w:rsidRPr="00EC6ED1">
        <w:t xml:space="preserve">56% of Travellers </w:t>
      </w:r>
      <w:r w:rsidR="00EC6ED1">
        <w:t>reported that</w:t>
      </w:r>
      <w:r w:rsidR="00EC6ED1" w:rsidRPr="00EC6ED1">
        <w:t xml:space="preserve"> poor physical &amp; mental health restricted their normal daily activities</w:t>
      </w:r>
      <w:r w:rsidR="00EC6ED1">
        <w:t xml:space="preserve">. </w:t>
      </w:r>
      <w:r w:rsidRPr="00043A7A">
        <w:t>Suicide</w:t>
      </w:r>
      <w:r w:rsidR="00EC6ED1">
        <w:t xml:space="preserve"> amongst Travellers</w:t>
      </w:r>
      <w:r w:rsidRPr="00043A7A">
        <w:t xml:space="preserve"> is 6 times the rate of</w:t>
      </w:r>
      <w:r>
        <w:t xml:space="preserve"> </w:t>
      </w:r>
      <w:r w:rsidR="00EC6ED1">
        <w:t>the general population,</w:t>
      </w:r>
      <w:r>
        <w:t xml:space="preserve"> accounting</w:t>
      </w:r>
      <w:r w:rsidRPr="00043A7A">
        <w:t xml:space="preserve"> for approx</w:t>
      </w:r>
      <w:r>
        <w:t>imately</w:t>
      </w:r>
      <w:r w:rsidRPr="00043A7A">
        <w:t xml:space="preserve"> 11% of all Traveller deaths</w:t>
      </w:r>
      <w:r>
        <w:t>.</w:t>
      </w:r>
      <w:r w:rsidR="00EC6ED1">
        <w:t xml:space="preserve"> </w:t>
      </w:r>
      <w:r w:rsidR="00EC6ED1" w:rsidRPr="00EC6ED1">
        <w:t>The data showed that while mental health services were available</w:t>
      </w:r>
      <w:r w:rsidR="007E597D">
        <w:t>,</w:t>
      </w:r>
      <w:r w:rsidR="00EC6ED1" w:rsidRPr="00EC6ED1">
        <w:t xml:space="preserve"> they were often perceived as inadequate.</w:t>
      </w:r>
      <w:r w:rsidR="0074374B" w:rsidRPr="0074374B">
        <w:t xml:space="preserve"> </w:t>
      </w:r>
    </w:p>
    <w:p w14:paraId="0CE4092E" w14:textId="77777777" w:rsidR="0074374B" w:rsidRDefault="00560D96" w:rsidP="00E006D4">
      <w:r>
        <w:t>The study also</w:t>
      </w:r>
      <w:r w:rsidR="0074374B" w:rsidRPr="0074374B">
        <w:t xml:space="preserve"> found that 90% of Travellers said they had not used mental health services in the previous twelve months and many perceived mental health services to be inadequate.</w:t>
      </w:r>
      <w:r w:rsidR="0074374B">
        <w:rPr>
          <w:rStyle w:val="FootnoteReference"/>
        </w:rPr>
        <w:footnoteReference w:id="172"/>
      </w:r>
      <w:r w:rsidR="0074374B" w:rsidRPr="0074374B">
        <w:t xml:space="preserve"> In particular</w:t>
      </w:r>
      <w:r w:rsidR="00D86042">
        <w:t>,</w:t>
      </w:r>
      <w:r w:rsidR="0074374B" w:rsidRPr="0074374B">
        <w:t xml:space="preserve"> the study found that Travellers tended not to use available counselling services due to a lack of culturally appropriate provision and social stigma</w:t>
      </w:r>
      <w:r w:rsidR="0074374B">
        <w:t>.</w:t>
      </w:r>
    </w:p>
    <w:p w14:paraId="2340E8A7" w14:textId="77777777" w:rsidR="00560D96" w:rsidRPr="00560D96" w:rsidRDefault="00560D96" w:rsidP="00E006D4">
      <w:r>
        <w:t>The</w:t>
      </w:r>
      <w:r w:rsidR="00D86042">
        <w:t xml:space="preserve"> NDA notes that the</w:t>
      </w:r>
      <w:r>
        <w:t xml:space="preserve">re have been calls for the publication </w:t>
      </w:r>
      <w:r w:rsidRPr="00560D96">
        <w:t xml:space="preserve">of </w:t>
      </w:r>
      <w:r w:rsidRPr="00560D96">
        <w:rPr>
          <w:bCs/>
        </w:rPr>
        <w:t>a National Traveller Health Action Plan in line with commitments under the National Traveller and Roma Inclusion Strategy.</w:t>
      </w:r>
      <w:r>
        <w:rPr>
          <w:rStyle w:val="FootnoteReference"/>
          <w:bCs/>
        </w:rPr>
        <w:footnoteReference w:id="173"/>
      </w:r>
    </w:p>
    <w:p w14:paraId="0C2A1853" w14:textId="77777777" w:rsidR="00E006D4" w:rsidRDefault="00E006D4" w:rsidP="00E006D4">
      <w:pPr>
        <w:pStyle w:val="Heading3"/>
      </w:pPr>
      <w:r>
        <w:t>Migrants with Disabilities</w:t>
      </w:r>
    </w:p>
    <w:p w14:paraId="45F3F0D5" w14:textId="77777777" w:rsidR="00E006D4" w:rsidRDefault="00D86042" w:rsidP="00E006D4">
      <w:r>
        <w:t xml:space="preserve">The NDA notes that </w:t>
      </w:r>
      <w:r w:rsidR="002E36A7">
        <w:t xml:space="preserve">research </w:t>
      </w:r>
      <w:r>
        <w:t xml:space="preserve">has been undertaken </w:t>
      </w:r>
      <w:r w:rsidR="002E36A7">
        <w:t>examining the mental health experiences of a sample of migrant women in Ireland and their access to services.</w:t>
      </w:r>
      <w:r w:rsidR="00A25BA5">
        <w:rPr>
          <w:rStyle w:val="FootnoteReference"/>
        </w:rPr>
        <w:footnoteReference w:id="174"/>
      </w:r>
      <w:r w:rsidR="002E36A7">
        <w:t xml:space="preserve"> </w:t>
      </w:r>
      <w:r w:rsidR="002E36A7" w:rsidRPr="002E36A7">
        <w:t>The study</w:t>
      </w:r>
      <w:r w:rsidR="00A25BA5">
        <w:t xml:space="preserve">, entitled </w:t>
      </w:r>
      <w:r w:rsidR="00A25BA5" w:rsidRPr="00A25BA5">
        <w:rPr>
          <w:b/>
        </w:rPr>
        <w:t>Let’s Talk: Mental Health Experiences of Migrant Women</w:t>
      </w:r>
      <w:r w:rsidR="00A25BA5">
        <w:t>,</w:t>
      </w:r>
      <w:r w:rsidR="002E36A7" w:rsidRPr="002E36A7">
        <w:t xml:space="preserve"> shows that the women were affected by traumatic experiences in their country of origin or during their journey to Ireland, however at the time of the interview, current stressors, especially for the asylum seekers played a more significant role in determining their mental health.</w:t>
      </w:r>
      <w:r w:rsidR="002E36A7">
        <w:t xml:space="preserve"> </w:t>
      </w:r>
      <w:r w:rsidR="002E36A7" w:rsidRPr="002E36A7">
        <w:t>The study identified the key barriers to accessing mental health services including: cultural beliefs about mental health involving notions of stigma and shame, language barriers and lack of information and inadequate service provision.</w:t>
      </w:r>
      <w:r w:rsidR="00A25BA5">
        <w:t xml:space="preserve"> Recommendations included the provision of</w:t>
      </w:r>
      <w:r w:rsidR="00A25BA5" w:rsidRPr="00A25BA5">
        <w:t xml:space="preserve"> outreach</w:t>
      </w:r>
      <w:r w:rsidR="00A25BA5">
        <w:t xml:space="preserve"> psychosocial</w:t>
      </w:r>
      <w:r w:rsidR="00A25BA5" w:rsidRPr="00A25BA5">
        <w:t xml:space="preserve"> services in Direct Provision that build trust and ensure regular contact and consistency of support for international protection applicants</w:t>
      </w:r>
      <w:r w:rsidR="00A25BA5">
        <w:t>.</w:t>
      </w:r>
    </w:p>
    <w:p w14:paraId="3A6AFC90" w14:textId="77777777" w:rsidR="007A2A60" w:rsidRDefault="007A2A60" w:rsidP="00E006D4">
      <w:r>
        <w:t xml:space="preserve">Funded through the NDA’s Research Promotion Scheme, a </w:t>
      </w:r>
      <w:r w:rsidR="00A571C3">
        <w:t xml:space="preserve">small-scale </w:t>
      </w:r>
      <w:r>
        <w:t xml:space="preserve">UCD study on </w:t>
      </w:r>
      <w:r w:rsidRPr="007A2A60">
        <w:rPr>
          <w:b/>
        </w:rPr>
        <w:t>Assessment of Psychiatric and Psychological Needs Among Help Seeking Migrants in Dublin</w:t>
      </w:r>
      <w:r>
        <w:t xml:space="preserve"> </w:t>
      </w:r>
      <w:r w:rsidRPr="007A2A60">
        <w:t>investigated the problems presented and health care needs of migrants with mental health difficulties who sought help in the Mater Hospital, Dublin and compared them to those of native Irish who sought such help.</w:t>
      </w:r>
      <w:r w:rsidR="00BF5295">
        <w:rPr>
          <w:rStyle w:val="FootnoteReference"/>
        </w:rPr>
        <w:footnoteReference w:id="175"/>
      </w:r>
      <w:r w:rsidRPr="007A2A60">
        <w:t> </w:t>
      </w:r>
      <w:r>
        <w:t>This study found that m</w:t>
      </w:r>
      <w:r w:rsidRPr="007A2A60">
        <w:t xml:space="preserve">igrants were significantly more likely than Irish individuals to fulfil diagnostic criteria for post-traumatic stress disorder </w:t>
      </w:r>
      <w:r w:rsidR="005F14E0" w:rsidRPr="005F14E0">
        <w:t>and less likely to fulfil diagnostic criteria for alcohol dependence syndro</w:t>
      </w:r>
      <w:r w:rsidR="005F14E0">
        <w:t>me</w:t>
      </w:r>
      <w:r w:rsidR="005F14E0" w:rsidRPr="005F14E0">
        <w:t>. There was no difference between migrant and Irish g</w:t>
      </w:r>
      <w:r w:rsidR="005F14E0">
        <w:t xml:space="preserve">roups in rates of schizophrenia, bipolar affective disorder, </w:t>
      </w:r>
      <w:r w:rsidR="005F14E0" w:rsidRPr="005F14E0">
        <w:t>depression or anxiety</w:t>
      </w:r>
      <w:r w:rsidR="005F14E0">
        <w:t>.</w:t>
      </w:r>
      <w:r w:rsidR="00A571C3" w:rsidRPr="00A571C3">
        <w:t xml:space="preserve"> However, the authors concluded that the low rate of schizophrenia diagnoses compared to international studies may indicate that migrants in need are not accessing mental health services</w:t>
      </w:r>
      <w:r w:rsidR="0074374B">
        <w:t>.</w:t>
      </w:r>
    </w:p>
    <w:p w14:paraId="3567EA58" w14:textId="77777777" w:rsidR="005F14E0" w:rsidRPr="00E006D4" w:rsidRDefault="005F14E0" w:rsidP="00E006D4">
      <w:r>
        <w:t>The study</w:t>
      </w:r>
      <w:r w:rsidRPr="005F14E0">
        <w:t xml:space="preserve"> revealed </w:t>
      </w:r>
      <w:r>
        <w:t xml:space="preserve">that the majority of </w:t>
      </w:r>
      <w:r w:rsidRPr="005F14E0">
        <w:t>migrants believed that their illness was primarily caused by the traumatic events they expe</w:t>
      </w:r>
      <w:r>
        <w:t>rienc</w:t>
      </w:r>
      <w:r w:rsidR="00D86042">
        <w:t>ed in their home countries. Many also</w:t>
      </w:r>
      <w:r>
        <w:t xml:space="preserve"> lacked</w:t>
      </w:r>
      <w:r w:rsidRPr="005F14E0">
        <w:t xml:space="preserve"> knowledge about Western psychiatr</w:t>
      </w:r>
      <w:r>
        <w:t xml:space="preserve">ic diagnoses, </w:t>
      </w:r>
      <w:r w:rsidRPr="005F14E0">
        <w:t>disagreed with the</w:t>
      </w:r>
      <w:r w:rsidR="00D86042">
        <w:t>ir</w:t>
      </w:r>
      <w:r w:rsidRPr="005F14E0">
        <w:t xml:space="preserve"> diagnosis</w:t>
      </w:r>
      <w:r>
        <w:t>,</w:t>
      </w:r>
      <w:r w:rsidRPr="005F14E0">
        <w:t xml:space="preserve"> </w:t>
      </w:r>
      <w:r>
        <w:t xml:space="preserve">and </w:t>
      </w:r>
      <w:r w:rsidRPr="005F14E0">
        <w:t>had sought alternative treatment, therapy or care from outside the psychiatric services</w:t>
      </w:r>
      <w:r>
        <w:t>, such as</w:t>
      </w:r>
      <w:r w:rsidRPr="005F14E0">
        <w:t xml:space="preserve"> herbalists, traditional Chinese doctors and Sheik healers.</w:t>
      </w:r>
    </w:p>
    <w:p w14:paraId="6E95F720" w14:textId="77777777" w:rsidR="0045443E" w:rsidRDefault="0045443E" w:rsidP="0045443E">
      <w:pPr>
        <w:pStyle w:val="Heading2"/>
      </w:pPr>
      <w:bookmarkStart w:id="54" w:name="_Toc90030737"/>
      <w:r>
        <w:t>LGBT</w:t>
      </w:r>
      <w:r w:rsidR="006F4F41">
        <w:t>I</w:t>
      </w:r>
      <w:r w:rsidR="00F5258A">
        <w:t>+</w:t>
      </w:r>
      <w:r>
        <w:t xml:space="preserve"> with Disabilities</w:t>
      </w:r>
      <w:bookmarkEnd w:id="54"/>
    </w:p>
    <w:p w14:paraId="0A367992" w14:textId="77777777" w:rsidR="008C0D76" w:rsidRDefault="008C0D76" w:rsidP="008C0D76">
      <w:r>
        <w:t>The Health Service Executive</w:t>
      </w:r>
      <w:r w:rsidRPr="008C0D76">
        <w:t xml:space="preserve"> in its </w:t>
      </w:r>
      <w:r>
        <w:t xml:space="preserve">2009 </w:t>
      </w:r>
      <w:r w:rsidRPr="008C0D76">
        <w:t xml:space="preserve">report </w:t>
      </w:r>
      <w:r w:rsidRPr="008C0D76">
        <w:rPr>
          <w:b/>
        </w:rPr>
        <w:t>LGBT Health</w:t>
      </w:r>
      <w:r w:rsidRPr="008C0D76">
        <w:t xml:space="preserve"> highlighted that LGBT people experience inequities in access to and within health services which can lead to reluctance to engage with mainstream health services.</w:t>
      </w:r>
      <w:r w:rsidR="00EF0AE4">
        <w:rPr>
          <w:rStyle w:val="FootnoteReference"/>
        </w:rPr>
        <w:footnoteReference w:id="176"/>
      </w:r>
      <w:r w:rsidRPr="008C0D76">
        <w:t xml:space="preserve"> It also concluded that LGBT people are at a heightened mental health risk because of the stresses created by stigmatisation, marginalisation and discrimination.</w:t>
      </w:r>
    </w:p>
    <w:p w14:paraId="66E27BBA" w14:textId="77777777" w:rsidR="008C0D76" w:rsidRDefault="00560D96" w:rsidP="008C0D76">
      <w:r>
        <w:t xml:space="preserve">Key findings of the 2009 study </w:t>
      </w:r>
      <w:r w:rsidRPr="00560D96">
        <w:rPr>
          <w:b/>
        </w:rPr>
        <w:t>Supporting LGBT Lives</w:t>
      </w:r>
      <w:r>
        <w:t xml:space="preserve">, which explored the mental health and wellbeing of LGBT people, </w:t>
      </w:r>
      <w:r w:rsidR="008C0D76">
        <w:t>included</w:t>
      </w:r>
      <w:r>
        <w:t xml:space="preserve"> the following</w:t>
      </w:r>
      <w:r w:rsidR="008C0D76">
        <w:t>:</w:t>
      </w:r>
    </w:p>
    <w:p w14:paraId="19B1766C" w14:textId="77777777" w:rsidR="008C0D76" w:rsidRDefault="008C0D76" w:rsidP="008C0D76">
      <w:pPr>
        <w:pStyle w:val="ListBullet"/>
      </w:pPr>
      <w:r w:rsidRPr="008C0D76">
        <w:t xml:space="preserve">27% had self-harmed and 85% of these did so more than once </w:t>
      </w:r>
    </w:p>
    <w:p w14:paraId="4818DDA2" w14:textId="77777777" w:rsidR="008C0D76" w:rsidRDefault="008C0D76" w:rsidP="008C0D76">
      <w:pPr>
        <w:pStyle w:val="ListBullet"/>
      </w:pPr>
      <w:r w:rsidRPr="008C0D76">
        <w:t>18% had attempted suicide and 85% saw their first attempt as related to stresses associated with their LGBT identity (e.g. fear of re</w:t>
      </w:r>
      <w:r>
        <w:t xml:space="preserve">jection by family or friends) </w:t>
      </w:r>
    </w:p>
    <w:p w14:paraId="7CFB65DE" w14:textId="77777777" w:rsidR="008C0D76" w:rsidRDefault="008C0D76" w:rsidP="008C0D76">
      <w:pPr>
        <w:pStyle w:val="ListBullet"/>
      </w:pPr>
      <w:r>
        <w:t xml:space="preserve">Over </w:t>
      </w:r>
      <w:r w:rsidRPr="008C0D76">
        <w:t>a third of those aged 25 years and under had thought seriously about ending their lives within the past year and ov</w:t>
      </w:r>
      <w:r>
        <w:t>er 50% had done so at some time</w:t>
      </w:r>
    </w:p>
    <w:p w14:paraId="537FE391" w14:textId="77777777" w:rsidR="008C0D76" w:rsidRPr="008C0D76" w:rsidRDefault="002B21E1" w:rsidP="008C0D76">
      <w:pPr>
        <w:pStyle w:val="ListBullet"/>
      </w:pPr>
      <w:r>
        <w:t>The three</w:t>
      </w:r>
      <w:r w:rsidR="008C0D76" w:rsidRPr="008C0D76">
        <w:t xml:space="preserve"> most common LGBT-speci</w:t>
      </w:r>
      <w:r w:rsidR="008C0D76">
        <w:t xml:space="preserve">fic stresses identified were: </w:t>
      </w:r>
      <w:r w:rsidR="008C0D76" w:rsidRPr="008C0D76">
        <w:t>fear of rejection</w:t>
      </w:r>
      <w:r w:rsidR="008C0D76">
        <w:t xml:space="preserve"> when considering coming out; </w:t>
      </w:r>
      <w:r w:rsidR="008C0D76" w:rsidRPr="008C0D76">
        <w:t>ne</w:t>
      </w:r>
      <w:r w:rsidR="008C0D76">
        <w:t>gative school experiences; and</w:t>
      </w:r>
      <w:r w:rsidR="008C0D76" w:rsidRPr="008C0D76">
        <w:t xml:space="preserve"> experiences of harassment</w:t>
      </w:r>
      <w:r w:rsidR="008C0D76">
        <w:t xml:space="preserve"> and victimisation</w:t>
      </w:r>
      <w:r w:rsidR="00EF0AE4">
        <w:rPr>
          <w:rStyle w:val="FootnoteReference"/>
        </w:rPr>
        <w:footnoteReference w:id="177"/>
      </w:r>
    </w:p>
    <w:p w14:paraId="6C4A1D7F" w14:textId="77777777" w:rsidR="00EE1894" w:rsidRPr="00A944E4" w:rsidRDefault="00EE1894" w:rsidP="0045443E">
      <w:r w:rsidRPr="00EE1894">
        <w:t>In 2015</w:t>
      </w:r>
      <w:r>
        <w:t>,</w:t>
      </w:r>
      <w:r w:rsidRPr="00EE1894">
        <w:t xml:space="preserve"> a national study was conducted of the mental health and wellbeing of LGBTI+ people living in Ireland.</w:t>
      </w:r>
      <w:r>
        <w:rPr>
          <w:rStyle w:val="FootnoteReference"/>
        </w:rPr>
        <w:footnoteReference w:id="178"/>
      </w:r>
      <w:r w:rsidR="00A944E4">
        <w:t xml:space="preserve"> The findings of the</w:t>
      </w:r>
      <w:r w:rsidRPr="00EE1894">
        <w:t xml:space="preserve"> </w:t>
      </w:r>
      <w:r w:rsidRPr="00EE1894">
        <w:rPr>
          <w:b/>
        </w:rPr>
        <w:t>LGBTIreland Report</w:t>
      </w:r>
      <w:r>
        <w:rPr>
          <w:b/>
        </w:rPr>
        <w:t xml:space="preserve"> </w:t>
      </w:r>
      <w:r w:rsidR="00A944E4">
        <w:t xml:space="preserve">illustrated that a </w:t>
      </w:r>
      <w:r w:rsidR="00351528">
        <w:t xml:space="preserve">significant proportion of LGBTI+ people experience mental health difficulties. </w:t>
      </w:r>
      <w:r w:rsidR="00351528" w:rsidRPr="00351528">
        <w:t>Across LGBTI groups</w:t>
      </w:r>
      <w:r w:rsidR="00351528">
        <w:t>,</w:t>
      </w:r>
      <w:r w:rsidR="00351528" w:rsidRPr="00351528">
        <w:t xml:space="preserve"> between 12-35% of participants recorded scores indicating severe or extremely severe depression, anxiety, and stress.</w:t>
      </w:r>
      <w:r w:rsidR="00351528">
        <w:t xml:space="preserve"> </w:t>
      </w:r>
      <w:r w:rsidR="00351528" w:rsidRPr="00351528">
        <w:t>Levels of</w:t>
      </w:r>
      <w:r w:rsidR="00351528">
        <w:t xml:space="preserve"> severe or </w:t>
      </w:r>
      <w:r w:rsidR="00351528" w:rsidRPr="00351528">
        <w:t>extremely severe stress, anxiety and depression were 4 times higher among 14-18 year old LGBTI teens in comparison to a similar age group (12-19 year) in the My World nati</w:t>
      </w:r>
      <w:r w:rsidR="00351528">
        <w:t>onal youth mental health study. Additionally, i</w:t>
      </w:r>
      <w:r w:rsidR="00351528" w:rsidRPr="00351528">
        <w:t>ntersex people had the highest scores for depression, anxiety and stress followed by transgender and bisexual people</w:t>
      </w:r>
      <w:r w:rsidR="00351528">
        <w:t>.</w:t>
      </w:r>
    </w:p>
    <w:p w14:paraId="725A7996" w14:textId="77777777" w:rsidR="002E470C" w:rsidRDefault="007E5482" w:rsidP="00DA6B87">
      <w:r>
        <w:t>The</w:t>
      </w:r>
      <w:r w:rsidR="006F4F41">
        <w:t xml:space="preserve"> </w:t>
      </w:r>
      <w:r w:rsidR="006F4F41" w:rsidRPr="00FB3F3C">
        <w:rPr>
          <w:b/>
        </w:rPr>
        <w:t>National LGBTI+ Inclusion Strategy</w:t>
      </w:r>
      <w:r w:rsidR="006F4F41">
        <w:t xml:space="preserve"> </w:t>
      </w:r>
      <w:r w:rsidR="00FB3F3C" w:rsidRPr="00FB3F3C">
        <w:rPr>
          <w:b/>
        </w:rPr>
        <w:t>2019-2021</w:t>
      </w:r>
      <w:r w:rsidR="00FB3F3C">
        <w:t xml:space="preserve"> </w:t>
      </w:r>
      <w:r w:rsidR="006F4F41">
        <w:t xml:space="preserve">commits the Department of Health and HSE to </w:t>
      </w:r>
      <w:r w:rsidR="00EE1894">
        <w:t>providing</w:t>
      </w:r>
      <w:r w:rsidR="006F4F41">
        <w:t xml:space="preserve"> LGBTI+ awareness training to staff working in mental health services nationally.</w:t>
      </w:r>
      <w:r w:rsidR="006F4F41">
        <w:rPr>
          <w:rStyle w:val="FootnoteReference"/>
        </w:rPr>
        <w:footnoteReference w:id="179"/>
      </w:r>
      <w:r w:rsidR="006F4F41">
        <w:t xml:space="preserve"> This action is to commence in Q4 2020.</w:t>
      </w:r>
      <w:r w:rsidR="00FB3F3C">
        <w:t xml:space="preserve"> One of t</w:t>
      </w:r>
      <w:r w:rsidR="00EE1894">
        <w:t xml:space="preserve">he </w:t>
      </w:r>
      <w:r w:rsidR="00FB3F3C">
        <w:t xml:space="preserve">goals of the </w:t>
      </w:r>
      <w:r w:rsidR="00F5258A" w:rsidRPr="00FB3F3C">
        <w:rPr>
          <w:b/>
        </w:rPr>
        <w:t>LGBTI+ National Youth Strategy 2018-2020</w:t>
      </w:r>
      <w:r w:rsidR="00FB3F3C">
        <w:t xml:space="preserve"> is to improve the mental health of LGBTI+ young people, which includes as an action the de</w:t>
      </w:r>
      <w:r w:rsidR="00FB3F3C" w:rsidRPr="00FB3F3C">
        <w:t>velop</w:t>
      </w:r>
      <w:r w:rsidR="00FB3F3C">
        <w:t>ment of</w:t>
      </w:r>
      <w:r w:rsidR="00FB3F3C" w:rsidRPr="00FB3F3C">
        <w:t xml:space="preserve"> targeted early intervention initiatives and services to reduce the risk of mental health problems for LGBTI+ young people, including suicide and self-harm.</w:t>
      </w:r>
      <w:r w:rsidR="00145176">
        <w:rPr>
          <w:rStyle w:val="FootnoteReference"/>
        </w:rPr>
        <w:footnoteReference w:id="180"/>
      </w:r>
      <w:r w:rsidR="00FB3F3C">
        <w:t xml:space="preserve"> The Department of Children and Youth Affairs is also required to d</w:t>
      </w:r>
      <w:r w:rsidR="00FB3F3C" w:rsidRPr="00FB3F3C">
        <w:t>evelop research into the factors that support positive mental health for LGBTI+ young people and ascertain how these positive factors can be replicated.</w:t>
      </w:r>
    </w:p>
    <w:p w14:paraId="13F7516D" w14:textId="3BFB68CF" w:rsidR="00B265F7" w:rsidRDefault="00B265F7" w:rsidP="00DA6B87">
      <w:r>
        <w:t xml:space="preserve">The Gay and Lesbian Equality Network (GLEN), in conjunction with the Mental Health Commission, published guidance for </w:t>
      </w:r>
      <w:r w:rsidRPr="00B265F7">
        <w:t>staff working in mental health services to assist them in their day to day interactions with lesbian, gay, bisexual and transgender (LGBT) people availing of services</w:t>
      </w:r>
      <w:r>
        <w:t>.</w:t>
      </w:r>
      <w:r w:rsidR="00560D96">
        <w:rPr>
          <w:rStyle w:val="FootnoteReference"/>
        </w:rPr>
        <w:footnoteReference w:id="181"/>
      </w:r>
    </w:p>
    <w:p w14:paraId="36F0A4CB" w14:textId="4C3FBABC" w:rsidR="00961694" w:rsidRDefault="00961694" w:rsidP="00F764CA">
      <w:pPr>
        <w:pStyle w:val="Heading1"/>
      </w:pPr>
      <w:bookmarkStart w:id="55" w:name="_Toc90030738"/>
      <w:r>
        <w:t>Impact of Covid-19 on People with Disabilities</w:t>
      </w:r>
      <w:bookmarkEnd w:id="55"/>
      <w:r>
        <w:t xml:space="preserve"> </w:t>
      </w:r>
    </w:p>
    <w:p w14:paraId="41F9944B" w14:textId="71C11845" w:rsidR="00961694" w:rsidRDefault="00260426" w:rsidP="00DA6B87">
      <w:r>
        <w:t xml:space="preserve">The impact of Covid-19 </w:t>
      </w:r>
      <w:r w:rsidR="00F9762F">
        <w:t xml:space="preserve">on people with disabilities </w:t>
      </w:r>
      <w:r>
        <w:t xml:space="preserve">could be discussed with reference to a range of UNCRPD Articles. </w:t>
      </w:r>
      <w:r w:rsidR="00ED6A92">
        <w:t>Covid-19 had a disproportionate impact on people with disabilities because people with disabilities are more reliant on certain public services (such as social care) which were disrupted, more likely to be at risk of getting seriously ill from Covid</w:t>
      </w:r>
      <w:r w:rsidR="008C2635">
        <w:t>-19</w:t>
      </w:r>
      <w:r w:rsidR="00ED6A92">
        <w:t xml:space="preserve"> and therefore had to restrict their normal activities and social encounters more and are more likely to be resident in congregated settings such as nursing homes, residential disability or mental health settings. </w:t>
      </w:r>
    </w:p>
    <w:p w14:paraId="6CD32694" w14:textId="6BC9FC4F" w:rsidR="00ED6A92" w:rsidRDefault="00ED6A92" w:rsidP="00DA6B87">
      <w:r>
        <w:t>In terms of health</w:t>
      </w:r>
      <w:r w:rsidR="00C23A76">
        <w:t>,</w:t>
      </w:r>
      <w:r>
        <w:t xml:space="preserve"> the data from the earlier phases of the </w:t>
      </w:r>
      <w:r w:rsidR="0001721E">
        <w:t>pandemic</w:t>
      </w:r>
      <w:r>
        <w:t xml:space="preserve"> show that people with underlying health conditions</w:t>
      </w:r>
      <w:r w:rsidR="00651DBD">
        <w:rPr>
          <w:rStyle w:val="FootnoteReference"/>
        </w:rPr>
        <w:footnoteReference w:id="182"/>
      </w:r>
      <w:r>
        <w:t xml:space="preserve"> </w:t>
      </w:r>
      <w:r w:rsidR="00651DBD">
        <w:t xml:space="preserve">- </w:t>
      </w:r>
      <w:r w:rsidR="0001721E">
        <w:t>who are likely to be people classified as having a disability (in the Census definition for example)</w:t>
      </w:r>
      <w:r w:rsidR="00651DBD">
        <w:t xml:space="preserve"> – represented 92% of those who died from Covid-19</w:t>
      </w:r>
      <w:r w:rsidR="008C2635">
        <w:rPr>
          <w:rStyle w:val="FootnoteReference"/>
        </w:rPr>
        <w:footnoteReference w:id="183"/>
      </w:r>
      <w:r w:rsidR="00651DBD">
        <w:t xml:space="preserve">. </w:t>
      </w:r>
    </w:p>
    <w:p w14:paraId="679560AE" w14:textId="79745778" w:rsidR="00BF615C" w:rsidRDefault="00BF615C" w:rsidP="00BF615C">
      <w:r>
        <w:t>Mainstream health services were significantly disrupted during the Covid-19 pandemic and particularly during the lockdowns. Certain groups of people with disabilities require ongoing engagement with medical professionals in the mainstream health services to stay health</w:t>
      </w:r>
      <w:r w:rsidR="00C23A76">
        <w:t>y</w:t>
      </w:r>
      <w:r>
        <w:t xml:space="preserve"> and independent. Many of these services were disrupted for periods during 2020 and 2021. For example. a report of a nationwide survey carried out by the Neurological Alliance of Ireland examined the impact of COVID-19 on persons with neurological conditions and family carers showed that 25% of respondents had significant issues in accessing services/treatment for their condition (during the 2020 lockdown). Respondents reported a range of challenges in accessing services and treatment including: </w:t>
      </w:r>
    </w:p>
    <w:p w14:paraId="68AAE77F" w14:textId="77777777" w:rsidR="00BF615C" w:rsidRDefault="00BF615C" w:rsidP="00BF615C">
      <w:r>
        <w:t>•</w:t>
      </w:r>
      <w:r>
        <w:tab/>
        <w:t xml:space="preserve">Cancellation of outpatient appointments with neurology services </w:t>
      </w:r>
    </w:p>
    <w:p w14:paraId="7F7FEFBD" w14:textId="77777777" w:rsidR="00BF615C" w:rsidRDefault="00BF615C" w:rsidP="00BF615C">
      <w:r>
        <w:t>•</w:t>
      </w:r>
      <w:r>
        <w:tab/>
        <w:t>Cancellation of infusion/injection treatments</w:t>
      </w:r>
    </w:p>
    <w:p w14:paraId="6A1D287C" w14:textId="77777777" w:rsidR="00BF615C" w:rsidRDefault="00BF615C" w:rsidP="00BF615C">
      <w:r>
        <w:t>•</w:t>
      </w:r>
      <w:r>
        <w:tab/>
        <w:t xml:space="preserve">Delays in commencing new treatments, changes in medication postponed </w:t>
      </w:r>
    </w:p>
    <w:p w14:paraId="7BA6FC94" w14:textId="77777777" w:rsidR="00BF615C" w:rsidRDefault="00BF615C" w:rsidP="00BF615C">
      <w:r>
        <w:t>•</w:t>
      </w:r>
      <w:r>
        <w:tab/>
        <w:t xml:space="preserve">Postponement of routine MRI scans and delays in getting results from MRI </w:t>
      </w:r>
    </w:p>
    <w:p w14:paraId="5034AA4F" w14:textId="77777777" w:rsidR="00BF615C" w:rsidRDefault="00BF615C" w:rsidP="00BF615C">
      <w:r>
        <w:t>•</w:t>
      </w:r>
      <w:r>
        <w:tab/>
        <w:t xml:space="preserve">Challenges in getting prescriptions renewed </w:t>
      </w:r>
    </w:p>
    <w:p w14:paraId="2D8B69C5" w14:textId="27095353" w:rsidR="008C2635" w:rsidRDefault="00BF615C" w:rsidP="00BF615C">
      <w:r>
        <w:t>•</w:t>
      </w:r>
      <w:r>
        <w:tab/>
        <w:t>Cancellation of physiotherapy and other allied health services</w:t>
      </w:r>
    </w:p>
    <w:p w14:paraId="487D2629" w14:textId="5F0DDF4C" w:rsidR="005A6B61" w:rsidRDefault="005A6B61" w:rsidP="00972DFC">
      <w:r>
        <w:t xml:space="preserve">The pandemic has contributed to increasing already significant treatment waiting lists. At the end of July 2021 there </w:t>
      </w:r>
      <w:r w:rsidR="00C23A76">
        <w:t xml:space="preserve">were </w:t>
      </w:r>
      <w:r>
        <w:t>567, 584 people on hospital out patient waiting lists</w:t>
      </w:r>
      <w:r w:rsidR="003A3F57">
        <w:rPr>
          <w:rStyle w:val="FootnoteReference"/>
        </w:rPr>
        <w:footnoteReference w:id="184"/>
      </w:r>
      <w:r>
        <w:t xml:space="preserve"> and 69, 597 on hospital inpatient / Day case waiting lists</w:t>
      </w:r>
      <w:r w:rsidR="003A3F57">
        <w:rPr>
          <w:rStyle w:val="FootnoteReference"/>
        </w:rPr>
        <w:footnoteReference w:id="185"/>
      </w:r>
      <w:r>
        <w:t xml:space="preserve">. These </w:t>
      </w:r>
      <w:r w:rsidR="00972DFC" w:rsidRPr="00972DFC">
        <w:t>waiting list figures are not disaggregated by disability</w:t>
      </w:r>
      <w:r>
        <w:t xml:space="preserve">. </w:t>
      </w:r>
    </w:p>
    <w:p w14:paraId="2BCE6FCB" w14:textId="151D18D8" w:rsidR="00972DFC" w:rsidRDefault="005A6B61" w:rsidP="00F764CA">
      <w:pPr>
        <w:spacing w:after="120"/>
      </w:pPr>
      <w:r>
        <w:t xml:space="preserve">However, </w:t>
      </w:r>
      <w:r w:rsidR="00972DFC" w:rsidRPr="00972DFC">
        <w:t xml:space="preserve">there are a number of </w:t>
      </w:r>
      <w:r w:rsidR="003A3F57">
        <w:t xml:space="preserve">allied health / therapy services </w:t>
      </w:r>
      <w:r w:rsidR="00972DFC" w:rsidRPr="00972DFC">
        <w:t>which are more likely to be specifically relevant to persons with disabilities</w:t>
      </w:r>
      <w:r w:rsidR="003A3F57">
        <w:t xml:space="preserve"> and these services too have long waiting lists, some of which were impacted by Covid-19. The </w:t>
      </w:r>
      <w:r w:rsidR="00972DFC" w:rsidRPr="00972DFC">
        <w:t xml:space="preserve">waiting lists </w:t>
      </w:r>
      <w:r w:rsidR="003A3F57">
        <w:t xml:space="preserve">for these services </w:t>
      </w:r>
      <w:r w:rsidR="00972DFC" w:rsidRPr="00972DFC">
        <w:t xml:space="preserve">as of September </w:t>
      </w:r>
      <w:r w:rsidR="003A3F57">
        <w:t>2020</w:t>
      </w:r>
      <w:r w:rsidR="00972DFC" w:rsidRPr="00972DFC">
        <w:t xml:space="preserve"> </w:t>
      </w:r>
      <w:r w:rsidR="003A3F57">
        <w:t>stood at</w:t>
      </w:r>
      <w:r w:rsidR="004C7E41">
        <w:rPr>
          <w:rStyle w:val="FootnoteReference"/>
        </w:rPr>
        <w:footnoteReference w:id="186"/>
      </w:r>
      <w:r w:rsidR="00972DFC" w:rsidRPr="00972DFC">
        <w:t>:</w:t>
      </w:r>
    </w:p>
    <w:p w14:paraId="593D15AC" w14:textId="77777777" w:rsidR="00972DFC" w:rsidRPr="00DB6978" w:rsidRDefault="00972DFC" w:rsidP="00972DFC">
      <w:pPr>
        <w:pStyle w:val="ListBullet"/>
        <w:numPr>
          <w:ilvl w:val="0"/>
          <w:numId w:val="1"/>
        </w:numPr>
      </w:pPr>
      <w:r w:rsidRPr="00DB6978">
        <w:t>1</w:t>
      </w:r>
      <w:r>
        <w:t xml:space="preserve">, </w:t>
      </w:r>
      <w:r w:rsidRPr="00DB6978">
        <w:t>8</w:t>
      </w:r>
      <w:r>
        <w:t>94</w:t>
      </w:r>
      <w:r w:rsidRPr="00DB6978">
        <w:t xml:space="preserve"> on the CAMHS waiting list nationally</w:t>
      </w:r>
    </w:p>
    <w:p w14:paraId="17753E41" w14:textId="77777777" w:rsidR="00972DFC" w:rsidRPr="00DB6978" w:rsidRDefault="00972DFC" w:rsidP="00972DFC">
      <w:pPr>
        <w:pStyle w:val="ListBullet"/>
        <w:numPr>
          <w:ilvl w:val="0"/>
          <w:numId w:val="1"/>
        </w:numPr>
      </w:pPr>
      <w:r>
        <w:t>38, 630</w:t>
      </w:r>
      <w:r w:rsidRPr="00DB6978">
        <w:t xml:space="preserve"> on the Physiotherapy assessment waiting list</w:t>
      </w:r>
    </w:p>
    <w:p w14:paraId="07E20421" w14:textId="77777777" w:rsidR="00972DFC" w:rsidRPr="00DB6978" w:rsidRDefault="00972DFC" w:rsidP="00972DFC">
      <w:pPr>
        <w:pStyle w:val="ListBullet"/>
        <w:numPr>
          <w:ilvl w:val="0"/>
          <w:numId w:val="1"/>
        </w:numPr>
      </w:pPr>
      <w:r>
        <w:t>32,526</w:t>
      </w:r>
      <w:r w:rsidRPr="00DB6978">
        <w:t xml:space="preserve"> on the Occupational Therapy assessment waiting list including 9,296 waiting more than 52 weeks</w:t>
      </w:r>
    </w:p>
    <w:p w14:paraId="04C52887" w14:textId="77777777" w:rsidR="00972DFC" w:rsidRPr="00DB6978" w:rsidRDefault="00972DFC" w:rsidP="00972DFC">
      <w:pPr>
        <w:pStyle w:val="ListBullet"/>
        <w:numPr>
          <w:ilvl w:val="0"/>
          <w:numId w:val="1"/>
        </w:numPr>
      </w:pPr>
      <w:r>
        <w:t>15,358</w:t>
      </w:r>
      <w:r w:rsidRPr="00DB6978">
        <w:t xml:space="preserve"> on the Speech and Language Therapy waiting list and 7,586 on the Speech and Language Therapy treatment waiting list</w:t>
      </w:r>
    </w:p>
    <w:p w14:paraId="1AB081E9" w14:textId="77777777" w:rsidR="00972DFC" w:rsidRPr="00DB6978" w:rsidRDefault="00972DFC" w:rsidP="00F764CA">
      <w:pPr>
        <w:pStyle w:val="ListBullet"/>
        <w:numPr>
          <w:ilvl w:val="0"/>
          <w:numId w:val="1"/>
        </w:numPr>
        <w:spacing w:after="240"/>
        <w:ind w:left="357" w:hanging="357"/>
      </w:pPr>
      <w:r>
        <w:t>8,836</w:t>
      </w:r>
      <w:r w:rsidRPr="00DB6978">
        <w:t xml:space="preserve"> on the Psychology treatment waiting list</w:t>
      </w:r>
    </w:p>
    <w:p w14:paraId="6344E41D" w14:textId="51F8225E" w:rsidR="00056C77" w:rsidRDefault="00DB5B82" w:rsidP="00D72634">
      <w:r>
        <w:t xml:space="preserve">The Covid-19 pandemic and </w:t>
      </w:r>
      <w:r w:rsidR="00D72634">
        <w:t xml:space="preserve">responses to the Pandemic </w:t>
      </w:r>
      <w:r>
        <w:t>also forced innovation in many areas of the Irish health system. Various forms of remote care and support were introduced or scaled up in response to the challenges posed by the pandemic. Some of these innovations may be beneficial to people with disabilities in the post-pandemic context. The NDA and the HSE have undertaken reviews of some of these innovations</w:t>
      </w:r>
      <w:r w:rsidR="008B7B59">
        <w:rPr>
          <w:rStyle w:val="FootnoteReference"/>
        </w:rPr>
        <w:footnoteReference w:id="187"/>
      </w:r>
      <w:r>
        <w:t xml:space="preserve">. </w:t>
      </w:r>
    </w:p>
    <w:p w14:paraId="11FB85A9" w14:textId="78334E04" w:rsidR="005C4607" w:rsidRDefault="005C4607" w:rsidP="005C4607">
      <w:pPr>
        <w:pStyle w:val="Heading1"/>
      </w:pPr>
      <w:bookmarkStart w:id="56" w:name="_Toc90030739"/>
      <w:r>
        <w:t>Summary &amp; Conclusion</w:t>
      </w:r>
      <w:bookmarkEnd w:id="56"/>
    </w:p>
    <w:p w14:paraId="79436DAC" w14:textId="37800ACF" w:rsidR="001C566C" w:rsidRDefault="001C566C" w:rsidP="001C566C">
      <w:r w:rsidRPr="001C566C">
        <w:t xml:space="preserve">The present </w:t>
      </w:r>
      <w:r>
        <w:t>paper</w:t>
      </w:r>
      <w:r w:rsidRPr="001C566C">
        <w:t xml:space="preserve"> underscores </w:t>
      </w:r>
      <w:r w:rsidR="00EC3DCE">
        <w:t>that while</w:t>
      </w:r>
      <w:r w:rsidR="00E502E3">
        <w:t xml:space="preserve"> in recent years</w:t>
      </w:r>
      <w:r w:rsidR="00874AE3">
        <w:t xml:space="preserve"> the specific needs of</w:t>
      </w:r>
      <w:r w:rsidR="00EC3DCE">
        <w:t xml:space="preserve"> persons with disabilities are afforded </w:t>
      </w:r>
      <w:r w:rsidR="009E1DBE">
        <w:t>greater</w:t>
      </w:r>
      <w:r w:rsidR="00EC3DCE">
        <w:t xml:space="preserve"> consideration </w:t>
      </w:r>
      <w:r w:rsidR="00874AE3">
        <w:t>in</w:t>
      </w:r>
      <w:r w:rsidR="00EC3DCE">
        <w:t xml:space="preserve"> </w:t>
      </w:r>
      <w:r w:rsidR="009E1DBE">
        <w:t xml:space="preserve">mainstream </w:t>
      </w:r>
      <w:r w:rsidR="00EC3DCE">
        <w:t>strategies</w:t>
      </w:r>
      <w:r w:rsidR="009E1DBE">
        <w:t xml:space="preserve"> across the spectrum of healthcare, people with disabilities</w:t>
      </w:r>
      <w:r w:rsidR="00EC3DCE">
        <w:t xml:space="preserve"> continue to </w:t>
      </w:r>
      <w:r w:rsidR="009E1DBE">
        <w:t xml:space="preserve">have poorer health outcomes than the general population and continue to </w:t>
      </w:r>
      <w:r w:rsidR="00EC3DCE">
        <w:t>experience</w:t>
      </w:r>
      <w:r w:rsidRPr="001C566C">
        <w:t xml:space="preserve"> </w:t>
      </w:r>
      <w:r w:rsidR="009E1DBE">
        <w:t>certain</w:t>
      </w:r>
      <w:r w:rsidRPr="001C566C">
        <w:t xml:space="preserve"> challenges </w:t>
      </w:r>
      <w:r w:rsidR="00EC3DCE">
        <w:t xml:space="preserve">accessing </w:t>
      </w:r>
      <w:r w:rsidR="00321414">
        <w:t xml:space="preserve">mainstream </w:t>
      </w:r>
      <w:r w:rsidR="009E1DBE">
        <w:t>healthcare</w:t>
      </w:r>
      <w:r w:rsidR="00EC3DCE">
        <w:t xml:space="preserve"> services.</w:t>
      </w:r>
    </w:p>
    <w:p w14:paraId="2AD3520D" w14:textId="5E827A2B" w:rsidR="00383C26" w:rsidRDefault="00EC3DCE" w:rsidP="00383C26">
      <w:r>
        <w:t>The NDA notes that recent positive measures in the healthcare domain for persons with a disability include</w:t>
      </w:r>
      <w:r w:rsidR="00383C26">
        <w:t xml:space="preserve"> </w:t>
      </w:r>
      <w:r>
        <w:t>changes to the medical card earnings</w:t>
      </w:r>
      <w:r w:rsidR="00383C26">
        <w:t xml:space="preserve"> disregard </w:t>
      </w:r>
      <w:r w:rsidRPr="00EC3DCE">
        <w:t>for persons in receipt of Disability Allowance</w:t>
      </w:r>
      <w:r w:rsidR="009C423C">
        <w:t>, tailored disability training for health and social care professionals</w:t>
      </w:r>
      <w:r w:rsidR="00874AE3">
        <w:t xml:space="preserve"> and </w:t>
      </w:r>
      <w:r>
        <w:t xml:space="preserve">detailed commitments in </w:t>
      </w:r>
      <w:r w:rsidR="00437222">
        <w:t xml:space="preserve">the new oral health </w:t>
      </w:r>
      <w:r>
        <w:t>strategy designed to improve oral health outcomes fo</w:t>
      </w:r>
      <w:r w:rsidR="00874AE3">
        <w:t>r persons with disabilities</w:t>
      </w:r>
      <w:r>
        <w:t>.</w:t>
      </w:r>
      <w:r w:rsidR="00D80C60">
        <w:t xml:space="preserve"> The NDA also </w:t>
      </w:r>
      <w:r w:rsidR="00874AE3">
        <w:t>notes data illustrating that p</w:t>
      </w:r>
      <w:r w:rsidR="00874AE3" w:rsidRPr="00874AE3">
        <w:t xml:space="preserve">ersons with </w:t>
      </w:r>
      <w:r w:rsidR="00145FDE">
        <w:t xml:space="preserve">intellectual </w:t>
      </w:r>
      <w:r w:rsidR="00874AE3" w:rsidRPr="00874AE3">
        <w:t>disabilities have either higher or similar levels of access to health screening than</w:t>
      </w:r>
      <w:r w:rsidR="00874AE3">
        <w:t xml:space="preserve"> those without a disability, and </w:t>
      </w:r>
      <w:r w:rsidR="00D80C60">
        <w:t xml:space="preserve">welcomes action </w:t>
      </w:r>
      <w:r w:rsidR="0058457B">
        <w:t>and progress towards the realisation of</w:t>
      </w:r>
      <w:r w:rsidR="00D80C60">
        <w:t xml:space="preserve"> </w:t>
      </w:r>
      <w:r w:rsidR="0058457B">
        <w:t>Sláintecare</w:t>
      </w:r>
      <w:r w:rsidR="00D80C60">
        <w:t>, which aims to achieve a universal healthcare system.</w:t>
      </w:r>
    </w:p>
    <w:p w14:paraId="07FF8C3A" w14:textId="6105B431" w:rsidR="00383C26" w:rsidRDefault="00383C26" w:rsidP="00316A28">
      <w:r>
        <w:t xml:space="preserve">The </w:t>
      </w:r>
      <w:r w:rsidR="00004C36">
        <w:t>NDA also notes that a number of areas req</w:t>
      </w:r>
      <w:r w:rsidR="009C423C">
        <w:t>uire further development in ligh</w:t>
      </w:r>
      <w:r w:rsidR="00004C36">
        <w:t xml:space="preserve">t of UNCRPD ratification, in particular </w:t>
      </w:r>
      <w:r>
        <w:t xml:space="preserve">mental health. </w:t>
      </w:r>
      <w:r w:rsidR="001C566C">
        <w:t>The NDA and other s</w:t>
      </w:r>
      <w:r>
        <w:t>takeholders are</w:t>
      </w:r>
      <w:r w:rsidR="001C566C">
        <w:t xml:space="preserve"> clear</w:t>
      </w:r>
      <w:r>
        <w:t xml:space="preserve"> that the Mental Health Act 2001 needs to be amended to align with the provisions of the </w:t>
      </w:r>
      <w:r w:rsidR="00533F3E">
        <w:t>Convention</w:t>
      </w:r>
      <w:r w:rsidR="006448B0">
        <w:t>, and the</w:t>
      </w:r>
      <w:r w:rsidR="00004C36">
        <w:t xml:space="preserve"> NDA advises that the</w:t>
      </w:r>
      <w:r w:rsidR="006448B0">
        <w:t xml:space="preserve"> recommendations of the 2012 Expert Group </w:t>
      </w:r>
      <w:r w:rsidR="00004C36">
        <w:t>are</w:t>
      </w:r>
      <w:r w:rsidR="006448B0">
        <w:t xml:space="preserve"> instructive in that regard</w:t>
      </w:r>
      <w:r>
        <w:t xml:space="preserve">. </w:t>
      </w:r>
      <w:r w:rsidR="00A32561">
        <w:t>The</w:t>
      </w:r>
      <w:r w:rsidR="00533F3E">
        <w:t xml:space="preserve"> NDA </w:t>
      </w:r>
      <w:r w:rsidR="00A32561">
        <w:t>welcomes the recent publication of the</w:t>
      </w:r>
      <w:r>
        <w:t xml:space="preserve"> refreshed</w:t>
      </w:r>
      <w:r w:rsidR="006448B0">
        <w:t xml:space="preserve"> national mental health policy</w:t>
      </w:r>
      <w:r>
        <w:t xml:space="preserve"> </w:t>
      </w:r>
      <w:r w:rsidR="00A32561">
        <w:t>and underlines the importance of adequate funding for its realisation</w:t>
      </w:r>
      <w:r>
        <w:t>.</w:t>
      </w:r>
    </w:p>
    <w:p w14:paraId="71B335D4" w14:textId="14B70CDF" w:rsidR="00414E48" w:rsidRDefault="008804FD" w:rsidP="00316A28">
      <w:r>
        <w:t>In addition, t</w:t>
      </w:r>
      <w:r w:rsidR="00417126">
        <w:t>he NDA notes that g</w:t>
      </w:r>
      <w:r w:rsidR="00414E48" w:rsidRPr="00414E48">
        <w:t>reater levels of funding</w:t>
      </w:r>
      <w:r w:rsidR="00417126">
        <w:t xml:space="preserve"> are</w:t>
      </w:r>
      <w:r w:rsidR="00414E48" w:rsidRPr="00414E48">
        <w:t xml:space="preserve"> required for disability services</w:t>
      </w:r>
      <w:r w:rsidR="00417126">
        <w:t>,</w:t>
      </w:r>
      <w:r w:rsidR="00414E48" w:rsidRPr="00414E48">
        <w:t xml:space="preserve"> in line with the forecasting work carried out by Working Group 1 under the Transforming Lives programme</w:t>
      </w:r>
      <w:r w:rsidR="00D81CB6">
        <w:t xml:space="preserve"> and the more recent Department of Health Disability Capacity Review</w:t>
      </w:r>
      <w:r w:rsidR="00414E48" w:rsidRPr="00414E48">
        <w:t>.</w:t>
      </w:r>
      <w:r w:rsidR="00417126">
        <w:t xml:space="preserve"> Enhanced funding should result in better and more efficient access to healthcare services</w:t>
      </w:r>
      <w:r w:rsidR="005841BA">
        <w:t xml:space="preserve"> for persons with a disability</w:t>
      </w:r>
      <w:r w:rsidR="00417126">
        <w:t>. The NDA also notes calls from stakeholders about funding restrictions imposed on certain disability services.</w:t>
      </w:r>
    </w:p>
    <w:p w14:paraId="0324FF07" w14:textId="77777777" w:rsidR="00370F9B" w:rsidRPr="00370F9B" w:rsidRDefault="008804FD" w:rsidP="00370F9B">
      <w:r>
        <w:t>Finally, t</w:t>
      </w:r>
      <w:r w:rsidR="006448B0">
        <w:t>he NDA notes that m</w:t>
      </w:r>
      <w:r w:rsidR="00383C26">
        <w:t xml:space="preserve">ore data and research is required in a number of areas, including </w:t>
      </w:r>
      <w:r w:rsidR="00E502E3">
        <w:t xml:space="preserve">particular </w:t>
      </w:r>
      <w:r w:rsidR="00383C26">
        <w:t xml:space="preserve">areas within the health service where persons with a disability experience discrimination, the </w:t>
      </w:r>
      <w:r w:rsidR="005841BA">
        <w:t xml:space="preserve">needs and </w:t>
      </w:r>
      <w:r w:rsidR="00383C26">
        <w:t xml:space="preserve">experiences of minority groups accessing </w:t>
      </w:r>
      <w:r w:rsidR="005841BA">
        <w:t xml:space="preserve">and requiring access to </w:t>
      </w:r>
      <w:r w:rsidR="00383C26">
        <w:t>disability and mental health services</w:t>
      </w:r>
      <w:r w:rsidR="005841BA">
        <w:t xml:space="preserve"> </w:t>
      </w:r>
      <w:r w:rsidR="00414E48">
        <w:t xml:space="preserve">and </w:t>
      </w:r>
      <w:r w:rsidR="005841BA">
        <w:t>the high levels</w:t>
      </w:r>
      <w:r w:rsidR="00414E48" w:rsidRPr="00414E48">
        <w:t xml:space="preserve"> of polypharmacy</w:t>
      </w:r>
      <w:r w:rsidR="00414E48">
        <w:t xml:space="preserve"> amongst adults with an intellectual disability over the age of 40.</w:t>
      </w:r>
    </w:p>
    <w:sectPr w:rsidR="00370F9B" w:rsidRPr="00370F9B" w:rsidSect="007F2320">
      <w:footerReference w:type="default" r:id="rId12"/>
      <w:pgSz w:w="12240" w:h="15840" w:code="1"/>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F6A3" w14:textId="77777777" w:rsidR="00F7140D" w:rsidRDefault="00F7140D">
      <w:r>
        <w:separator/>
      </w:r>
    </w:p>
  </w:endnote>
  <w:endnote w:type="continuationSeparator" w:id="0">
    <w:p w14:paraId="6C9764C2" w14:textId="77777777" w:rsidR="00F7140D" w:rsidRDefault="00F7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4D19" w14:textId="2433E22A" w:rsidR="00F7140D" w:rsidRDefault="00F7140D">
    <w:pPr>
      <w:pStyle w:val="Footer"/>
    </w:pPr>
    <w:r>
      <w:tab/>
    </w:r>
    <w:r>
      <w:tab/>
    </w:r>
    <w:r>
      <w:fldChar w:fldCharType="begin"/>
    </w:r>
    <w:r>
      <w:instrText xml:space="preserve"> PAGE  \* Arabic  \* MERGEFORMAT </w:instrText>
    </w:r>
    <w:r>
      <w:fldChar w:fldCharType="separate"/>
    </w:r>
    <w:r w:rsidR="0002422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4D05" w14:textId="77777777" w:rsidR="00F7140D" w:rsidRDefault="00F7140D">
      <w:r>
        <w:separator/>
      </w:r>
    </w:p>
  </w:footnote>
  <w:footnote w:type="continuationSeparator" w:id="0">
    <w:p w14:paraId="7E4C6F8F" w14:textId="77777777" w:rsidR="00F7140D" w:rsidRDefault="00F7140D">
      <w:r>
        <w:continuationSeparator/>
      </w:r>
    </w:p>
  </w:footnote>
  <w:footnote w:id="1">
    <w:p w14:paraId="052BA071" w14:textId="77777777" w:rsidR="00F7140D" w:rsidRPr="009D1F2B" w:rsidRDefault="00F7140D" w:rsidP="00412C00">
      <w:pPr>
        <w:pStyle w:val="FootnoteText"/>
        <w:rPr>
          <w:bCs/>
        </w:rPr>
      </w:pPr>
      <w:r>
        <w:rPr>
          <w:rStyle w:val="FootnoteReference"/>
        </w:rPr>
        <w:footnoteRef/>
      </w:r>
      <w:r>
        <w:t xml:space="preserve"> Central Statistics Office (2019) </w:t>
      </w:r>
      <w:r w:rsidRPr="009D1F2B">
        <w:rPr>
          <w:b/>
          <w:bCs/>
        </w:rPr>
        <w:t>Mortality Differentials in Ireland 2016-2017</w:t>
      </w:r>
      <w:r>
        <w:rPr>
          <w:b/>
          <w:bCs/>
        </w:rPr>
        <w:t xml:space="preserve">, </w:t>
      </w:r>
      <w:r>
        <w:rPr>
          <w:bCs/>
        </w:rPr>
        <w:t>available at</w:t>
      </w:r>
      <w:r w:rsidRPr="009D1F2B">
        <w:rPr>
          <w:sz w:val="26"/>
          <w:szCs w:val="24"/>
        </w:rPr>
        <w:t xml:space="preserve"> </w:t>
      </w:r>
      <w:hyperlink r:id="rId1" w:history="1">
        <w:r w:rsidRPr="009D1F2B">
          <w:rPr>
            <w:rStyle w:val="Hyperlink"/>
            <w:bCs/>
          </w:rPr>
          <w:t>https://www.cso.ie/en/releasesandpublications/in/mdi/mortalitydifferentialsinireland2016-2017/</w:t>
        </w:r>
      </w:hyperlink>
      <w:r>
        <w:rPr>
          <w:bCs/>
        </w:rPr>
        <w:t>.</w:t>
      </w:r>
    </w:p>
  </w:footnote>
  <w:footnote w:id="2">
    <w:p w14:paraId="75B6BE07" w14:textId="77777777" w:rsidR="00F7140D" w:rsidRPr="00CB44D8" w:rsidRDefault="00F7140D" w:rsidP="00412C00">
      <w:pPr>
        <w:pStyle w:val="FootnoteText"/>
        <w:spacing w:after="0"/>
        <w:rPr>
          <w:bCs/>
        </w:rPr>
      </w:pPr>
      <w:r>
        <w:rPr>
          <w:rStyle w:val="FootnoteReference"/>
        </w:rPr>
        <w:footnoteRef/>
      </w:r>
      <w:r>
        <w:t xml:space="preserve"> National Disability Authority (2020) </w:t>
      </w:r>
      <w:r w:rsidRPr="00CB44D8">
        <w:rPr>
          <w:b/>
          <w:bCs/>
        </w:rPr>
        <w:t>Mid-term Review of Progress under the National Disability Inclusion Strategy Indicators</w:t>
      </w:r>
      <w:r w:rsidRPr="00CB44D8">
        <w:rPr>
          <w:bCs/>
        </w:rPr>
        <w:t>, Dublin: NDA.</w:t>
      </w:r>
    </w:p>
  </w:footnote>
  <w:footnote w:id="3">
    <w:p w14:paraId="7EA50E79" w14:textId="77777777" w:rsidR="00F7140D" w:rsidRDefault="00F7140D" w:rsidP="00412C00">
      <w:pPr>
        <w:pStyle w:val="FootnoteText"/>
        <w:spacing w:after="0"/>
      </w:pPr>
      <w:r>
        <w:rPr>
          <w:rStyle w:val="FootnoteReference"/>
        </w:rPr>
        <w:footnoteRef/>
      </w:r>
      <w:r>
        <w:t xml:space="preserve"> ibid</w:t>
      </w:r>
    </w:p>
  </w:footnote>
  <w:footnote w:id="4">
    <w:p w14:paraId="1D292295" w14:textId="12E89E98" w:rsidR="00F7140D" w:rsidRDefault="00F7140D" w:rsidP="00412C00">
      <w:pPr>
        <w:pStyle w:val="FootnoteText"/>
        <w:spacing w:after="0"/>
      </w:pPr>
      <w:r>
        <w:rPr>
          <w:rStyle w:val="FootnoteReference"/>
        </w:rPr>
        <w:footnoteRef/>
      </w:r>
      <w:r>
        <w:t xml:space="preserve"> </w:t>
      </w:r>
      <w:r w:rsidRPr="00DA7EA5">
        <w:t xml:space="preserve">According to the CSO </w:t>
      </w:r>
      <w:r>
        <w:t>t</w:t>
      </w:r>
      <w:r w:rsidRPr="00DA7EA5">
        <w:t>here were variations in the matching rate across the various age-groups. In particular there was a significantly lower match rate for deaths in the 20 - 54 year age-groups. This may lead to over-estimation of life expectancy values since the matched mortality records will have less deaths at younger ages than the overall mortality file. Furthermore, since new matching methods, data sources and life table graduation methods have been used in this release, the current statistics are not directly comparable with the previous Mortality Differentials statistics for 2006/2007.</w:t>
      </w:r>
    </w:p>
  </w:footnote>
  <w:footnote w:id="5">
    <w:p w14:paraId="4E2073E3" w14:textId="77777777" w:rsidR="00F7140D" w:rsidRDefault="00F7140D" w:rsidP="00412C00">
      <w:pPr>
        <w:pStyle w:val="FootnoteText"/>
      </w:pPr>
      <w:r>
        <w:rPr>
          <w:rStyle w:val="FootnoteReference"/>
        </w:rPr>
        <w:footnoteRef/>
      </w:r>
      <w:r>
        <w:t xml:space="preserve"> </w:t>
      </w:r>
      <w:r w:rsidRPr="00CB44D8">
        <w:t xml:space="preserve">National Disability Authority (2020) </w:t>
      </w:r>
      <w:r w:rsidRPr="00CB44D8">
        <w:rPr>
          <w:b/>
          <w:bCs/>
        </w:rPr>
        <w:t>Mid-term Review of Progress under the National Disability Inclusion Strategy Indicators</w:t>
      </w:r>
      <w:r w:rsidRPr="00CB44D8">
        <w:rPr>
          <w:bCs/>
        </w:rPr>
        <w:t>, Dublin: NDA.</w:t>
      </w:r>
    </w:p>
  </w:footnote>
  <w:footnote w:id="6">
    <w:p w14:paraId="4E0AA96D" w14:textId="680BD2F1" w:rsidR="00F7140D" w:rsidRDefault="00F7140D" w:rsidP="00412C00">
      <w:pPr>
        <w:pStyle w:val="FootnoteText"/>
      </w:pPr>
      <w:r>
        <w:rPr>
          <w:rStyle w:val="FootnoteReference"/>
        </w:rPr>
        <w:footnoteRef/>
      </w:r>
      <w:r>
        <w:t xml:space="preserve"> Central Statistics Office (2021). Figures provided by the CSO to the NDA. </w:t>
      </w:r>
    </w:p>
  </w:footnote>
  <w:footnote w:id="7">
    <w:p w14:paraId="0A128BE6" w14:textId="77777777" w:rsidR="00F7140D" w:rsidRDefault="00F7140D" w:rsidP="00412C00">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p.106.</w:t>
      </w:r>
    </w:p>
  </w:footnote>
  <w:footnote w:id="8">
    <w:p w14:paraId="3C74130C" w14:textId="3BD18445" w:rsidR="00F7140D" w:rsidRDefault="00F7140D">
      <w:pPr>
        <w:pStyle w:val="FootnoteText"/>
      </w:pPr>
      <w:r>
        <w:rPr>
          <w:rStyle w:val="FootnoteReference"/>
        </w:rPr>
        <w:footnoteRef/>
      </w:r>
      <w:r>
        <w:t xml:space="preserve"> NDA (2021) Moving In, Moving On. Due to be published by end of 2021.</w:t>
      </w:r>
    </w:p>
  </w:footnote>
  <w:footnote w:id="9">
    <w:p w14:paraId="694073FE" w14:textId="471ED04D" w:rsidR="00F7140D" w:rsidRDefault="00F7140D">
      <w:pPr>
        <w:pStyle w:val="FootnoteText"/>
      </w:pPr>
      <w:r>
        <w:rPr>
          <w:rStyle w:val="FootnoteReference"/>
        </w:rPr>
        <w:footnoteRef/>
      </w:r>
      <w:r>
        <w:t xml:space="preserve"> NDA (2021) Moving In, Moving On. Due to be published by end of 2021.</w:t>
      </w:r>
    </w:p>
  </w:footnote>
  <w:footnote w:id="10">
    <w:p w14:paraId="048DAD1B" w14:textId="77777777" w:rsidR="00F7140D" w:rsidRDefault="00F7140D" w:rsidP="00412C00">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p.78.</w:t>
      </w:r>
    </w:p>
  </w:footnote>
  <w:footnote w:id="11">
    <w:p w14:paraId="4A36A147" w14:textId="77777777" w:rsidR="00F7140D" w:rsidRDefault="00F7140D" w:rsidP="00412C00">
      <w:pPr>
        <w:pStyle w:val="FootnoteText"/>
      </w:pPr>
      <w:r>
        <w:rPr>
          <w:rStyle w:val="FootnoteReference"/>
        </w:rPr>
        <w:footnoteRef/>
      </w:r>
      <w:r>
        <w:t xml:space="preserve"> </w:t>
      </w:r>
      <w:r w:rsidRPr="00202BC5">
        <w:t xml:space="preserve">McGlinchey, E., McCallion, P., McDermott, S., Foley, M., Burke, E.A., O’Donovan, M-A., McCausland, D., </w:t>
      </w:r>
      <w:r>
        <w:t>Gibney, S., McCarron, M. (2019)</w:t>
      </w:r>
      <w:r w:rsidRPr="00202BC5">
        <w:t xml:space="preserve"> </w:t>
      </w:r>
      <w:r w:rsidRPr="00202BC5">
        <w:rPr>
          <w:b/>
        </w:rPr>
        <w:t>Positive Ageing Indicators for People with an Intellectual Disability 2018</w:t>
      </w:r>
      <w:r>
        <w:t>,</w:t>
      </w:r>
      <w:r w:rsidRPr="00202BC5">
        <w:t xml:space="preserve"> Dublin: Trinity Centre for Ageing and Intellectual Disability.</w:t>
      </w:r>
    </w:p>
  </w:footnote>
  <w:footnote w:id="12">
    <w:p w14:paraId="2CD5EAAC" w14:textId="77777777" w:rsidR="00F7140D" w:rsidRDefault="00F7140D" w:rsidP="00412C00">
      <w:pPr>
        <w:pStyle w:val="FootnoteText"/>
        <w:spacing w:after="0"/>
      </w:pPr>
      <w:r>
        <w:rPr>
          <w:rStyle w:val="FootnoteReference"/>
        </w:rPr>
        <w:footnoteRef/>
      </w:r>
      <w:r>
        <w:t xml:space="preserve"> </w:t>
      </w:r>
      <w:r w:rsidRPr="00011E4F">
        <w:rPr>
          <w:bCs/>
        </w:rPr>
        <w:t>Economic and Social Research Institute and the Irish Human Rights and Equality Commission</w:t>
      </w:r>
      <w:r>
        <w:rPr>
          <w:bCs/>
        </w:rPr>
        <w:t xml:space="preserve"> (2018) </w:t>
      </w:r>
      <w:r w:rsidRPr="00202BC5">
        <w:rPr>
          <w:b/>
          <w:bCs/>
        </w:rPr>
        <w:t>Disability and Discrimination in Ireland: Evidence from the QNHS Equality Modules 2004, 2010, 2014</w:t>
      </w:r>
      <w:r>
        <w:rPr>
          <w:bCs/>
        </w:rPr>
        <w:t>, Dublin: ESRI &amp; IHREC, p.26.</w:t>
      </w:r>
    </w:p>
  </w:footnote>
  <w:footnote w:id="13">
    <w:p w14:paraId="2598A612" w14:textId="0D5B1756" w:rsidR="00F7140D" w:rsidRDefault="00F7140D" w:rsidP="00412C00">
      <w:pPr>
        <w:pStyle w:val="FootnoteText"/>
        <w:spacing w:after="0"/>
      </w:pPr>
      <w:r>
        <w:rPr>
          <w:rStyle w:val="FootnoteReference"/>
        </w:rPr>
        <w:footnoteRef/>
      </w:r>
      <w:r>
        <w:t xml:space="preserve"> </w:t>
      </w:r>
      <w:r w:rsidRPr="00316BC5">
        <w:rPr>
          <w:bCs/>
        </w:rPr>
        <w:t>ibid, p.x.</w:t>
      </w:r>
    </w:p>
  </w:footnote>
  <w:footnote w:id="14">
    <w:p w14:paraId="4C08088E" w14:textId="77777777" w:rsidR="00F7140D" w:rsidRDefault="00F7140D">
      <w:pPr>
        <w:pStyle w:val="FootnoteText"/>
      </w:pPr>
      <w:r>
        <w:rPr>
          <w:rStyle w:val="FootnoteReference"/>
        </w:rPr>
        <w:footnoteRef/>
      </w:r>
      <w:r>
        <w:t xml:space="preserve"> For more information, see the website of the Health Service Executive at </w:t>
      </w:r>
      <w:hyperlink r:id="rId2" w:history="1">
        <w:r w:rsidRPr="00882019">
          <w:rPr>
            <w:rStyle w:val="Hyperlink"/>
          </w:rPr>
          <w:t>https://www2.hse.ie/medical-cards/</w:t>
        </w:r>
      </w:hyperlink>
      <w:r>
        <w:t>.</w:t>
      </w:r>
    </w:p>
  </w:footnote>
  <w:footnote w:id="15">
    <w:p w14:paraId="6B3D01C8" w14:textId="77777777" w:rsidR="00F7140D" w:rsidRPr="00882019" w:rsidRDefault="00F7140D" w:rsidP="009E0528">
      <w:pPr>
        <w:pStyle w:val="FootnoteText"/>
        <w:spacing w:after="0"/>
        <w:rPr>
          <w:b/>
          <w:bCs/>
        </w:rPr>
      </w:pPr>
      <w:r>
        <w:rPr>
          <w:rStyle w:val="FootnoteReference"/>
        </w:rPr>
        <w:footnoteRef/>
      </w:r>
      <w:r>
        <w:t xml:space="preserve"> Department of Health,</w:t>
      </w:r>
      <w:r>
        <w:rPr>
          <w:rFonts w:ascii="Lato" w:hAnsi="Lato"/>
          <w:color w:val="004D44"/>
          <w:kern w:val="36"/>
          <w:sz w:val="48"/>
          <w:szCs w:val="48"/>
          <w:lang w:eastAsia="en-IE"/>
        </w:rPr>
        <w:t xml:space="preserve"> </w:t>
      </w:r>
      <w:r w:rsidRPr="00882019">
        <w:rPr>
          <w:bCs/>
        </w:rPr>
        <w:t>New Medical Card Measures to Remove Barriers to Work for People with Disabilities – over 250% increase in earnings disregard, 30 November 2018 &lt;</w:t>
      </w:r>
      <w:hyperlink r:id="rId3" w:history="1">
        <w:r w:rsidRPr="0017389A">
          <w:rPr>
            <w:rStyle w:val="Hyperlink"/>
          </w:rPr>
          <w:t>https://www.gov.ie/en/press-release/c4f82d-new-medical-card-measures-to-remove-barriers-to-work-for-people-with/</w:t>
        </w:r>
      </w:hyperlink>
      <w:r w:rsidRPr="00882019">
        <w:rPr>
          <w:bCs/>
        </w:rPr>
        <w:t>&gt;.</w:t>
      </w:r>
      <w:r w:rsidRPr="00882019">
        <w:rPr>
          <w:rStyle w:val="Hyperlink"/>
        </w:rPr>
        <w:t xml:space="preserve"> </w:t>
      </w:r>
    </w:p>
  </w:footnote>
  <w:footnote w:id="16">
    <w:p w14:paraId="30192AC2" w14:textId="77777777" w:rsidR="00F7140D" w:rsidRDefault="00F7140D" w:rsidP="009E0528">
      <w:pPr>
        <w:pStyle w:val="FootnoteText"/>
        <w:spacing w:after="0"/>
      </w:pPr>
      <w:r>
        <w:rPr>
          <w:rStyle w:val="FootnoteReference"/>
        </w:rPr>
        <w:footnoteRef/>
      </w:r>
      <w:r>
        <w:t xml:space="preserve"> HSE (2019) </w:t>
      </w:r>
      <w:r w:rsidRPr="00593B6C">
        <w:rPr>
          <w:b/>
        </w:rPr>
        <w:t>Medical Card and GP Visit Card National Assessment Guidelines</w:t>
      </w:r>
      <w:r>
        <w:t>, Dublin: HSE, p.36.</w:t>
      </w:r>
    </w:p>
  </w:footnote>
  <w:footnote w:id="17">
    <w:p w14:paraId="1E7A3977" w14:textId="77777777" w:rsidR="00F7140D" w:rsidRDefault="00F7140D" w:rsidP="009E0528">
      <w:pPr>
        <w:pStyle w:val="FootnoteText"/>
        <w:spacing w:after="0"/>
      </w:pPr>
      <w:r>
        <w:rPr>
          <w:rStyle w:val="FootnoteReference"/>
        </w:rPr>
        <w:footnoteRef/>
      </w:r>
      <w:r>
        <w:t xml:space="preserve"> For more information, see the website of the Health Service Executive at </w:t>
      </w:r>
      <w:hyperlink r:id="rId4" w:history="1">
        <w:r w:rsidRPr="00882019">
          <w:rPr>
            <w:rStyle w:val="Hyperlink"/>
          </w:rPr>
          <w:t>https://www2.hse.ie/services/gp-visit-cards/gp-visit-cards.html</w:t>
        </w:r>
      </w:hyperlink>
    </w:p>
  </w:footnote>
  <w:footnote w:id="18">
    <w:p w14:paraId="51FB3B9C" w14:textId="21182487" w:rsidR="00F7140D" w:rsidRDefault="00F7140D" w:rsidP="009E0528">
      <w:pPr>
        <w:pStyle w:val="FootnoteText"/>
        <w:spacing w:after="0"/>
      </w:pPr>
      <w:r>
        <w:rPr>
          <w:rStyle w:val="FootnoteReference"/>
        </w:rPr>
        <w:footnoteRef/>
      </w:r>
      <w:r>
        <w:t xml:space="preserve"> HSE (2021) </w:t>
      </w:r>
      <w:r>
        <w:rPr>
          <w:b/>
        </w:rPr>
        <w:t xml:space="preserve">National </w:t>
      </w:r>
      <w:r w:rsidRPr="00870D1E">
        <w:rPr>
          <w:b/>
        </w:rPr>
        <w:t>Service Plan 202</w:t>
      </w:r>
      <w:r>
        <w:rPr>
          <w:b/>
        </w:rPr>
        <w:t>1</w:t>
      </w:r>
      <w:r>
        <w:t>, Dublin: HSE, p.139.</w:t>
      </w:r>
    </w:p>
  </w:footnote>
  <w:footnote w:id="19">
    <w:p w14:paraId="2E2A9E0C" w14:textId="77777777" w:rsidR="00F7140D" w:rsidRDefault="00F7140D">
      <w:pPr>
        <w:pStyle w:val="FootnoteText"/>
      </w:pPr>
      <w:r>
        <w:rPr>
          <w:rStyle w:val="FootnoteReference"/>
        </w:rPr>
        <w:footnoteRef/>
      </w:r>
      <w:r>
        <w:t xml:space="preserve"> Department of Health (2019) </w:t>
      </w:r>
      <w:r w:rsidRPr="00870D1E">
        <w:rPr>
          <w:b/>
        </w:rPr>
        <w:t>Report of the Independent Review Group established to examine the role of voluntary organisations in publicly funded health and personal social services</w:t>
      </w:r>
      <w:r>
        <w:t>, Dublin: DoH.</w:t>
      </w:r>
    </w:p>
  </w:footnote>
  <w:footnote w:id="20">
    <w:p w14:paraId="33FE0C0D" w14:textId="16886FE7" w:rsidR="00F7140D" w:rsidRDefault="00F7140D">
      <w:pPr>
        <w:pStyle w:val="FootnoteText"/>
      </w:pPr>
      <w:r>
        <w:rPr>
          <w:rStyle w:val="FootnoteReference"/>
        </w:rPr>
        <w:footnoteRef/>
      </w:r>
      <w:r>
        <w:t xml:space="preserve"> Health Insurance Authority (2021) </w:t>
      </w:r>
      <w:r w:rsidRPr="008C303B">
        <w:rPr>
          <w:b/>
        </w:rPr>
        <w:t xml:space="preserve">Annual Report </w:t>
      </w:r>
      <w:r>
        <w:rPr>
          <w:b/>
        </w:rPr>
        <w:t>2020</w:t>
      </w:r>
      <w:r>
        <w:t>, Dublin: HIA.</w:t>
      </w:r>
    </w:p>
  </w:footnote>
  <w:footnote w:id="21">
    <w:p w14:paraId="34211275" w14:textId="77777777" w:rsidR="00F7140D" w:rsidRDefault="00F7140D">
      <w:pPr>
        <w:pStyle w:val="FootnoteText"/>
      </w:pPr>
      <w:r>
        <w:rPr>
          <w:rStyle w:val="FootnoteReference"/>
        </w:rPr>
        <w:footnoteRef/>
      </w:r>
      <w:r>
        <w:t xml:space="preserve"> Health Insurance Authority, Market Figures, December 2019 &lt;</w:t>
      </w:r>
      <w:hyperlink r:id="rId5" w:history="1">
        <w:r w:rsidRPr="008C303B">
          <w:rPr>
            <w:rStyle w:val="Hyperlink"/>
          </w:rPr>
          <w:t>https://www.hia.ie/sites/default/files/Market%20Figures%20Dec%202019.pdf</w:t>
        </w:r>
      </w:hyperlink>
      <w:r>
        <w:t>&gt;.</w:t>
      </w:r>
    </w:p>
  </w:footnote>
  <w:footnote w:id="22">
    <w:p w14:paraId="73CDF422" w14:textId="77777777" w:rsidR="00F7140D" w:rsidRDefault="00F7140D">
      <w:pPr>
        <w:pStyle w:val="FootnoteText"/>
      </w:pPr>
      <w:r>
        <w:rPr>
          <w:rStyle w:val="FootnoteReference"/>
        </w:rPr>
        <w:footnoteRef/>
      </w:r>
      <w:r>
        <w:t xml:space="preserve"> Health Insurance Authority (2018) </w:t>
      </w:r>
      <w:r w:rsidRPr="00BF3FD7">
        <w:rPr>
          <w:b/>
        </w:rPr>
        <w:t>The Irish Healthcare System: An Historical and Comparative Review</w:t>
      </w:r>
      <w:r>
        <w:t>, Dublin: HIA, p.53.</w:t>
      </w:r>
    </w:p>
  </w:footnote>
  <w:footnote w:id="23">
    <w:p w14:paraId="3F1BB031" w14:textId="77777777" w:rsidR="00F7140D" w:rsidRDefault="00F7140D">
      <w:pPr>
        <w:pStyle w:val="FootnoteText"/>
      </w:pPr>
      <w:r>
        <w:rPr>
          <w:rStyle w:val="FootnoteReference"/>
        </w:rPr>
        <w:footnoteRef/>
      </w:r>
      <w:r>
        <w:t xml:space="preserve"> Health Insurance Authority (2018) </w:t>
      </w:r>
      <w:r w:rsidRPr="00BF3FD7">
        <w:rPr>
          <w:b/>
        </w:rPr>
        <w:t>The Irish Healthcare System: An Historical and Comparative Review</w:t>
      </w:r>
      <w:r>
        <w:t>, Dublin: HIA, p.47.</w:t>
      </w:r>
    </w:p>
  </w:footnote>
  <w:footnote w:id="24">
    <w:p w14:paraId="24431AC0" w14:textId="77777777" w:rsidR="00F7140D" w:rsidRDefault="00F7140D">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p.103.</w:t>
      </w:r>
    </w:p>
  </w:footnote>
  <w:footnote w:id="25">
    <w:p w14:paraId="0373C86B" w14:textId="49EFE954" w:rsidR="00F7140D" w:rsidRDefault="00F7140D">
      <w:pPr>
        <w:pStyle w:val="FootnoteText"/>
      </w:pPr>
      <w:r>
        <w:rPr>
          <w:rStyle w:val="FootnoteReference"/>
        </w:rPr>
        <w:footnoteRef/>
      </w:r>
      <w:r>
        <w:t xml:space="preserve"> </w:t>
      </w:r>
      <w:r w:rsidRPr="00AE5343">
        <w:t>E</w:t>
      </w:r>
      <w:r>
        <w:t xml:space="preserve">uropean Commission (2017) </w:t>
      </w:r>
      <w:r w:rsidRPr="001D6514">
        <w:rPr>
          <w:b/>
        </w:rPr>
        <w:t>State of Health in the EU Ireland Country Health Profile 2017</w:t>
      </w:r>
      <w:r>
        <w:t>, Brussels: EC, p.7.</w:t>
      </w:r>
    </w:p>
  </w:footnote>
  <w:footnote w:id="26">
    <w:p w14:paraId="6F6B1F5E" w14:textId="77777777" w:rsidR="00F7140D" w:rsidRDefault="00F7140D" w:rsidP="007A10B6">
      <w:pPr>
        <w:pStyle w:val="FootnoteText"/>
      </w:pPr>
      <w:r>
        <w:rPr>
          <w:rStyle w:val="FootnoteReference"/>
        </w:rPr>
        <w:footnoteRef/>
      </w:r>
      <w:r>
        <w:t xml:space="preserve"> National Treatment Purchase Fund, 2021a, Outpatient by Hospital as at 29/07/2021 </w:t>
      </w:r>
      <w:r w:rsidRPr="003A3F57">
        <w:t>https://www.ntpf.ie/home/pdf//2021/07/nationalnumbers/out-patient/National01.pdf</w:t>
      </w:r>
    </w:p>
  </w:footnote>
  <w:footnote w:id="27">
    <w:p w14:paraId="7B9F512E" w14:textId="77777777" w:rsidR="00F7140D" w:rsidRDefault="00F7140D" w:rsidP="007A10B6">
      <w:pPr>
        <w:pStyle w:val="FootnoteText"/>
      </w:pPr>
      <w:r>
        <w:rPr>
          <w:rStyle w:val="FootnoteReference"/>
        </w:rPr>
        <w:footnoteRef/>
      </w:r>
      <w:r>
        <w:t xml:space="preserve"> National Treatment Purchase Fund , 2021b, </w:t>
      </w:r>
      <w:r w:rsidRPr="004C7E41">
        <w:t>Inpatient/Day Case as at 29/07/2021</w:t>
      </w:r>
      <w:r>
        <w:t xml:space="preserve"> </w:t>
      </w:r>
      <w:r w:rsidRPr="003A3F57">
        <w:t>https://www.ntpf.ie/home/pdf//2021/07/nationalnumbers/in-patient/National01.pdf</w:t>
      </w:r>
    </w:p>
  </w:footnote>
  <w:footnote w:id="28">
    <w:p w14:paraId="610CA41B" w14:textId="77777777" w:rsidR="00F7140D" w:rsidRDefault="00F7140D" w:rsidP="00E9079B">
      <w:pPr>
        <w:pStyle w:val="FootnoteText"/>
        <w:spacing w:after="0"/>
      </w:pPr>
      <w:r>
        <w:rPr>
          <w:rStyle w:val="FootnoteReference"/>
        </w:rPr>
        <w:footnoteRef/>
      </w:r>
      <w:r>
        <w:t xml:space="preserve"> Committee on the Future of Healthcare (2018) </w:t>
      </w:r>
      <w:r w:rsidRPr="00202BC5">
        <w:rPr>
          <w:b/>
        </w:rPr>
        <w:t>Sláintecare</w:t>
      </w:r>
      <w:r>
        <w:t>, Dublin: Houses of the Oireachtas.</w:t>
      </w:r>
    </w:p>
  </w:footnote>
  <w:footnote w:id="29">
    <w:p w14:paraId="3D008842" w14:textId="77777777" w:rsidR="00F7140D" w:rsidRDefault="00F7140D" w:rsidP="00E9079B">
      <w:pPr>
        <w:pStyle w:val="FootnoteText"/>
        <w:spacing w:after="0"/>
      </w:pPr>
      <w:r>
        <w:rPr>
          <w:rStyle w:val="FootnoteReference"/>
        </w:rPr>
        <w:footnoteRef/>
      </w:r>
      <w:r>
        <w:t xml:space="preserve"> Department of Health (2013) </w:t>
      </w:r>
      <w:r w:rsidRPr="00202BC5">
        <w:rPr>
          <w:b/>
        </w:rPr>
        <w:t>Healthy Ireland – A Framework for Improved Health and Wellbeing 2013– 2025</w:t>
      </w:r>
      <w:r>
        <w:t>, Dublin: DoH.</w:t>
      </w:r>
    </w:p>
  </w:footnote>
  <w:footnote w:id="30">
    <w:p w14:paraId="58782DC2" w14:textId="77777777" w:rsidR="00F7140D" w:rsidRDefault="00F7140D" w:rsidP="00E9079B">
      <w:pPr>
        <w:pStyle w:val="FootnoteText"/>
        <w:spacing w:after="0"/>
      </w:pPr>
      <w:r>
        <w:rPr>
          <w:rStyle w:val="FootnoteReference"/>
        </w:rPr>
        <w:footnoteRef/>
      </w:r>
      <w:r>
        <w:t xml:space="preserve"> Department of Health (2019) </w:t>
      </w:r>
      <w:r w:rsidRPr="00BA77C3">
        <w:rPr>
          <w:b/>
        </w:rPr>
        <w:t>Reducing Harm, Supporting Recovery 2017-2025</w:t>
      </w:r>
      <w:r>
        <w:t>, Dublin: DoH.</w:t>
      </w:r>
    </w:p>
  </w:footnote>
  <w:footnote w:id="31">
    <w:p w14:paraId="158046E4" w14:textId="77777777" w:rsidR="00F7140D" w:rsidRPr="00BA77C3" w:rsidRDefault="00F7140D" w:rsidP="00E9079B">
      <w:pPr>
        <w:pStyle w:val="FootnoteText"/>
        <w:spacing w:after="0"/>
      </w:pPr>
      <w:r>
        <w:rPr>
          <w:rStyle w:val="FootnoteReference"/>
        </w:rPr>
        <w:footnoteRef/>
      </w:r>
      <w:r>
        <w:t xml:space="preserve"> Department of Health (2018) </w:t>
      </w:r>
      <w:r>
        <w:rPr>
          <w:b/>
        </w:rPr>
        <w:t xml:space="preserve">A Trauma System for Ireland, </w:t>
      </w:r>
      <w:r>
        <w:t>Dublin: DoH.</w:t>
      </w:r>
    </w:p>
  </w:footnote>
  <w:footnote w:id="32">
    <w:p w14:paraId="752C6361" w14:textId="77777777" w:rsidR="00F7140D" w:rsidRPr="001E2AC3" w:rsidRDefault="00F7140D" w:rsidP="00DF1054">
      <w:pPr>
        <w:pStyle w:val="FootnoteText"/>
        <w:spacing w:after="0"/>
        <w:rPr>
          <w:bCs/>
          <w:iCs/>
        </w:rPr>
      </w:pPr>
      <w:r>
        <w:rPr>
          <w:rStyle w:val="FootnoteReference"/>
        </w:rPr>
        <w:footnoteRef/>
      </w:r>
      <w:r>
        <w:t xml:space="preserve"> Department of Health (2017) </w:t>
      </w:r>
      <w:r w:rsidRPr="001E2AC3">
        <w:rPr>
          <w:b/>
          <w:bCs/>
          <w:iCs/>
        </w:rPr>
        <w:t>Nat</w:t>
      </w:r>
      <w:r>
        <w:rPr>
          <w:b/>
          <w:bCs/>
          <w:iCs/>
        </w:rPr>
        <w:t xml:space="preserve">ional Cancer Strategy 2017-2026, </w:t>
      </w:r>
      <w:r>
        <w:rPr>
          <w:bCs/>
          <w:iCs/>
        </w:rPr>
        <w:t>Dublin: DoH, p.91.</w:t>
      </w:r>
    </w:p>
  </w:footnote>
  <w:footnote w:id="33">
    <w:p w14:paraId="42ED762D" w14:textId="77777777" w:rsidR="00F7140D" w:rsidRDefault="00F7140D" w:rsidP="00E9079B">
      <w:pPr>
        <w:pStyle w:val="FootnoteText"/>
        <w:spacing w:after="0"/>
      </w:pPr>
      <w:r>
        <w:rPr>
          <w:rStyle w:val="FootnoteReference"/>
        </w:rPr>
        <w:footnoteRef/>
      </w:r>
      <w:r>
        <w:t xml:space="preserve"> Department of Health (2017) </w:t>
      </w:r>
      <w:r w:rsidRPr="001E2AC3">
        <w:rPr>
          <w:b/>
          <w:bCs/>
          <w:iCs/>
        </w:rPr>
        <w:t>Nat</w:t>
      </w:r>
      <w:r>
        <w:rPr>
          <w:b/>
          <w:bCs/>
          <w:iCs/>
        </w:rPr>
        <w:t xml:space="preserve">ional Cancer Strategy 2017-2026, </w:t>
      </w:r>
      <w:r>
        <w:rPr>
          <w:bCs/>
          <w:iCs/>
        </w:rPr>
        <w:t>Dublin: DoH, p.91.</w:t>
      </w:r>
    </w:p>
  </w:footnote>
  <w:footnote w:id="34">
    <w:p w14:paraId="2ADB7297" w14:textId="77777777" w:rsidR="00F7140D" w:rsidRPr="00C72696" w:rsidRDefault="00F7140D" w:rsidP="00E9079B">
      <w:pPr>
        <w:pStyle w:val="FootnoteText"/>
        <w:spacing w:after="0"/>
        <w:rPr>
          <w:b/>
          <w:bCs/>
          <w:iCs/>
        </w:rPr>
      </w:pPr>
      <w:r>
        <w:rPr>
          <w:rStyle w:val="FootnoteReference"/>
        </w:rPr>
        <w:footnoteRef/>
      </w:r>
      <w:r>
        <w:t xml:space="preserve"> Health Service Executive (2019) </w:t>
      </w:r>
      <w:r w:rsidRPr="00C72696">
        <w:rPr>
          <w:b/>
          <w:bCs/>
          <w:iCs/>
        </w:rPr>
        <w:t>Pa</w:t>
      </w:r>
      <w:r>
        <w:rPr>
          <w:b/>
          <w:bCs/>
          <w:iCs/>
        </w:rPr>
        <w:t>tient Safety Strategy 2019-2024</w:t>
      </w:r>
      <w:r>
        <w:t>, Dublin: HSE.</w:t>
      </w:r>
    </w:p>
  </w:footnote>
  <w:footnote w:id="35">
    <w:p w14:paraId="75A38E61" w14:textId="40FB138A" w:rsidR="00F7140D" w:rsidRDefault="00F7140D">
      <w:pPr>
        <w:pStyle w:val="FootnoteText"/>
      </w:pPr>
      <w:r>
        <w:rPr>
          <w:rStyle w:val="FootnoteReference"/>
        </w:rPr>
        <w:footnoteRef/>
      </w:r>
      <w:r>
        <w:t xml:space="preserve"> Patient Advocacy Service - </w:t>
      </w:r>
      <w:hyperlink r:id="rId6" w:history="1">
        <w:r w:rsidRPr="00A179EF">
          <w:rPr>
            <w:rStyle w:val="Hyperlink"/>
          </w:rPr>
          <w:t>https://www.patientadvocacyservice.ie/</w:t>
        </w:r>
      </w:hyperlink>
    </w:p>
  </w:footnote>
  <w:footnote w:id="36">
    <w:p w14:paraId="3FC7E751" w14:textId="77777777" w:rsidR="00F7140D" w:rsidRPr="00B74E5F" w:rsidRDefault="00F7140D" w:rsidP="00E9079B">
      <w:pPr>
        <w:pStyle w:val="FootnoteText"/>
        <w:spacing w:after="0"/>
        <w:rPr>
          <w:bCs/>
          <w:iCs/>
        </w:rPr>
      </w:pPr>
      <w:r>
        <w:rPr>
          <w:rStyle w:val="FootnoteReference"/>
        </w:rPr>
        <w:footnoteRef/>
      </w:r>
      <w:r>
        <w:t xml:space="preserve"> Department of Children and Health (2011) </w:t>
      </w:r>
      <w:r w:rsidRPr="00B74E5F">
        <w:rPr>
          <w:b/>
          <w:bCs/>
          <w:iCs/>
        </w:rPr>
        <w:t>National Strategy &amp; Policy for the Provision of Neuro-Rehabilitation Services in Ireland</w:t>
      </w:r>
      <w:r>
        <w:rPr>
          <w:bCs/>
          <w:iCs/>
        </w:rPr>
        <w:t>, Dublin: DoCH.</w:t>
      </w:r>
    </w:p>
  </w:footnote>
  <w:footnote w:id="37">
    <w:p w14:paraId="7301EDCF" w14:textId="77777777" w:rsidR="00F7140D" w:rsidRDefault="00F7140D" w:rsidP="00E9079B">
      <w:pPr>
        <w:pStyle w:val="FootnoteText"/>
        <w:spacing w:after="0"/>
      </w:pPr>
      <w:r>
        <w:rPr>
          <w:rStyle w:val="FootnoteReference"/>
        </w:rPr>
        <w:footnoteRef/>
      </w:r>
      <w:r>
        <w:t xml:space="preserve"> Health Service Executive (2019) </w:t>
      </w:r>
      <w:r w:rsidRPr="00E32453">
        <w:rPr>
          <w:b/>
        </w:rPr>
        <w:t>National Strategy &amp; Policy for the Provision of Neuro-Rehabilitation Services in Ireland: Implementation Framework 2019-2021</w:t>
      </w:r>
      <w:r>
        <w:t>, Dublin: HSE.</w:t>
      </w:r>
    </w:p>
  </w:footnote>
  <w:footnote w:id="38">
    <w:p w14:paraId="2C0D00CE" w14:textId="77777777" w:rsidR="00F7140D" w:rsidRDefault="00F7140D" w:rsidP="00E9079B">
      <w:pPr>
        <w:pStyle w:val="FootnoteText"/>
        <w:spacing w:after="0"/>
      </w:pPr>
      <w:r>
        <w:rPr>
          <w:rStyle w:val="FootnoteReference"/>
        </w:rPr>
        <w:footnoteRef/>
      </w:r>
      <w:r>
        <w:t xml:space="preserve"> Health Service Executive (2019) </w:t>
      </w:r>
      <w:r w:rsidRPr="000A2A78">
        <w:rPr>
          <w:b/>
        </w:rPr>
        <w:t>National Service Plan 2020</w:t>
      </w:r>
      <w:r>
        <w:t>, Dublin: HSE, p.56.</w:t>
      </w:r>
    </w:p>
  </w:footnote>
  <w:footnote w:id="39">
    <w:p w14:paraId="09E4BA2D" w14:textId="62221000" w:rsidR="00F7140D" w:rsidRDefault="00F7140D">
      <w:pPr>
        <w:pStyle w:val="FootnoteText"/>
      </w:pPr>
      <w:r>
        <w:rPr>
          <w:rStyle w:val="FootnoteReference"/>
        </w:rPr>
        <w:footnoteRef/>
      </w:r>
      <w:r>
        <w:t xml:space="preserve"> Ibid, p.110</w:t>
      </w:r>
      <w:r w:rsidRPr="00BF2B71">
        <w:t>.</w:t>
      </w:r>
    </w:p>
  </w:footnote>
  <w:footnote w:id="40">
    <w:p w14:paraId="26C713EF" w14:textId="77777777" w:rsidR="00F7140D" w:rsidRDefault="00F7140D">
      <w:pPr>
        <w:pStyle w:val="FootnoteText"/>
      </w:pPr>
      <w:r>
        <w:rPr>
          <w:rStyle w:val="FootnoteReference"/>
        </w:rPr>
        <w:footnoteRef/>
      </w:r>
      <w:r>
        <w:t xml:space="preserve"> Working Group 1 (2018) </w:t>
      </w:r>
      <w:r w:rsidRPr="00C72696">
        <w:rPr>
          <w:b/>
        </w:rPr>
        <w:t>Transforming Lives: Report on Future Needs for Disability Services</w:t>
      </w:r>
      <w:r>
        <w:t>, Dublin: Working Group 1.</w:t>
      </w:r>
    </w:p>
  </w:footnote>
  <w:footnote w:id="41">
    <w:p w14:paraId="3E548B85" w14:textId="4848DDCF" w:rsidR="00F7140D" w:rsidRDefault="00F7140D">
      <w:pPr>
        <w:pStyle w:val="FootnoteText"/>
      </w:pPr>
      <w:r>
        <w:rPr>
          <w:rStyle w:val="FootnoteReference"/>
        </w:rPr>
        <w:footnoteRef/>
      </w:r>
      <w:r>
        <w:t xml:space="preserve"> Ibid, p.10.</w:t>
      </w:r>
    </w:p>
  </w:footnote>
  <w:footnote w:id="42">
    <w:p w14:paraId="4C794309" w14:textId="0A82B7EC" w:rsidR="00F7140D" w:rsidRDefault="00F7140D">
      <w:pPr>
        <w:pStyle w:val="FootnoteText"/>
      </w:pPr>
      <w:r>
        <w:rPr>
          <w:rStyle w:val="FootnoteReference"/>
        </w:rPr>
        <w:footnoteRef/>
      </w:r>
      <w:r>
        <w:t xml:space="preserve"> Ibid, p.63.</w:t>
      </w:r>
    </w:p>
  </w:footnote>
  <w:footnote w:id="43">
    <w:p w14:paraId="630D8250" w14:textId="77777777" w:rsidR="00F7140D" w:rsidRDefault="00F7140D" w:rsidP="009C508D">
      <w:pPr>
        <w:pStyle w:val="FootnoteText"/>
        <w:spacing w:after="0"/>
      </w:pPr>
      <w:r>
        <w:rPr>
          <w:rStyle w:val="FootnoteReference"/>
        </w:rPr>
        <w:footnoteRef/>
      </w:r>
      <w:r>
        <w:t xml:space="preserve"> Health Service Executive (2019) </w:t>
      </w:r>
      <w:r>
        <w:rPr>
          <w:b/>
        </w:rPr>
        <w:t xml:space="preserve">National Service Plan 2020, </w:t>
      </w:r>
      <w:r>
        <w:t xml:space="preserve">Dublin: HSE, p.137. </w:t>
      </w:r>
    </w:p>
  </w:footnote>
  <w:footnote w:id="44">
    <w:p w14:paraId="163F91A3" w14:textId="67300A1A" w:rsidR="00F7140D" w:rsidRDefault="00F7140D" w:rsidP="009C508D">
      <w:pPr>
        <w:pStyle w:val="FootnoteText"/>
        <w:spacing w:after="0"/>
      </w:pPr>
      <w:r>
        <w:rPr>
          <w:rStyle w:val="FootnoteReference"/>
        </w:rPr>
        <w:footnoteRef/>
      </w:r>
      <w:r>
        <w:t xml:space="preserve"> Health Service Executive (2019) </w:t>
      </w:r>
      <w:r w:rsidRPr="00BE6F1B">
        <w:rPr>
          <w:b/>
        </w:rPr>
        <w:t>Performance Profile July – September 2019 Quarterly Report,</w:t>
      </w:r>
      <w:r>
        <w:t xml:space="preserve"> Dublin: HSE, p.26.</w:t>
      </w:r>
    </w:p>
  </w:footnote>
  <w:footnote w:id="45">
    <w:p w14:paraId="184D334C" w14:textId="77777777" w:rsidR="00F7140D" w:rsidRDefault="00F7140D" w:rsidP="009C508D">
      <w:pPr>
        <w:pStyle w:val="FootnoteText"/>
        <w:spacing w:after="0"/>
      </w:pPr>
      <w:r>
        <w:rPr>
          <w:rStyle w:val="FootnoteReference"/>
        </w:rPr>
        <w:footnoteRef/>
      </w:r>
      <w:r>
        <w:t xml:space="preserve"> Working Group 1 (2018) </w:t>
      </w:r>
      <w:r w:rsidRPr="00C72696">
        <w:rPr>
          <w:b/>
        </w:rPr>
        <w:t>Transforming Lives: Report on Future Needs for Disability Services</w:t>
      </w:r>
      <w:r>
        <w:t>, Dublin: Working Group 1, p.9.</w:t>
      </w:r>
    </w:p>
  </w:footnote>
  <w:footnote w:id="46">
    <w:p w14:paraId="64B5A43A" w14:textId="77777777" w:rsidR="00F7140D" w:rsidRDefault="00F7140D" w:rsidP="009C508D">
      <w:pPr>
        <w:pStyle w:val="FootnoteText"/>
        <w:spacing w:after="0"/>
      </w:pPr>
      <w:r>
        <w:rPr>
          <w:rStyle w:val="FootnoteReference"/>
        </w:rPr>
        <w:footnoteRef/>
      </w:r>
      <w:r>
        <w:t xml:space="preserve"> HIQA (2013) </w:t>
      </w:r>
      <w:r w:rsidRPr="000F1EE0">
        <w:rPr>
          <w:b/>
          <w:iCs/>
        </w:rPr>
        <w:t>National Standards for Residential Services for Children and Adults with Disabilities</w:t>
      </w:r>
      <w:r>
        <w:rPr>
          <w:iCs/>
        </w:rPr>
        <w:t>, Dublin: HIQA.</w:t>
      </w:r>
    </w:p>
  </w:footnote>
  <w:footnote w:id="47">
    <w:p w14:paraId="276A3910" w14:textId="77777777" w:rsidR="00F7140D" w:rsidRDefault="00F7140D" w:rsidP="009C508D">
      <w:pPr>
        <w:pStyle w:val="FootnoteText"/>
        <w:spacing w:after="0"/>
      </w:pPr>
      <w:r>
        <w:rPr>
          <w:rStyle w:val="FootnoteReference"/>
        </w:rPr>
        <w:footnoteRef/>
      </w:r>
      <w:r>
        <w:t xml:space="preserve"> National Disability Authority (2019) </w:t>
      </w:r>
      <w:r w:rsidRPr="000F1EE0">
        <w:rPr>
          <w:b/>
        </w:rPr>
        <w:t>Exploring the Experiences of Users of Disability Respite Services in Ireland</w:t>
      </w:r>
      <w:r>
        <w:t>, Dublin: NDA.</w:t>
      </w:r>
    </w:p>
  </w:footnote>
  <w:footnote w:id="48">
    <w:p w14:paraId="311BD52F" w14:textId="77777777" w:rsidR="00F7140D" w:rsidRPr="000F1EE0" w:rsidRDefault="00F7140D" w:rsidP="009C508D">
      <w:pPr>
        <w:pStyle w:val="FootnoteText"/>
        <w:spacing w:after="0"/>
      </w:pPr>
      <w:r>
        <w:rPr>
          <w:rStyle w:val="FootnoteReference"/>
        </w:rPr>
        <w:footnoteRef/>
      </w:r>
      <w:r>
        <w:t xml:space="preserve"> Health Service Executive (2016) </w:t>
      </w:r>
      <w:r w:rsidRPr="000F1EE0">
        <w:rPr>
          <w:b/>
          <w:bCs/>
        </w:rPr>
        <w:t>National Guidelines on Accessible Health and Social Care Services</w:t>
      </w:r>
      <w:r>
        <w:rPr>
          <w:b/>
          <w:bCs/>
        </w:rPr>
        <w:t xml:space="preserve">, </w:t>
      </w:r>
      <w:r>
        <w:rPr>
          <w:bCs/>
        </w:rPr>
        <w:t>Dublin: HSE &amp; NDA.</w:t>
      </w:r>
    </w:p>
  </w:footnote>
  <w:footnote w:id="49">
    <w:p w14:paraId="13CE32A9" w14:textId="77777777" w:rsidR="00F7140D" w:rsidRDefault="00F7140D" w:rsidP="009C508D">
      <w:pPr>
        <w:pStyle w:val="FootnoteText"/>
        <w:spacing w:after="0"/>
      </w:pPr>
      <w:r>
        <w:rPr>
          <w:rStyle w:val="FootnoteReference"/>
        </w:rPr>
        <w:footnoteRef/>
      </w:r>
      <w:r>
        <w:t xml:space="preserve"> </w:t>
      </w:r>
      <w:r w:rsidRPr="000F1EE0">
        <w:t xml:space="preserve">Grey, T., Xidous, D., Kennelly, S., Mahon, S., Mannion, V., de Freine, P., Dockrell, D., de Siún, A., Murphy, N., Craddock, G., O’Neill, D. (2018) </w:t>
      </w:r>
      <w:r w:rsidRPr="000F1EE0">
        <w:rPr>
          <w:b/>
        </w:rPr>
        <w:t>Dementia Friendly Hospitals from a Universal Design Approach: Design Guidelines</w:t>
      </w:r>
      <w:r>
        <w:t>, Dublin: HRB.</w:t>
      </w:r>
    </w:p>
  </w:footnote>
  <w:footnote w:id="50">
    <w:p w14:paraId="3B6AD6A2" w14:textId="3082E8CC" w:rsidR="00F7140D" w:rsidRDefault="00F7140D" w:rsidP="009C508D">
      <w:pPr>
        <w:pStyle w:val="FootnoteText"/>
        <w:spacing w:after="0"/>
      </w:pPr>
      <w:r>
        <w:rPr>
          <w:rStyle w:val="FootnoteReference"/>
        </w:rPr>
        <w:footnoteRef/>
      </w:r>
      <w:r>
        <w:t xml:space="preserve"> More information is available on the HSE website at the following link: </w:t>
      </w:r>
      <w:hyperlink r:id="rId7" w:history="1">
        <w:r w:rsidRPr="00BD4818">
          <w:rPr>
            <w:rStyle w:val="Hyperlink"/>
          </w:rPr>
          <w:t>https://www.hse.ie/eng/about/who/qid/person-family-engagement/universal-access/</w:t>
        </w:r>
      </w:hyperlink>
      <w:r>
        <w:t xml:space="preserve">. </w:t>
      </w:r>
    </w:p>
  </w:footnote>
  <w:footnote w:id="51">
    <w:p w14:paraId="05E70FD3" w14:textId="4A336102" w:rsidR="00F7140D" w:rsidRDefault="00F7140D" w:rsidP="009C508D">
      <w:pPr>
        <w:pStyle w:val="FootnoteText"/>
        <w:spacing w:after="0"/>
      </w:pPr>
      <w:r>
        <w:rPr>
          <w:rStyle w:val="FootnoteReference"/>
        </w:rPr>
        <w:footnoteRef/>
      </w:r>
      <w:r>
        <w:t xml:space="preserve"> Ipsos MRBI (2011) </w:t>
      </w:r>
      <w:r w:rsidRPr="00FE2BDF">
        <w:rPr>
          <w:b/>
        </w:rPr>
        <w:t>Survey on National Disability Strategy Indicators 2011</w:t>
      </w:r>
      <w:r>
        <w:t>, Dublin: NDA, p.12.</w:t>
      </w:r>
    </w:p>
  </w:footnote>
  <w:footnote w:id="52">
    <w:p w14:paraId="58F932D1" w14:textId="620541B8" w:rsidR="00F7140D" w:rsidRDefault="00F7140D" w:rsidP="00E94B67">
      <w:pPr>
        <w:pStyle w:val="FootnoteText"/>
      </w:pPr>
      <w:r>
        <w:rPr>
          <w:rStyle w:val="FootnoteReference"/>
        </w:rPr>
        <w:footnoteRef/>
      </w:r>
      <w:r>
        <w:t xml:space="preserve"> Pillinger, J. (2012) Review of literature and guidelines on accessibility in healthcare that underpin the National Guidelines on Accessible Primary, Community and Hospital Services. Dublin: NDA. </w:t>
      </w:r>
    </w:p>
  </w:footnote>
  <w:footnote w:id="53">
    <w:p w14:paraId="687A34EA" w14:textId="77777777" w:rsidR="00F7140D" w:rsidRDefault="00F7140D" w:rsidP="009C508D">
      <w:pPr>
        <w:pStyle w:val="FootnoteText"/>
        <w:spacing w:after="0"/>
      </w:pPr>
      <w:r>
        <w:rPr>
          <w:rStyle w:val="FootnoteReference"/>
        </w:rPr>
        <w:footnoteRef/>
      </w:r>
      <w:r>
        <w:t xml:space="preserve"> Health Service Executive (2017) </w:t>
      </w:r>
      <w:r w:rsidRPr="000F1EE0">
        <w:rPr>
          <w:b/>
        </w:rPr>
        <w:t>Best Practice Guidance for Mental Health Services</w:t>
      </w:r>
      <w:r>
        <w:t>, Dublin: HSE.</w:t>
      </w:r>
    </w:p>
  </w:footnote>
  <w:footnote w:id="54">
    <w:p w14:paraId="334CE5B3" w14:textId="77777777" w:rsidR="00F7140D" w:rsidRPr="00307C35" w:rsidRDefault="00F7140D">
      <w:pPr>
        <w:pStyle w:val="FootnoteText"/>
      </w:pPr>
      <w:r>
        <w:rPr>
          <w:rStyle w:val="FootnoteReference"/>
        </w:rPr>
        <w:footnoteRef/>
      </w:r>
      <w:r>
        <w:t xml:space="preserve"> </w:t>
      </w:r>
      <w:r w:rsidRPr="000F1EE0">
        <w:t>The </w:t>
      </w:r>
      <w:r w:rsidRPr="00307C35">
        <w:rPr>
          <w:bCs/>
        </w:rPr>
        <w:t>eLearning Module</w:t>
      </w:r>
      <w:r w:rsidRPr="00307C35">
        <w:t> for </w:t>
      </w:r>
      <w:r w:rsidRPr="00307C35">
        <w:rPr>
          <w:bCs/>
        </w:rPr>
        <w:t>New Directions</w:t>
      </w:r>
      <w:r w:rsidRPr="00307C35">
        <w:t> - Putting </w:t>
      </w:r>
      <w:r w:rsidRPr="00307C35">
        <w:rPr>
          <w:bCs/>
        </w:rPr>
        <w:t>New Directions</w:t>
      </w:r>
      <w:r w:rsidRPr="00307C35">
        <w:t xml:space="preserve"> into Practice was </w:t>
      </w:r>
      <w:r>
        <w:t>launched in September 2019 and can be accessed on t</w:t>
      </w:r>
      <w:r w:rsidRPr="00307C35">
        <w:t>he </w:t>
      </w:r>
      <w:r w:rsidRPr="00307C35">
        <w:rPr>
          <w:bCs/>
        </w:rPr>
        <w:t>HSELanD online learning</w:t>
      </w:r>
      <w:r w:rsidRPr="00307C35">
        <w:t> and development portal</w:t>
      </w:r>
      <w:r>
        <w:t>.</w:t>
      </w:r>
    </w:p>
  </w:footnote>
  <w:footnote w:id="55">
    <w:p w14:paraId="06F7DB3B" w14:textId="2569AB1A" w:rsidR="00F7140D" w:rsidRDefault="00F7140D">
      <w:pPr>
        <w:pStyle w:val="FootnoteText"/>
      </w:pPr>
      <w:r>
        <w:rPr>
          <w:rStyle w:val="FootnoteReference"/>
        </w:rPr>
        <w:footnoteRef/>
      </w:r>
      <w:r>
        <w:t xml:space="preserve"> More up to date figures are available but they have been significantly impacted by measures taken to respond to Covid 19. The Q4 2019 figures are quoted as they are the most recent pre-pandemic figures available.</w:t>
      </w:r>
    </w:p>
  </w:footnote>
  <w:footnote w:id="56">
    <w:p w14:paraId="1D1A3DCF" w14:textId="7193C04E" w:rsidR="00F7140D" w:rsidRDefault="00F7140D">
      <w:pPr>
        <w:pStyle w:val="FootnoteText"/>
      </w:pPr>
      <w:r>
        <w:rPr>
          <w:rStyle w:val="FootnoteReference"/>
        </w:rPr>
        <w:footnoteRef/>
      </w:r>
      <w:r>
        <w:t xml:space="preserve"> See footnote 55 above. </w:t>
      </w:r>
    </w:p>
  </w:footnote>
  <w:footnote w:id="57">
    <w:p w14:paraId="2814E510" w14:textId="77777777" w:rsidR="00F7140D" w:rsidRDefault="00F7140D">
      <w:pPr>
        <w:pStyle w:val="FootnoteText"/>
      </w:pPr>
      <w:r>
        <w:rPr>
          <w:rStyle w:val="FootnoteReference"/>
        </w:rPr>
        <w:footnoteRef/>
      </w:r>
      <w:r>
        <w:t xml:space="preserve"> Crowley, E. et al. (2005) </w:t>
      </w:r>
      <w:r w:rsidRPr="0076203B">
        <w:rPr>
          <w:b/>
        </w:rPr>
        <w:t xml:space="preserve">Oral Health of Adults </w:t>
      </w:r>
      <w:r>
        <w:rPr>
          <w:b/>
        </w:rPr>
        <w:t>with an Intellectual Disability</w:t>
      </w:r>
      <w:r w:rsidRPr="0076203B">
        <w:rPr>
          <w:b/>
        </w:rPr>
        <w:t xml:space="preserve"> in Residential Care in Ireland 2003</w:t>
      </w:r>
      <w:r>
        <w:t>, Dublin: Department of Health.</w:t>
      </w:r>
    </w:p>
  </w:footnote>
  <w:footnote w:id="58">
    <w:p w14:paraId="44A452E8" w14:textId="77777777" w:rsidR="00F7140D" w:rsidRDefault="00F7140D">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pp.76-77.</w:t>
      </w:r>
    </w:p>
  </w:footnote>
  <w:footnote w:id="59">
    <w:p w14:paraId="6F0D5BAE" w14:textId="77777777" w:rsidR="00F7140D" w:rsidRDefault="00F7140D">
      <w:pPr>
        <w:pStyle w:val="FootnoteText"/>
      </w:pPr>
      <w:r>
        <w:rPr>
          <w:rStyle w:val="FootnoteReference"/>
        </w:rPr>
        <w:footnoteRef/>
      </w:r>
      <w:r>
        <w:t xml:space="preserve"> Department of Health (2019) </w:t>
      </w:r>
      <w:r w:rsidRPr="0042550B">
        <w:rPr>
          <w:b/>
          <w:bCs/>
        </w:rPr>
        <w:t>Smile agus Sláinte – National Oral Health Policy</w:t>
      </w:r>
      <w:r>
        <w:rPr>
          <w:b/>
          <w:bCs/>
        </w:rPr>
        <w:t xml:space="preserve">, </w:t>
      </w:r>
      <w:r>
        <w:rPr>
          <w:bCs/>
        </w:rPr>
        <w:t>Dublin: DoH, p.14.</w:t>
      </w:r>
    </w:p>
  </w:footnote>
  <w:footnote w:id="60">
    <w:p w14:paraId="6E831466" w14:textId="77777777" w:rsidR="00F7140D" w:rsidRPr="00602EEE" w:rsidRDefault="00F7140D">
      <w:pPr>
        <w:pStyle w:val="FootnoteText"/>
      </w:pPr>
      <w:r>
        <w:rPr>
          <w:rStyle w:val="FootnoteReference"/>
        </w:rPr>
        <w:footnoteRef/>
      </w:r>
      <w:r>
        <w:t xml:space="preserve"> National Disability Authority, Dental Health Foundation and Trinity College, Dublin (2005) </w:t>
      </w:r>
      <w:r>
        <w:rPr>
          <w:b/>
        </w:rPr>
        <w:t>Oral Health and Disability: the way forward</w:t>
      </w:r>
      <w:r>
        <w:t>, Dublin: NDA, DHF &amp; TCD.</w:t>
      </w:r>
    </w:p>
  </w:footnote>
  <w:footnote w:id="61">
    <w:p w14:paraId="35B2865D" w14:textId="77777777" w:rsidR="00F7140D" w:rsidRPr="0042550B" w:rsidRDefault="00F7140D" w:rsidP="00A20D54">
      <w:pPr>
        <w:pStyle w:val="FootnoteText"/>
        <w:spacing w:after="0"/>
        <w:rPr>
          <w:bCs/>
        </w:rPr>
      </w:pPr>
      <w:r>
        <w:rPr>
          <w:rStyle w:val="FootnoteReference"/>
        </w:rPr>
        <w:footnoteRef/>
      </w:r>
      <w:r>
        <w:t xml:space="preserve"> Department of Health (2019) </w:t>
      </w:r>
      <w:r w:rsidRPr="0042550B">
        <w:rPr>
          <w:b/>
          <w:bCs/>
        </w:rPr>
        <w:t>Smile agus Sláinte – National Oral Health Policy</w:t>
      </w:r>
      <w:r>
        <w:rPr>
          <w:b/>
          <w:bCs/>
        </w:rPr>
        <w:t xml:space="preserve">, </w:t>
      </w:r>
      <w:r>
        <w:rPr>
          <w:bCs/>
        </w:rPr>
        <w:t>Dublin: DoH.</w:t>
      </w:r>
    </w:p>
  </w:footnote>
  <w:footnote w:id="62">
    <w:p w14:paraId="1CD97AA0" w14:textId="182836DE" w:rsidR="00F7140D" w:rsidRDefault="00F7140D" w:rsidP="00A20D54">
      <w:pPr>
        <w:pStyle w:val="FootnoteText"/>
        <w:spacing w:after="0"/>
      </w:pPr>
      <w:r>
        <w:rPr>
          <w:rStyle w:val="FootnoteReference"/>
        </w:rPr>
        <w:footnoteRef/>
      </w:r>
      <w:r>
        <w:t xml:space="preserve"> Ibid</w:t>
      </w:r>
      <w:r>
        <w:rPr>
          <w:bCs/>
        </w:rPr>
        <w:t xml:space="preserve"> p.</w:t>
      </w:r>
      <w:r>
        <w:t>47.</w:t>
      </w:r>
    </w:p>
  </w:footnote>
  <w:footnote w:id="63">
    <w:p w14:paraId="5E42019F" w14:textId="77777777" w:rsidR="00F7140D" w:rsidRDefault="00F7140D" w:rsidP="00A20D54">
      <w:pPr>
        <w:pStyle w:val="FootnoteText"/>
        <w:spacing w:after="0"/>
      </w:pPr>
      <w:r>
        <w:rPr>
          <w:rStyle w:val="FootnoteReference"/>
        </w:rPr>
        <w:footnoteRef/>
      </w:r>
      <w:r>
        <w:t xml:space="preserve"> HIQA (2016) </w:t>
      </w:r>
      <w:r w:rsidRPr="00602EEE">
        <w:rPr>
          <w:b/>
        </w:rPr>
        <w:t>National Standards for Residential Care Settings for Older People in Ireland</w:t>
      </w:r>
      <w:r>
        <w:t>, Dublin: HIQA, p.58.</w:t>
      </w:r>
    </w:p>
  </w:footnote>
  <w:footnote w:id="64">
    <w:p w14:paraId="25452521" w14:textId="77777777" w:rsidR="00F7140D" w:rsidRDefault="00F7140D" w:rsidP="00A20D54">
      <w:pPr>
        <w:pStyle w:val="FootnoteText"/>
        <w:spacing w:after="0"/>
      </w:pPr>
      <w:r>
        <w:rPr>
          <w:rStyle w:val="FootnoteReference"/>
        </w:rPr>
        <w:footnoteRef/>
      </w:r>
      <w:r>
        <w:t xml:space="preserve"> HIQA (2013) </w:t>
      </w:r>
      <w:r w:rsidRPr="000B4AB0">
        <w:rPr>
          <w:b/>
        </w:rPr>
        <w:t>National Standards for Residential Services for Children and Adults with Disabilities</w:t>
      </w:r>
      <w:r>
        <w:t>, Dublin: HIQA, p.38 and 87.</w:t>
      </w:r>
    </w:p>
  </w:footnote>
  <w:footnote w:id="65">
    <w:p w14:paraId="68AE19D5" w14:textId="77777777" w:rsidR="00F7140D" w:rsidRDefault="00F7140D" w:rsidP="00A20D54">
      <w:pPr>
        <w:pStyle w:val="FootnoteText"/>
        <w:spacing w:after="0"/>
      </w:pPr>
      <w:r>
        <w:rPr>
          <w:rStyle w:val="FootnoteReference"/>
        </w:rPr>
        <w:footnoteRef/>
      </w:r>
      <w:r>
        <w:t xml:space="preserve"> O’Connor, J. (2008) </w:t>
      </w:r>
      <w:r w:rsidRPr="000B4AB0">
        <w:rPr>
          <w:b/>
        </w:rPr>
        <w:t>Literature Review on Provision of Appropriate and Accessible Support to People with an Intellectual Disability who are Experiencing Crisis Pregnancy</w:t>
      </w:r>
      <w:r>
        <w:t>, Dublin: NDA and Crisis Pregnancy Agency.</w:t>
      </w:r>
    </w:p>
  </w:footnote>
  <w:footnote w:id="66">
    <w:p w14:paraId="7A21FF14" w14:textId="230C5901" w:rsidR="00F7140D" w:rsidRDefault="00F7140D" w:rsidP="00A20D54">
      <w:pPr>
        <w:pStyle w:val="FootnoteText"/>
        <w:spacing w:after="0"/>
      </w:pPr>
      <w:r>
        <w:rPr>
          <w:rStyle w:val="FootnoteReference"/>
        </w:rPr>
        <w:footnoteRef/>
      </w:r>
      <w:r>
        <w:t xml:space="preserve"> Ibid, p.5.</w:t>
      </w:r>
    </w:p>
  </w:footnote>
  <w:footnote w:id="67">
    <w:p w14:paraId="0543A864" w14:textId="77777777" w:rsidR="00F7140D" w:rsidRPr="00241731" w:rsidRDefault="00F7140D" w:rsidP="00A20D54">
      <w:pPr>
        <w:pStyle w:val="FootnoteText"/>
        <w:spacing w:after="0"/>
      </w:pPr>
      <w:r>
        <w:rPr>
          <w:rStyle w:val="FootnoteReference"/>
        </w:rPr>
        <w:footnoteRef/>
      </w:r>
      <w:r>
        <w:t xml:space="preserve"> Department of Health (2015) </w:t>
      </w:r>
      <w:r w:rsidRPr="00241731">
        <w:rPr>
          <w:b/>
        </w:rPr>
        <w:t>National Sexual Health Strategy 2015–2020</w:t>
      </w:r>
      <w:r>
        <w:t>, Dublin: DoH.</w:t>
      </w:r>
    </w:p>
  </w:footnote>
  <w:footnote w:id="68">
    <w:p w14:paraId="0F9FBD34" w14:textId="77777777" w:rsidR="00F7140D" w:rsidRDefault="00F7140D" w:rsidP="00A20D54">
      <w:pPr>
        <w:pStyle w:val="FootnoteText"/>
        <w:spacing w:after="0"/>
      </w:pPr>
      <w:r>
        <w:rPr>
          <w:rStyle w:val="FootnoteReference"/>
        </w:rPr>
        <w:footnoteRef/>
      </w:r>
      <w:r>
        <w:t xml:space="preserve"> Health Service Executive (2018) </w:t>
      </w:r>
      <w:r w:rsidRPr="00DC28CD">
        <w:rPr>
          <w:b/>
        </w:rPr>
        <w:t>Mid-Term Review of the Implementation of the National Sexual Health Strategy</w:t>
      </w:r>
      <w:r>
        <w:t>, Dublin: HSE.</w:t>
      </w:r>
    </w:p>
  </w:footnote>
  <w:footnote w:id="69">
    <w:p w14:paraId="23798208" w14:textId="34BA73E2" w:rsidR="00F7140D" w:rsidRDefault="00F7140D" w:rsidP="00A20D54">
      <w:pPr>
        <w:pStyle w:val="FootnoteText"/>
        <w:spacing w:after="0"/>
      </w:pPr>
      <w:r>
        <w:rPr>
          <w:rStyle w:val="FootnoteReference"/>
        </w:rPr>
        <w:footnoteRef/>
      </w:r>
      <w:r>
        <w:t xml:space="preserve"> Correspondence received from the Department of Health, April 2020.</w:t>
      </w:r>
    </w:p>
  </w:footnote>
  <w:footnote w:id="70">
    <w:p w14:paraId="7E2A2231" w14:textId="77777777" w:rsidR="00F7140D" w:rsidRDefault="00F7140D" w:rsidP="00A20D54">
      <w:pPr>
        <w:pStyle w:val="FootnoteText"/>
        <w:spacing w:after="0"/>
      </w:pPr>
      <w:r>
        <w:rPr>
          <w:rStyle w:val="FootnoteReference"/>
        </w:rPr>
        <w:footnoteRef/>
      </w:r>
      <w:r>
        <w:t xml:space="preserve"> Irish Family Planning Association, Sexuality and Disability: Briefing Report, available at </w:t>
      </w:r>
      <w:hyperlink r:id="rId8" w:history="1">
        <w:r w:rsidRPr="00E62834">
          <w:rPr>
            <w:rStyle w:val="Hyperlink"/>
          </w:rPr>
          <w:t>https://www.ifpa.ie/sites/default/files/documents/briefings/disability_and_sexuality_briefing_report.pdf</w:t>
        </w:r>
      </w:hyperlink>
    </w:p>
  </w:footnote>
  <w:footnote w:id="71">
    <w:p w14:paraId="316EBBBF" w14:textId="77777777" w:rsidR="00F7140D" w:rsidRDefault="00F7140D" w:rsidP="00A20D54">
      <w:pPr>
        <w:pStyle w:val="FootnoteText"/>
        <w:spacing w:after="0"/>
      </w:pPr>
      <w:r>
        <w:rPr>
          <w:rStyle w:val="FootnoteReference"/>
        </w:rPr>
        <w:footnoteRef/>
      </w:r>
      <w:r>
        <w:t xml:space="preserve"> Inclusion Ireland, </w:t>
      </w:r>
      <w:r w:rsidRPr="00241731">
        <w:t>Inclusion Ireland joins ‘Together for Yes’</w:t>
      </w:r>
      <w:r>
        <w:t xml:space="preserve">, available at </w:t>
      </w:r>
      <w:hyperlink r:id="rId9" w:history="1">
        <w:r w:rsidRPr="00966EA7">
          <w:rPr>
            <w:rStyle w:val="Hyperlink"/>
          </w:rPr>
          <w:t>http://www.inclusionireland.ie/sites/default/files/attach/news-item/1680/inclusion-ireland-together-yes.pdf</w:t>
        </w:r>
      </w:hyperlink>
    </w:p>
  </w:footnote>
  <w:footnote w:id="72">
    <w:p w14:paraId="0025514D" w14:textId="77777777" w:rsidR="00F7140D" w:rsidRPr="00EF06A9" w:rsidRDefault="00F7140D" w:rsidP="00A20D54">
      <w:pPr>
        <w:pStyle w:val="FootnoteText"/>
        <w:spacing w:after="0"/>
      </w:pPr>
      <w:r>
        <w:rPr>
          <w:rStyle w:val="FootnoteReference"/>
        </w:rPr>
        <w:footnoteRef/>
      </w:r>
      <w:r>
        <w:t xml:space="preserve"> Department of Health (2016) </w:t>
      </w:r>
      <w:r w:rsidRPr="00EF06A9">
        <w:rPr>
          <w:b/>
        </w:rPr>
        <w:t>Creating a Better Future Together: National Maternity Strategy 2016–2026</w:t>
      </w:r>
      <w:r>
        <w:rPr>
          <w:b/>
        </w:rPr>
        <w:t xml:space="preserve">, </w:t>
      </w:r>
      <w:r>
        <w:t>Dublin: DoH, p.44.</w:t>
      </w:r>
    </w:p>
  </w:footnote>
  <w:footnote w:id="73">
    <w:p w14:paraId="32ACB251" w14:textId="77777777" w:rsidR="00F7140D" w:rsidRDefault="00F7140D" w:rsidP="00A20D54">
      <w:pPr>
        <w:pStyle w:val="FootnoteText"/>
        <w:spacing w:after="0"/>
      </w:pPr>
      <w:r>
        <w:rPr>
          <w:rStyle w:val="FootnoteReference"/>
        </w:rPr>
        <w:footnoteRef/>
      </w:r>
      <w:r>
        <w:t xml:space="preserve"> </w:t>
      </w:r>
      <w:r w:rsidRPr="00D450B1">
        <w:t xml:space="preserve">Coombe Women and Infants University Hospital (2014) </w:t>
      </w:r>
      <w:r w:rsidRPr="00D450B1">
        <w:rPr>
          <w:b/>
        </w:rPr>
        <w:t>Coombe Women and Infants University Hospital Annual Clinical Report 2013</w:t>
      </w:r>
      <w:r>
        <w:t>, Dublin: Coombe Hospital.</w:t>
      </w:r>
    </w:p>
  </w:footnote>
  <w:footnote w:id="74">
    <w:p w14:paraId="2641A1E0" w14:textId="77777777" w:rsidR="00F7140D" w:rsidRDefault="00F7140D">
      <w:pPr>
        <w:pStyle w:val="FootnoteText"/>
      </w:pPr>
      <w:r>
        <w:rPr>
          <w:rStyle w:val="FootnoteReference"/>
        </w:rPr>
        <w:footnoteRef/>
      </w:r>
      <w:r>
        <w:t xml:space="preserve"> All three reports are available on the NDA website at the following link: </w:t>
      </w:r>
      <w:hyperlink r:id="rId10" w:history="1">
        <w:r w:rsidRPr="00D450B1">
          <w:rPr>
            <w:rStyle w:val="Hyperlink"/>
          </w:rPr>
          <w:t>http://nda.ie/Publications/Health/Pregnancy/Pregnancy-childbirth-early-motherhood-project.html</w:t>
        </w:r>
      </w:hyperlink>
      <w:r>
        <w:t>.</w:t>
      </w:r>
    </w:p>
  </w:footnote>
  <w:footnote w:id="75">
    <w:p w14:paraId="3EEBC513" w14:textId="77777777" w:rsidR="00F7140D" w:rsidRDefault="00F7140D" w:rsidP="001F7F6F">
      <w:pPr>
        <w:pStyle w:val="FootnoteText"/>
        <w:spacing w:after="0"/>
      </w:pPr>
      <w:r>
        <w:rPr>
          <w:rStyle w:val="FootnoteReference"/>
        </w:rPr>
        <w:footnoteRef/>
      </w:r>
      <w:r>
        <w:t xml:space="preserve"> School of Nursing and Midwifery, Trinity College Dublin (2010) </w:t>
      </w:r>
      <w:r w:rsidRPr="000F5AFD">
        <w:rPr>
          <w:b/>
        </w:rPr>
        <w:t>The Strengths and Weaknesses of Publicly-funded Irish Health Services Provided to Women with Disabilities in Relation to Pregnancy, Childbirth and Early Motherhood</w:t>
      </w:r>
      <w:r>
        <w:t>, Dublin: NDA.</w:t>
      </w:r>
    </w:p>
  </w:footnote>
  <w:footnote w:id="76">
    <w:p w14:paraId="75F4344E" w14:textId="77777777" w:rsidR="00F7140D" w:rsidRDefault="00F7140D" w:rsidP="001F7F6F">
      <w:pPr>
        <w:pStyle w:val="FootnoteText"/>
        <w:spacing w:after="0"/>
      </w:pPr>
      <w:r>
        <w:rPr>
          <w:rStyle w:val="FootnoteReference"/>
        </w:rPr>
        <w:footnoteRef/>
      </w:r>
      <w:r>
        <w:t xml:space="preserve"> O’Connor, J. (2008) </w:t>
      </w:r>
      <w:r w:rsidRPr="000B4AB0">
        <w:rPr>
          <w:b/>
        </w:rPr>
        <w:t>Literature Review on Provision of Appropriate and Accessible Support to People with an Intellectual Disability who are Experiencing Crisis Pregnancy</w:t>
      </w:r>
      <w:r>
        <w:t>, Dublin: NDA and Crisis Pregnancy Agency, p.18.</w:t>
      </w:r>
    </w:p>
  </w:footnote>
  <w:footnote w:id="77">
    <w:p w14:paraId="34877C56" w14:textId="77777777" w:rsidR="00F7140D" w:rsidRDefault="00F7140D" w:rsidP="001F7F6F">
      <w:pPr>
        <w:pStyle w:val="FootnoteText"/>
        <w:spacing w:after="0"/>
      </w:pPr>
      <w:r>
        <w:rPr>
          <w:rStyle w:val="FootnoteReference"/>
        </w:rPr>
        <w:footnoteRef/>
      </w:r>
      <w:r>
        <w:t xml:space="preserve"> More information is available at the Re(al) Productive Justice website </w:t>
      </w:r>
      <w:hyperlink r:id="rId11" w:history="1">
        <w:r w:rsidRPr="00B06147">
          <w:rPr>
            <w:rStyle w:val="Hyperlink"/>
          </w:rPr>
          <w:t>http://realproductivejustice.com/</w:t>
        </w:r>
      </w:hyperlink>
      <w:r>
        <w:t>.</w:t>
      </w:r>
    </w:p>
  </w:footnote>
  <w:footnote w:id="78">
    <w:p w14:paraId="2C5E70C8" w14:textId="2CB691FF" w:rsidR="00F7140D" w:rsidRDefault="00F7140D">
      <w:pPr>
        <w:pStyle w:val="FootnoteText"/>
      </w:pPr>
      <w:r>
        <w:rPr>
          <w:rStyle w:val="FootnoteReference"/>
        </w:rPr>
        <w:footnoteRef/>
      </w:r>
      <w:r>
        <w:t xml:space="preserve"> HIQA, 2020, </w:t>
      </w:r>
      <w:r w:rsidRPr="00447481">
        <w:t>National Maternity Experience Survey</w:t>
      </w:r>
      <w:r w:rsidRPr="001F7F6F">
        <w:t xml:space="preserve"> https://www.hiqa.ie/hiqa-news-updates/results-new-national-survey-show-most-women-have-positive-experience-irelands</w:t>
      </w:r>
    </w:p>
  </w:footnote>
  <w:footnote w:id="79">
    <w:p w14:paraId="0A7F0D5F" w14:textId="76E10010" w:rsidR="00F7140D" w:rsidRDefault="00F7140D">
      <w:pPr>
        <w:pStyle w:val="FootnoteText"/>
      </w:pPr>
      <w:r>
        <w:rPr>
          <w:rStyle w:val="FootnoteReference"/>
        </w:rPr>
        <w:footnoteRef/>
      </w:r>
      <w:r>
        <w:t xml:space="preserve"> </w:t>
      </w:r>
      <w:r w:rsidRPr="00CB44D8">
        <w:t>National Disability Authority (202</w:t>
      </w:r>
      <w:r>
        <w:t>1</w:t>
      </w:r>
      <w:r w:rsidRPr="00CB44D8">
        <w:t>)</w:t>
      </w:r>
      <w:r>
        <w:rPr>
          <w:b/>
          <w:bCs/>
        </w:rPr>
        <w:t xml:space="preserve"> </w:t>
      </w:r>
      <w:r w:rsidRPr="00D86917">
        <w:rPr>
          <w:b/>
          <w:bCs/>
        </w:rPr>
        <w:t>Experiences of Women with Long-Term Disabilities, Illnesses or Conditions in their Journey through Maternity Services in Ireland</w:t>
      </w:r>
      <w:r w:rsidRPr="00CB44D8">
        <w:rPr>
          <w:bCs/>
        </w:rPr>
        <w:t>, Dublin: NDA.</w:t>
      </w:r>
      <w:r>
        <w:rPr>
          <w:bCs/>
        </w:rPr>
        <w:t xml:space="preserve"> </w:t>
      </w:r>
      <w:r w:rsidRPr="00D86917">
        <w:rPr>
          <w:bCs/>
        </w:rPr>
        <w:t>https://nda.ie/publications/health/pregnancy/experiences-of-women-with-disabilities-in-their-journey-through-maternity-services-in-ireland.html</w:t>
      </w:r>
    </w:p>
  </w:footnote>
  <w:footnote w:id="80">
    <w:p w14:paraId="54430B94" w14:textId="67DB6569" w:rsidR="00F7140D" w:rsidRDefault="00F7140D">
      <w:pPr>
        <w:pStyle w:val="FootnoteText"/>
      </w:pPr>
      <w:r>
        <w:rPr>
          <w:rStyle w:val="FootnoteReference"/>
        </w:rPr>
        <w:footnoteRef/>
      </w:r>
      <w:r>
        <w:t xml:space="preserve"> Please see report for full findings.</w:t>
      </w:r>
    </w:p>
  </w:footnote>
  <w:footnote w:id="81">
    <w:p w14:paraId="08F63880" w14:textId="793A7131" w:rsidR="00F7140D" w:rsidRDefault="00F7140D">
      <w:pPr>
        <w:pStyle w:val="FootnoteText"/>
      </w:pPr>
      <w:r>
        <w:rPr>
          <w:rStyle w:val="FootnoteReference"/>
        </w:rPr>
        <w:footnoteRef/>
      </w:r>
      <w:r>
        <w:t xml:space="preserve"> See </w:t>
      </w:r>
      <w:r w:rsidRPr="00E66E6F">
        <w:t>https://yourexperience.ie/wp-content/uploads/2020/10/HSE-RESPONSE-TO-NMES-2020.pdf</w:t>
      </w:r>
    </w:p>
  </w:footnote>
  <w:footnote w:id="82">
    <w:p w14:paraId="4CB9CD94" w14:textId="77777777" w:rsidR="00F7140D" w:rsidRDefault="00F7140D">
      <w:pPr>
        <w:pStyle w:val="FootnoteText"/>
      </w:pPr>
      <w:r>
        <w:rPr>
          <w:rStyle w:val="FootnoteReference"/>
        </w:rPr>
        <w:footnoteRef/>
      </w:r>
      <w:r>
        <w:t xml:space="preserve"> Department of Health (2017) </w:t>
      </w:r>
      <w:r w:rsidRPr="00B06147">
        <w:rPr>
          <w:b/>
        </w:rPr>
        <w:t>National Maternity Strategy Implementation Plan</w:t>
      </w:r>
      <w:r>
        <w:t>, Dublin: DoH.</w:t>
      </w:r>
    </w:p>
  </w:footnote>
  <w:footnote w:id="83">
    <w:p w14:paraId="0F10748B" w14:textId="77777777" w:rsidR="00F7140D" w:rsidRDefault="00F7140D">
      <w:pPr>
        <w:pStyle w:val="FootnoteText"/>
      </w:pPr>
      <w:r>
        <w:rPr>
          <w:rStyle w:val="FootnoteReference"/>
        </w:rPr>
        <w:footnoteRef/>
      </w:r>
      <w:r>
        <w:t xml:space="preserve"> Walsh, K. (2019) </w:t>
      </w:r>
      <w:r w:rsidRPr="00B06147">
        <w:rPr>
          <w:b/>
        </w:rPr>
        <w:t>Women’s Health in Ireland</w:t>
      </w:r>
      <w:r>
        <w:t>, Dublin, NWCI, DoH and HSE, p.22.</w:t>
      </w:r>
    </w:p>
  </w:footnote>
  <w:footnote w:id="84">
    <w:p w14:paraId="0553C0CE" w14:textId="77777777" w:rsidR="00F7140D" w:rsidRDefault="00F7140D" w:rsidP="00650304">
      <w:pPr>
        <w:pStyle w:val="FootnoteText"/>
      </w:pPr>
      <w:r>
        <w:rPr>
          <w:rStyle w:val="FootnoteReference"/>
        </w:rPr>
        <w:footnoteRef/>
      </w:r>
      <w:r>
        <w:t xml:space="preserve"> HIQA (2020) </w:t>
      </w:r>
      <w:r w:rsidRPr="002828A6">
        <w:rPr>
          <w:b/>
        </w:rPr>
        <w:t>Overview report of HIQA’s monitoring programme against the National Standards for Safer Better Maternity Services, with a focus on obstetric emergencies</w:t>
      </w:r>
      <w:r>
        <w:t>, Dublin: HIQA, p.60.</w:t>
      </w:r>
    </w:p>
  </w:footnote>
  <w:footnote w:id="85">
    <w:p w14:paraId="79185D2C" w14:textId="77777777" w:rsidR="00F7140D" w:rsidRPr="001C3924" w:rsidRDefault="00F7140D">
      <w:pPr>
        <w:pStyle w:val="FootnoteText"/>
        <w:rPr>
          <w:bCs/>
        </w:rPr>
      </w:pPr>
      <w:r>
        <w:rPr>
          <w:rStyle w:val="FootnoteReference"/>
        </w:rPr>
        <w:footnoteRef/>
      </w:r>
      <w:r>
        <w:t xml:space="preserve"> Health Service Executive (2016) </w:t>
      </w:r>
      <w:r w:rsidRPr="001C3924">
        <w:rPr>
          <w:b/>
          <w:bCs/>
        </w:rPr>
        <w:t>Breastfeeding in a Healthy Ireland – Health Service Breastfeeding Action Plan 2016-2021</w:t>
      </w:r>
      <w:r>
        <w:rPr>
          <w:bCs/>
        </w:rPr>
        <w:t>, Dublin: HSE.</w:t>
      </w:r>
    </w:p>
  </w:footnote>
  <w:footnote w:id="86">
    <w:p w14:paraId="36BB65FC" w14:textId="346DA772" w:rsidR="00F7140D" w:rsidRDefault="00F7140D">
      <w:pPr>
        <w:pStyle w:val="FootnoteText"/>
      </w:pPr>
      <w:r>
        <w:rPr>
          <w:rStyle w:val="FootnoteReference"/>
        </w:rPr>
        <w:footnoteRef/>
      </w:r>
      <w:r>
        <w:t xml:space="preserve"> </w:t>
      </w:r>
      <w:r w:rsidRPr="007914F6">
        <w:t>Central Statistics Office (20</w:t>
      </w:r>
      <w:r>
        <w:t>20</w:t>
      </w:r>
      <w:r w:rsidRPr="007914F6">
        <w:t xml:space="preserve">) </w:t>
      </w:r>
      <w:r w:rsidRPr="007914F6">
        <w:rPr>
          <w:b/>
        </w:rPr>
        <w:t>Irish Health Survey 201</w:t>
      </w:r>
      <w:r>
        <w:rPr>
          <w:b/>
        </w:rPr>
        <w:t>9</w:t>
      </w:r>
      <w:r w:rsidRPr="007914F6">
        <w:t>, Dublin: CSO.</w:t>
      </w:r>
      <w:r>
        <w:t xml:space="preserve"> </w:t>
      </w:r>
      <w:r w:rsidRPr="001F7F6F">
        <w:t>https://www.cso.ie/en/releasesandpublications/ep/p-ihsd/irishhealthsurvey2019-personswithdisabilities/introductionandkeyfindings/</w:t>
      </w:r>
    </w:p>
  </w:footnote>
  <w:footnote w:id="87">
    <w:p w14:paraId="4E4437E8" w14:textId="7DE9E0C9" w:rsidR="00F7140D" w:rsidRDefault="00F7140D">
      <w:pPr>
        <w:pStyle w:val="FootnoteText"/>
      </w:pPr>
      <w:r>
        <w:rPr>
          <w:rStyle w:val="FootnoteReference"/>
        </w:rPr>
        <w:footnoteRef/>
      </w:r>
      <w:r>
        <w:t xml:space="preserve"> </w:t>
      </w:r>
      <w:r w:rsidRPr="00CB44D8">
        <w:t xml:space="preserve">National Disability Authority (2020) </w:t>
      </w:r>
      <w:r w:rsidRPr="00CB44D8">
        <w:rPr>
          <w:b/>
          <w:bCs/>
        </w:rPr>
        <w:t>Mid-term Review of Progress under the National Disability Inclusion Strategy Indicators</w:t>
      </w:r>
      <w:r w:rsidRPr="00CB44D8">
        <w:rPr>
          <w:bCs/>
        </w:rPr>
        <w:t>, Dublin: NDA.</w:t>
      </w:r>
    </w:p>
  </w:footnote>
  <w:footnote w:id="88">
    <w:p w14:paraId="2A21A470" w14:textId="77777777" w:rsidR="00F7140D" w:rsidRDefault="00F7140D">
      <w:pPr>
        <w:pStyle w:val="FootnoteText"/>
      </w:pPr>
      <w:r>
        <w:rPr>
          <w:rStyle w:val="FootnoteReference"/>
        </w:rPr>
        <w:footnoteRef/>
      </w:r>
      <w:r>
        <w:t xml:space="preserve"> National Disability Authority (2017) </w:t>
      </w:r>
      <w:r w:rsidRPr="00086B92">
        <w:rPr>
          <w:b/>
        </w:rPr>
        <w:t>National Survey of Public Attitudes to Disability in Ireland 2017</w:t>
      </w:r>
      <w:r>
        <w:t>, Dublin: NDA, p.60.</w:t>
      </w:r>
    </w:p>
  </w:footnote>
  <w:footnote w:id="89">
    <w:p w14:paraId="67AE1867" w14:textId="77777777" w:rsidR="00F7140D" w:rsidRDefault="00F7140D">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pp.5-6.</w:t>
      </w:r>
    </w:p>
  </w:footnote>
  <w:footnote w:id="90">
    <w:p w14:paraId="69ECB365" w14:textId="2CFBF7FF" w:rsidR="00F7140D" w:rsidRDefault="00F7140D">
      <w:pPr>
        <w:pStyle w:val="FootnoteText"/>
      </w:pPr>
      <w:r>
        <w:rPr>
          <w:rStyle w:val="FootnoteReference"/>
        </w:rPr>
        <w:footnoteRef/>
      </w:r>
      <w:r>
        <w:t xml:space="preserve"> Mental Health Commission (2021</w:t>
      </w:r>
      <w:r w:rsidRPr="007C10EB">
        <w:t xml:space="preserve">) </w:t>
      </w:r>
      <w:r>
        <w:rPr>
          <w:b/>
        </w:rPr>
        <w:t>Annual Report 2020</w:t>
      </w:r>
      <w:r>
        <w:t>, Dublin: MHC, p.17</w:t>
      </w:r>
      <w:r w:rsidRPr="007C10EB">
        <w:t>.</w:t>
      </w:r>
    </w:p>
  </w:footnote>
  <w:footnote w:id="91">
    <w:p w14:paraId="1CEB1EB5" w14:textId="36B96C26" w:rsidR="00F7140D" w:rsidRDefault="00F7140D">
      <w:pPr>
        <w:pStyle w:val="FootnoteText"/>
      </w:pPr>
      <w:r>
        <w:rPr>
          <w:rStyle w:val="FootnoteReference"/>
        </w:rPr>
        <w:footnoteRef/>
      </w:r>
      <w:r>
        <w:t xml:space="preserve"> Mental Health Commission (2020) </w:t>
      </w:r>
      <w:r w:rsidRPr="00DC199D">
        <w:rPr>
          <w:b/>
        </w:rPr>
        <w:t>Annual Report 201</w:t>
      </w:r>
      <w:r>
        <w:rPr>
          <w:b/>
        </w:rPr>
        <w:t>9</w:t>
      </w:r>
      <w:r>
        <w:t>, Dublin: MHC, p.17.</w:t>
      </w:r>
    </w:p>
  </w:footnote>
  <w:footnote w:id="92">
    <w:p w14:paraId="0305BFD4" w14:textId="19215021" w:rsidR="00F7140D" w:rsidRPr="00BE5CD6" w:rsidRDefault="00F7140D">
      <w:pPr>
        <w:pStyle w:val="FootnoteText"/>
      </w:pPr>
      <w:r>
        <w:rPr>
          <w:rStyle w:val="FootnoteReference"/>
        </w:rPr>
        <w:footnoteRef/>
      </w:r>
      <w:r>
        <w:t xml:space="preserve"> Daly, A. &amp; Craig, S. (2020) </w:t>
      </w:r>
      <w:r>
        <w:rPr>
          <w:b/>
        </w:rPr>
        <w:t xml:space="preserve">Activities of Irish Psychiatric Units and Hospitals 2019: Main Findings, </w:t>
      </w:r>
      <w:r>
        <w:t>HRB Statistics Series 41.</w:t>
      </w:r>
    </w:p>
  </w:footnote>
  <w:footnote w:id="93">
    <w:p w14:paraId="0E9CD2BA" w14:textId="2651F0C1" w:rsidR="00F7140D" w:rsidRDefault="00F7140D">
      <w:pPr>
        <w:pStyle w:val="FootnoteText"/>
      </w:pPr>
      <w:r>
        <w:rPr>
          <w:rStyle w:val="FootnoteReference"/>
        </w:rPr>
        <w:footnoteRef/>
      </w:r>
      <w:r>
        <w:t xml:space="preserve"> Mental Health Commission (2020</w:t>
      </w:r>
      <w:r w:rsidRPr="007C10EB">
        <w:t xml:space="preserve">) </w:t>
      </w:r>
      <w:r>
        <w:rPr>
          <w:b/>
        </w:rPr>
        <w:t>Annual Report 2019</w:t>
      </w:r>
      <w:r>
        <w:t>, Dublin: MHC, p.37</w:t>
      </w:r>
      <w:r w:rsidRPr="007C10EB">
        <w:t>.</w:t>
      </w:r>
    </w:p>
  </w:footnote>
  <w:footnote w:id="94">
    <w:p w14:paraId="314CF194" w14:textId="77777777" w:rsidR="00F7140D" w:rsidRDefault="00F7140D">
      <w:pPr>
        <w:pStyle w:val="FootnoteText"/>
      </w:pPr>
      <w:r>
        <w:rPr>
          <w:rStyle w:val="FootnoteReference"/>
        </w:rPr>
        <w:footnoteRef/>
      </w:r>
      <w:r>
        <w:t xml:space="preserve"> Mental Health Act 2001, section 18.</w:t>
      </w:r>
    </w:p>
  </w:footnote>
  <w:footnote w:id="95">
    <w:p w14:paraId="6FDC9A99" w14:textId="204C6CFD" w:rsidR="00F7140D" w:rsidRDefault="00F7140D">
      <w:pPr>
        <w:pStyle w:val="FootnoteText"/>
      </w:pPr>
      <w:r>
        <w:rPr>
          <w:rStyle w:val="FootnoteReference"/>
        </w:rPr>
        <w:footnoteRef/>
      </w:r>
      <w:r>
        <w:t xml:space="preserve"> </w:t>
      </w:r>
      <w:r w:rsidRPr="00EE1D95">
        <w:t xml:space="preserve">Mental Health Commission (2020) </w:t>
      </w:r>
      <w:r w:rsidRPr="00EE1D95">
        <w:rPr>
          <w:b/>
        </w:rPr>
        <w:t>Annual Report 2019</w:t>
      </w:r>
      <w:r w:rsidRPr="00EE1D95">
        <w:t>, Dublin: MHC, p.37.</w:t>
      </w:r>
    </w:p>
  </w:footnote>
  <w:footnote w:id="96">
    <w:p w14:paraId="7D23C5A2" w14:textId="3F53C242" w:rsidR="00F7140D" w:rsidRDefault="00F7140D">
      <w:pPr>
        <w:pStyle w:val="FootnoteText"/>
      </w:pPr>
      <w:r>
        <w:rPr>
          <w:rStyle w:val="FootnoteReference"/>
        </w:rPr>
        <w:footnoteRef/>
      </w:r>
      <w:r>
        <w:t xml:space="preserve"> Ibid, p.30.</w:t>
      </w:r>
    </w:p>
  </w:footnote>
  <w:footnote w:id="97">
    <w:p w14:paraId="6061C0F9" w14:textId="1E9B7CB5" w:rsidR="00F7140D" w:rsidRDefault="00F7140D">
      <w:pPr>
        <w:pStyle w:val="FootnoteText"/>
      </w:pPr>
      <w:r>
        <w:rPr>
          <w:rStyle w:val="FootnoteReference"/>
        </w:rPr>
        <w:footnoteRef/>
      </w:r>
      <w:r>
        <w:t xml:space="preserve"> Ibid, p.30.</w:t>
      </w:r>
    </w:p>
  </w:footnote>
  <w:footnote w:id="98">
    <w:p w14:paraId="0CF5E259" w14:textId="77777777" w:rsidR="00F7140D" w:rsidRDefault="00F7140D" w:rsidP="00EF3C9F">
      <w:pPr>
        <w:pStyle w:val="FootnoteText"/>
      </w:pPr>
      <w:r>
        <w:rPr>
          <w:rStyle w:val="FootnoteReference"/>
        </w:rPr>
        <w:footnoteRef/>
      </w:r>
      <w:r>
        <w:t xml:space="preserve"> Mental Health Commission (2019) </w:t>
      </w:r>
      <w:r w:rsidRPr="0063603E">
        <w:rPr>
          <w:b/>
        </w:rPr>
        <w:t>The Use of Restrictive Practices in Approved Centres</w:t>
      </w:r>
      <w:r>
        <w:t>, Dublin: MHC, p.4.</w:t>
      </w:r>
    </w:p>
  </w:footnote>
  <w:footnote w:id="99">
    <w:p w14:paraId="4FF921DC" w14:textId="77777777" w:rsidR="00F7140D" w:rsidRDefault="00F7140D" w:rsidP="00EF3C9F">
      <w:pPr>
        <w:pStyle w:val="FootnoteText"/>
      </w:pPr>
      <w:r>
        <w:rPr>
          <w:rStyle w:val="FootnoteReference"/>
        </w:rPr>
        <w:footnoteRef/>
      </w:r>
      <w:r>
        <w:t xml:space="preserve"> Mental Health Commission (2020</w:t>
      </w:r>
      <w:r w:rsidRPr="002D718B">
        <w:t xml:space="preserve">) </w:t>
      </w:r>
      <w:r>
        <w:rPr>
          <w:b/>
        </w:rPr>
        <w:t>Annual Report 2019</w:t>
      </w:r>
      <w:r w:rsidRPr="002D718B">
        <w:t>, Dublin: MHC, p.30.</w:t>
      </w:r>
    </w:p>
  </w:footnote>
  <w:footnote w:id="100">
    <w:p w14:paraId="21350AAB" w14:textId="77777777" w:rsidR="00F7140D" w:rsidRDefault="00F7140D" w:rsidP="0063603E">
      <w:pPr>
        <w:pStyle w:val="FootnoteText"/>
      </w:pPr>
      <w:r>
        <w:rPr>
          <w:rStyle w:val="FootnoteReference"/>
        </w:rPr>
        <w:footnoteRef/>
      </w:r>
      <w:r>
        <w:t xml:space="preserve"> Mental Health Commission (2019) </w:t>
      </w:r>
      <w:r w:rsidRPr="0063603E">
        <w:rPr>
          <w:b/>
        </w:rPr>
        <w:t>The Use of Restrictive Practices in Approved Centres</w:t>
      </w:r>
      <w:r>
        <w:t>, Dublin: MHC, p.4.</w:t>
      </w:r>
    </w:p>
  </w:footnote>
  <w:footnote w:id="101">
    <w:p w14:paraId="0AE6FF6A" w14:textId="77777777" w:rsidR="00F7140D" w:rsidRDefault="00F7140D" w:rsidP="0063603E">
      <w:pPr>
        <w:pStyle w:val="FootnoteText"/>
      </w:pPr>
      <w:r>
        <w:rPr>
          <w:rStyle w:val="FootnoteReference"/>
        </w:rPr>
        <w:footnoteRef/>
      </w:r>
      <w:r>
        <w:t xml:space="preserve"> </w:t>
      </w:r>
      <w:r w:rsidRPr="0063603E">
        <w:t xml:space="preserve">Mental Health Commission (2019) </w:t>
      </w:r>
      <w:r w:rsidRPr="0063603E">
        <w:rPr>
          <w:b/>
        </w:rPr>
        <w:t>The Use of Restrictive Practices in Approved Centres</w:t>
      </w:r>
      <w:r w:rsidRPr="0063603E">
        <w:t>, Dublin: MHC, p.4.</w:t>
      </w:r>
    </w:p>
  </w:footnote>
  <w:footnote w:id="102">
    <w:p w14:paraId="6B934745" w14:textId="49E25007" w:rsidR="00F7140D" w:rsidRDefault="00F7140D">
      <w:pPr>
        <w:pStyle w:val="FootnoteText"/>
      </w:pPr>
      <w:r>
        <w:rPr>
          <w:rStyle w:val="FootnoteReference"/>
        </w:rPr>
        <w:footnoteRef/>
      </w:r>
      <w:r>
        <w:t xml:space="preserve"> Mental Health Commission (2020</w:t>
      </w:r>
      <w:r w:rsidRPr="002D718B">
        <w:t xml:space="preserve">) </w:t>
      </w:r>
      <w:r>
        <w:rPr>
          <w:b/>
        </w:rPr>
        <w:t>Annual Report 2019</w:t>
      </w:r>
      <w:r w:rsidRPr="002D718B">
        <w:t>, Dublin: MHC, p.30.</w:t>
      </w:r>
    </w:p>
  </w:footnote>
  <w:footnote w:id="103">
    <w:p w14:paraId="5AE14F50" w14:textId="77777777" w:rsidR="00F7140D" w:rsidRDefault="00F7140D" w:rsidP="0063603E">
      <w:pPr>
        <w:pStyle w:val="FootnoteText"/>
      </w:pPr>
      <w:r>
        <w:rPr>
          <w:rStyle w:val="FootnoteReference"/>
        </w:rPr>
        <w:footnoteRef/>
      </w:r>
      <w:r>
        <w:t xml:space="preserve"> Mental Health Commission (2019) </w:t>
      </w:r>
      <w:r w:rsidRPr="0063603E">
        <w:rPr>
          <w:b/>
        </w:rPr>
        <w:t>The Use of Restrictive Practices in Approved Centres</w:t>
      </w:r>
      <w:r>
        <w:t>, Dublin: MHC, p.5.</w:t>
      </w:r>
    </w:p>
  </w:footnote>
  <w:footnote w:id="104">
    <w:p w14:paraId="0E482366" w14:textId="51388330" w:rsidR="00F7140D" w:rsidRDefault="00F7140D">
      <w:pPr>
        <w:pStyle w:val="FootnoteText"/>
      </w:pPr>
      <w:r>
        <w:rPr>
          <w:rStyle w:val="FootnoteReference"/>
        </w:rPr>
        <w:footnoteRef/>
      </w:r>
      <w:r>
        <w:t xml:space="preserve"> Mental Health Commission (2020</w:t>
      </w:r>
      <w:r w:rsidRPr="002D718B">
        <w:t xml:space="preserve">) </w:t>
      </w:r>
      <w:r>
        <w:rPr>
          <w:b/>
        </w:rPr>
        <w:t>Annual Report 2019</w:t>
      </w:r>
      <w:r>
        <w:t>, Dublin: MHC, p.76</w:t>
      </w:r>
      <w:r w:rsidRPr="002D718B">
        <w:t>.</w:t>
      </w:r>
    </w:p>
  </w:footnote>
  <w:footnote w:id="105">
    <w:p w14:paraId="10AC86AF" w14:textId="77777777" w:rsidR="00F7140D" w:rsidRDefault="00F7140D" w:rsidP="0063603E">
      <w:pPr>
        <w:pStyle w:val="FootnoteText"/>
      </w:pPr>
      <w:r>
        <w:rPr>
          <w:rStyle w:val="FootnoteReference"/>
        </w:rPr>
        <w:footnoteRef/>
      </w:r>
      <w:r>
        <w:t xml:space="preserve"> Mental Health Commission (2019) </w:t>
      </w:r>
      <w:r w:rsidRPr="0063603E">
        <w:rPr>
          <w:b/>
        </w:rPr>
        <w:t>The Use of Restrictive Practices in Approved Centres</w:t>
      </w:r>
      <w:r>
        <w:t>, Dublin: MHC, p.5.</w:t>
      </w:r>
    </w:p>
  </w:footnote>
  <w:footnote w:id="106">
    <w:p w14:paraId="45B79A27" w14:textId="77777777" w:rsidR="00F7140D" w:rsidRDefault="00F7140D">
      <w:pPr>
        <w:pStyle w:val="FootnoteText"/>
      </w:pPr>
      <w:r>
        <w:rPr>
          <w:rStyle w:val="FootnoteReference"/>
        </w:rPr>
        <w:footnoteRef/>
      </w:r>
      <w:r>
        <w:t xml:space="preserve"> Mental Health Commission (2019) </w:t>
      </w:r>
      <w:r w:rsidRPr="000F0810">
        <w:rPr>
          <w:b/>
        </w:rPr>
        <w:t>Annual Report 2018</w:t>
      </w:r>
      <w:r>
        <w:t>, Dublin: MHC, p.69.</w:t>
      </w:r>
    </w:p>
  </w:footnote>
  <w:footnote w:id="107">
    <w:p w14:paraId="429737D0" w14:textId="0D1AB347" w:rsidR="00F7140D" w:rsidRDefault="00F7140D">
      <w:pPr>
        <w:pStyle w:val="FootnoteText"/>
      </w:pPr>
      <w:r>
        <w:rPr>
          <w:rStyle w:val="FootnoteReference"/>
        </w:rPr>
        <w:footnoteRef/>
      </w:r>
      <w:r>
        <w:t xml:space="preserve"> Mental Health Commission (2020</w:t>
      </w:r>
      <w:r w:rsidRPr="002D718B">
        <w:t xml:space="preserve">) </w:t>
      </w:r>
      <w:r>
        <w:rPr>
          <w:b/>
        </w:rPr>
        <w:t>Annual Report 2019</w:t>
      </w:r>
      <w:r>
        <w:t>, Dublin: MHC, p.78</w:t>
      </w:r>
      <w:r w:rsidRPr="002D718B">
        <w:t>.</w:t>
      </w:r>
    </w:p>
  </w:footnote>
  <w:footnote w:id="108">
    <w:p w14:paraId="2FA194F3" w14:textId="06B9A63E" w:rsidR="00F7140D" w:rsidRDefault="00F7140D">
      <w:pPr>
        <w:pStyle w:val="FootnoteText"/>
      </w:pPr>
      <w:r>
        <w:rPr>
          <w:rStyle w:val="FootnoteReference"/>
        </w:rPr>
        <w:footnoteRef/>
      </w:r>
      <w:r>
        <w:t xml:space="preserve"> </w:t>
      </w:r>
      <w:r w:rsidRPr="00CB44D8">
        <w:t xml:space="preserve">National Disability Authority (2020) </w:t>
      </w:r>
      <w:r w:rsidRPr="00CB44D8">
        <w:rPr>
          <w:b/>
          <w:bCs/>
        </w:rPr>
        <w:t>Mid-term Review of Progress under the National Disability Inclusion Strategy Indicators</w:t>
      </w:r>
      <w:r w:rsidRPr="00CB44D8">
        <w:rPr>
          <w:bCs/>
        </w:rPr>
        <w:t>, Dublin: NDA.</w:t>
      </w:r>
    </w:p>
  </w:footnote>
  <w:footnote w:id="109">
    <w:p w14:paraId="64DBEC64" w14:textId="48571874" w:rsidR="00F7140D" w:rsidRDefault="00F7140D">
      <w:pPr>
        <w:pStyle w:val="FootnoteText"/>
      </w:pPr>
      <w:r>
        <w:rPr>
          <w:rStyle w:val="FootnoteReference"/>
        </w:rPr>
        <w:footnoteRef/>
      </w:r>
      <w:r>
        <w:t xml:space="preserve"> </w:t>
      </w:r>
      <w:r w:rsidRPr="00CB44D8">
        <w:t xml:space="preserve">National Disability Authority (2020) </w:t>
      </w:r>
      <w:r w:rsidRPr="00CB44D8">
        <w:rPr>
          <w:b/>
          <w:bCs/>
        </w:rPr>
        <w:t>Mid-term Review of Progress under the National Disability Inclusion Strategy Indicators</w:t>
      </w:r>
      <w:r w:rsidRPr="00CB44D8">
        <w:rPr>
          <w:bCs/>
        </w:rPr>
        <w:t>, Dublin: NDA.</w:t>
      </w:r>
    </w:p>
  </w:footnote>
  <w:footnote w:id="110">
    <w:p w14:paraId="6408A86B" w14:textId="138D83BD" w:rsidR="00F7140D" w:rsidRDefault="00F7140D">
      <w:pPr>
        <w:pStyle w:val="FootnoteText"/>
      </w:pPr>
      <w:r>
        <w:rPr>
          <w:rStyle w:val="FootnoteReference"/>
        </w:rPr>
        <w:footnoteRef/>
      </w:r>
      <w:r>
        <w:t xml:space="preserve"> Mental Health Commission (2020</w:t>
      </w:r>
      <w:r w:rsidRPr="002D718B">
        <w:t xml:space="preserve">) </w:t>
      </w:r>
      <w:r>
        <w:rPr>
          <w:b/>
        </w:rPr>
        <w:t>Annual Report 2019</w:t>
      </w:r>
      <w:r>
        <w:t>, Dublin: MHC, p.26</w:t>
      </w:r>
      <w:r w:rsidRPr="002D718B">
        <w:t>.</w:t>
      </w:r>
    </w:p>
  </w:footnote>
  <w:footnote w:id="111">
    <w:p w14:paraId="3B3206E2" w14:textId="0CD81D50" w:rsidR="00F7140D" w:rsidRDefault="00F7140D">
      <w:pPr>
        <w:pStyle w:val="FootnoteText"/>
      </w:pPr>
      <w:r>
        <w:rPr>
          <w:rStyle w:val="FootnoteReference"/>
        </w:rPr>
        <w:footnoteRef/>
      </w:r>
      <w:r>
        <w:t xml:space="preserve"> Mental Health Commission (2020</w:t>
      </w:r>
      <w:r w:rsidRPr="002D718B">
        <w:t xml:space="preserve">) </w:t>
      </w:r>
      <w:r>
        <w:rPr>
          <w:b/>
        </w:rPr>
        <w:t>Annual Report 2019</w:t>
      </w:r>
      <w:r>
        <w:t>, Dublin: MHC, p.26</w:t>
      </w:r>
      <w:r w:rsidRPr="002D718B">
        <w:t>.</w:t>
      </w:r>
    </w:p>
  </w:footnote>
  <w:footnote w:id="112">
    <w:p w14:paraId="227710A1" w14:textId="3788362F" w:rsidR="00F7140D" w:rsidRDefault="00F7140D">
      <w:pPr>
        <w:pStyle w:val="FootnoteText"/>
      </w:pPr>
      <w:r>
        <w:rPr>
          <w:rStyle w:val="FootnoteReference"/>
        </w:rPr>
        <w:footnoteRef/>
      </w:r>
      <w:r>
        <w:t xml:space="preserve"> See footnote 55 above</w:t>
      </w:r>
    </w:p>
  </w:footnote>
  <w:footnote w:id="113">
    <w:p w14:paraId="104F1932" w14:textId="1F558878" w:rsidR="00F7140D" w:rsidRDefault="00F7140D">
      <w:pPr>
        <w:pStyle w:val="FootnoteText"/>
      </w:pPr>
      <w:r>
        <w:rPr>
          <w:rStyle w:val="FootnoteReference"/>
        </w:rPr>
        <w:footnoteRef/>
      </w:r>
      <w:r>
        <w:t xml:space="preserve"> See footnote 55 above</w:t>
      </w:r>
    </w:p>
  </w:footnote>
  <w:footnote w:id="114">
    <w:p w14:paraId="093EE92B" w14:textId="77777777" w:rsidR="00F7140D" w:rsidRDefault="00F7140D">
      <w:pPr>
        <w:pStyle w:val="FootnoteText"/>
      </w:pPr>
      <w:r>
        <w:rPr>
          <w:rStyle w:val="FootnoteReference"/>
        </w:rPr>
        <w:footnoteRef/>
      </w:r>
      <w:r>
        <w:t xml:space="preserve"> Mental Health Reform (2019) </w:t>
      </w:r>
      <w:r w:rsidRPr="0076029E">
        <w:rPr>
          <w:b/>
        </w:rPr>
        <w:t>My Voice Matters: Report on a National Consultation with Mental Health Service Users</w:t>
      </w:r>
      <w:r>
        <w:t>, Dublin: MHC, p.26.</w:t>
      </w:r>
    </w:p>
  </w:footnote>
  <w:footnote w:id="115">
    <w:p w14:paraId="4D83BAA9" w14:textId="77777777" w:rsidR="00F7140D" w:rsidRDefault="00F7140D">
      <w:pPr>
        <w:pStyle w:val="FootnoteText"/>
      </w:pPr>
      <w:r>
        <w:rPr>
          <w:rStyle w:val="FootnoteReference"/>
        </w:rPr>
        <w:footnoteRef/>
      </w:r>
      <w:r>
        <w:t xml:space="preserve"> Mental Health Reform (2019) </w:t>
      </w:r>
      <w:r w:rsidRPr="0076029E">
        <w:rPr>
          <w:b/>
        </w:rPr>
        <w:t>My Voice Matters: Report on a National Consultation with Mental Health Service Users</w:t>
      </w:r>
      <w:r>
        <w:t>, Dublin: MHC, p.26.</w:t>
      </w:r>
    </w:p>
  </w:footnote>
  <w:footnote w:id="116">
    <w:p w14:paraId="519CCD65" w14:textId="77777777" w:rsidR="00F7140D" w:rsidRPr="00561FC1" w:rsidRDefault="00F7140D" w:rsidP="002E7FEB">
      <w:pPr>
        <w:pStyle w:val="FootnoteText"/>
      </w:pPr>
      <w:r>
        <w:rPr>
          <w:rStyle w:val="FootnoteReference"/>
        </w:rPr>
        <w:footnoteRef/>
      </w:r>
      <w:r>
        <w:t xml:space="preserve"> Mental Health Commission (2011) </w:t>
      </w:r>
      <w:r w:rsidRPr="00561FC1">
        <w:rPr>
          <w:b/>
        </w:rPr>
        <w:t>Your Views of Mental Health Inpatient Services</w:t>
      </w:r>
      <w:r>
        <w:t>, MHC: Dublin.</w:t>
      </w:r>
    </w:p>
  </w:footnote>
  <w:footnote w:id="117">
    <w:p w14:paraId="3882484F" w14:textId="77777777" w:rsidR="00F7140D" w:rsidRDefault="00F7140D" w:rsidP="00743A47">
      <w:pPr>
        <w:pStyle w:val="FootnoteText"/>
      </w:pPr>
      <w:r>
        <w:rPr>
          <w:rStyle w:val="FootnoteReference"/>
        </w:rPr>
        <w:footnoteRef/>
      </w:r>
      <w:r>
        <w:t xml:space="preserve"> Mental Health Commission (2020) </w:t>
      </w:r>
      <w:r w:rsidRPr="000B4E63">
        <w:rPr>
          <w:b/>
        </w:rPr>
        <w:t>Access to Acute Mental Health Beds in Ireland</w:t>
      </w:r>
      <w:r>
        <w:t>, Dublin: MHC.</w:t>
      </w:r>
    </w:p>
  </w:footnote>
  <w:footnote w:id="118">
    <w:p w14:paraId="07807A08" w14:textId="38BB91C4" w:rsidR="00F7140D" w:rsidRDefault="00F7140D">
      <w:pPr>
        <w:pStyle w:val="FootnoteText"/>
      </w:pPr>
      <w:r>
        <w:rPr>
          <w:rStyle w:val="FootnoteReference"/>
        </w:rPr>
        <w:footnoteRef/>
      </w:r>
      <w:r>
        <w:t xml:space="preserve"> Health Service Executive (2021) </w:t>
      </w:r>
      <w:r w:rsidRPr="00043804">
        <w:rPr>
          <w:b/>
        </w:rPr>
        <w:t>National Service Plan 202</w:t>
      </w:r>
      <w:r>
        <w:rPr>
          <w:b/>
        </w:rPr>
        <w:t>1</w:t>
      </w:r>
      <w:r>
        <w:t>, Dublin: HSE, p.143.</w:t>
      </w:r>
    </w:p>
  </w:footnote>
  <w:footnote w:id="119">
    <w:p w14:paraId="107708BB" w14:textId="5AF837F0" w:rsidR="00F7140D" w:rsidRDefault="00F7140D">
      <w:pPr>
        <w:pStyle w:val="FootnoteText"/>
      </w:pPr>
      <w:r>
        <w:rPr>
          <w:rStyle w:val="FootnoteReference"/>
        </w:rPr>
        <w:footnoteRef/>
      </w:r>
      <w:r>
        <w:t xml:space="preserve"> </w:t>
      </w:r>
      <w:r w:rsidRPr="00DF5DC2">
        <w:t xml:space="preserve">Health Service Executive (2019) </w:t>
      </w:r>
      <w:r w:rsidRPr="00DF5DC2">
        <w:rPr>
          <w:b/>
        </w:rPr>
        <w:t>Performance Profile July – September 2019 Quarterly Report,</w:t>
      </w:r>
      <w:r w:rsidRPr="00DF5DC2">
        <w:t xml:space="preserve"> Dublin: HSE, p.</w:t>
      </w:r>
      <w:r>
        <w:t>34</w:t>
      </w:r>
      <w:r w:rsidRPr="00DF5DC2">
        <w:t>.</w:t>
      </w:r>
    </w:p>
  </w:footnote>
  <w:footnote w:id="120">
    <w:p w14:paraId="30F7D53C" w14:textId="5488143D" w:rsidR="00F7140D" w:rsidRDefault="00F7140D">
      <w:pPr>
        <w:pStyle w:val="FootnoteText"/>
      </w:pPr>
      <w:r>
        <w:rPr>
          <w:rStyle w:val="FootnoteReference"/>
        </w:rPr>
        <w:footnoteRef/>
      </w:r>
      <w:r>
        <w:t xml:space="preserve"> Health Service Executive (2021) </w:t>
      </w:r>
      <w:r w:rsidRPr="00D84177">
        <w:t>Performance Profile October to December 2020</w:t>
      </w:r>
      <w:r>
        <w:t>. p 33</w:t>
      </w:r>
    </w:p>
  </w:footnote>
  <w:footnote w:id="121">
    <w:p w14:paraId="66D62C51" w14:textId="77777777" w:rsidR="00F7140D" w:rsidRDefault="00F7140D">
      <w:pPr>
        <w:pStyle w:val="FootnoteText"/>
      </w:pPr>
      <w:r>
        <w:rPr>
          <w:rStyle w:val="FootnoteReference"/>
        </w:rPr>
        <w:footnoteRef/>
      </w:r>
      <w:r>
        <w:t xml:space="preserve"> </w:t>
      </w:r>
      <w:r w:rsidRPr="00BF2B71">
        <w:t xml:space="preserve">Health Service Executive (2019) </w:t>
      </w:r>
      <w:r w:rsidRPr="00BF2B71">
        <w:rPr>
          <w:b/>
        </w:rPr>
        <w:t>National Service Plan 2020</w:t>
      </w:r>
      <w:r>
        <w:t>, Dublin: HSE, p.110</w:t>
      </w:r>
      <w:r w:rsidRPr="00BF2B71">
        <w:t>.</w:t>
      </w:r>
    </w:p>
  </w:footnote>
  <w:footnote w:id="122">
    <w:p w14:paraId="416F0E18" w14:textId="77777777" w:rsidR="00F7140D" w:rsidRDefault="00F7140D">
      <w:pPr>
        <w:pStyle w:val="FootnoteText"/>
      </w:pPr>
      <w:r>
        <w:rPr>
          <w:rStyle w:val="FootnoteReference"/>
        </w:rPr>
        <w:footnoteRef/>
      </w:r>
      <w:r>
        <w:t xml:space="preserve"> National Disability Authority, NDA Submission on the Review of the Mental Health Act 2001, &lt;</w:t>
      </w:r>
      <w:hyperlink r:id="rId12" w:history="1">
        <w:r w:rsidRPr="00B92126">
          <w:rPr>
            <w:rStyle w:val="Hyperlink"/>
          </w:rPr>
          <w:t>http://nda.ie/Publications/Health/Submissions-on-Health/NDA-Submission-on-the-Review-of-the-Mental-Health-Act-2001-HTML-Format-1.html</w:t>
        </w:r>
      </w:hyperlink>
      <w:r>
        <w:t>&gt;.</w:t>
      </w:r>
    </w:p>
  </w:footnote>
  <w:footnote w:id="123">
    <w:p w14:paraId="5C7C936C" w14:textId="77777777" w:rsidR="00F7140D" w:rsidRPr="0037706C" w:rsidRDefault="00F7140D">
      <w:pPr>
        <w:pStyle w:val="FootnoteText"/>
        <w:rPr>
          <w:bCs/>
        </w:rPr>
      </w:pPr>
      <w:r>
        <w:rPr>
          <w:rStyle w:val="FootnoteReference"/>
        </w:rPr>
        <w:footnoteRef/>
      </w:r>
      <w:r>
        <w:t xml:space="preserve"> Department of Health (2015) </w:t>
      </w:r>
      <w:r w:rsidRPr="0037706C">
        <w:rPr>
          <w:b/>
          <w:bCs/>
        </w:rPr>
        <w:t>Report of the Expert Group Review of the Mental Health Act, 2001</w:t>
      </w:r>
      <w:r>
        <w:rPr>
          <w:bCs/>
        </w:rPr>
        <w:t>, Dublin: DoH.</w:t>
      </w:r>
    </w:p>
  </w:footnote>
  <w:footnote w:id="124">
    <w:p w14:paraId="323074DF" w14:textId="77777777" w:rsidR="00F7140D" w:rsidRDefault="00F7140D" w:rsidP="0037706C">
      <w:pPr>
        <w:pStyle w:val="FootnoteText"/>
      </w:pPr>
      <w:r>
        <w:rPr>
          <w:rStyle w:val="FootnoteReference"/>
        </w:rPr>
        <w:footnoteRef/>
      </w:r>
      <w:r>
        <w:t xml:space="preserve"> Mental Health Reform, Briefing Note on Reform of the Mental Health Act 2001, &lt;</w:t>
      </w:r>
      <w:hyperlink r:id="rId13" w:history="1">
        <w:r w:rsidRPr="00E64266">
          <w:rPr>
            <w:rStyle w:val="Hyperlink"/>
          </w:rPr>
          <w:t>https://www.mentalhealthreform.ie/news/briefing-note-on-reform-of-the-mental-health-act-2001/</w:t>
        </w:r>
      </w:hyperlink>
      <w:r>
        <w:t>&gt;.</w:t>
      </w:r>
    </w:p>
  </w:footnote>
  <w:footnote w:id="125">
    <w:p w14:paraId="0800524D" w14:textId="77777777" w:rsidR="00F7140D" w:rsidRDefault="00F7140D">
      <w:pPr>
        <w:pStyle w:val="FootnoteText"/>
      </w:pPr>
      <w:r>
        <w:rPr>
          <w:rStyle w:val="FootnoteReference"/>
        </w:rPr>
        <w:footnoteRef/>
      </w:r>
      <w:r>
        <w:t xml:space="preserve"> </w:t>
      </w:r>
      <w:r w:rsidRPr="0037706C">
        <w:t>Oireachtas Joint Committee for the Future of Mental Health Care</w:t>
      </w:r>
      <w:r>
        <w:t xml:space="preserve"> (2018) </w:t>
      </w:r>
      <w:r w:rsidRPr="0037706C">
        <w:rPr>
          <w:b/>
        </w:rPr>
        <w:t>Final Report</w:t>
      </w:r>
      <w:r>
        <w:t>, Dublin: Houses of the Oireachtas.</w:t>
      </w:r>
    </w:p>
  </w:footnote>
  <w:footnote w:id="126">
    <w:p w14:paraId="0F620BCC" w14:textId="77777777" w:rsidR="00F7140D" w:rsidRPr="0037706C" w:rsidRDefault="00F7140D">
      <w:pPr>
        <w:pStyle w:val="FootnoteText"/>
      </w:pPr>
      <w:r>
        <w:rPr>
          <w:rStyle w:val="FootnoteReference"/>
        </w:rPr>
        <w:footnoteRef/>
      </w:r>
      <w:r>
        <w:t xml:space="preserve"> </w:t>
      </w:r>
      <w:r w:rsidRPr="0037706C">
        <w:t>College of Medicine, Nursing and Health Sciences, National University of Ireland, Galway</w:t>
      </w:r>
      <w:r w:rsidRPr="0037706C">
        <w:rPr>
          <w:b/>
        </w:rPr>
        <w:t xml:space="preserve"> </w:t>
      </w:r>
      <w:r w:rsidRPr="0037706C">
        <w:t>(2017)</w:t>
      </w:r>
      <w:r>
        <w:rPr>
          <w:b/>
        </w:rPr>
        <w:t xml:space="preserve"> </w:t>
      </w:r>
      <w:r w:rsidRPr="00574449">
        <w:rPr>
          <w:b/>
        </w:rPr>
        <w:t>A Prospective Evaluation of the Operation and Effects of the Mental Health Act 2001 from the Viewpoints of Service Users and Health Professionals</w:t>
      </w:r>
      <w:r>
        <w:rPr>
          <w:b/>
        </w:rPr>
        <w:t xml:space="preserve">, </w:t>
      </w:r>
      <w:r>
        <w:t>Galway: NUIG.</w:t>
      </w:r>
    </w:p>
  </w:footnote>
  <w:footnote w:id="127">
    <w:p w14:paraId="3F6B50F3" w14:textId="77777777" w:rsidR="00F7140D" w:rsidRDefault="00F7140D">
      <w:pPr>
        <w:pStyle w:val="FootnoteText"/>
      </w:pPr>
      <w:r>
        <w:rPr>
          <w:rStyle w:val="FootnoteReference"/>
        </w:rPr>
        <w:footnoteRef/>
      </w:r>
      <w:r>
        <w:t xml:space="preserve"> Department of Justice and Equality (2017) </w:t>
      </w:r>
      <w:r w:rsidRPr="00767C9E">
        <w:rPr>
          <w:b/>
        </w:rPr>
        <w:t>National Disability Inclusion Strategy 2017-2021</w:t>
      </w:r>
      <w:r>
        <w:t>, Dublin: DJE.</w:t>
      </w:r>
    </w:p>
  </w:footnote>
  <w:footnote w:id="128">
    <w:p w14:paraId="130D4AD4" w14:textId="77777777" w:rsidR="00F7140D" w:rsidRDefault="00F7140D">
      <w:pPr>
        <w:pStyle w:val="FootnoteText"/>
      </w:pPr>
      <w:r>
        <w:rPr>
          <w:rStyle w:val="FootnoteReference"/>
        </w:rPr>
        <w:footnoteRef/>
      </w:r>
      <w:r>
        <w:t xml:space="preserve"> </w:t>
      </w:r>
      <w:r w:rsidRPr="00767C9E">
        <w:t>Dece</w:t>
      </w:r>
      <w:r>
        <w:t>mber 2019 NDIS traffic light report.</w:t>
      </w:r>
    </w:p>
  </w:footnote>
  <w:footnote w:id="129">
    <w:p w14:paraId="7FFC649A" w14:textId="77777777" w:rsidR="00F7140D" w:rsidRDefault="00F7140D">
      <w:pPr>
        <w:pStyle w:val="FootnoteText"/>
      </w:pPr>
      <w:r>
        <w:rPr>
          <w:rStyle w:val="FootnoteReference"/>
        </w:rPr>
        <w:footnoteRef/>
      </w:r>
      <w:r>
        <w:t xml:space="preserve"> Mental Health Commission, “</w:t>
      </w:r>
      <w:r w:rsidRPr="00767C9E">
        <w:t>Mental Health Commission welcomes safeguards for involuntary patients during Covid-19 crisis</w:t>
      </w:r>
      <w:r>
        <w:t>”, &lt;</w:t>
      </w:r>
      <w:hyperlink r:id="rId14" w:history="1">
        <w:r w:rsidRPr="00767C9E">
          <w:rPr>
            <w:rStyle w:val="Hyperlink"/>
          </w:rPr>
          <w:t>https://www.mhcirl.ie/File/PR_300320.pdf</w:t>
        </w:r>
      </w:hyperlink>
      <w:r>
        <w:t>&gt;.</w:t>
      </w:r>
    </w:p>
  </w:footnote>
  <w:footnote w:id="130">
    <w:p w14:paraId="10AC73FD" w14:textId="77777777" w:rsidR="00F7140D" w:rsidRDefault="00F7140D">
      <w:pPr>
        <w:pStyle w:val="FootnoteText"/>
      </w:pPr>
      <w:r>
        <w:rPr>
          <w:rStyle w:val="FootnoteReference"/>
        </w:rPr>
        <w:footnoteRef/>
      </w:r>
      <w:r>
        <w:t xml:space="preserve"> Government of Ireland (2006) </w:t>
      </w:r>
      <w:r>
        <w:rPr>
          <w:b/>
        </w:rPr>
        <w:t>A Vision for Change: A Report of the Expert Group on Mental Health Policy</w:t>
      </w:r>
      <w:r>
        <w:t>, Dublin: Stationery Office.</w:t>
      </w:r>
    </w:p>
  </w:footnote>
  <w:footnote w:id="131">
    <w:p w14:paraId="619F9BD2" w14:textId="041C9179" w:rsidR="00F7140D" w:rsidRDefault="00F7140D">
      <w:pPr>
        <w:pStyle w:val="FootnoteText"/>
      </w:pPr>
      <w:r>
        <w:rPr>
          <w:rStyle w:val="FootnoteReference"/>
        </w:rPr>
        <w:footnoteRef/>
      </w:r>
      <w:r>
        <w:t xml:space="preserve"> Department of Health, 2020, Press Release- </w:t>
      </w:r>
      <w:r w:rsidRPr="000F4DCE">
        <w:t>Minister for Mental Health and Older People announces appointment of independent chair for ‘Sharing the Vision’ National Implementation and Monitoring Committee</w:t>
      </w:r>
      <w:r>
        <w:t xml:space="preserve">. </w:t>
      </w:r>
      <w:r w:rsidRPr="000F4DCE">
        <w:t>https://www.gov.ie/en/press-release/b5c3a-minister-for-mental-health-and-older-people-announces-appointment-of-independent-chair-for-sharing-the-vision-national-implementation-and-monitoring-committee/</w:t>
      </w:r>
    </w:p>
  </w:footnote>
  <w:footnote w:id="132">
    <w:p w14:paraId="5D4DDC39" w14:textId="77777777" w:rsidR="00F7140D" w:rsidRDefault="00F7140D">
      <w:pPr>
        <w:pStyle w:val="FootnoteText"/>
      </w:pPr>
      <w:r>
        <w:rPr>
          <w:rStyle w:val="FootnoteReference"/>
        </w:rPr>
        <w:footnoteRef/>
      </w:r>
      <w:r>
        <w:t xml:space="preserve"> Work Research Centre and London School of Economics (2017) </w:t>
      </w:r>
      <w:r w:rsidRPr="008D52F7">
        <w:rPr>
          <w:b/>
        </w:rPr>
        <w:t>Evidence Review to Inform the Parameters for a Refresh of A Vision for Change (AVFC)</w:t>
      </w:r>
      <w:r>
        <w:t>, Dublin: DoH.</w:t>
      </w:r>
    </w:p>
  </w:footnote>
  <w:footnote w:id="133">
    <w:p w14:paraId="4086C04F" w14:textId="77777777" w:rsidR="00F7140D" w:rsidRDefault="00F7140D">
      <w:pPr>
        <w:pStyle w:val="FootnoteText"/>
      </w:pPr>
      <w:r>
        <w:rPr>
          <w:rStyle w:val="FootnoteReference"/>
        </w:rPr>
        <w:footnoteRef/>
      </w:r>
      <w:r>
        <w:t xml:space="preserve"> Department of Health (2015) </w:t>
      </w:r>
      <w:r w:rsidRPr="009134EA">
        <w:rPr>
          <w:b/>
        </w:rPr>
        <w:t>Connecting for Life: Ireland’s National Strategy to Reduce Suicide 2015-2020</w:t>
      </w:r>
      <w:r>
        <w:t>, Dublin: DoH.</w:t>
      </w:r>
    </w:p>
  </w:footnote>
  <w:footnote w:id="134">
    <w:p w14:paraId="0C8C75B6" w14:textId="77777777" w:rsidR="00F7140D" w:rsidRDefault="00F7140D">
      <w:pPr>
        <w:pStyle w:val="FootnoteText"/>
      </w:pPr>
      <w:r>
        <w:rPr>
          <w:rStyle w:val="FootnoteReference"/>
        </w:rPr>
        <w:footnoteRef/>
      </w:r>
      <w:r>
        <w:t xml:space="preserve"> Health Service Executive (2019) </w:t>
      </w:r>
      <w:r w:rsidRPr="009134EA">
        <w:rPr>
          <w:b/>
        </w:rPr>
        <w:t>Connecting for Life: Interim Strategy Review</w:t>
      </w:r>
      <w:r>
        <w:t>, Dublin: HSE.</w:t>
      </w:r>
    </w:p>
  </w:footnote>
  <w:footnote w:id="135">
    <w:p w14:paraId="038C86E3" w14:textId="77777777" w:rsidR="00F7140D" w:rsidRDefault="00F7140D">
      <w:pPr>
        <w:pStyle w:val="FootnoteText"/>
      </w:pPr>
      <w:r>
        <w:rPr>
          <w:rStyle w:val="FootnoteReference"/>
        </w:rPr>
        <w:footnoteRef/>
      </w:r>
      <w:r>
        <w:t xml:space="preserve"> Mental Health Commission (2019) </w:t>
      </w:r>
      <w:r w:rsidRPr="004E55BC">
        <w:rPr>
          <w:b/>
        </w:rPr>
        <w:t>2018 Inspection of 24-hour Supervised Residences for People with Mental Illness</w:t>
      </w:r>
      <w:r>
        <w:t>, Dublin: MHC, p.3.</w:t>
      </w:r>
    </w:p>
  </w:footnote>
  <w:footnote w:id="136">
    <w:p w14:paraId="411F55AE" w14:textId="5B79DE3D" w:rsidR="00F7140D" w:rsidRDefault="00F7140D">
      <w:pPr>
        <w:pStyle w:val="FootnoteText"/>
      </w:pPr>
      <w:r>
        <w:rPr>
          <w:rStyle w:val="FootnoteReference"/>
        </w:rPr>
        <w:footnoteRef/>
      </w:r>
      <w:r>
        <w:t xml:space="preserve"> Mental Health Commission (2021) </w:t>
      </w:r>
      <w:r>
        <w:rPr>
          <w:b/>
        </w:rPr>
        <w:t>Annual Report 2020</w:t>
      </w:r>
      <w:r>
        <w:t xml:space="preserve">, Dublin: MHC, p.4 and Mental Health Commission (2020) </w:t>
      </w:r>
      <w:r>
        <w:rPr>
          <w:b/>
        </w:rPr>
        <w:t>Annual Report 2019</w:t>
      </w:r>
      <w:r>
        <w:t>, Dublin: MHC, p.18.</w:t>
      </w:r>
    </w:p>
  </w:footnote>
  <w:footnote w:id="137">
    <w:p w14:paraId="6A26DC49" w14:textId="0E7C4C80" w:rsidR="00F7140D" w:rsidRDefault="00F7140D">
      <w:pPr>
        <w:pStyle w:val="FootnoteText"/>
      </w:pPr>
      <w:r>
        <w:rPr>
          <w:rStyle w:val="FootnoteReference"/>
        </w:rPr>
        <w:footnoteRef/>
      </w:r>
      <w:r>
        <w:t xml:space="preserve"> Ibid, p.19.</w:t>
      </w:r>
    </w:p>
  </w:footnote>
  <w:footnote w:id="138">
    <w:p w14:paraId="6FDDC1D2" w14:textId="21587466" w:rsidR="00F7140D" w:rsidRDefault="00F7140D">
      <w:pPr>
        <w:pStyle w:val="FootnoteText"/>
      </w:pPr>
      <w:r>
        <w:rPr>
          <w:rStyle w:val="FootnoteReference"/>
        </w:rPr>
        <w:footnoteRef/>
      </w:r>
      <w:r>
        <w:t xml:space="preserve"> Ibid, p.24.</w:t>
      </w:r>
    </w:p>
  </w:footnote>
  <w:footnote w:id="139">
    <w:p w14:paraId="2961854F" w14:textId="77777777" w:rsidR="00F7140D" w:rsidRDefault="00F7140D">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p.59.</w:t>
      </w:r>
    </w:p>
  </w:footnote>
  <w:footnote w:id="140">
    <w:p w14:paraId="1D43F075" w14:textId="7AD5B05E" w:rsidR="00F7140D" w:rsidRDefault="00F7140D">
      <w:pPr>
        <w:pStyle w:val="FootnoteText"/>
      </w:pPr>
      <w:r>
        <w:rPr>
          <w:rStyle w:val="FootnoteReference"/>
        </w:rPr>
        <w:footnoteRef/>
      </w:r>
      <w:r>
        <w:t xml:space="preserve"> Ibid</w:t>
      </w:r>
    </w:p>
  </w:footnote>
  <w:footnote w:id="141">
    <w:p w14:paraId="526C7A4A" w14:textId="77777777" w:rsidR="00F7140D" w:rsidRPr="00E37615" w:rsidRDefault="00F7140D">
      <w:pPr>
        <w:pStyle w:val="FootnoteText"/>
        <w:rPr>
          <w:bCs/>
        </w:rPr>
      </w:pPr>
      <w:r>
        <w:rPr>
          <w:rStyle w:val="FootnoteReference"/>
        </w:rPr>
        <w:footnoteRef/>
      </w:r>
      <w:r>
        <w:t xml:space="preserve"> Department of Health (2016) </w:t>
      </w:r>
      <w:r w:rsidRPr="00E37615">
        <w:rPr>
          <w:b/>
          <w:bCs/>
        </w:rPr>
        <w:t>A Healthy Weight for Ireland: Obesity Policy and Action Plan 2016 – 2025</w:t>
      </w:r>
      <w:r>
        <w:rPr>
          <w:b/>
          <w:bCs/>
        </w:rPr>
        <w:t xml:space="preserve">, </w:t>
      </w:r>
      <w:r>
        <w:rPr>
          <w:bCs/>
        </w:rPr>
        <w:t>Dublin: DoH.</w:t>
      </w:r>
    </w:p>
  </w:footnote>
  <w:footnote w:id="142">
    <w:p w14:paraId="269C5528" w14:textId="77777777" w:rsidR="00F7140D" w:rsidRDefault="00F7140D">
      <w:pPr>
        <w:pStyle w:val="FootnoteText"/>
      </w:pPr>
      <w:r>
        <w:rPr>
          <w:rStyle w:val="FootnoteReference"/>
        </w:rPr>
        <w:footnoteRef/>
      </w:r>
      <w:r>
        <w:t xml:space="preserve"> Department of Health (2016) </w:t>
      </w:r>
      <w:r w:rsidRPr="00E37615">
        <w:rPr>
          <w:b/>
          <w:bCs/>
        </w:rPr>
        <w:t>A Healthy Weight for Ireland: Obesity Policy and Action Plan 2016 – 2025</w:t>
      </w:r>
      <w:r>
        <w:rPr>
          <w:b/>
          <w:bCs/>
        </w:rPr>
        <w:t xml:space="preserve">, </w:t>
      </w:r>
      <w:r>
        <w:rPr>
          <w:bCs/>
        </w:rPr>
        <w:t>Dublin: DoH, p.47.</w:t>
      </w:r>
    </w:p>
  </w:footnote>
  <w:footnote w:id="143">
    <w:p w14:paraId="647623AA" w14:textId="053F0939" w:rsidR="00F7140D" w:rsidRDefault="00F7140D">
      <w:pPr>
        <w:pStyle w:val="FootnoteText"/>
      </w:pPr>
      <w:r>
        <w:rPr>
          <w:rStyle w:val="FootnoteReference"/>
        </w:rPr>
        <w:footnoteRef/>
      </w:r>
      <w:r>
        <w:t xml:space="preserve"> </w:t>
      </w:r>
      <w:r w:rsidRPr="000501A4">
        <w:t xml:space="preserve">Pierse, T., O’ Shea, E., &amp; Carney, P. (2019). Estimates of the prevalence, incidence and severity of dementia in Ireland. </w:t>
      </w:r>
      <w:r w:rsidRPr="00F764CA">
        <w:rPr>
          <w:b/>
        </w:rPr>
        <w:t>Irish Journal of Psychological Medicine</w:t>
      </w:r>
      <w:r>
        <w:t>, 36(2)</w:t>
      </w:r>
    </w:p>
  </w:footnote>
  <w:footnote w:id="144">
    <w:p w14:paraId="567BA510" w14:textId="77777777" w:rsidR="00F7140D" w:rsidRDefault="00F7140D">
      <w:pPr>
        <w:pStyle w:val="FootnoteText"/>
      </w:pPr>
      <w:r>
        <w:rPr>
          <w:rStyle w:val="FootnoteReference"/>
        </w:rPr>
        <w:footnoteRef/>
      </w:r>
      <w:r>
        <w:t xml:space="preserve"> </w:t>
      </w:r>
      <w:r w:rsidRPr="005A7D6E">
        <w:t>School of Nursing and Midwifery</w:t>
      </w:r>
      <w:r>
        <w:t xml:space="preserve">, Trinity College Dublin (2017) </w:t>
      </w:r>
      <w:r w:rsidRPr="005A7D6E">
        <w:rPr>
          <w:b/>
        </w:rPr>
        <w:t>Health, Wellbeing and Social Inclusion: Ageing with an Intellectual Disability in Ireland: Wave 3 IDS-TILDA</w:t>
      </w:r>
      <w:r>
        <w:t>, p.80.</w:t>
      </w:r>
    </w:p>
  </w:footnote>
  <w:footnote w:id="145">
    <w:p w14:paraId="6078463B" w14:textId="77777777" w:rsidR="00F7140D" w:rsidRPr="00CD2189" w:rsidRDefault="00F7140D">
      <w:pPr>
        <w:pStyle w:val="FootnoteText"/>
      </w:pPr>
      <w:r>
        <w:rPr>
          <w:rStyle w:val="FootnoteReference"/>
        </w:rPr>
        <w:footnoteRef/>
      </w:r>
      <w:r>
        <w:t xml:space="preserve"> Department of Health (2014) </w:t>
      </w:r>
      <w:r>
        <w:rPr>
          <w:b/>
        </w:rPr>
        <w:t xml:space="preserve">The Irish National Dementia Strategy, </w:t>
      </w:r>
      <w:r>
        <w:t>Dublin: DoH.</w:t>
      </w:r>
    </w:p>
  </w:footnote>
  <w:footnote w:id="146">
    <w:p w14:paraId="012B2319" w14:textId="77777777" w:rsidR="00F7140D" w:rsidRDefault="00F7140D">
      <w:pPr>
        <w:pStyle w:val="FootnoteText"/>
      </w:pPr>
      <w:r>
        <w:rPr>
          <w:rStyle w:val="FootnoteReference"/>
        </w:rPr>
        <w:footnoteRef/>
      </w:r>
      <w:r>
        <w:t xml:space="preserve"> Department of Health (2018) </w:t>
      </w:r>
      <w:r w:rsidRPr="00560B33">
        <w:rPr>
          <w:b/>
        </w:rPr>
        <w:t>Mid-Term Review of the implementat</w:t>
      </w:r>
      <w:r>
        <w:rPr>
          <w:b/>
        </w:rPr>
        <w:t>i</w:t>
      </w:r>
      <w:r w:rsidRPr="00560B33">
        <w:rPr>
          <w:b/>
        </w:rPr>
        <w:t>on of the Nat</w:t>
      </w:r>
      <w:r>
        <w:rPr>
          <w:b/>
        </w:rPr>
        <w:t>i</w:t>
      </w:r>
      <w:r w:rsidRPr="00560B33">
        <w:rPr>
          <w:b/>
        </w:rPr>
        <w:t>onal Dement</w:t>
      </w:r>
      <w:r>
        <w:rPr>
          <w:b/>
        </w:rPr>
        <w:t>i</w:t>
      </w:r>
      <w:r w:rsidRPr="00560B33">
        <w:rPr>
          <w:b/>
        </w:rPr>
        <w:t>a Strategy</w:t>
      </w:r>
      <w:r>
        <w:t>, Dublin: DoH.</w:t>
      </w:r>
    </w:p>
  </w:footnote>
  <w:footnote w:id="147">
    <w:p w14:paraId="6EEE2B81" w14:textId="77777777" w:rsidR="00F7140D" w:rsidRDefault="00F7140D">
      <w:pPr>
        <w:pStyle w:val="FootnoteText"/>
      </w:pPr>
      <w:r>
        <w:rPr>
          <w:rStyle w:val="FootnoteReference"/>
        </w:rPr>
        <w:footnoteRef/>
      </w:r>
      <w:r>
        <w:t xml:space="preserve"> Department of Health (2018) </w:t>
      </w:r>
      <w:r w:rsidRPr="00AE5E57">
        <w:rPr>
          <w:b/>
        </w:rPr>
        <w:t>Estimating prevalence of Autism Spectrum Disorder (ASD) in the Irish Population: A review of data sources and epidemiological studies</w:t>
      </w:r>
      <w:r>
        <w:t>, Dublin: DoH, p.6.</w:t>
      </w:r>
    </w:p>
  </w:footnote>
  <w:footnote w:id="148">
    <w:p w14:paraId="4207E143" w14:textId="77777777" w:rsidR="00F7140D" w:rsidRDefault="00F7140D">
      <w:pPr>
        <w:pStyle w:val="FootnoteText"/>
      </w:pPr>
      <w:r>
        <w:rPr>
          <w:rStyle w:val="FootnoteReference"/>
        </w:rPr>
        <w:footnoteRef/>
      </w:r>
      <w:r>
        <w:t xml:space="preserve"> Health Service Executive (2018) </w:t>
      </w:r>
      <w:r w:rsidRPr="00D9086F">
        <w:rPr>
          <w:b/>
        </w:rPr>
        <w:t>Review of the Irish Health Services for Individuals with Autism Spectrum Disorders</w:t>
      </w:r>
      <w:r>
        <w:t>, Dublin: HSE.</w:t>
      </w:r>
    </w:p>
  </w:footnote>
  <w:footnote w:id="149">
    <w:p w14:paraId="298254F7" w14:textId="42085C84" w:rsidR="00F7140D" w:rsidRPr="00366DB3" w:rsidRDefault="00F7140D">
      <w:pPr>
        <w:pStyle w:val="FootnoteText"/>
      </w:pPr>
      <w:r>
        <w:rPr>
          <w:rStyle w:val="FootnoteReference"/>
        </w:rPr>
        <w:footnoteRef/>
      </w:r>
      <w:r>
        <w:t xml:space="preserve"> Health Service Executive (2012) </w:t>
      </w:r>
      <w:r w:rsidRPr="00366DB3">
        <w:rPr>
          <w:b/>
        </w:rPr>
        <w:t>National Review of Autism Services Past, Present and Way Forward</w:t>
      </w:r>
      <w:r>
        <w:t>, Dublin: HSE.</w:t>
      </w:r>
    </w:p>
  </w:footnote>
  <w:footnote w:id="150">
    <w:p w14:paraId="16F45BD6" w14:textId="2C15BFC0" w:rsidR="00F7140D" w:rsidRPr="00D656C6" w:rsidRDefault="00F7140D">
      <w:pPr>
        <w:pStyle w:val="FootnoteText"/>
      </w:pPr>
      <w:r>
        <w:rPr>
          <w:rStyle w:val="FootnoteReference"/>
        </w:rPr>
        <w:footnoteRef/>
      </w:r>
      <w:r>
        <w:t xml:space="preserve"> National Disability Authority (2017) </w:t>
      </w:r>
      <w:r w:rsidRPr="00D656C6">
        <w:rPr>
          <w:b/>
        </w:rPr>
        <w:t>Models of good Practice in Effectively Supporting the Needs of Adults with Autism, without a Concurrent Intellectual Disability, Living in the Community</w:t>
      </w:r>
      <w:r>
        <w:t>, Dublin: NDA.</w:t>
      </w:r>
    </w:p>
  </w:footnote>
  <w:footnote w:id="151">
    <w:p w14:paraId="43598DD9" w14:textId="77777777" w:rsidR="00F7140D" w:rsidRPr="00AE5E57" w:rsidRDefault="00F7140D">
      <w:pPr>
        <w:pStyle w:val="FootnoteText"/>
        <w:rPr>
          <w:b/>
          <w:bCs/>
        </w:rPr>
      </w:pPr>
      <w:r>
        <w:rPr>
          <w:rStyle w:val="FootnoteReference"/>
        </w:rPr>
        <w:footnoteRef/>
      </w:r>
      <w:r>
        <w:t xml:space="preserve"> Department of Health, </w:t>
      </w:r>
      <w:r w:rsidRPr="00AE5E57">
        <w:rPr>
          <w:bCs/>
        </w:rPr>
        <w:t>Minister Harris announces €2 million funding for Autism Plan, 14 October 2019 &lt;</w:t>
      </w:r>
      <w:hyperlink r:id="rId15" w:history="1">
        <w:r w:rsidRPr="00AE5E57">
          <w:rPr>
            <w:rStyle w:val="Hyperlink"/>
          </w:rPr>
          <w:t>https://www.gov.ie/en/news/4b6d68-minister-harris-announces-2-million-funding-for-autism-plan/</w:t>
        </w:r>
      </w:hyperlink>
      <w:r>
        <w:t>&gt;.</w:t>
      </w:r>
    </w:p>
  </w:footnote>
  <w:footnote w:id="152">
    <w:p w14:paraId="5DA394BF" w14:textId="77777777" w:rsidR="00F7140D" w:rsidRPr="00A01EC6" w:rsidRDefault="00F7140D">
      <w:pPr>
        <w:pStyle w:val="FootnoteText"/>
      </w:pPr>
      <w:r>
        <w:rPr>
          <w:rStyle w:val="FootnoteReference"/>
        </w:rPr>
        <w:footnoteRef/>
      </w:r>
      <w:r>
        <w:t xml:space="preserve"> </w:t>
      </w:r>
      <w:r w:rsidRPr="00A01EC6">
        <w:rPr>
          <w:b/>
          <w:bCs/>
        </w:rPr>
        <w:t>Data Protection Act 2018 (Section 36(2)) (Health Research) Regulations 2018</w:t>
      </w:r>
      <w:r>
        <w:rPr>
          <w:b/>
          <w:bCs/>
        </w:rPr>
        <w:t xml:space="preserve">, </w:t>
      </w:r>
      <w:r>
        <w:rPr>
          <w:bCs/>
        </w:rPr>
        <w:t>SI No.314 of 2018.</w:t>
      </w:r>
    </w:p>
  </w:footnote>
  <w:footnote w:id="153">
    <w:p w14:paraId="678E5833" w14:textId="77777777" w:rsidR="00F7140D" w:rsidRDefault="00F7140D">
      <w:pPr>
        <w:pStyle w:val="FootnoteText"/>
      </w:pPr>
      <w:r>
        <w:rPr>
          <w:rStyle w:val="FootnoteReference"/>
        </w:rPr>
        <w:footnoteRef/>
      </w:r>
      <w:r>
        <w:t xml:space="preserve"> Available at the following link: </w:t>
      </w:r>
      <w:hyperlink r:id="rId16" w:history="1">
        <w:r w:rsidRPr="00A01EC6">
          <w:rPr>
            <w:rStyle w:val="Hyperlink"/>
          </w:rPr>
          <w:t>https://www.gov.ie/en/press-release/0e11c1-minister-for-health-publishes-new-bill-to-reform-the-research-eithic/</w:t>
        </w:r>
      </w:hyperlink>
      <w:r>
        <w:t>.</w:t>
      </w:r>
    </w:p>
  </w:footnote>
  <w:footnote w:id="154">
    <w:p w14:paraId="5ADA7D2F" w14:textId="77777777" w:rsidR="00F7140D" w:rsidRDefault="00F7140D">
      <w:pPr>
        <w:pStyle w:val="FootnoteText"/>
      </w:pPr>
      <w:r>
        <w:rPr>
          <w:rStyle w:val="FootnoteReference"/>
        </w:rPr>
        <w:footnoteRef/>
      </w:r>
      <w:r>
        <w:t xml:space="preserve"> Department of Health (2013) </w:t>
      </w:r>
      <w:r w:rsidRPr="00A01EC6">
        <w:rPr>
          <w:b/>
        </w:rPr>
        <w:t>eHealth Strategy for Ireland</w:t>
      </w:r>
      <w:r>
        <w:t>, Dublin: DoH.</w:t>
      </w:r>
    </w:p>
  </w:footnote>
  <w:footnote w:id="155">
    <w:p w14:paraId="0B015A0E" w14:textId="77777777" w:rsidR="00F7140D" w:rsidRDefault="00F7140D">
      <w:pPr>
        <w:pStyle w:val="FootnoteText"/>
      </w:pPr>
      <w:r>
        <w:rPr>
          <w:rStyle w:val="FootnoteReference"/>
        </w:rPr>
        <w:footnoteRef/>
      </w:r>
      <w:r>
        <w:t xml:space="preserve"> </w:t>
      </w:r>
      <w:r w:rsidRPr="00AE5343">
        <w:t>E</w:t>
      </w:r>
      <w:r>
        <w:t xml:space="preserve">uropean Commission (2019) </w:t>
      </w:r>
      <w:r w:rsidRPr="00AE5343">
        <w:rPr>
          <w:b/>
        </w:rPr>
        <w:t>Ireland Health Care &amp; Long-Term Care Systems</w:t>
      </w:r>
      <w:r>
        <w:t>, Brussels: EC, p.139.</w:t>
      </w:r>
    </w:p>
  </w:footnote>
  <w:footnote w:id="156">
    <w:p w14:paraId="4DE886BA" w14:textId="77777777" w:rsidR="00F7140D" w:rsidRPr="00AE5343" w:rsidRDefault="00F7140D">
      <w:pPr>
        <w:pStyle w:val="FootnoteText"/>
      </w:pPr>
      <w:r>
        <w:rPr>
          <w:rStyle w:val="FootnoteReference"/>
        </w:rPr>
        <w:footnoteRef/>
      </w:r>
      <w:r>
        <w:t xml:space="preserve"> National Disability Authority (2018) </w:t>
      </w:r>
      <w:r w:rsidRPr="00AE5343">
        <w:rPr>
          <w:b/>
        </w:rPr>
        <w:t>Effective implementation and monitoring of telehealth and telecare in Ireland: learning from international best practice</w:t>
      </w:r>
      <w:r>
        <w:t>, Dublin: NDA.</w:t>
      </w:r>
    </w:p>
  </w:footnote>
  <w:footnote w:id="157">
    <w:p w14:paraId="6C857DE3" w14:textId="77777777" w:rsidR="00F7140D" w:rsidRPr="0069364E" w:rsidRDefault="00F7140D">
      <w:pPr>
        <w:pStyle w:val="FootnoteText"/>
      </w:pPr>
      <w:r>
        <w:rPr>
          <w:rStyle w:val="FootnoteReference"/>
        </w:rPr>
        <w:footnoteRef/>
      </w:r>
      <w:r>
        <w:t xml:space="preserve"> Department of Health (2013) </w:t>
      </w:r>
      <w:r>
        <w:rPr>
          <w:b/>
        </w:rPr>
        <w:t xml:space="preserve">The National Positive Ageing Strategy, </w:t>
      </w:r>
      <w:r>
        <w:t>Dublin: DoH.</w:t>
      </w:r>
    </w:p>
  </w:footnote>
  <w:footnote w:id="158">
    <w:p w14:paraId="583B5204" w14:textId="53F5DE73" w:rsidR="00F7140D" w:rsidRDefault="00F7140D">
      <w:pPr>
        <w:pStyle w:val="FootnoteText"/>
      </w:pPr>
      <w:r>
        <w:rPr>
          <w:rStyle w:val="FootnoteReference"/>
        </w:rPr>
        <w:footnoteRef/>
      </w:r>
      <w:r>
        <w:t xml:space="preserve"> Ibid, pp.52-53.</w:t>
      </w:r>
    </w:p>
  </w:footnote>
  <w:footnote w:id="159">
    <w:p w14:paraId="76C65AA9" w14:textId="77777777" w:rsidR="00F7140D" w:rsidRDefault="00F7140D">
      <w:pPr>
        <w:pStyle w:val="FootnoteText"/>
      </w:pPr>
      <w:r>
        <w:rPr>
          <w:rStyle w:val="FootnoteReference"/>
        </w:rPr>
        <w:footnoteRef/>
      </w:r>
      <w:r>
        <w:t xml:space="preserve"> O’Donnell, S. &amp; Richardson, N. (2018) </w:t>
      </w:r>
      <w:r w:rsidRPr="00750E17">
        <w:rPr>
          <w:b/>
        </w:rPr>
        <w:t>Middle Aged Men and Suicide in Ireland</w:t>
      </w:r>
      <w:r>
        <w:t>, Dublin: DoH.</w:t>
      </w:r>
    </w:p>
  </w:footnote>
  <w:footnote w:id="160">
    <w:p w14:paraId="32910539" w14:textId="77777777" w:rsidR="00F7140D" w:rsidRPr="00750E17" w:rsidRDefault="00F7140D">
      <w:pPr>
        <w:pStyle w:val="FootnoteText"/>
      </w:pPr>
      <w:r>
        <w:rPr>
          <w:rStyle w:val="FootnoteReference"/>
        </w:rPr>
        <w:footnoteRef/>
      </w:r>
      <w:r>
        <w:t xml:space="preserve"> Department of Health (2017) </w:t>
      </w:r>
      <w:r w:rsidRPr="00750E17">
        <w:rPr>
          <w:b/>
        </w:rPr>
        <w:t>Healthy Ireland: Men 2017-2021, the National Men's Health Action Plan</w:t>
      </w:r>
      <w:r>
        <w:t>, Dublin: DoH.</w:t>
      </w:r>
    </w:p>
  </w:footnote>
  <w:footnote w:id="161">
    <w:p w14:paraId="0082310E" w14:textId="77777777" w:rsidR="00F7140D" w:rsidRDefault="00F7140D">
      <w:pPr>
        <w:pStyle w:val="FootnoteText"/>
      </w:pPr>
      <w:r>
        <w:rPr>
          <w:rStyle w:val="FootnoteReference"/>
        </w:rPr>
        <w:footnoteRef/>
      </w:r>
      <w:r>
        <w:t xml:space="preserve"> </w:t>
      </w:r>
      <w:r w:rsidRPr="00B335E9">
        <w:t xml:space="preserve">Walsh, K. (2019) </w:t>
      </w:r>
      <w:r w:rsidRPr="00B335E9">
        <w:rPr>
          <w:b/>
        </w:rPr>
        <w:t>Women’s Health in Ireland</w:t>
      </w:r>
      <w:r w:rsidRPr="00B335E9">
        <w:t>, Dublin, NWCI, DoH and HSE, p</w:t>
      </w:r>
      <w:r>
        <w:t>.81.</w:t>
      </w:r>
    </w:p>
  </w:footnote>
  <w:footnote w:id="162">
    <w:p w14:paraId="1DA0954B" w14:textId="77777777" w:rsidR="00F7140D" w:rsidRDefault="00F7140D">
      <w:pPr>
        <w:pStyle w:val="FootnoteText"/>
      </w:pPr>
      <w:r>
        <w:rPr>
          <w:rStyle w:val="FootnoteReference"/>
        </w:rPr>
        <w:footnoteRef/>
      </w:r>
      <w:r>
        <w:t xml:space="preserve"> Government of Ireland (2017) </w:t>
      </w:r>
      <w:r w:rsidRPr="00E07FCB">
        <w:rPr>
          <w:b/>
        </w:rPr>
        <w:t>National Strategy for Women and Girls 2017-2020</w:t>
      </w:r>
      <w:r>
        <w:t>, Dublin: Stationery Office.</w:t>
      </w:r>
    </w:p>
  </w:footnote>
  <w:footnote w:id="163">
    <w:p w14:paraId="348C225C" w14:textId="77777777" w:rsidR="00F7140D" w:rsidRDefault="00F7140D">
      <w:pPr>
        <w:pStyle w:val="FootnoteText"/>
      </w:pPr>
      <w:r>
        <w:rPr>
          <w:rStyle w:val="FootnoteReference"/>
        </w:rPr>
        <w:footnoteRef/>
      </w:r>
      <w:r>
        <w:t xml:space="preserve"> More information on the Women’s Health Taskforce is available at the following link: </w:t>
      </w:r>
      <w:hyperlink r:id="rId17" w:history="1">
        <w:r w:rsidRPr="00B66E7C">
          <w:rPr>
            <w:rStyle w:val="Hyperlink"/>
          </w:rPr>
          <w:t>https://www.gov.ie/en/campaigns/-womens-health/</w:t>
        </w:r>
      </w:hyperlink>
      <w:r>
        <w:t>.</w:t>
      </w:r>
    </w:p>
  </w:footnote>
  <w:footnote w:id="164">
    <w:p w14:paraId="7F0EE6AB" w14:textId="77777777" w:rsidR="00F7140D" w:rsidRDefault="00F7140D">
      <w:pPr>
        <w:pStyle w:val="FootnoteText"/>
      </w:pPr>
      <w:r>
        <w:rPr>
          <w:rStyle w:val="FootnoteReference"/>
        </w:rPr>
        <w:footnoteRef/>
      </w:r>
      <w:r>
        <w:t xml:space="preserve"> Health Service Executive (2018) </w:t>
      </w:r>
      <w:r w:rsidRPr="00866A3B">
        <w:rPr>
          <w:b/>
        </w:rPr>
        <w:t>Second National Intercultural Health Strategy 2018-2023</w:t>
      </w:r>
      <w:r>
        <w:t>, Dublin: HSE.</w:t>
      </w:r>
    </w:p>
  </w:footnote>
  <w:footnote w:id="165">
    <w:p w14:paraId="79B41C00" w14:textId="77777777" w:rsidR="00F7140D" w:rsidRDefault="00F7140D">
      <w:pPr>
        <w:pStyle w:val="FootnoteText"/>
      </w:pPr>
      <w:r>
        <w:rPr>
          <w:rStyle w:val="FootnoteReference"/>
        </w:rPr>
        <w:footnoteRef/>
      </w:r>
      <w:r>
        <w:t xml:space="preserve"> Mental Health Commission &amp; Mental Health Reform (2016) </w:t>
      </w:r>
      <w:r w:rsidRPr="00896AB5">
        <w:rPr>
          <w:b/>
        </w:rPr>
        <w:t>Ethnic Minorities and Mental Health: Guidelines for mental health services and staff on working with people from ethnic minority communities</w:t>
      </w:r>
      <w:r>
        <w:t>, Dublin: MHC &amp; MHR.</w:t>
      </w:r>
    </w:p>
  </w:footnote>
  <w:footnote w:id="166">
    <w:p w14:paraId="0DA3278F" w14:textId="77777777" w:rsidR="00F7140D" w:rsidRDefault="00F7140D">
      <w:pPr>
        <w:pStyle w:val="FootnoteText"/>
      </w:pPr>
      <w:r>
        <w:rPr>
          <w:rStyle w:val="FootnoteReference"/>
        </w:rPr>
        <w:footnoteRef/>
      </w:r>
      <w:r>
        <w:t xml:space="preserve"> Mental Health Commission &amp; Mental Health Reform (2016) </w:t>
      </w:r>
      <w:r w:rsidRPr="00896AB5">
        <w:rPr>
          <w:b/>
        </w:rPr>
        <w:t>Ethnic Minorities and Mental Health: Guidelines for mental health services and staff on working with people from ethnic minority communities</w:t>
      </w:r>
      <w:r>
        <w:t>, Dublin: MHC &amp; MHR, p.4.</w:t>
      </w:r>
    </w:p>
  </w:footnote>
  <w:footnote w:id="167">
    <w:p w14:paraId="473160A8" w14:textId="77777777" w:rsidR="00F7140D" w:rsidRDefault="00F7140D">
      <w:pPr>
        <w:pStyle w:val="FootnoteText"/>
      </w:pPr>
      <w:r>
        <w:rPr>
          <w:rStyle w:val="FootnoteReference"/>
        </w:rPr>
        <w:footnoteRef/>
      </w:r>
      <w:r>
        <w:t xml:space="preserve"> Department of Justice and Equality (2015) </w:t>
      </w:r>
      <w:r w:rsidRPr="00234623">
        <w:rPr>
          <w:b/>
        </w:rPr>
        <w:t>Working Group Report to Government on Improvements to the Protection Process, including Direct Provision and Supports to Asylum Seekers</w:t>
      </w:r>
      <w:r>
        <w:t>, Dublin: DJE.</w:t>
      </w:r>
    </w:p>
  </w:footnote>
  <w:footnote w:id="168">
    <w:p w14:paraId="4C55E05A" w14:textId="77777777" w:rsidR="00F7140D" w:rsidRDefault="00F7140D">
      <w:pPr>
        <w:pStyle w:val="FootnoteText"/>
      </w:pPr>
      <w:r>
        <w:rPr>
          <w:rStyle w:val="FootnoteReference"/>
        </w:rPr>
        <w:footnoteRef/>
      </w:r>
      <w:r>
        <w:t xml:space="preserve"> </w:t>
      </w:r>
      <w:r w:rsidRPr="007E597D">
        <w:t>Nwachukwu,</w:t>
      </w:r>
      <w:r>
        <w:t xml:space="preserve"> I., </w:t>
      </w:r>
      <w:r w:rsidRPr="007E597D">
        <w:t>Browne</w:t>
      </w:r>
      <w:r>
        <w:t xml:space="preserve">, D. and </w:t>
      </w:r>
      <w:r w:rsidRPr="007E597D">
        <w:t>Tobin</w:t>
      </w:r>
      <w:r>
        <w:t>, J.</w:t>
      </w:r>
      <w:r w:rsidRPr="007E597D">
        <w:t xml:space="preserve"> (2009), “The Mental Health Service Requirements for Asylum Seekers and Refugees in Ireland”, Working Group of the Faculty of Adult Psychiatry Executive Committee.</w:t>
      </w:r>
    </w:p>
  </w:footnote>
  <w:footnote w:id="169">
    <w:p w14:paraId="158CB5F0" w14:textId="77777777" w:rsidR="00F7140D" w:rsidRDefault="00F7140D">
      <w:pPr>
        <w:pStyle w:val="FootnoteText"/>
      </w:pPr>
      <w:r>
        <w:rPr>
          <w:rStyle w:val="FootnoteReference"/>
        </w:rPr>
        <w:footnoteRef/>
      </w:r>
      <w:r>
        <w:t xml:space="preserve"> Department of Justice and Equality (2017) </w:t>
      </w:r>
      <w:r w:rsidRPr="00234623">
        <w:rPr>
          <w:b/>
        </w:rPr>
        <w:t>Report of the Working Group to Report to Government on Improvements to the Protection Process, including Direct Provision and Supports for Asylum Seekers - Third and Final Progress Report on the Implementation of the Report’s Recommendations</w:t>
      </w:r>
      <w:r>
        <w:t>, Dublin: DJE, p.19.</w:t>
      </w:r>
    </w:p>
  </w:footnote>
  <w:footnote w:id="170">
    <w:p w14:paraId="522C787A" w14:textId="77777777" w:rsidR="00F7140D" w:rsidRPr="00DF4D7D" w:rsidRDefault="00F7140D">
      <w:pPr>
        <w:pStyle w:val="FootnoteText"/>
      </w:pPr>
      <w:r>
        <w:rPr>
          <w:rStyle w:val="FootnoteReference"/>
        </w:rPr>
        <w:footnoteRef/>
      </w:r>
      <w:r>
        <w:t xml:space="preserve"> Pavee Point and Department of Justice and Equality (2018) </w:t>
      </w:r>
      <w:r>
        <w:rPr>
          <w:b/>
        </w:rPr>
        <w:t>Roma in Ireland: A National Needs Assessment</w:t>
      </w:r>
      <w:r>
        <w:t>, Dublin: Pavee Point and DJE.</w:t>
      </w:r>
    </w:p>
  </w:footnote>
  <w:footnote w:id="171">
    <w:p w14:paraId="0F16B451" w14:textId="77777777" w:rsidR="00F7140D" w:rsidRPr="006A6B35" w:rsidRDefault="00F7140D">
      <w:pPr>
        <w:pStyle w:val="FootnoteText"/>
      </w:pPr>
      <w:r>
        <w:rPr>
          <w:rStyle w:val="FootnoteReference"/>
        </w:rPr>
        <w:footnoteRef/>
      </w:r>
      <w:r>
        <w:t xml:space="preserve"> Department of Health (2010) </w:t>
      </w:r>
      <w:r>
        <w:rPr>
          <w:b/>
        </w:rPr>
        <w:t xml:space="preserve">All Ireland Traveller Health Study, Our Geels, </w:t>
      </w:r>
      <w:r w:rsidRPr="006A6B35">
        <w:t>Dublin: DoH.</w:t>
      </w:r>
    </w:p>
  </w:footnote>
  <w:footnote w:id="172">
    <w:p w14:paraId="751052A7" w14:textId="77777777" w:rsidR="00F7140D" w:rsidRDefault="00F7140D">
      <w:pPr>
        <w:pStyle w:val="FootnoteText"/>
      </w:pPr>
      <w:r>
        <w:rPr>
          <w:rStyle w:val="FootnoteReference"/>
        </w:rPr>
        <w:footnoteRef/>
      </w:r>
      <w:r>
        <w:t xml:space="preserve"> </w:t>
      </w:r>
      <w:r w:rsidRPr="0074374B">
        <w:t xml:space="preserve">Quirke, B. (2010) </w:t>
      </w:r>
      <w:r w:rsidRPr="006A6B35">
        <w:rPr>
          <w:b/>
        </w:rPr>
        <w:t>Selected Findings and Recommendations from the All-Ireland Traveller Health Study - Our Geels</w:t>
      </w:r>
      <w:r w:rsidRPr="0074374B">
        <w:t>, Dublin: Pavee Point</w:t>
      </w:r>
    </w:p>
  </w:footnote>
  <w:footnote w:id="173">
    <w:p w14:paraId="0E3FB899" w14:textId="77777777" w:rsidR="00F7140D" w:rsidRDefault="00F7140D">
      <w:pPr>
        <w:pStyle w:val="FootnoteText"/>
      </w:pPr>
      <w:r>
        <w:rPr>
          <w:rStyle w:val="FootnoteReference"/>
        </w:rPr>
        <w:footnoteRef/>
      </w:r>
      <w:r>
        <w:t xml:space="preserve"> Pavee Point, Pavee Point Manifesto for General Election 2020, &lt;</w:t>
      </w:r>
      <w:hyperlink r:id="rId18" w:history="1">
        <w:r w:rsidRPr="006A6B35">
          <w:rPr>
            <w:rStyle w:val="Hyperlink"/>
          </w:rPr>
          <w:t>https://www.paveepoint.ie/pavee-point-manifesto-ge-2020/</w:t>
        </w:r>
      </w:hyperlink>
      <w:r>
        <w:t xml:space="preserve">&gt;. </w:t>
      </w:r>
    </w:p>
  </w:footnote>
  <w:footnote w:id="174">
    <w:p w14:paraId="3D9976A9" w14:textId="77777777" w:rsidR="00F7140D" w:rsidRDefault="00F7140D">
      <w:pPr>
        <w:pStyle w:val="FootnoteText"/>
      </w:pPr>
      <w:r>
        <w:rPr>
          <w:rStyle w:val="FootnoteReference"/>
        </w:rPr>
        <w:footnoteRef/>
      </w:r>
      <w:r>
        <w:t xml:space="preserve"> Akidwa (2020) </w:t>
      </w:r>
      <w:r w:rsidRPr="00A25BA5">
        <w:rPr>
          <w:b/>
        </w:rPr>
        <w:t>Let’s Talk: Mental Health Experiences of Migrant Women</w:t>
      </w:r>
      <w:r w:rsidRPr="00A25BA5">
        <w:t>,</w:t>
      </w:r>
      <w:r>
        <w:t xml:space="preserve"> Dublin: Akidwa.</w:t>
      </w:r>
    </w:p>
  </w:footnote>
  <w:footnote w:id="175">
    <w:p w14:paraId="436A0A42" w14:textId="77777777" w:rsidR="00F7140D" w:rsidRPr="00EF0AE4" w:rsidRDefault="00F7140D">
      <w:pPr>
        <w:pStyle w:val="FootnoteText"/>
      </w:pPr>
      <w:r>
        <w:rPr>
          <w:rStyle w:val="FootnoteReference"/>
        </w:rPr>
        <w:footnoteRef/>
      </w:r>
      <w:r>
        <w:t xml:space="preserve"> </w:t>
      </w:r>
      <w:r w:rsidRPr="00EF0AE4">
        <w:t>Kelly, F</w:t>
      </w:r>
      <w:r>
        <w:t>.</w:t>
      </w:r>
      <w:r w:rsidRPr="00EF0AE4">
        <w:t>, Kelly, B. and Ryan, D</w:t>
      </w:r>
      <w:r>
        <w:t>.</w:t>
      </w:r>
      <w:r w:rsidRPr="00EF0AE4">
        <w:rPr>
          <w:b/>
        </w:rPr>
        <w:t xml:space="preserve"> </w:t>
      </w:r>
      <w:r w:rsidRPr="00EF0AE4">
        <w:t>(2008)</w:t>
      </w:r>
      <w:r>
        <w:rPr>
          <w:b/>
        </w:rPr>
        <w:t xml:space="preserve"> </w:t>
      </w:r>
      <w:r w:rsidRPr="00BF5295">
        <w:rPr>
          <w:b/>
        </w:rPr>
        <w:t>Assessment of Psychiatric and Psychological Needs Among Help Seeking Migrants in Dublin</w:t>
      </w:r>
      <w:r>
        <w:t>, Dublin: UCD.</w:t>
      </w:r>
    </w:p>
  </w:footnote>
  <w:footnote w:id="176">
    <w:p w14:paraId="56187026" w14:textId="77777777" w:rsidR="00F7140D" w:rsidRDefault="00F7140D">
      <w:pPr>
        <w:pStyle w:val="FootnoteText"/>
      </w:pPr>
      <w:r>
        <w:rPr>
          <w:rStyle w:val="FootnoteReference"/>
        </w:rPr>
        <w:footnoteRef/>
      </w:r>
      <w:r>
        <w:t xml:space="preserve"> Health Service Executive (2009) </w:t>
      </w:r>
      <w:r w:rsidRPr="00EF0AE4">
        <w:rPr>
          <w:b/>
        </w:rPr>
        <w:t>LGBT Health</w:t>
      </w:r>
      <w:r>
        <w:t>, Dublin: HSE.</w:t>
      </w:r>
    </w:p>
  </w:footnote>
  <w:footnote w:id="177">
    <w:p w14:paraId="02934A69" w14:textId="77777777" w:rsidR="00F7140D" w:rsidRPr="00145176" w:rsidRDefault="00F7140D">
      <w:pPr>
        <w:pStyle w:val="FootnoteText"/>
      </w:pPr>
      <w:r>
        <w:rPr>
          <w:rStyle w:val="FootnoteReference"/>
        </w:rPr>
        <w:footnoteRef/>
      </w:r>
      <w:r>
        <w:t xml:space="preserve"> Mayock, P., Kitching, K., Bryan, A. &amp; Carr, N.</w:t>
      </w:r>
      <w:r w:rsidRPr="00145176">
        <w:t xml:space="preserve"> </w:t>
      </w:r>
      <w:r>
        <w:t xml:space="preserve">(2009) </w:t>
      </w:r>
      <w:r>
        <w:rPr>
          <w:b/>
        </w:rPr>
        <w:t>Supporting LGBT Lives: A Study of the Mental Health and Wellbeing of Lesbian, Gay, Bisexual and Transgender People</w:t>
      </w:r>
      <w:r>
        <w:t>, Dublin: GLEN and BeLonG To.</w:t>
      </w:r>
    </w:p>
  </w:footnote>
  <w:footnote w:id="178">
    <w:p w14:paraId="679A4122" w14:textId="77777777" w:rsidR="00F7140D" w:rsidRDefault="00F7140D">
      <w:pPr>
        <w:pStyle w:val="FootnoteText"/>
      </w:pPr>
      <w:r>
        <w:rPr>
          <w:rStyle w:val="FootnoteReference"/>
        </w:rPr>
        <w:footnoteRef/>
      </w:r>
      <w:r>
        <w:t xml:space="preserve"> Higgins, A. et al. (2016) </w:t>
      </w:r>
      <w:r w:rsidRPr="00EE1894">
        <w:rPr>
          <w:b/>
        </w:rPr>
        <w:t>The LGBTIreland</w:t>
      </w:r>
      <w:r>
        <w:t xml:space="preserve"> </w:t>
      </w:r>
      <w:r w:rsidRPr="00EE1894">
        <w:rPr>
          <w:b/>
        </w:rPr>
        <w:t>Report: national study of the mental health and wellbeing of lesbian, gay, bisexual, transgender and intersex people in Ireland</w:t>
      </w:r>
      <w:r>
        <w:t>, Dublin: GLEN and BeLonG To.</w:t>
      </w:r>
    </w:p>
  </w:footnote>
  <w:footnote w:id="179">
    <w:p w14:paraId="23C1AEE4" w14:textId="77777777" w:rsidR="00F7140D" w:rsidRDefault="00F7140D">
      <w:pPr>
        <w:pStyle w:val="FootnoteText"/>
      </w:pPr>
      <w:r>
        <w:rPr>
          <w:rStyle w:val="FootnoteReference"/>
        </w:rPr>
        <w:footnoteRef/>
      </w:r>
      <w:r>
        <w:t xml:space="preserve"> Government of Ireland (2019) </w:t>
      </w:r>
      <w:r w:rsidRPr="006F4F41">
        <w:rPr>
          <w:b/>
        </w:rPr>
        <w:t>National LGBTI+ Inclusion Strategy 2019-2021</w:t>
      </w:r>
      <w:r>
        <w:t>, Dublin: Department of Justice, p.22.</w:t>
      </w:r>
    </w:p>
  </w:footnote>
  <w:footnote w:id="180">
    <w:p w14:paraId="585F1CC5" w14:textId="77777777" w:rsidR="00F7140D" w:rsidRPr="00145176" w:rsidRDefault="00F7140D">
      <w:pPr>
        <w:pStyle w:val="FootnoteText"/>
        <w:rPr>
          <w:b/>
        </w:rPr>
      </w:pPr>
      <w:r>
        <w:rPr>
          <w:rStyle w:val="FootnoteReference"/>
        </w:rPr>
        <w:footnoteRef/>
      </w:r>
      <w:r>
        <w:t xml:space="preserve"> Department of Children and Youth Affairs (2018) </w:t>
      </w:r>
      <w:r w:rsidRPr="00145176">
        <w:rPr>
          <w:b/>
        </w:rPr>
        <w:t>LGBTI+ National Youth Strategy 2018-2020</w:t>
      </w:r>
      <w:r>
        <w:rPr>
          <w:b/>
        </w:rPr>
        <w:t xml:space="preserve">, </w:t>
      </w:r>
      <w:r w:rsidRPr="00145176">
        <w:t>Dublin: DCYA.</w:t>
      </w:r>
    </w:p>
  </w:footnote>
  <w:footnote w:id="181">
    <w:p w14:paraId="53DF9765" w14:textId="77777777" w:rsidR="00F7140D" w:rsidRDefault="00F7140D">
      <w:pPr>
        <w:pStyle w:val="FootnoteText"/>
      </w:pPr>
      <w:r>
        <w:rPr>
          <w:rStyle w:val="FootnoteReference"/>
        </w:rPr>
        <w:footnoteRef/>
      </w:r>
      <w:r>
        <w:t xml:space="preserve"> GLEN and Mental Health Commission (2013) </w:t>
      </w:r>
      <w:r w:rsidRPr="006F4F91">
        <w:rPr>
          <w:b/>
        </w:rPr>
        <w:t>Lesbian, Gay, Bisexual and Transgender Service Users Guidance for Staff Working in Mental Health Services</w:t>
      </w:r>
      <w:r>
        <w:t>, Dublin: GLEN and MHC.</w:t>
      </w:r>
    </w:p>
  </w:footnote>
  <w:footnote w:id="182">
    <w:p w14:paraId="7ED84172" w14:textId="284BE56E" w:rsidR="00F7140D" w:rsidRDefault="00F7140D">
      <w:pPr>
        <w:pStyle w:val="FootnoteText"/>
      </w:pPr>
      <w:r>
        <w:rPr>
          <w:rStyle w:val="FootnoteReference"/>
        </w:rPr>
        <w:footnoteRef/>
      </w:r>
      <w:r>
        <w:t xml:space="preserve"> The </w:t>
      </w:r>
      <w:r w:rsidRPr="00651DBD">
        <w:t xml:space="preserve">five most commonly reported </w:t>
      </w:r>
      <w:r>
        <w:t xml:space="preserve">underlying health </w:t>
      </w:r>
      <w:r w:rsidRPr="00651DBD">
        <w:t>conditions were chronic heart disease, chronic respiratory disease, diabetes, chronic neurological</w:t>
      </w:r>
      <w:r>
        <w:t xml:space="preserve"> disease, and cancer/malignancy.</w:t>
      </w:r>
    </w:p>
  </w:footnote>
  <w:footnote w:id="183">
    <w:p w14:paraId="60F3C542" w14:textId="31294C9D" w:rsidR="00F7140D" w:rsidRDefault="00F7140D">
      <w:pPr>
        <w:pStyle w:val="FootnoteText"/>
      </w:pPr>
      <w:r>
        <w:rPr>
          <w:rStyle w:val="FootnoteReference"/>
        </w:rPr>
        <w:footnoteRef/>
      </w:r>
      <w:r>
        <w:t xml:space="preserve"> Figure as of 22</w:t>
      </w:r>
      <w:r w:rsidRPr="00F764CA">
        <w:rPr>
          <w:vertAlign w:val="superscript"/>
        </w:rPr>
        <w:t>nd</w:t>
      </w:r>
      <w:r>
        <w:t xml:space="preserve"> of June 2020. </w:t>
      </w:r>
      <w:r w:rsidRPr="008C2635">
        <w:t>https://covid-19.geohive.ie/</w:t>
      </w:r>
    </w:p>
  </w:footnote>
  <w:footnote w:id="184">
    <w:p w14:paraId="07A60F3C" w14:textId="6A98E63E" w:rsidR="00F7140D" w:rsidRDefault="00F7140D">
      <w:pPr>
        <w:pStyle w:val="FootnoteText"/>
      </w:pPr>
      <w:r>
        <w:rPr>
          <w:rStyle w:val="FootnoteReference"/>
        </w:rPr>
        <w:footnoteRef/>
      </w:r>
      <w:r>
        <w:t xml:space="preserve"> National Treatment Purchase Fund, 2021a, Outpatient by Hospital as at 29/07/2021 </w:t>
      </w:r>
      <w:r w:rsidRPr="003A3F57">
        <w:t>https://www.ntpf.ie/home/pdf//2021/07/nationalnumbers/out-patient/National01.pdf</w:t>
      </w:r>
    </w:p>
  </w:footnote>
  <w:footnote w:id="185">
    <w:p w14:paraId="11524E1F" w14:textId="65A86CA9" w:rsidR="00F7140D" w:rsidRDefault="00F7140D" w:rsidP="003A3F57">
      <w:pPr>
        <w:pStyle w:val="FootnoteText"/>
      </w:pPr>
      <w:r>
        <w:rPr>
          <w:rStyle w:val="FootnoteReference"/>
        </w:rPr>
        <w:footnoteRef/>
      </w:r>
      <w:r>
        <w:t xml:space="preserve"> National Treatment Purchase Fund , 2021b, </w:t>
      </w:r>
      <w:r w:rsidRPr="004C7E41">
        <w:t>Inpatient/Day Case as at 29/07/2021</w:t>
      </w:r>
      <w:r>
        <w:t xml:space="preserve"> </w:t>
      </w:r>
      <w:r w:rsidRPr="003A3F57">
        <w:t>https://www.ntpf.ie/home/pdf//2021/07/nationalnumbers/in-patient/National01.pdf</w:t>
      </w:r>
    </w:p>
  </w:footnote>
  <w:footnote w:id="186">
    <w:p w14:paraId="184EC2D4" w14:textId="3FC1C326" w:rsidR="00F7140D" w:rsidRDefault="00F7140D">
      <w:pPr>
        <w:pStyle w:val="FootnoteText"/>
      </w:pPr>
      <w:r>
        <w:rPr>
          <w:rStyle w:val="FootnoteReference"/>
        </w:rPr>
        <w:footnoteRef/>
      </w:r>
      <w:r>
        <w:t xml:space="preserve"> HSE, 2020a, </w:t>
      </w:r>
      <w:r w:rsidRPr="00F764CA">
        <w:rPr>
          <w:b/>
        </w:rPr>
        <w:t>Health Services Performance Profile July - September 2020</w:t>
      </w:r>
      <w:r>
        <w:t xml:space="preserve">  </w:t>
      </w:r>
      <w:r w:rsidRPr="004C7E41">
        <w:t>https://www.hse.ie/eng/services/publications/performancereports/performance-profile-july-september-2020.pdf</w:t>
      </w:r>
    </w:p>
  </w:footnote>
  <w:footnote w:id="187">
    <w:p w14:paraId="1C350990" w14:textId="1F64D4FF" w:rsidR="00F7140D" w:rsidRDefault="00F7140D" w:rsidP="008B7B59">
      <w:pPr>
        <w:pStyle w:val="FootnoteText"/>
      </w:pPr>
      <w:r>
        <w:rPr>
          <w:rStyle w:val="FootnoteReference"/>
        </w:rPr>
        <w:footnoteRef/>
      </w:r>
      <w:r>
        <w:t xml:space="preserve"> NDA, 2021, </w:t>
      </w:r>
      <w:r w:rsidRPr="00F764CA">
        <w:rPr>
          <w:b/>
        </w:rPr>
        <w:t>Lockdowns Unlock Innovations Report</w:t>
      </w:r>
      <w:r>
        <w:t xml:space="preserve">. </w:t>
      </w:r>
      <w:r w:rsidRPr="00D72634">
        <w:t>https://nda.ie/publications/others/research-publications/lockdowns-unlock-innovations-report.html</w:t>
      </w:r>
      <w:r>
        <w:t xml:space="preserve">; HSE, 2020b, </w:t>
      </w:r>
      <w:r w:rsidRPr="00F764CA">
        <w:rPr>
          <w:b/>
        </w:rPr>
        <w:t>Digital and Assistive Technology use in Disability Services during Covid-19: A Report on the Experiences of 120 service providers</w:t>
      </w:r>
      <w:r w:rsidRPr="008B7B59">
        <w:t xml:space="preserve"> https://www.hse.ie/eng/about/who/cspd/ncps/disability/programme-publications/digital-and-assistive-technology-use-in-disability-services-during-covid19-report.pdf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60DE60E1"/>
    <w:multiLevelType w:val="hybridMultilevel"/>
    <w:tmpl w:val="E7EAA1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9582772"/>
    <w:multiLevelType w:val="hybridMultilevel"/>
    <w:tmpl w:val="E1982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4037E4"/>
    <w:multiLevelType w:val="multilevel"/>
    <w:tmpl w:val="AED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D"/>
    <w:rsid w:val="0000041D"/>
    <w:rsid w:val="00004C36"/>
    <w:rsid w:val="00005E2B"/>
    <w:rsid w:val="00011E4F"/>
    <w:rsid w:val="0001721E"/>
    <w:rsid w:val="000175E2"/>
    <w:rsid w:val="00024229"/>
    <w:rsid w:val="00025186"/>
    <w:rsid w:val="00025BA1"/>
    <w:rsid w:val="000317F2"/>
    <w:rsid w:val="00031D84"/>
    <w:rsid w:val="00033E47"/>
    <w:rsid w:val="00036B4D"/>
    <w:rsid w:val="000402B1"/>
    <w:rsid w:val="00043804"/>
    <w:rsid w:val="00043A7A"/>
    <w:rsid w:val="00045CBA"/>
    <w:rsid w:val="00046B04"/>
    <w:rsid w:val="000501A4"/>
    <w:rsid w:val="00053689"/>
    <w:rsid w:val="00056C77"/>
    <w:rsid w:val="00062AF3"/>
    <w:rsid w:val="00063472"/>
    <w:rsid w:val="00081A34"/>
    <w:rsid w:val="00086B92"/>
    <w:rsid w:val="000A2A78"/>
    <w:rsid w:val="000A3F61"/>
    <w:rsid w:val="000B4AB0"/>
    <w:rsid w:val="000B4B64"/>
    <w:rsid w:val="000B4E63"/>
    <w:rsid w:val="000B59D2"/>
    <w:rsid w:val="000C2D75"/>
    <w:rsid w:val="000C5D87"/>
    <w:rsid w:val="000C6F5B"/>
    <w:rsid w:val="000C70D1"/>
    <w:rsid w:val="000D2379"/>
    <w:rsid w:val="000D2555"/>
    <w:rsid w:val="000D4EEB"/>
    <w:rsid w:val="000D697D"/>
    <w:rsid w:val="000E59BC"/>
    <w:rsid w:val="000F0810"/>
    <w:rsid w:val="000F1EE0"/>
    <w:rsid w:val="000F4DCE"/>
    <w:rsid w:val="000F5AFD"/>
    <w:rsid w:val="001036F2"/>
    <w:rsid w:val="00104E2C"/>
    <w:rsid w:val="001069D5"/>
    <w:rsid w:val="00111D11"/>
    <w:rsid w:val="00116BC8"/>
    <w:rsid w:val="00120E75"/>
    <w:rsid w:val="00122C75"/>
    <w:rsid w:val="0012365D"/>
    <w:rsid w:val="00126C1C"/>
    <w:rsid w:val="00130CAE"/>
    <w:rsid w:val="001312A5"/>
    <w:rsid w:val="00144076"/>
    <w:rsid w:val="00145176"/>
    <w:rsid w:val="00145FDE"/>
    <w:rsid w:val="001466FB"/>
    <w:rsid w:val="00151C4C"/>
    <w:rsid w:val="001603FC"/>
    <w:rsid w:val="00161F2D"/>
    <w:rsid w:val="00171926"/>
    <w:rsid w:val="0017389A"/>
    <w:rsid w:val="00175286"/>
    <w:rsid w:val="00181634"/>
    <w:rsid w:val="00181FE6"/>
    <w:rsid w:val="00191816"/>
    <w:rsid w:val="001A2ACC"/>
    <w:rsid w:val="001A6F2E"/>
    <w:rsid w:val="001B094D"/>
    <w:rsid w:val="001B107F"/>
    <w:rsid w:val="001B2DF1"/>
    <w:rsid w:val="001C1CD8"/>
    <w:rsid w:val="001C3924"/>
    <w:rsid w:val="001C54DE"/>
    <w:rsid w:val="001C566C"/>
    <w:rsid w:val="001D6514"/>
    <w:rsid w:val="001D6CDE"/>
    <w:rsid w:val="001E0F1E"/>
    <w:rsid w:val="001E2AC3"/>
    <w:rsid w:val="001E34D4"/>
    <w:rsid w:val="001E4755"/>
    <w:rsid w:val="001F0567"/>
    <w:rsid w:val="001F7F6F"/>
    <w:rsid w:val="00200681"/>
    <w:rsid w:val="00200BB7"/>
    <w:rsid w:val="00202BC5"/>
    <w:rsid w:val="0021025F"/>
    <w:rsid w:val="002146CE"/>
    <w:rsid w:val="00221F59"/>
    <w:rsid w:val="00225CE2"/>
    <w:rsid w:val="002318F7"/>
    <w:rsid w:val="00231DB2"/>
    <w:rsid w:val="00234091"/>
    <w:rsid w:val="00234623"/>
    <w:rsid w:val="002367B5"/>
    <w:rsid w:val="00237F9B"/>
    <w:rsid w:val="00241731"/>
    <w:rsid w:val="00242992"/>
    <w:rsid w:val="00242A8B"/>
    <w:rsid w:val="002530AB"/>
    <w:rsid w:val="00260426"/>
    <w:rsid w:val="00260FC5"/>
    <w:rsid w:val="002610FB"/>
    <w:rsid w:val="00261C90"/>
    <w:rsid w:val="00265454"/>
    <w:rsid w:val="002828A6"/>
    <w:rsid w:val="00286DF1"/>
    <w:rsid w:val="00287B8E"/>
    <w:rsid w:val="00292178"/>
    <w:rsid w:val="00295F6C"/>
    <w:rsid w:val="002972C6"/>
    <w:rsid w:val="002974E6"/>
    <w:rsid w:val="002A47B8"/>
    <w:rsid w:val="002A4F67"/>
    <w:rsid w:val="002B21E1"/>
    <w:rsid w:val="002B6052"/>
    <w:rsid w:val="002C063C"/>
    <w:rsid w:val="002C38C4"/>
    <w:rsid w:val="002C5F7E"/>
    <w:rsid w:val="002D20FA"/>
    <w:rsid w:val="002D369E"/>
    <w:rsid w:val="002D4193"/>
    <w:rsid w:val="002D5899"/>
    <w:rsid w:val="002D718B"/>
    <w:rsid w:val="002D718D"/>
    <w:rsid w:val="002E0267"/>
    <w:rsid w:val="002E36A7"/>
    <w:rsid w:val="002E470C"/>
    <w:rsid w:val="002E7946"/>
    <w:rsid w:val="002E7FEB"/>
    <w:rsid w:val="002F4CA0"/>
    <w:rsid w:val="002F61B6"/>
    <w:rsid w:val="002F63CD"/>
    <w:rsid w:val="002F76A1"/>
    <w:rsid w:val="003030DF"/>
    <w:rsid w:val="0030786A"/>
    <w:rsid w:val="00307C35"/>
    <w:rsid w:val="00311B12"/>
    <w:rsid w:val="0031394A"/>
    <w:rsid w:val="00314CFE"/>
    <w:rsid w:val="00316A28"/>
    <w:rsid w:val="00316BC5"/>
    <w:rsid w:val="00321414"/>
    <w:rsid w:val="00321581"/>
    <w:rsid w:val="00327495"/>
    <w:rsid w:val="00331F27"/>
    <w:rsid w:val="003342DC"/>
    <w:rsid w:val="003401BB"/>
    <w:rsid w:val="00340C84"/>
    <w:rsid w:val="00342593"/>
    <w:rsid w:val="00351528"/>
    <w:rsid w:val="003576DF"/>
    <w:rsid w:val="003621A2"/>
    <w:rsid w:val="00366DB3"/>
    <w:rsid w:val="00370F9B"/>
    <w:rsid w:val="0037706C"/>
    <w:rsid w:val="00383C26"/>
    <w:rsid w:val="0038579F"/>
    <w:rsid w:val="0039083C"/>
    <w:rsid w:val="003918E1"/>
    <w:rsid w:val="003951AB"/>
    <w:rsid w:val="00395A37"/>
    <w:rsid w:val="0039718F"/>
    <w:rsid w:val="003A35C6"/>
    <w:rsid w:val="003A3F57"/>
    <w:rsid w:val="003A44C8"/>
    <w:rsid w:val="003A6D12"/>
    <w:rsid w:val="003A7263"/>
    <w:rsid w:val="003B10EC"/>
    <w:rsid w:val="003B1498"/>
    <w:rsid w:val="003B1AF1"/>
    <w:rsid w:val="003B20F2"/>
    <w:rsid w:val="003B245C"/>
    <w:rsid w:val="003B509C"/>
    <w:rsid w:val="003B5420"/>
    <w:rsid w:val="003C3396"/>
    <w:rsid w:val="003D122B"/>
    <w:rsid w:val="003E1EE0"/>
    <w:rsid w:val="003F7316"/>
    <w:rsid w:val="00401C12"/>
    <w:rsid w:val="00412C00"/>
    <w:rsid w:val="0041363C"/>
    <w:rsid w:val="00414E48"/>
    <w:rsid w:val="00415464"/>
    <w:rsid w:val="00417126"/>
    <w:rsid w:val="00417BD4"/>
    <w:rsid w:val="00417C2E"/>
    <w:rsid w:val="00423D58"/>
    <w:rsid w:val="0042550B"/>
    <w:rsid w:val="00437222"/>
    <w:rsid w:val="00442197"/>
    <w:rsid w:val="00445752"/>
    <w:rsid w:val="00447481"/>
    <w:rsid w:val="00450BAC"/>
    <w:rsid w:val="004537D9"/>
    <w:rsid w:val="0045443E"/>
    <w:rsid w:val="00456DDB"/>
    <w:rsid w:val="00462C6C"/>
    <w:rsid w:val="00473B65"/>
    <w:rsid w:val="004742FD"/>
    <w:rsid w:val="0047540E"/>
    <w:rsid w:val="004811B6"/>
    <w:rsid w:val="0048146B"/>
    <w:rsid w:val="00481AF9"/>
    <w:rsid w:val="0048625C"/>
    <w:rsid w:val="004924EC"/>
    <w:rsid w:val="004934C9"/>
    <w:rsid w:val="004A2611"/>
    <w:rsid w:val="004A7019"/>
    <w:rsid w:val="004B2BE0"/>
    <w:rsid w:val="004B7D0E"/>
    <w:rsid w:val="004C5836"/>
    <w:rsid w:val="004C7679"/>
    <w:rsid w:val="004C7E41"/>
    <w:rsid w:val="004E55BC"/>
    <w:rsid w:val="004E5CD0"/>
    <w:rsid w:val="004F1450"/>
    <w:rsid w:val="005022C8"/>
    <w:rsid w:val="005065DC"/>
    <w:rsid w:val="0051250E"/>
    <w:rsid w:val="0051329D"/>
    <w:rsid w:val="00513D5D"/>
    <w:rsid w:val="00513D62"/>
    <w:rsid w:val="00517B7E"/>
    <w:rsid w:val="00533F3E"/>
    <w:rsid w:val="00536E01"/>
    <w:rsid w:val="00537E14"/>
    <w:rsid w:val="00546377"/>
    <w:rsid w:val="00554B25"/>
    <w:rsid w:val="0055679E"/>
    <w:rsid w:val="00556C2F"/>
    <w:rsid w:val="00557D3F"/>
    <w:rsid w:val="00560B33"/>
    <w:rsid w:val="00560D96"/>
    <w:rsid w:val="00561FC1"/>
    <w:rsid w:val="005735DB"/>
    <w:rsid w:val="00574449"/>
    <w:rsid w:val="005841BA"/>
    <w:rsid w:val="0058457B"/>
    <w:rsid w:val="00585B66"/>
    <w:rsid w:val="00585F3E"/>
    <w:rsid w:val="00587316"/>
    <w:rsid w:val="00590CCB"/>
    <w:rsid w:val="00592E6D"/>
    <w:rsid w:val="00593B6C"/>
    <w:rsid w:val="00596A69"/>
    <w:rsid w:val="0059743C"/>
    <w:rsid w:val="005A09C7"/>
    <w:rsid w:val="005A1591"/>
    <w:rsid w:val="005A6B61"/>
    <w:rsid w:val="005A7D6E"/>
    <w:rsid w:val="005B649F"/>
    <w:rsid w:val="005B6D95"/>
    <w:rsid w:val="005C3C79"/>
    <w:rsid w:val="005C4607"/>
    <w:rsid w:val="005C6A90"/>
    <w:rsid w:val="005D2698"/>
    <w:rsid w:val="005D4A06"/>
    <w:rsid w:val="005E487B"/>
    <w:rsid w:val="005E4C8C"/>
    <w:rsid w:val="005E4E1D"/>
    <w:rsid w:val="005E73F2"/>
    <w:rsid w:val="005F14E0"/>
    <w:rsid w:val="005F2182"/>
    <w:rsid w:val="005F393D"/>
    <w:rsid w:val="005F673D"/>
    <w:rsid w:val="005F6EC5"/>
    <w:rsid w:val="00602962"/>
    <w:rsid w:val="006029D4"/>
    <w:rsid w:val="00602EEE"/>
    <w:rsid w:val="00613B48"/>
    <w:rsid w:val="006175FC"/>
    <w:rsid w:val="006228D9"/>
    <w:rsid w:val="00623CDA"/>
    <w:rsid w:val="00625273"/>
    <w:rsid w:val="00625C60"/>
    <w:rsid w:val="006349ED"/>
    <w:rsid w:val="0063603E"/>
    <w:rsid w:val="00641586"/>
    <w:rsid w:val="006448B0"/>
    <w:rsid w:val="00650304"/>
    <w:rsid w:val="0065156E"/>
    <w:rsid w:val="00651DBD"/>
    <w:rsid w:val="0066034B"/>
    <w:rsid w:val="00663D1A"/>
    <w:rsid w:val="00665D91"/>
    <w:rsid w:val="00670463"/>
    <w:rsid w:val="006732F5"/>
    <w:rsid w:val="00673A3F"/>
    <w:rsid w:val="00675CAD"/>
    <w:rsid w:val="00685046"/>
    <w:rsid w:val="0069364E"/>
    <w:rsid w:val="00695356"/>
    <w:rsid w:val="006A12E7"/>
    <w:rsid w:val="006A6B35"/>
    <w:rsid w:val="006B0F61"/>
    <w:rsid w:val="006B4AF4"/>
    <w:rsid w:val="006B4C5F"/>
    <w:rsid w:val="006B6FA3"/>
    <w:rsid w:val="006C2C64"/>
    <w:rsid w:val="006C529A"/>
    <w:rsid w:val="006C65FD"/>
    <w:rsid w:val="006D1FF4"/>
    <w:rsid w:val="006E0E5F"/>
    <w:rsid w:val="006E33FB"/>
    <w:rsid w:val="006E4CF9"/>
    <w:rsid w:val="006E637B"/>
    <w:rsid w:val="006F2394"/>
    <w:rsid w:val="006F2525"/>
    <w:rsid w:val="006F4F41"/>
    <w:rsid w:val="006F4F91"/>
    <w:rsid w:val="007016B0"/>
    <w:rsid w:val="007064F0"/>
    <w:rsid w:val="00710511"/>
    <w:rsid w:val="007146EA"/>
    <w:rsid w:val="00731234"/>
    <w:rsid w:val="0074374B"/>
    <w:rsid w:val="00743A47"/>
    <w:rsid w:val="00744055"/>
    <w:rsid w:val="00750E17"/>
    <w:rsid w:val="0075714C"/>
    <w:rsid w:val="00757AF4"/>
    <w:rsid w:val="0076029E"/>
    <w:rsid w:val="0076203B"/>
    <w:rsid w:val="0076260A"/>
    <w:rsid w:val="00762819"/>
    <w:rsid w:val="00767C9E"/>
    <w:rsid w:val="00770A27"/>
    <w:rsid w:val="007758A7"/>
    <w:rsid w:val="007759FF"/>
    <w:rsid w:val="007914F6"/>
    <w:rsid w:val="00794067"/>
    <w:rsid w:val="007977E2"/>
    <w:rsid w:val="007A09F3"/>
    <w:rsid w:val="007A10B6"/>
    <w:rsid w:val="007A2A60"/>
    <w:rsid w:val="007A3378"/>
    <w:rsid w:val="007A683C"/>
    <w:rsid w:val="007B312F"/>
    <w:rsid w:val="007B3E7B"/>
    <w:rsid w:val="007C012E"/>
    <w:rsid w:val="007C10EB"/>
    <w:rsid w:val="007C1D90"/>
    <w:rsid w:val="007C287B"/>
    <w:rsid w:val="007C32D4"/>
    <w:rsid w:val="007C5864"/>
    <w:rsid w:val="007C5FBA"/>
    <w:rsid w:val="007D333B"/>
    <w:rsid w:val="007D3BD9"/>
    <w:rsid w:val="007D4885"/>
    <w:rsid w:val="007D6745"/>
    <w:rsid w:val="007E5482"/>
    <w:rsid w:val="007E597D"/>
    <w:rsid w:val="007F2320"/>
    <w:rsid w:val="00811220"/>
    <w:rsid w:val="00815C9C"/>
    <w:rsid w:val="00821258"/>
    <w:rsid w:val="0082165A"/>
    <w:rsid w:val="00821C18"/>
    <w:rsid w:val="00831FA1"/>
    <w:rsid w:val="00835846"/>
    <w:rsid w:val="00846994"/>
    <w:rsid w:val="0084749F"/>
    <w:rsid w:val="008510C3"/>
    <w:rsid w:val="008603AB"/>
    <w:rsid w:val="008623FE"/>
    <w:rsid w:val="00866A3B"/>
    <w:rsid w:val="00870D1E"/>
    <w:rsid w:val="0087378C"/>
    <w:rsid w:val="00874AE3"/>
    <w:rsid w:val="00875832"/>
    <w:rsid w:val="00876FE6"/>
    <w:rsid w:val="008804FD"/>
    <w:rsid w:val="00882019"/>
    <w:rsid w:val="008823F9"/>
    <w:rsid w:val="0088596D"/>
    <w:rsid w:val="00896AB5"/>
    <w:rsid w:val="008A3C9D"/>
    <w:rsid w:val="008A5D01"/>
    <w:rsid w:val="008B57B5"/>
    <w:rsid w:val="008B6150"/>
    <w:rsid w:val="008B7B59"/>
    <w:rsid w:val="008C0D76"/>
    <w:rsid w:val="008C0F2D"/>
    <w:rsid w:val="008C2635"/>
    <w:rsid w:val="008C303B"/>
    <w:rsid w:val="008D0695"/>
    <w:rsid w:val="008D52F7"/>
    <w:rsid w:val="008D57EB"/>
    <w:rsid w:val="008D65BD"/>
    <w:rsid w:val="008E1504"/>
    <w:rsid w:val="008F2441"/>
    <w:rsid w:val="008F29EC"/>
    <w:rsid w:val="00911FF3"/>
    <w:rsid w:val="009134EA"/>
    <w:rsid w:val="009218A2"/>
    <w:rsid w:val="00922BBC"/>
    <w:rsid w:val="00923BD3"/>
    <w:rsid w:val="00930C87"/>
    <w:rsid w:val="00931DAD"/>
    <w:rsid w:val="00942540"/>
    <w:rsid w:val="00943939"/>
    <w:rsid w:val="0094476F"/>
    <w:rsid w:val="0094527C"/>
    <w:rsid w:val="009475FC"/>
    <w:rsid w:val="00961694"/>
    <w:rsid w:val="00964852"/>
    <w:rsid w:val="00966338"/>
    <w:rsid w:val="00966EA7"/>
    <w:rsid w:val="00972DFC"/>
    <w:rsid w:val="00977CEF"/>
    <w:rsid w:val="00981F63"/>
    <w:rsid w:val="009826CC"/>
    <w:rsid w:val="00986153"/>
    <w:rsid w:val="00997808"/>
    <w:rsid w:val="009A1409"/>
    <w:rsid w:val="009A4571"/>
    <w:rsid w:val="009A764E"/>
    <w:rsid w:val="009B1815"/>
    <w:rsid w:val="009B34AA"/>
    <w:rsid w:val="009B78E8"/>
    <w:rsid w:val="009C00AF"/>
    <w:rsid w:val="009C3BD7"/>
    <w:rsid w:val="009C423C"/>
    <w:rsid w:val="009C4D62"/>
    <w:rsid w:val="009C508D"/>
    <w:rsid w:val="009C5B5F"/>
    <w:rsid w:val="009C6D56"/>
    <w:rsid w:val="009D1F2B"/>
    <w:rsid w:val="009D2F9B"/>
    <w:rsid w:val="009D45EB"/>
    <w:rsid w:val="009E0528"/>
    <w:rsid w:val="009E1DBE"/>
    <w:rsid w:val="009E6F6D"/>
    <w:rsid w:val="009F1343"/>
    <w:rsid w:val="00A009D0"/>
    <w:rsid w:val="00A01EC6"/>
    <w:rsid w:val="00A05270"/>
    <w:rsid w:val="00A111D9"/>
    <w:rsid w:val="00A116FF"/>
    <w:rsid w:val="00A139FA"/>
    <w:rsid w:val="00A176F7"/>
    <w:rsid w:val="00A20D54"/>
    <w:rsid w:val="00A22C48"/>
    <w:rsid w:val="00A22D05"/>
    <w:rsid w:val="00A251F1"/>
    <w:rsid w:val="00A25BA5"/>
    <w:rsid w:val="00A268FD"/>
    <w:rsid w:val="00A32561"/>
    <w:rsid w:val="00A32F72"/>
    <w:rsid w:val="00A40316"/>
    <w:rsid w:val="00A4573D"/>
    <w:rsid w:val="00A46DC2"/>
    <w:rsid w:val="00A571C3"/>
    <w:rsid w:val="00A62553"/>
    <w:rsid w:val="00A75CD5"/>
    <w:rsid w:val="00A877EC"/>
    <w:rsid w:val="00A91E72"/>
    <w:rsid w:val="00A93D7A"/>
    <w:rsid w:val="00A944E4"/>
    <w:rsid w:val="00AA07B2"/>
    <w:rsid w:val="00AA30C5"/>
    <w:rsid w:val="00AA3E8F"/>
    <w:rsid w:val="00AA6F56"/>
    <w:rsid w:val="00AB0958"/>
    <w:rsid w:val="00AB2BB5"/>
    <w:rsid w:val="00AB7841"/>
    <w:rsid w:val="00AC156F"/>
    <w:rsid w:val="00AE1841"/>
    <w:rsid w:val="00AE1ADA"/>
    <w:rsid w:val="00AE5343"/>
    <w:rsid w:val="00AE5E57"/>
    <w:rsid w:val="00B06147"/>
    <w:rsid w:val="00B14618"/>
    <w:rsid w:val="00B147D0"/>
    <w:rsid w:val="00B14EC0"/>
    <w:rsid w:val="00B1594B"/>
    <w:rsid w:val="00B17481"/>
    <w:rsid w:val="00B17D69"/>
    <w:rsid w:val="00B23C56"/>
    <w:rsid w:val="00B265F7"/>
    <w:rsid w:val="00B32038"/>
    <w:rsid w:val="00B3279A"/>
    <w:rsid w:val="00B335E9"/>
    <w:rsid w:val="00B42A2E"/>
    <w:rsid w:val="00B55CAF"/>
    <w:rsid w:val="00B6752E"/>
    <w:rsid w:val="00B676B7"/>
    <w:rsid w:val="00B7421D"/>
    <w:rsid w:val="00B74E5F"/>
    <w:rsid w:val="00B76547"/>
    <w:rsid w:val="00B767EF"/>
    <w:rsid w:val="00B83D06"/>
    <w:rsid w:val="00B92126"/>
    <w:rsid w:val="00B95089"/>
    <w:rsid w:val="00B96548"/>
    <w:rsid w:val="00BA2579"/>
    <w:rsid w:val="00BA624A"/>
    <w:rsid w:val="00BA77C3"/>
    <w:rsid w:val="00BB4167"/>
    <w:rsid w:val="00BB4617"/>
    <w:rsid w:val="00BB5F01"/>
    <w:rsid w:val="00BB7524"/>
    <w:rsid w:val="00BC4C5E"/>
    <w:rsid w:val="00BC6F07"/>
    <w:rsid w:val="00BC74C2"/>
    <w:rsid w:val="00BD151A"/>
    <w:rsid w:val="00BD3A80"/>
    <w:rsid w:val="00BD4053"/>
    <w:rsid w:val="00BD4818"/>
    <w:rsid w:val="00BD4CF9"/>
    <w:rsid w:val="00BD692D"/>
    <w:rsid w:val="00BD7F42"/>
    <w:rsid w:val="00BE23C6"/>
    <w:rsid w:val="00BE27AF"/>
    <w:rsid w:val="00BE30FB"/>
    <w:rsid w:val="00BE3DCC"/>
    <w:rsid w:val="00BE5CD6"/>
    <w:rsid w:val="00BE6898"/>
    <w:rsid w:val="00BE6F1B"/>
    <w:rsid w:val="00BE757B"/>
    <w:rsid w:val="00BF1406"/>
    <w:rsid w:val="00BF2B71"/>
    <w:rsid w:val="00BF3FD7"/>
    <w:rsid w:val="00BF4E15"/>
    <w:rsid w:val="00BF5295"/>
    <w:rsid w:val="00BF615C"/>
    <w:rsid w:val="00C040B7"/>
    <w:rsid w:val="00C1427C"/>
    <w:rsid w:val="00C154AE"/>
    <w:rsid w:val="00C234A2"/>
    <w:rsid w:val="00C23A76"/>
    <w:rsid w:val="00C3025A"/>
    <w:rsid w:val="00C55AFD"/>
    <w:rsid w:val="00C64D67"/>
    <w:rsid w:val="00C66EE5"/>
    <w:rsid w:val="00C72194"/>
    <w:rsid w:val="00C72696"/>
    <w:rsid w:val="00C77AF0"/>
    <w:rsid w:val="00C83018"/>
    <w:rsid w:val="00C842C5"/>
    <w:rsid w:val="00C84E15"/>
    <w:rsid w:val="00C867C9"/>
    <w:rsid w:val="00C910D8"/>
    <w:rsid w:val="00C92ADC"/>
    <w:rsid w:val="00C96FF8"/>
    <w:rsid w:val="00CA599F"/>
    <w:rsid w:val="00CA7647"/>
    <w:rsid w:val="00CA7E26"/>
    <w:rsid w:val="00CB15B6"/>
    <w:rsid w:val="00CB288C"/>
    <w:rsid w:val="00CB3C4A"/>
    <w:rsid w:val="00CB44D8"/>
    <w:rsid w:val="00CC29F6"/>
    <w:rsid w:val="00CD05D6"/>
    <w:rsid w:val="00CD1E99"/>
    <w:rsid w:val="00CD2189"/>
    <w:rsid w:val="00CD601B"/>
    <w:rsid w:val="00CE77CE"/>
    <w:rsid w:val="00CF331E"/>
    <w:rsid w:val="00CF4D19"/>
    <w:rsid w:val="00CF50E6"/>
    <w:rsid w:val="00D05C74"/>
    <w:rsid w:val="00D12AA7"/>
    <w:rsid w:val="00D13243"/>
    <w:rsid w:val="00D138A2"/>
    <w:rsid w:val="00D13B54"/>
    <w:rsid w:val="00D1611A"/>
    <w:rsid w:val="00D161CA"/>
    <w:rsid w:val="00D220FC"/>
    <w:rsid w:val="00D33829"/>
    <w:rsid w:val="00D44881"/>
    <w:rsid w:val="00D450B1"/>
    <w:rsid w:val="00D503F8"/>
    <w:rsid w:val="00D56E85"/>
    <w:rsid w:val="00D64125"/>
    <w:rsid w:val="00D656C6"/>
    <w:rsid w:val="00D66FBE"/>
    <w:rsid w:val="00D70522"/>
    <w:rsid w:val="00D72634"/>
    <w:rsid w:val="00D74F89"/>
    <w:rsid w:val="00D80C60"/>
    <w:rsid w:val="00D81CB6"/>
    <w:rsid w:val="00D84177"/>
    <w:rsid w:val="00D86042"/>
    <w:rsid w:val="00D86917"/>
    <w:rsid w:val="00D904CF"/>
    <w:rsid w:val="00D9086F"/>
    <w:rsid w:val="00D91D80"/>
    <w:rsid w:val="00D949B1"/>
    <w:rsid w:val="00D95D4C"/>
    <w:rsid w:val="00DA6B87"/>
    <w:rsid w:val="00DA7EA5"/>
    <w:rsid w:val="00DB37BB"/>
    <w:rsid w:val="00DB5640"/>
    <w:rsid w:val="00DB5B82"/>
    <w:rsid w:val="00DC06DF"/>
    <w:rsid w:val="00DC199D"/>
    <w:rsid w:val="00DC28CD"/>
    <w:rsid w:val="00DC7305"/>
    <w:rsid w:val="00DC7A17"/>
    <w:rsid w:val="00DD0BF9"/>
    <w:rsid w:val="00DE1AF1"/>
    <w:rsid w:val="00DE3B98"/>
    <w:rsid w:val="00DE7625"/>
    <w:rsid w:val="00DF00F3"/>
    <w:rsid w:val="00DF1054"/>
    <w:rsid w:val="00DF1E7F"/>
    <w:rsid w:val="00DF389E"/>
    <w:rsid w:val="00DF45A9"/>
    <w:rsid w:val="00DF4D7D"/>
    <w:rsid w:val="00DF5DC2"/>
    <w:rsid w:val="00DF6033"/>
    <w:rsid w:val="00E006D4"/>
    <w:rsid w:val="00E03415"/>
    <w:rsid w:val="00E07FCB"/>
    <w:rsid w:val="00E14D6F"/>
    <w:rsid w:val="00E1744A"/>
    <w:rsid w:val="00E21A75"/>
    <w:rsid w:val="00E32453"/>
    <w:rsid w:val="00E3296B"/>
    <w:rsid w:val="00E37615"/>
    <w:rsid w:val="00E42533"/>
    <w:rsid w:val="00E44549"/>
    <w:rsid w:val="00E502E3"/>
    <w:rsid w:val="00E524B6"/>
    <w:rsid w:val="00E5631E"/>
    <w:rsid w:val="00E62834"/>
    <w:rsid w:val="00E64266"/>
    <w:rsid w:val="00E655F8"/>
    <w:rsid w:val="00E66E6F"/>
    <w:rsid w:val="00E7485D"/>
    <w:rsid w:val="00E77A6E"/>
    <w:rsid w:val="00E80F88"/>
    <w:rsid w:val="00E82AC9"/>
    <w:rsid w:val="00E9079B"/>
    <w:rsid w:val="00E93105"/>
    <w:rsid w:val="00E94B67"/>
    <w:rsid w:val="00EA1E42"/>
    <w:rsid w:val="00EA23C9"/>
    <w:rsid w:val="00EB03C8"/>
    <w:rsid w:val="00EB0DA6"/>
    <w:rsid w:val="00EB24BA"/>
    <w:rsid w:val="00EB465C"/>
    <w:rsid w:val="00EB52F5"/>
    <w:rsid w:val="00EB5C19"/>
    <w:rsid w:val="00EC3DCE"/>
    <w:rsid w:val="00EC455E"/>
    <w:rsid w:val="00EC6ED1"/>
    <w:rsid w:val="00EC74B3"/>
    <w:rsid w:val="00ED6A92"/>
    <w:rsid w:val="00EE1894"/>
    <w:rsid w:val="00EE1D95"/>
    <w:rsid w:val="00EE7229"/>
    <w:rsid w:val="00EF04E3"/>
    <w:rsid w:val="00EF06A9"/>
    <w:rsid w:val="00EF0AE4"/>
    <w:rsid w:val="00EF3C9F"/>
    <w:rsid w:val="00EF7A24"/>
    <w:rsid w:val="00F028E6"/>
    <w:rsid w:val="00F13148"/>
    <w:rsid w:val="00F1493A"/>
    <w:rsid w:val="00F15EE5"/>
    <w:rsid w:val="00F21A29"/>
    <w:rsid w:val="00F30F5B"/>
    <w:rsid w:val="00F339C1"/>
    <w:rsid w:val="00F3439F"/>
    <w:rsid w:val="00F351D6"/>
    <w:rsid w:val="00F47110"/>
    <w:rsid w:val="00F4764B"/>
    <w:rsid w:val="00F50810"/>
    <w:rsid w:val="00F5258A"/>
    <w:rsid w:val="00F64F8C"/>
    <w:rsid w:val="00F7140D"/>
    <w:rsid w:val="00F764CA"/>
    <w:rsid w:val="00F769DE"/>
    <w:rsid w:val="00F84A1C"/>
    <w:rsid w:val="00F904AC"/>
    <w:rsid w:val="00F935C5"/>
    <w:rsid w:val="00F94BA0"/>
    <w:rsid w:val="00F9762F"/>
    <w:rsid w:val="00FA0AF9"/>
    <w:rsid w:val="00FA1CE7"/>
    <w:rsid w:val="00FB3F3C"/>
    <w:rsid w:val="00FB4D58"/>
    <w:rsid w:val="00FD06D9"/>
    <w:rsid w:val="00FD5E45"/>
    <w:rsid w:val="00FE207D"/>
    <w:rsid w:val="00FE2BDF"/>
    <w:rsid w:val="00FE5EEA"/>
    <w:rsid w:val="00FE7665"/>
    <w:rsid w:val="00FF25B3"/>
    <w:rsid w:val="00FF4329"/>
    <w:rsid w:val="00FF610D"/>
    <w:rsid w:val="00FF78F3"/>
    <w:rsid w:val="00FF7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CCB7"/>
  <w15:chartTrackingRefBased/>
  <w15:docId w15:val="{23EB5901-286B-4248-A08A-5BF0D563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rsid w:val="004742FD"/>
    <w:rPr>
      <w:rFonts w:ascii="Times New Roman" w:hAnsi="Times New Roman"/>
      <w:sz w:val="24"/>
    </w:rPr>
  </w:style>
  <w:style w:type="character" w:styleId="CommentReference">
    <w:name w:val="annotation reference"/>
    <w:basedOn w:val="DefaultParagraphFont"/>
    <w:rsid w:val="00D56E85"/>
    <w:rPr>
      <w:sz w:val="16"/>
      <w:szCs w:val="16"/>
    </w:rPr>
  </w:style>
  <w:style w:type="paragraph" w:styleId="BalloonText">
    <w:name w:val="Balloon Text"/>
    <w:basedOn w:val="Normal"/>
    <w:link w:val="BalloonTextChar"/>
    <w:rsid w:val="00D56E85"/>
    <w:pPr>
      <w:spacing w:after="0"/>
    </w:pPr>
    <w:rPr>
      <w:rFonts w:ascii="Segoe UI" w:hAnsi="Segoe UI" w:cs="Segoe UI"/>
      <w:sz w:val="18"/>
      <w:szCs w:val="18"/>
    </w:rPr>
  </w:style>
  <w:style w:type="character" w:customStyle="1" w:styleId="BalloonTextChar">
    <w:name w:val="Balloon Text Char"/>
    <w:basedOn w:val="DefaultParagraphFont"/>
    <w:link w:val="BalloonText"/>
    <w:rsid w:val="00D56E85"/>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21025F"/>
    <w:rPr>
      <w:rFonts w:ascii="Gill Sans MT" w:hAnsi="Gill Sans MT"/>
      <w:b/>
      <w:bCs/>
      <w:szCs w:val="20"/>
      <w:lang w:val="en-IE"/>
    </w:rPr>
  </w:style>
  <w:style w:type="character" w:customStyle="1" w:styleId="CommentSubjectChar">
    <w:name w:val="Comment Subject Char"/>
    <w:basedOn w:val="CommentTextChar"/>
    <w:link w:val="CommentSubject"/>
    <w:rsid w:val="0021025F"/>
    <w:rPr>
      <w:rFonts w:ascii="Gill Sans MT" w:eastAsia="Times New Roman" w:hAnsi="Gill Sans MT"/>
      <w:b/>
      <w:bCs/>
      <w:szCs w:val="24"/>
      <w:lang w:eastAsia="en-US"/>
    </w:rPr>
  </w:style>
  <w:style w:type="paragraph" w:styleId="ListParagraph">
    <w:name w:val="List Paragraph"/>
    <w:basedOn w:val="Normal"/>
    <w:uiPriority w:val="34"/>
    <w:qFormat/>
    <w:rsid w:val="001A2A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723">
      <w:bodyDiv w:val="1"/>
      <w:marLeft w:val="0"/>
      <w:marRight w:val="0"/>
      <w:marTop w:val="0"/>
      <w:marBottom w:val="0"/>
      <w:divBdr>
        <w:top w:val="none" w:sz="0" w:space="0" w:color="auto"/>
        <w:left w:val="none" w:sz="0" w:space="0" w:color="auto"/>
        <w:bottom w:val="none" w:sz="0" w:space="0" w:color="auto"/>
        <w:right w:val="none" w:sz="0" w:space="0" w:color="auto"/>
      </w:divBdr>
      <w:divsChild>
        <w:div w:id="1480078207">
          <w:marLeft w:val="0"/>
          <w:marRight w:val="0"/>
          <w:marTop w:val="0"/>
          <w:marBottom w:val="0"/>
          <w:divBdr>
            <w:top w:val="none" w:sz="0" w:space="0" w:color="auto"/>
            <w:left w:val="none" w:sz="0" w:space="0" w:color="auto"/>
            <w:bottom w:val="none" w:sz="0" w:space="0" w:color="auto"/>
            <w:right w:val="none" w:sz="0" w:space="0" w:color="auto"/>
          </w:divBdr>
        </w:div>
        <w:div w:id="587664014">
          <w:marLeft w:val="0"/>
          <w:marRight w:val="0"/>
          <w:marTop w:val="0"/>
          <w:marBottom w:val="0"/>
          <w:divBdr>
            <w:top w:val="none" w:sz="0" w:space="0" w:color="auto"/>
            <w:left w:val="none" w:sz="0" w:space="0" w:color="auto"/>
            <w:bottom w:val="none" w:sz="0" w:space="0" w:color="auto"/>
            <w:right w:val="none" w:sz="0" w:space="0" w:color="auto"/>
          </w:divBdr>
        </w:div>
      </w:divsChild>
    </w:div>
    <w:div w:id="63921401">
      <w:bodyDiv w:val="1"/>
      <w:marLeft w:val="0"/>
      <w:marRight w:val="0"/>
      <w:marTop w:val="0"/>
      <w:marBottom w:val="0"/>
      <w:divBdr>
        <w:top w:val="none" w:sz="0" w:space="0" w:color="auto"/>
        <w:left w:val="none" w:sz="0" w:space="0" w:color="auto"/>
        <w:bottom w:val="none" w:sz="0" w:space="0" w:color="auto"/>
        <w:right w:val="none" w:sz="0" w:space="0" w:color="auto"/>
      </w:divBdr>
    </w:div>
    <w:div w:id="68161920">
      <w:bodyDiv w:val="1"/>
      <w:marLeft w:val="0"/>
      <w:marRight w:val="0"/>
      <w:marTop w:val="0"/>
      <w:marBottom w:val="0"/>
      <w:divBdr>
        <w:top w:val="none" w:sz="0" w:space="0" w:color="auto"/>
        <w:left w:val="none" w:sz="0" w:space="0" w:color="auto"/>
        <w:bottom w:val="none" w:sz="0" w:space="0" w:color="auto"/>
        <w:right w:val="none" w:sz="0" w:space="0" w:color="auto"/>
      </w:divBdr>
    </w:div>
    <w:div w:id="188104467">
      <w:bodyDiv w:val="1"/>
      <w:marLeft w:val="0"/>
      <w:marRight w:val="0"/>
      <w:marTop w:val="0"/>
      <w:marBottom w:val="0"/>
      <w:divBdr>
        <w:top w:val="none" w:sz="0" w:space="0" w:color="auto"/>
        <w:left w:val="none" w:sz="0" w:space="0" w:color="auto"/>
        <w:bottom w:val="none" w:sz="0" w:space="0" w:color="auto"/>
        <w:right w:val="none" w:sz="0" w:space="0" w:color="auto"/>
      </w:divBdr>
    </w:div>
    <w:div w:id="213350096">
      <w:bodyDiv w:val="1"/>
      <w:marLeft w:val="0"/>
      <w:marRight w:val="0"/>
      <w:marTop w:val="0"/>
      <w:marBottom w:val="0"/>
      <w:divBdr>
        <w:top w:val="none" w:sz="0" w:space="0" w:color="auto"/>
        <w:left w:val="none" w:sz="0" w:space="0" w:color="auto"/>
        <w:bottom w:val="none" w:sz="0" w:space="0" w:color="auto"/>
        <w:right w:val="none" w:sz="0" w:space="0" w:color="auto"/>
      </w:divBdr>
    </w:div>
    <w:div w:id="229392550">
      <w:bodyDiv w:val="1"/>
      <w:marLeft w:val="0"/>
      <w:marRight w:val="0"/>
      <w:marTop w:val="0"/>
      <w:marBottom w:val="0"/>
      <w:divBdr>
        <w:top w:val="none" w:sz="0" w:space="0" w:color="auto"/>
        <w:left w:val="none" w:sz="0" w:space="0" w:color="auto"/>
        <w:bottom w:val="none" w:sz="0" w:space="0" w:color="auto"/>
        <w:right w:val="none" w:sz="0" w:space="0" w:color="auto"/>
      </w:divBdr>
    </w:div>
    <w:div w:id="251201873">
      <w:bodyDiv w:val="1"/>
      <w:marLeft w:val="0"/>
      <w:marRight w:val="0"/>
      <w:marTop w:val="0"/>
      <w:marBottom w:val="0"/>
      <w:divBdr>
        <w:top w:val="none" w:sz="0" w:space="0" w:color="auto"/>
        <w:left w:val="none" w:sz="0" w:space="0" w:color="auto"/>
        <w:bottom w:val="none" w:sz="0" w:space="0" w:color="auto"/>
        <w:right w:val="none" w:sz="0" w:space="0" w:color="auto"/>
      </w:divBdr>
    </w:div>
    <w:div w:id="309788949">
      <w:bodyDiv w:val="1"/>
      <w:marLeft w:val="0"/>
      <w:marRight w:val="0"/>
      <w:marTop w:val="0"/>
      <w:marBottom w:val="0"/>
      <w:divBdr>
        <w:top w:val="none" w:sz="0" w:space="0" w:color="auto"/>
        <w:left w:val="none" w:sz="0" w:space="0" w:color="auto"/>
        <w:bottom w:val="none" w:sz="0" w:space="0" w:color="auto"/>
        <w:right w:val="none" w:sz="0" w:space="0" w:color="auto"/>
      </w:divBdr>
      <w:divsChild>
        <w:div w:id="1869565921">
          <w:marLeft w:val="0"/>
          <w:marRight w:val="0"/>
          <w:marTop w:val="0"/>
          <w:marBottom w:val="0"/>
          <w:divBdr>
            <w:top w:val="none" w:sz="0" w:space="0" w:color="auto"/>
            <w:left w:val="none" w:sz="0" w:space="0" w:color="auto"/>
            <w:bottom w:val="none" w:sz="0" w:space="0" w:color="auto"/>
            <w:right w:val="none" w:sz="0" w:space="0" w:color="auto"/>
          </w:divBdr>
          <w:divsChild>
            <w:div w:id="1963070401">
              <w:marLeft w:val="1162"/>
              <w:marRight w:val="0"/>
              <w:marTop w:val="0"/>
              <w:marBottom w:val="0"/>
              <w:divBdr>
                <w:top w:val="none" w:sz="0" w:space="0" w:color="auto"/>
                <w:left w:val="none" w:sz="0" w:space="0" w:color="auto"/>
                <w:bottom w:val="none" w:sz="0" w:space="0" w:color="auto"/>
                <w:right w:val="none" w:sz="0" w:space="0" w:color="auto"/>
              </w:divBdr>
            </w:div>
          </w:divsChild>
        </w:div>
        <w:div w:id="1096943390">
          <w:marLeft w:val="0"/>
          <w:marRight w:val="0"/>
          <w:marTop w:val="0"/>
          <w:marBottom w:val="0"/>
          <w:divBdr>
            <w:top w:val="none" w:sz="0" w:space="0" w:color="auto"/>
            <w:left w:val="none" w:sz="0" w:space="0" w:color="auto"/>
            <w:bottom w:val="none" w:sz="0" w:space="0" w:color="auto"/>
            <w:right w:val="none" w:sz="0" w:space="0" w:color="auto"/>
          </w:divBdr>
          <w:divsChild>
            <w:div w:id="2120559771">
              <w:marLeft w:val="1162"/>
              <w:marRight w:val="0"/>
              <w:marTop w:val="0"/>
              <w:marBottom w:val="0"/>
              <w:divBdr>
                <w:top w:val="none" w:sz="0" w:space="0" w:color="auto"/>
                <w:left w:val="none" w:sz="0" w:space="0" w:color="auto"/>
                <w:bottom w:val="none" w:sz="0" w:space="0" w:color="auto"/>
                <w:right w:val="none" w:sz="0" w:space="0" w:color="auto"/>
              </w:divBdr>
            </w:div>
          </w:divsChild>
        </w:div>
      </w:divsChild>
    </w:div>
    <w:div w:id="415056189">
      <w:bodyDiv w:val="1"/>
      <w:marLeft w:val="0"/>
      <w:marRight w:val="0"/>
      <w:marTop w:val="0"/>
      <w:marBottom w:val="0"/>
      <w:divBdr>
        <w:top w:val="none" w:sz="0" w:space="0" w:color="auto"/>
        <w:left w:val="none" w:sz="0" w:space="0" w:color="auto"/>
        <w:bottom w:val="none" w:sz="0" w:space="0" w:color="auto"/>
        <w:right w:val="none" w:sz="0" w:space="0" w:color="auto"/>
      </w:divBdr>
      <w:divsChild>
        <w:div w:id="482963762">
          <w:marLeft w:val="0"/>
          <w:marRight w:val="0"/>
          <w:marTop w:val="0"/>
          <w:marBottom w:val="0"/>
          <w:divBdr>
            <w:top w:val="none" w:sz="0" w:space="0" w:color="auto"/>
            <w:left w:val="none" w:sz="0" w:space="0" w:color="auto"/>
            <w:bottom w:val="none" w:sz="0" w:space="0" w:color="auto"/>
            <w:right w:val="none" w:sz="0" w:space="0" w:color="auto"/>
          </w:divBdr>
        </w:div>
        <w:div w:id="1113551269">
          <w:marLeft w:val="0"/>
          <w:marRight w:val="0"/>
          <w:marTop w:val="0"/>
          <w:marBottom w:val="0"/>
          <w:divBdr>
            <w:top w:val="none" w:sz="0" w:space="0" w:color="auto"/>
            <w:left w:val="none" w:sz="0" w:space="0" w:color="auto"/>
            <w:bottom w:val="none" w:sz="0" w:space="0" w:color="auto"/>
            <w:right w:val="none" w:sz="0" w:space="0" w:color="auto"/>
          </w:divBdr>
        </w:div>
        <w:div w:id="1930692472">
          <w:marLeft w:val="0"/>
          <w:marRight w:val="0"/>
          <w:marTop w:val="0"/>
          <w:marBottom w:val="0"/>
          <w:divBdr>
            <w:top w:val="none" w:sz="0" w:space="0" w:color="auto"/>
            <w:left w:val="none" w:sz="0" w:space="0" w:color="auto"/>
            <w:bottom w:val="none" w:sz="0" w:space="0" w:color="auto"/>
            <w:right w:val="none" w:sz="0" w:space="0" w:color="auto"/>
          </w:divBdr>
        </w:div>
      </w:divsChild>
    </w:div>
    <w:div w:id="453138969">
      <w:bodyDiv w:val="1"/>
      <w:marLeft w:val="0"/>
      <w:marRight w:val="0"/>
      <w:marTop w:val="0"/>
      <w:marBottom w:val="0"/>
      <w:divBdr>
        <w:top w:val="none" w:sz="0" w:space="0" w:color="auto"/>
        <w:left w:val="none" w:sz="0" w:space="0" w:color="auto"/>
        <w:bottom w:val="none" w:sz="0" w:space="0" w:color="auto"/>
        <w:right w:val="none" w:sz="0" w:space="0" w:color="auto"/>
      </w:divBdr>
    </w:div>
    <w:div w:id="524098262">
      <w:bodyDiv w:val="1"/>
      <w:marLeft w:val="0"/>
      <w:marRight w:val="0"/>
      <w:marTop w:val="0"/>
      <w:marBottom w:val="0"/>
      <w:divBdr>
        <w:top w:val="none" w:sz="0" w:space="0" w:color="auto"/>
        <w:left w:val="none" w:sz="0" w:space="0" w:color="auto"/>
        <w:bottom w:val="none" w:sz="0" w:space="0" w:color="auto"/>
        <w:right w:val="none" w:sz="0" w:space="0" w:color="auto"/>
      </w:divBdr>
    </w:div>
    <w:div w:id="537395833">
      <w:bodyDiv w:val="1"/>
      <w:marLeft w:val="0"/>
      <w:marRight w:val="0"/>
      <w:marTop w:val="0"/>
      <w:marBottom w:val="0"/>
      <w:divBdr>
        <w:top w:val="none" w:sz="0" w:space="0" w:color="auto"/>
        <w:left w:val="none" w:sz="0" w:space="0" w:color="auto"/>
        <w:bottom w:val="none" w:sz="0" w:space="0" w:color="auto"/>
        <w:right w:val="none" w:sz="0" w:space="0" w:color="auto"/>
      </w:divBdr>
    </w:div>
    <w:div w:id="542451004">
      <w:bodyDiv w:val="1"/>
      <w:marLeft w:val="0"/>
      <w:marRight w:val="0"/>
      <w:marTop w:val="0"/>
      <w:marBottom w:val="0"/>
      <w:divBdr>
        <w:top w:val="none" w:sz="0" w:space="0" w:color="auto"/>
        <w:left w:val="none" w:sz="0" w:space="0" w:color="auto"/>
        <w:bottom w:val="none" w:sz="0" w:space="0" w:color="auto"/>
        <w:right w:val="none" w:sz="0" w:space="0" w:color="auto"/>
      </w:divBdr>
    </w:div>
    <w:div w:id="596718317">
      <w:bodyDiv w:val="1"/>
      <w:marLeft w:val="0"/>
      <w:marRight w:val="0"/>
      <w:marTop w:val="0"/>
      <w:marBottom w:val="0"/>
      <w:divBdr>
        <w:top w:val="none" w:sz="0" w:space="0" w:color="auto"/>
        <w:left w:val="none" w:sz="0" w:space="0" w:color="auto"/>
        <w:bottom w:val="none" w:sz="0" w:space="0" w:color="auto"/>
        <w:right w:val="none" w:sz="0" w:space="0" w:color="auto"/>
      </w:divBdr>
    </w:div>
    <w:div w:id="797144171">
      <w:bodyDiv w:val="1"/>
      <w:marLeft w:val="0"/>
      <w:marRight w:val="0"/>
      <w:marTop w:val="0"/>
      <w:marBottom w:val="0"/>
      <w:divBdr>
        <w:top w:val="none" w:sz="0" w:space="0" w:color="auto"/>
        <w:left w:val="none" w:sz="0" w:space="0" w:color="auto"/>
        <w:bottom w:val="none" w:sz="0" w:space="0" w:color="auto"/>
        <w:right w:val="none" w:sz="0" w:space="0" w:color="auto"/>
      </w:divBdr>
      <w:divsChild>
        <w:div w:id="531695189">
          <w:marLeft w:val="0"/>
          <w:marRight w:val="0"/>
          <w:marTop w:val="0"/>
          <w:marBottom w:val="0"/>
          <w:divBdr>
            <w:top w:val="none" w:sz="0" w:space="0" w:color="auto"/>
            <w:left w:val="none" w:sz="0" w:space="0" w:color="auto"/>
            <w:bottom w:val="none" w:sz="0" w:space="0" w:color="auto"/>
            <w:right w:val="none" w:sz="0" w:space="0" w:color="auto"/>
          </w:divBdr>
        </w:div>
        <w:div w:id="1863203404">
          <w:marLeft w:val="0"/>
          <w:marRight w:val="0"/>
          <w:marTop w:val="0"/>
          <w:marBottom w:val="0"/>
          <w:divBdr>
            <w:top w:val="none" w:sz="0" w:space="0" w:color="auto"/>
            <w:left w:val="none" w:sz="0" w:space="0" w:color="auto"/>
            <w:bottom w:val="none" w:sz="0" w:space="0" w:color="auto"/>
            <w:right w:val="none" w:sz="0" w:space="0" w:color="auto"/>
          </w:divBdr>
        </w:div>
        <w:div w:id="272900433">
          <w:marLeft w:val="0"/>
          <w:marRight w:val="0"/>
          <w:marTop w:val="0"/>
          <w:marBottom w:val="0"/>
          <w:divBdr>
            <w:top w:val="none" w:sz="0" w:space="0" w:color="auto"/>
            <w:left w:val="none" w:sz="0" w:space="0" w:color="auto"/>
            <w:bottom w:val="none" w:sz="0" w:space="0" w:color="auto"/>
            <w:right w:val="none" w:sz="0" w:space="0" w:color="auto"/>
          </w:divBdr>
        </w:div>
      </w:divsChild>
    </w:div>
    <w:div w:id="807743290">
      <w:bodyDiv w:val="1"/>
      <w:marLeft w:val="0"/>
      <w:marRight w:val="0"/>
      <w:marTop w:val="0"/>
      <w:marBottom w:val="0"/>
      <w:divBdr>
        <w:top w:val="none" w:sz="0" w:space="0" w:color="auto"/>
        <w:left w:val="none" w:sz="0" w:space="0" w:color="auto"/>
        <w:bottom w:val="none" w:sz="0" w:space="0" w:color="auto"/>
        <w:right w:val="none" w:sz="0" w:space="0" w:color="auto"/>
      </w:divBdr>
    </w:div>
    <w:div w:id="865292926">
      <w:bodyDiv w:val="1"/>
      <w:marLeft w:val="0"/>
      <w:marRight w:val="0"/>
      <w:marTop w:val="0"/>
      <w:marBottom w:val="0"/>
      <w:divBdr>
        <w:top w:val="none" w:sz="0" w:space="0" w:color="auto"/>
        <w:left w:val="none" w:sz="0" w:space="0" w:color="auto"/>
        <w:bottom w:val="none" w:sz="0" w:space="0" w:color="auto"/>
        <w:right w:val="none" w:sz="0" w:space="0" w:color="auto"/>
      </w:divBdr>
    </w:div>
    <w:div w:id="1065493661">
      <w:bodyDiv w:val="1"/>
      <w:marLeft w:val="0"/>
      <w:marRight w:val="0"/>
      <w:marTop w:val="0"/>
      <w:marBottom w:val="0"/>
      <w:divBdr>
        <w:top w:val="none" w:sz="0" w:space="0" w:color="auto"/>
        <w:left w:val="none" w:sz="0" w:space="0" w:color="auto"/>
        <w:bottom w:val="none" w:sz="0" w:space="0" w:color="auto"/>
        <w:right w:val="none" w:sz="0" w:space="0" w:color="auto"/>
      </w:divBdr>
    </w:div>
    <w:div w:id="1174490598">
      <w:bodyDiv w:val="1"/>
      <w:marLeft w:val="0"/>
      <w:marRight w:val="0"/>
      <w:marTop w:val="0"/>
      <w:marBottom w:val="0"/>
      <w:divBdr>
        <w:top w:val="none" w:sz="0" w:space="0" w:color="auto"/>
        <w:left w:val="none" w:sz="0" w:space="0" w:color="auto"/>
        <w:bottom w:val="none" w:sz="0" w:space="0" w:color="auto"/>
        <w:right w:val="none" w:sz="0" w:space="0" w:color="auto"/>
      </w:divBdr>
    </w:div>
    <w:div w:id="1210342951">
      <w:bodyDiv w:val="1"/>
      <w:marLeft w:val="0"/>
      <w:marRight w:val="0"/>
      <w:marTop w:val="0"/>
      <w:marBottom w:val="0"/>
      <w:divBdr>
        <w:top w:val="none" w:sz="0" w:space="0" w:color="auto"/>
        <w:left w:val="none" w:sz="0" w:space="0" w:color="auto"/>
        <w:bottom w:val="none" w:sz="0" w:space="0" w:color="auto"/>
        <w:right w:val="none" w:sz="0" w:space="0" w:color="auto"/>
      </w:divBdr>
    </w:div>
    <w:div w:id="1233276150">
      <w:bodyDiv w:val="1"/>
      <w:marLeft w:val="0"/>
      <w:marRight w:val="0"/>
      <w:marTop w:val="0"/>
      <w:marBottom w:val="0"/>
      <w:divBdr>
        <w:top w:val="none" w:sz="0" w:space="0" w:color="auto"/>
        <w:left w:val="none" w:sz="0" w:space="0" w:color="auto"/>
        <w:bottom w:val="none" w:sz="0" w:space="0" w:color="auto"/>
        <w:right w:val="none" w:sz="0" w:space="0" w:color="auto"/>
      </w:divBdr>
    </w:div>
    <w:div w:id="1240410490">
      <w:bodyDiv w:val="1"/>
      <w:marLeft w:val="0"/>
      <w:marRight w:val="0"/>
      <w:marTop w:val="0"/>
      <w:marBottom w:val="0"/>
      <w:divBdr>
        <w:top w:val="none" w:sz="0" w:space="0" w:color="auto"/>
        <w:left w:val="none" w:sz="0" w:space="0" w:color="auto"/>
        <w:bottom w:val="none" w:sz="0" w:space="0" w:color="auto"/>
        <w:right w:val="none" w:sz="0" w:space="0" w:color="auto"/>
      </w:divBdr>
    </w:div>
    <w:div w:id="1273125713">
      <w:bodyDiv w:val="1"/>
      <w:marLeft w:val="0"/>
      <w:marRight w:val="0"/>
      <w:marTop w:val="0"/>
      <w:marBottom w:val="0"/>
      <w:divBdr>
        <w:top w:val="none" w:sz="0" w:space="0" w:color="auto"/>
        <w:left w:val="none" w:sz="0" w:space="0" w:color="auto"/>
        <w:bottom w:val="none" w:sz="0" w:space="0" w:color="auto"/>
        <w:right w:val="none" w:sz="0" w:space="0" w:color="auto"/>
      </w:divBdr>
    </w:div>
    <w:div w:id="1393850195">
      <w:bodyDiv w:val="1"/>
      <w:marLeft w:val="0"/>
      <w:marRight w:val="0"/>
      <w:marTop w:val="0"/>
      <w:marBottom w:val="0"/>
      <w:divBdr>
        <w:top w:val="none" w:sz="0" w:space="0" w:color="auto"/>
        <w:left w:val="none" w:sz="0" w:space="0" w:color="auto"/>
        <w:bottom w:val="none" w:sz="0" w:space="0" w:color="auto"/>
        <w:right w:val="none" w:sz="0" w:space="0" w:color="auto"/>
      </w:divBdr>
    </w:div>
    <w:div w:id="1421636063">
      <w:bodyDiv w:val="1"/>
      <w:marLeft w:val="0"/>
      <w:marRight w:val="0"/>
      <w:marTop w:val="0"/>
      <w:marBottom w:val="0"/>
      <w:divBdr>
        <w:top w:val="none" w:sz="0" w:space="0" w:color="auto"/>
        <w:left w:val="none" w:sz="0" w:space="0" w:color="auto"/>
        <w:bottom w:val="none" w:sz="0" w:space="0" w:color="auto"/>
        <w:right w:val="none" w:sz="0" w:space="0" w:color="auto"/>
      </w:divBdr>
      <w:divsChild>
        <w:div w:id="250286157">
          <w:marLeft w:val="-225"/>
          <w:marRight w:val="-225"/>
          <w:marTop w:val="0"/>
          <w:marBottom w:val="450"/>
          <w:divBdr>
            <w:top w:val="none" w:sz="0" w:space="0" w:color="auto"/>
            <w:left w:val="none" w:sz="0" w:space="0" w:color="auto"/>
            <w:bottom w:val="none" w:sz="0" w:space="0" w:color="auto"/>
            <w:right w:val="none" w:sz="0" w:space="0" w:color="auto"/>
          </w:divBdr>
          <w:divsChild>
            <w:div w:id="3913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0389">
      <w:bodyDiv w:val="1"/>
      <w:marLeft w:val="0"/>
      <w:marRight w:val="0"/>
      <w:marTop w:val="0"/>
      <w:marBottom w:val="0"/>
      <w:divBdr>
        <w:top w:val="none" w:sz="0" w:space="0" w:color="auto"/>
        <w:left w:val="none" w:sz="0" w:space="0" w:color="auto"/>
        <w:bottom w:val="none" w:sz="0" w:space="0" w:color="auto"/>
        <w:right w:val="none" w:sz="0" w:space="0" w:color="auto"/>
      </w:divBdr>
    </w:div>
    <w:div w:id="1806510715">
      <w:bodyDiv w:val="1"/>
      <w:marLeft w:val="0"/>
      <w:marRight w:val="0"/>
      <w:marTop w:val="0"/>
      <w:marBottom w:val="0"/>
      <w:divBdr>
        <w:top w:val="none" w:sz="0" w:space="0" w:color="auto"/>
        <w:left w:val="none" w:sz="0" w:space="0" w:color="auto"/>
        <w:bottom w:val="none" w:sz="0" w:space="0" w:color="auto"/>
        <w:right w:val="none" w:sz="0" w:space="0" w:color="auto"/>
      </w:divBdr>
    </w:div>
    <w:div w:id="1982076482">
      <w:bodyDiv w:val="1"/>
      <w:marLeft w:val="0"/>
      <w:marRight w:val="0"/>
      <w:marTop w:val="0"/>
      <w:marBottom w:val="0"/>
      <w:divBdr>
        <w:top w:val="none" w:sz="0" w:space="0" w:color="auto"/>
        <w:left w:val="none" w:sz="0" w:space="0" w:color="auto"/>
        <w:bottom w:val="none" w:sz="0" w:space="0" w:color="auto"/>
        <w:right w:val="none" w:sz="0" w:space="0" w:color="auto"/>
      </w:divBdr>
    </w:div>
    <w:div w:id="20087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nda.ie/publications/others/uncrpd/series-of-papers-on-individual-united-nations-convention-on-the-rights-of-persons-with-disabilities-uncrpd-article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fpa.ie/sites/default/files/documents/briefings/disability_and_sexuality_briefing_report.pdf" TargetMode="External"/><Relationship Id="rId13" Type="http://schemas.openxmlformats.org/officeDocument/2006/relationships/hyperlink" Target="https://www.mentalhealthreform.ie/news/briefing-note-on-reform-of-the-mental-health-act-2001/" TargetMode="External"/><Relationship Id="rId18" Type="http://schemas.openxmlformats.org/officeDocument/2006/relationships/hyperlink" Target="https://www.paveepoint.ie/pavee-point-manifesto-ge-2020/" TargetMode="External"/><Relationship Id="rId3" Type="http://schemas.openxmlformats.org/officeDocument/2006/relationships/hyperlink" Target="https://www.gov.ie/en/press-release/c4f82d-new-medical-card-measures-to-remove-barriers-to-work-for-people-with/" TargetMode="External"/><Relationship Id="rId7" Type="http://schemas.openxmlformats.org/officeDocument/2006/relationships/hyperlink" Target="https://www.hse.ie/eng/about/who/qid/person-family-engagement/universal-access/" TargetMode="External"/><Relationship Id="rId12" Type="http://schemas.openxmlformats.org/officeDocument/2006/relationships/hyperlink" Target="http://nda.ie/Publications/Health/Submissions-on-Health/NDA-Submission-on-the-Review-of-the-Mental-Health-Act-2001-HTML-Format-1.html" TargetMode="External"/><Relationship Id="rId17" Type="http://schemas.openxmlformats.org/officeDocument/2006/relationships/hyperlink" Target="https://www.gov.ie/en/campaigns/-womens-health/" TargetMode="External"/><Relationship Id="rId2" Type="http://schemas.openxmlformats.org/officeDocument/2006/relationships/hyperlink" Target="https://www2.hse.ie/medical-cards/" TargetMode="External"/><Relationship Id="rId16" Type="http://schemas.openxmlformats.org/officeDocument/2006/relationships/hyperlink" Target="https://www.gov.ie/en/press-release/0e11c1-minister-for-health-publishes-new-bill-to-reform-the-research-eithic/" TargetMode="External"/><Relationship Id="rId1" Type="http://schemas.openxmlformats.org/officeDocument/2006/relationships/hyperlink" Target="https://www.cso.ie/en/releasesandpublications/in/mdi/mortalitydifferentialsinireland2016-2017/" TargetMode="External"/><Relationship Id="rId6" Type="http://schemas.openxmlformats.org/officeDocument/2006/relationships/hyperlink" Target="https://www.patientadvocacyservice.ie/" TargetMode="External"/><Relationship Id="rId11" Type="http://schemas.openxmlformats.org/officeDocument/2006/relationships/hyperlink" Target="http://realproductivejustice.com/" TargetMode="External"/><Relationship Id="rId5" Type="http://schemas.openxmlformats.org/officeDocument/2006/relationships/hyperlink" Target="https://www.hia.ie/sites/default/files/Market%20Figures%20Dec%202019.pdf" TargetMode="External"/><Relationship Id="rId15" Type="http://schemas.openxmlformats.org/officeDocument/2006/relationships/hyperlink" Target="https://www.gov.ie/en/news/4b6d68-minister-harris-announces-2-million-funding-for-autism-plan/" TargetMode="External"/><Relationship Id="rId10" Type="http://schemas.openxmlformats.org/officeDocument/2006/relationships/hyperlink" Target="http://nda.ie/Publications/Health/Pregnancy/Pregnancy-childbirth-early-motherhood-project.html" TargetMode="External"/><Relationship Id="rId4" Type="http://schemas.openxmlformats.org/officeDocument/2006/relationships/hyperlink" Target="https://www2.hse.ie/services/gp-visit-cards/gp-visit-cards.html" TargetMode="External"/><Relationship Id="rId9" Type="http://schemas.openxmlformats.org/officeDocument/2006/relationships/hyperlink" Target="http://www.inclusionireland.ie/sites/default/files/attach/news-item/1680/inclusion-ireland-together-yes.pdf" TargetMode="External"/><Relationship Id="rId14" Type="http://schemas.openxmlformats.org/officeDocument/2006/relationships/hyperlink" Target="https://www.mhcirl.ie/File/PR_3003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ojfilecluster\dojshares$\NDA\Shares\Policy%20Research%20&amp;%20Public%20Affairs\NDIS\2019%20indicators%20report\Graph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0" i="0" baseline="0">
                <a:effectLst/>
              </a:rPr>
              <a:t>Figure 1. Standardised Death Rates 2016-2017 by Sex and Disability</a:t>
            </a:r>
            <a:endParaRPr lang="en-IE"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tx1">
                <a:lumMod val="65000"/>
                <a:lumOff val="35000"/>
              </a:schemeClr>
            </a:solidFill>
            <a:ln>
              <a:noFill/>
            </a:ln>
            <a:effectLst/>
          </c:spPr>
          <c:invertIfNegative val="0"/>
          <c:dPt>
            <c:idx val="1"/>
            <c:invertIfNegative val="0"/>
            <c:bubble3D val="0"/>
            <c:spPr>
              <a:solidFill>
                <a:srgbClr val="A8246F"/>
              </a:solidFill>
              <a:ln>
                <a:noFill/>
              </a:ln>
              <a:effectLst/>
            </c:spPr>
            <c:extLst>
              <c:ext xmlns:c16="http://schemas.microsoft.com/office/drawing/2014/chart" uri="{C3380CC4-5D6E-409C-BE32-E72D297353CC}">
                <c16:uniqueId val="{00000001-7B59-43F6-B71B-642384EFF4A6}"/>
              </c:ext>
            </c:extLst>
          </c:dPt>
          <c:dPt>
            <c:idx val="2"/>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7B59-43F6-B71B-642384EFF4A6}"/>
              </c:ext>
            </c:extLst>
          </c:dPt>
          <c:dPt>
            <c:idx val="3"/>
            <c:invertIfNegative val="0"/>
            <c:bubble3D val="0"/>
            <c:spPr>
              <a:solidFill>
                <a:srgbClr val="A8246F"/>
              </a:solidFill>
              <a:ln>
                <a:noFill/>
              </a:ln>
              <a:effectLst/>
            </c:spPr>
            <c:extLst>
              <c:ext xmlns:c16="http://schemas.microsoft.com/office/drawing/2014/chart" uri="{C3380CC4-5D6E-409C-BE32-E72D297353CC}">
                <c16:uniqueId val="{00000005-7B59-43F6-B71B-642384EFF4A6}"/>
              </c:ext>
            </c:extLst>
          </c:dPt>
          <c:dPt>
            <c:idx val="4"/>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7-7B59-43F6-B71B-642384EFF4A6}"/>
              </c:ext>
            </c:extLst>
          </c:dPt>
          <c:dPt>
            <c:idx val="5"/>
            <c:invertIfNegative val="0"/>
            <c:bubble3D val="0"/>
            <c:spPr>
              <a:solidFill>
                <a:srgbClr val="A8246F"/>
              </a:solidFill>
              <a:ln>
                <a:noFill/>
              </a:ln>
              <a:effectLst/>
            </c:spPr>
            <c:extLst>
              <c:ext xmlns:c16="http://schemas.microsoft.com/office/drawing/2014/chart" uri="{C3380CC4-5D6E-409C-BE32-E72D297353CC}">
                <c16:uniqueId val="{00000009-7B59-43F6-B71B-642384EFF4A6}"/>
              </c:ext>
            </c:extLst>
          </c:dPt>
          <c:cat>
            <c:multiLvlStrRef>
              <c:f>'Standardised Death Rates'!$F$27:$K$28</c:f>
              <c:multiLvlStrCache>
                <c:ptCount val="6"/>
                <c:lvl>
                  <c:pt idx="0">
                    <c:v>Disability</c:v>
                  </c:pt>
                  <c:pt idx="1">
                    <c:v>No disability</c:v>
                  </c:pt>
                  <c:pt idx="2">
                    <c:v>Disability</c:v>
                  </c:pt>
                  <c:pt idx="3">
                    <c:v>No disability</c:v>
                  </c:pt>
                  <c:pt idx="4">
                    <c:v>Disability</c:v>
                  </c:pt>
                  <c:pt idx="5">
                    <c:v>No disability</c:v>
                  </c:pt>
                </c:lvl>
                <c:lvl>
                  <c:pt idx="0">
                    <c:v>Total</c:v>
                  </c:pt>
                  <c:pt idx="2">
                    <c:v>Females</c:v>
                  </c:pt>
                  <c:pt idx="4">
                    <c:v>Males</c:v>
                  </c:pt>
                </c:lvl>
              </c:multiLvlStrCache>
            </c:multiLvlStrRef>
          </c:cat>
          <c:val>
            <c:numRef>
              <c:f>'Standardised Death Rates'!$F$29:$K$29</c:f>
              <c:numCache>
                <c:formatCode>General</c:formatCode>
                <c:ptCount val="6"/>
                <c:pt idx="0" formatCode="#,##0">
                  <c:v>1232</c:v>
                </c:pt>
                <c:pt idx="1">
                  <c:v>302</c:v>
                </c:pt>
                <c:pt idx="2" formatCode="#,##0">
                  <c:v>1197</c:v>
                </c:pt>
                <c:pt idx="3">
                  <c:v>268</c:v>
                </c:pt>
                <c:pt idx="4" formatCode="#,##0">
                  <c:v>1280</c:v>
                </c:pt>
                <c:pt idx="5">
                  <c:v>329</c:v>
                </c:pt>
              </c:numCache>
            </c:numRef>
          </c:val>
          <c:extLst>
            <c:ext xmlns:c16="http://schemas.microsoft.com/office/drawing/2014/chart" uri="{C3380CC4-5D6E-409C-BE32-E72D297353CC}">
              <c16:uniqueId val="{0000000A-7B59-43F6-B71B-642384EFF4A6}"/>
            </c:ext>
          </c:extLst>
        </c:ser>
        <c:dLbls>
          <c:showLegendKey val="0"/>
          <c:showVal val="0"/>
          <c:showCatName val="0"/>
          <c:showSerName val="0"/>
          <c:showPercent val="0"/>
          <c:showBubbleSize val="0"/>
        </c:dLbls>
        <c:gapWidth val="219"/>
        <c:overlap val="-27"/>
        <c:axId val="483692368"/>
        <c:axId val="483693680"/>
      </c:barChart>
      <c:catAx>
        <c:axId val="48369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693680"/>
        <c:crosses val="autoZero"/>
        <c:auto val="1"/>
        <c:lblAlgn val="ctr"/>
        <c:lblOffset val="100"/>
        <c:noMultiLvlLbl val="0"/>
      </c:catAx>
      <c:valAx>
        <c:axId val="483693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E" sz="1000" b="0" i="0" baseline="0">
                    <a:effectLst/>
                  </a:rPr>
                  <a:t>Standardised Death Rate (per 100,000 pop.)</a:t>
                </a:r>
                <a:endParaRPr lang="en-IE" sz="40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692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Figure 2. General</a:t>
            </a:r>
            <a:r>
              <a:rPr lang="en-IE" baseline="0"/>
              <a:t> health of people according to type of disability in 2016</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'General health'!$E$82</c:f>
              <c:strCache>
                <c:ptCount val="1"/>
                <c:pt idx="0">
                  <c:v>Very bad/Bad</c:v>
                </c:pt>
              </c:strCache>
            </c:strRef>
          </c:tx>
          <c:spPr>
            <a:pattFill prst="pct75">
              <a:fgClr>
                <a:srgbClr val="A8246F"/>
              </a:fgClr>
              <a:bgClr>
                <a:schemeClr val="bg1"/>
              </a:bgClr>
            </a:pattFill>
            <a:ln>
              <a:noFill/>
            </a:ln>
            <a:effectLst/>
          </c:spPr>
          <c:invertIfNegative val="0"/>
          <c:cat>
            <c:strRef>
              <c:f>'General health'!$D$83:$D$89</c:f>
              <c:strCache>
                <c:ptCount val="7"/>
                <c:pt idx="0">
                  <c:v>An intellectual disability</c:v>
                </c:pt>
                <c:pt idx="1">
                  <c:v>Deafness or a serious hearing impairment</c:v>
                </c:pt>
                <c:pt idx="2">
                  <c:v>Difficulty in learning, remembering or concentrating</c:v>
                </c:pt>
                <c:pt idx="3">
                  <c:v>Psychological or emotional condition</c:v>
                </c:pt>
                <c:pt idx="4">
                  <c:v>Blindness or a serious vision impairment</c:v>
                </c:pt>
                <c:pt idx="5">
                  <c:v>Other disability, including chronic illness</c:v>
                </c:pt>
                <c:pt idx="6">
                  <c:v>Condition that substantially limits 1+ basic physical activities</c:v>
                </c:pt>
              </c:strCache>
            </c:strRef>
          </c:cat>
          <c:val>
            <c:numRef>
              <c:f>'General health'!$E$83:$E$89</c:f>
              <c:numCache>
                <c:formatCode>0.0</c:formatCode>
                <c:ptCount val="7"/>
                <c:pt idx="0">
                  <c:v>10.942418628469868</c:v>
                </c:pt>
                <c:pt idx="1">
                  <c:v>10.69785575048733</c:v>
                </c:pt>
                <c:pt idx="2">
                  <c:v>13.640409007382365</c:v>
                </c:pt>
                <c:pt idx="3">
                  <c:v>13.845188216306104</c:v>
                </c:pt>
                <c:pt idx="4">
                  <c:v>16.303747098485687</c:v>
                </c:pt>
                <c:pt idx="5">
                  <c:v>18.816621898335704</c:v>
                </c:pt>
                <c:pt idx="6">
                  <c:v>20.576371304784196</c:v>
                </c:pt>
              </c:numCache>
            </c:numRef>
          </c:val>
          <c:extLst>
            <c:ext xmlns:c16="http://schemas.microsoft.com/office/drawing/2014/chart" uri="{C3380CC4-5D6E-409C-BE32-E72D297353CC}">
              <c16:uniqueId val="{00000000-F57E-4ACF-9510-970F7C1A0C95}"/>
            </c:ext>
          </c:extLst>
        </c:ser>
        <c:ser>
          <c:idx val="1"/>
          <c:order val="1"/>
          <c:tx>
            <c:strRef>
              <c:f>'General health'!$F$82</c:f>
              <c:strCache>
                <c:ptCount val="1"/>
                <c:pt idx="0">
                  <c:v>Very good/Good</c:v>
                </c:pt>
              </c:strCache>
            </c:strRef>
          </c:tx>
          <c:spPr>
            <a:solidFill>
              <a:schemeClr val="tx1">
                <a:lumMod val="50000"/>
                <a:lumOff val="50000"/>
              </a:schemeClr>
            </a:solidFill>
            <a:ln>
              <a:noFill/>
            </a:ln>
            <a:effectLst/>
          </c:spPr>
          <c:invertIfNegative val="0"/>
          <c:cat>
            <c:strRef>
              <c:f>'General health'!$D$83:$D$89</c:f>
              <c:strCache>
                <c:ptCount val="7"/>
                <c:pt idx="0">
                  <c:v>An intellectual disability</c:v>
                </c:pt>
                <c:pt idx="1">
                  <c:v>Deafness or a serious hearing impairment</c:v>
                </c:pt>
                <c:pt idx="2">
                  <c:v>Difficulty in learning, remembering or concentrating</c:v>
                </c:pt>
                <c:pt idx="3">
                  <c:v>Psychological or emotional condition</c:v>
                </c:pt>
                <c:pt idx="4">
                  <c:v>Blindness or a serious vision impairment</c:v>
                </c:pt>
                <c:pt idx="5">
                  <c:v>Other disability, including chronic illness</c:v>
                </c:pt>
                <c:pt idx="6">
                  <c:v>Condition that substantially limits 1+ basic physical activities</c:v>
                </c:pt>
              </c:strCache>
            </c:strRef>
          </c:cat>
          <c:val>
            <c:numRef>
              <c:f>'General health'!$F$83:$F$89</c:f>
              <c:numCache>
                <c:formatCode>0.0</c:formatCode>
                <c:ptCount val="7"/>
                <c:pt idx="0">
                  <c:v>60.637416595122986</c:v>
                </c:pt>
                <c:pt idx="1">
                  <c:v>54.441520467836256</c:v>
                </c:pt>
                <c:pt idx="2">
                  <c:v>52.923173456778272</c:v>
                </c:pt>
                <c:pt idx="3">
                  <c:v>49.797844764342422</c:v>
                </c:pt>
                <c:pt idx="4">
                  <c:v>46.252901514314139</c:v>
                </c:pt>
                <c:pt idx="5">
                  <c:v>34.299219978334619</c:v>
                </c:pt>
                <c:pt idx="6">
                  <c:v>27.824874447896359</c:v>
                </c:pt>
              </c:numCache>
            </c:numRef>
          </c:val>
          <c:extLst>
            <c:ext xmlns:c16="http://schemas.microsoft.com/office/drawing/2014/chart" uri="{C3380CC4-5D6E-409C-BE32-E72D297353CC}">
              <c16:uniqueId val="{00000001-F57E-4ACF-9510-970F7C1A0C95}"/>
            </c:ext>
          </c:extLst>
        </c:ser>
        <c:dLbls>
          <c:showLegendKey val="0"/>
          <c:showVal val="0"/>
          <c:showCatName val="0"/>
          <c:showSerName val="0"/>
          <c:showPercent val="0"/>
          <c:showBubbleSize val="0"/>
        </c:dLbls>
        <c:gapWidth val="182"/>
        <c:axId val="539192088"/>
        <c:axId val="539190448"/>
      </c:barChart>
      <c:catAx>
        <c:axId val="539192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90448"/>
        <c:crosses val="autoZero"/>
        <c:auto val="1"/>
        <c:lblAlgn val="ctr"/>
        <c:lblOffset val="100"/>
        <c:noMultiLvlLbl val="0"/>
      </c:catAx>
      <c:valAx>
        <c:axId val="539190448"/>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92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9429-2AF2-4AEE-B4DB-D202DB43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7</Pages>
  <Words>16694</Words>
  <Characters>95162</Characters>
  <Application>Microsoft Office Word</Application>
  <DocSecurity>4</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tammingre</dc:creator>
  <cp:keywords/>
  <cp:lastModifiedBy>Heather C. O'Leary</cp:lastModifiedBy>
  <cp:revision>2</cp:revision>
  <dcterms:created xsi:type="dcterms:W3CDTF">2022-06-09T12:55:00Z</dcterms:created>
  <dcterms:modified xsi:type="dcterms:W3CDTF">2022-06-09T12:55:00Z</dcterms:modified>
</cp:coreProperties>
</file>